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E081E" w14:textId="165C0C20" w:rsidR="005F09FF" w:rsidRPr="005D681E" w:rsidRDefault="00814476" w:rsidP="005F09FF">
      <w:pPr>
        <w:tabs>
          <w:tab w:val="clear" w:pos="567"/>
          <w:tab w:val="clear" w:pos="1134"/>
          <w:tab w:val="clear" w:pos="1701"/>
          <w:tab w:val="clear" w:pos="2268"/>
        </w:tabs>
        <w:spacing w:after="0"/>
        <w:jc w:val="left"/>
        <w:rPr>
          <w:b/>
          <w:bCs/>
          <w:sz w:val="28"/>
          <w:szCs w:val="24"/>
        </w:rPr>
      </w:pPr>
      <w:r>
        <w:rPr>
          <w:b/>
          <w:bCs/>
          <w:sz w:val="28"/>
          <w:szCs w:val="24"/>
        </w:rPr>
        <w:t>OSPAR call for tender</w:t>
      </w:r>
    </w:p>
    <w:p w14:paraId="351A6468" w14:textId="77777777" w:rsidR="005F09FF" w:rsidRPr="005D681E" w:rsidRDefault="005F09FF" w:rsidP="005F09FF">
      <w:pPr>
        <w:tabs>
          <w:tab w:val="clear" w:pos="567"/>
          <w:tab w:val="clear" w:pos="1134"/>
          <w:tab w:val="clear" w:pos="1701"/>
          <w:tab w:val="clear" w:pos="2268"/>
        </w:tabs>
        <w:spacing w:after="0"/>
        <w:jc w:val="left"/>
      </w:pPr>
    </w:p>
    <w:p w14:paraId="1AB42B8E" w14:textId="625A1667" w:rsidR="00B167C5" w:rsidRPr="005D681E" w:rsidRDefault="00B167C5" w:rsidP="005F09FF">
      <w:pPr>
        <w:tabs>
          <w:tab w:val="clear" w:pos="567"/>
          <w:tab w:val="clear" w:pos="1134"/>
          <w:tab w:val="clear" w:pos="1701"/>
          <w:tab w:val="clear" w:pos="2268"/>
        </w:tabs>
        <w:spacing w:after="0"/>
        <w:jc w:val="left"/>
        <w:rPr>
          <w:b/>
        </w:rPr>
      </w:pPr>
      <w:r w:rsidRPr="005D681E">
        <w:rPr>
          <w:b/>
        </w:rPr>
        <w:t xml:space="preserve">1. Name, addresses and contact point(s): </w:t>
      </w:r>
    </w:p>
    <w:p w14:paraId="0CF7B4E4" w14:textId="361BEACF" w:rsidR="00B167C5" w:rsidRPr="005D681E" w:rsidRDefault="00B167C5" w:rsidP="00B167C5">
      <w:pPr>
        <w:jc w:val="left"/>
      </w:pPr>
      <w:r w:rsidRPr="005D681E">
        <w:t>Official name: OSPAR Commission</w:t>
      </w:r>
      <w:r w:rsidRPr="005D681E">
        <w:br/>
        <w:t xml:space="preserve">Postal address: </w:t>
      </w:r>
      <w:r w:rsidR="000E7F4A">
        <w:t xml:space="preserve">The </w:t>
      </w:r>
      <w:r w:rsidRPr="005D681E">
        <w:t>Aspect, 12 Finsbury Square, London EC2A 1AS</w:t>
      </w:r>
      <w:r w:rsidRPr="005D681E">
        <w:br/>
        <w:t>Contact point(s):</w:t>
      </w:r>
      <w:r w:rsidR="00D57F22">
        <w:t xml:space="preserve"> </w:t>
      </w:r>
      <w:r w:rsidRPr="005D681E">
        <w:t>Philip Stamp, Deputy Secretary, OSPAR</w:t>
      </w:r>
      <w:r w:rsidR="000E7F4A">
        <w:t xml:space="preserve"> Secretariat</w:t>
      </w:r>
      <w:r w:rsidRPr="005D681E">
        <w:br/>
        <w:t xml:space="preserve">Telephone: +44 (0) </w:t>
      </w:r>
      <w:r w:rsidR="00716BA9">
        <w:t>3848 9685</w:t>
      </w:r>
      <w:r w:rsidRPr="005D681E">
        <w:br/>
        <w:t>E-mail: Secretariat@ospar.org</w:t>
      </w:r>
      <w:r w:rsidRPr="005D681E">
        <w:br/>
        <w:t>Internet address(es): www.ospar.org</w:t>
      </w:r>
    </w:p>
    <w:p w14:paraId="15E33B30" w14:textId="77777777" w:rsidR="00B167C5" w:rsidRPr="005D681E" w:rsidRDefault="00B167C5" w:rsidP="00B167C5">
      <w:pPr>
        <w:rPr>
          <w:b/>
        </w:rPr>
      </w:pPr>
    </w:p>
    <w:p w14:paraId="4962684B" w14:textId="77777777" w:rsidR="00B167C5" w:rsidRPr="005D681E" w:rsidRDefault="00B167C5" w:rsidP="00B167C5">
      <w:pPr>
        <w:rPr>
          <w:b/>
        </w:rPr>
      </w:pPr>
      <w:r w:rsidRPr="005D681E">
        <w:rPr>
          <w:b/>
        </w:rPr>
        <w:t>2. Title attributed to the contract</w:t>
      </w:r>
    </w:p>
    <w:p w14:paraId="5F47E680" w14:textId="1B03A11A" w:rsidR="00B167C5" w:rsidRPr="005D681E" w:rsidRDefault="00B167C5" w:rsidP="00B167C5">
      <w:r w:rsidRPr="005D681E">
        <w:t xml:space="preserve">“OSPAR ICG-ORED Pilot assessment of </w:t>
      </w:r>
      <w:r w:rsidR="00FD5DE9" w:rsidRPr="005D681E">
        <w:t>cumulative impact</w:t>
      </w:r>
      <w:r w:rsidRPr="005D681E">
        <w:t>s of offshore renewables on birds” (Bird pilot tender 1).</w:t>
      </w:r>
    </w:p>
    <w:p w14:paraId="6462B3DC" w14:textId="77777777" w:rsidR="00B167C5" w:rsidRPr="005D681E" w:rsidRDefault="00B167C5" w:rsidP="00B167C5">
      <w:pPr>
        <w:rPr>
          <w:b/>
        </w:rPr>
      </w:pPr>
    </w:p>
    <w:p w14:paraId="1BE108FC" w14:textId="77777777" w:rsidR="0091249E" w:rsidRDefault="0091249E" w:rsidP="0091249E">
      <w:pPr>
        <w:rPr>
          <w:b/>
          <w:i/>
          <w:iCs/>
        </w:rPr>
      </w:pPr>
      <w:r w:rsidRPr="005D681E">
        <w:rPr>
          <w:b/>
        </w:rPr>
        <w:t>3. Description of the contract</w:t>
      </w:r>
    </w:p>
    <w:p w14:paraId="2322677E" w14:textId="5CC2B19E" w:rsidR="0091249E" w:rsidRPr="005D681E" w:rsidRDefault="0091249E" w:rsidP="0091249E">
      <w:pPr>
        <w:rPr>
          <w:u w:val="single"/>
        </w:rPr>
      </w:pPr>
      <w:r>
        <w:rPr>
          <w:u w:val="single"/>
        </w:rPr>
        <w:t>Background</w:t>
      </w:r>
    </w:p>
    <w:p w14:paraId="79E90C3C" w14:textId="3B97634E" w:rsidR="0091249E" w:rsidRDefault="0091249E" w:rsidP="00DA5EAD">
      <w:pPr>
        <w:pStyle w:val="Liststycke"/>
        <w:numPr>
          <w:ilvl w:val="0"/>
          <w:numId w:val="41"/>
        </w:numPr>
        <w:spacing w:after="120"/>
        <w:ind w:left="357" w:hanging="357"/>
        <w:contextualSpacing w:val="0"/>
      </w:pPr>
      <w:r>
        <w:t>The OSPAR Convention is the mechanism</w:t>
      </w:r>
      <w:r w:rsidRPr="00177205">
        <w:t xml:space="preserve"> by which 15 Governments </w:t>
      </w:r>
      <w:r w:rsidR="00BE5E40">
        <w:t>and</w:t>
      </w:r>
      <w:r w:rsidRPr="00177205">
        <w:t xml:space="preserve"> the EU cooperate to protect the marine environment of the North-East Atlantic.</w:t>
      </w:r>
      <w:r>
        <w:t xml:space="preserve"> As part of this mechanism OSPAR assess</w:t>
      </w:r>
      <w:r w:rsidR="00BE5E40">
        <w:t>es</w:t>
      </w:r>
      <w:r>
        <w:t xml:space="preserve"> the impact of human activities on the environment.</w:t>
      </w:r>
    </w:p>
    <w:p w14:paraId="720EB4CC" w14:textId="2C0E84D9" w:rsidR="002C60C4" w:rsidRDefault="0091249E" w:rsidP="00DA5EAD">
      <w:pPr>
        <w:pStyle w:val="Liststycke"/>
        <w:numPr>
          <w:ilvl w:val="0"/>
          <w:numId w:val="41"/>
        </w:numPr>
        <w:spacing w:after="120"/>
        <w:ind w:left="357" w:hanging="357"/>
        <w:contextualSpacing w:val="0"/>
      </w:pPr>
      <w:r>
        <w:t xml:space="preserve">The overall aim of </w:t>
      </w:r>
      <w:r w:rsidR="000E7F4A">
        <w:t xml:space="preserve">the </w:t>
      </w:r>
      <w:r>
        <w:t>work</w:t>
      </w:r>
      <w:r w:rsidR="000E7F4A">
        <w:t xml:space="preserve"> on offshore renewables</w:t>
      </w:r>
      <w:r>
        <w:t xml:space="preserve"> is</w:t>
      </w:r>
      <w:r w:rsidRPr="005D681E">
        <w:t xml:space="preserve"> to support the implementation of the OSPAR </w:t>
      </w:r>
      <w:r>
        <w:t>North</w:t>
      </w:r>
      <w:r w:rsidR="00BE5E40">
        <w:t>-</w:t>
      </w:r>
      <w:r>
        <w:t>East Atlantic Strategy (</w:t>
      </w:r>
      <w:r w:rsidRPr="005D681E">
        <w:t>NEAES</w:t>
      </w:r>
      <w:r>
        <w:t>)</w:t>
      </w:r>
      <w:r w:rsidRPr="005D681E">
        <w:t xml:space="preserve"> 2030</w:t>
      </w:r>
      <w:r w:rsidR="007A2062">
        <w:t xml:space="preserve"> </w:t>
      </w:r>
      <w:r>
        <w:t xml:space="preserve">in developing guidance </w:t>
      </w:r>
      <w:r w:rsidRPr="005D681E">
        <w:t>on how to promote and facilitate sustainable development and scaling up of offshore renewable energy in a way that cumulative envi</w:t>
      </w:r>
      <w:r>
        <w:t>ronmental impacts are minimised</w:t>
      </w:r>
      <w:r w:rsidRPr="005D681E">
        <w:t>. To this end,</w:t>
      </w:r>
      <w:r>
        <w:t xml:space="preserve"> an Intersessional Correspondence Group on Offshore Renewable Energy Development (ICG-ORED) was established in March 2021. </w:t>
      </w:r>
    </w:p>
    <w:p w14:paraId="7C87543A" w14:textId="05B4AADB" w:rsidR="0091249E" w:rsidRDefault="0091249E" w:rsidP="00DA5EAD">
      <w:pPr>
        <w:pStyle w:val="Liststycke"/>
        <w:numPr>
          <w:ilvl w:val="0"/>
          <w:numId w:val="41"/>
        </w:numPr>
        <w:spacing w:after="120"/>
        <w:ind w:left="357" w:hanging="357"/>
        <w:contextualSpacing w:val="0"/>
      </w:pPr>
      <w:r>
        <w:t>As part of the initial scope of work</w:t>
      </w:r>
      <w:r w:rsidRPr="005D681E">
        <w:t xml:space="preserve">, ICG-ORED </w:t>
      </w:r>
      <w:r>
        <w:t xml:space="preserve">is prioritising </w:t>
      </w:r>
      <w:r w:rsidRPr="005D681E">
        <w:t>the impacts of offshore renewable energy developments on birds</w:t>
      </w:r>
      <w:r>
        <w:t>, to progress simultaneously on Operational Objective S5.04 of the NEA</w:t>
      </w:r>
      <w:r w:rsidR="00BE5E40">
        <w:t>E</w:t>
      </w:r>
      <w:r>
        <w:t>S 2030:</w:t>
      </w:r>
      <w:r w:rsidRPr="005D681E">
        <w:t xml:space="preserve"> “</w:t>
      </w:r>
      <w:r w:rsidRPr="003102E2">
        <w:rPr>
          <w:i/>
        </w:rPr>
        <w:t>By 2025 at the latest, OSPAR will take appropriate actions to prevent or reduce pressures to enable the recovery of marine species and benthic and pelagic habitats in order to reach and maintain good environmental status as reflected in relevant OSPAR status assessments, with action by 2023 to halt the decline of marine birds.”</w:t>
      </w:r>
    </w:p>
    <w:p w14:paraId="6EB72DC7" w14:textId="6A3FC823" w:rsidR="0091249E" w:rsidRPr="005D681E" w:rsidRDefault="0091249E" w:rsidP="00DA5EAD">
      <w:pPr>
        <w:pStyle w:val="Liststycke"/>
        <w:numPr>
          <w:ilvl w:val="0"/>
          <w:numId w:val="41"/>
        </w:numPr>
        <w:spacing w:after="120"/>
        <w:ind w:left="357" w:hanging="357"/>
        <w:contextualSpacing w:val="0"/>
      </w:pPr>
      <w:r w:rsidRPr="00FC4627">
        <w:t>In the face of the planned large-scale development of offshore wind energy in the North</w:t>
      </w:r>
      <w:r w:rsidR="00BE5E40">
        <w:t>-</w:t>
      </w:r>
      <w:r w:rsidRPr="00FC4627">
        <w:t xml:space="preserve">East Atlantic and the aims and scope of ICG-ORED, the group initiated the development of a framework for assessing the cumulative impacts of offshore wind energy on marine ecosystems on a regional sea scale. In line with </w:t>
      </w:r>
      <w:r w:rsidR="00BE5E40">
        <w:t xml:space="preserve">NEAES </w:t>
      </w:r>
      <w:r w:rsidRPr="00FC4627">
        <w:t>Operational Objective</w:t>
      </w:r>
      <w:r w:rsidR="00176C47">
        <w:t>s S12.04 and</w:t>
      </w:r>
      <w:r w:rsidRPr="00FC4627">
        <w:t xml:space="preserve"> S5.04, this cumulative impacts</w:t>
      </w:r>
      <w:r w:rsidR="007A2062">
        <w:t xml:space="preserve"> </w:t>
      </w:r>
      <w:r w:rsidRPr="00FC4627">
        <w:t xml:space="preserve">assessment (CIA) framework will be developed and first applied to assess the impacts of offshore wind energy on birds. These two elements constitute the focus of this request for proposals. </w:t>
      </w:r>
    </w:p>
    <w:p w14:paraId="04641D1D" w14:textId="7DFFE4E5" w:rsidR="0091249E" w:rsidRPr="005D681E" w:rsidRDefault="0091249E" w:rsidP="00DA5EAD">
      <w:pPr>
        <w:pStyle w:val="Liststycke"/>
        <w:numPr>
          <w:ilvl w:val="0"/>
          <w:numId w:val="41"/>
        </w:numPr>
        <w:spacing w:after="120"/>
        <w:ind w:left="357" w:hanging="357"/>
        <w:contextualSpacing w:val="0"/>
      </w:pPr>
      <w:r w:rsidRPr="005D681E">
        <w:t xml:space="preserve">The so-called ‘bird pilots’ have two main aims: first, </w:t>
      </w:r>
      <w:r>
        <w:t xml:space="preserve">to </w:t>
      </w:r>
      <w:r w:rsidR="007A2062">
        <w:t xml:space="preserve">test and further develop the </w:t>
      </w:r>
      <w:r>
        <w:t xml:space="preserve">CIA framework; and second, </w:t>
      </w:r>
      <w:r w:rsidRPr="005D681E">
        <w:t xml:space="preserve">to provide the evidence base on which to elaborate guidance on measures and actions within OSPAR with regards to preventing negative impacts on birds as a result of offshore </w:t>
      </w:r>
      <w:r>
        <w:t>wind</w:t>
      </w:r>
      <w:r w:rsidRPr="005D681E">
        <w:t xml:space="preserve"> energy development and operation. The assessment should consider two time-frames: up to 2030 and beyond 2030</w:t>
      </w:r>
      <w:r>
        <w:t>.</w:t>
      </w:r>
      <w:r w:rsidRPr="00CD58DB">
        <w:t xml:space="preserve"> </w:t>
      </w:r>
      <w:r>
        <w:t>Given the large area of the North</w:t>
      </w:r>
      <w:r w:rsidR="00BE5E40">
        <w:t>-</w:t>
      </w:r>
      <w:r>
        <w:t xml:space="preserve">East Atlantic to be covered and the different characteristics of each OSPAR sub-region, two case study areas are proposed, the North Sea Basin and the Celtic Sea-Bay of Biscay Area. </w:t>
      </w:r>
      <w:r w:rsidRPr="005D681E">
        <w:t xml:space="preserve">Based on the results of the pilot studies and subsequent CIAs, ICG-ORED will assess the </w:t>
      </w:r>
      <w:r w:rsidRPr="005D681E">
        <w:lastRenderedPageBreak/>
        <w:t xml:space="preserve">need for measures and identify the type of measures needed in order to develop offshore renewables in a way that minimises cumulative impacts on the environment. </w:t>
      </w:r>
    </w:p>
    <w:p w14:paraId="0FBD91B8" w14:textId="77777777" w:rsidR="0091249E" w:rsidRDefault="0091249E" w:rsidP="0091249E"/>
    <w:p w14:paraId="70D4900A" w14:textId="3240A2D6" w:rsidR="0091249E" w:rsidRPr="005D681E" w:rsidRDefault="0091249E" w:rsidP="007A2062">
      <w:r w:rsidRPr="00FC4627">
        <w:rPr>
          <w:u w:val="single"/>
        </w:rPr>
        <w:t>Scope of Work</w:t>
      </w:r>
      <w:r w:rsidR="000E7F4A" w:rsidRPr="000E7F4A">
        <w:t xml:space="preserve"> </w:t>
      </w:r>
    </w:p>
    <w:p w14:paraId="25A6B3D0" w14:textId="77777777" w:rsidR="0091249E" w:rsidRPr="005D681E" w:rsidRDefault="0091249E" w:rsidP="003102E2">
      <w:pPr>
        <w:pStyle w:val="Liststycke"/>
        <w:numPr>
          <w:ilvl w:val="0"/>
          <w:numId w:val="41"/>
        </w:numPr>
      </w:pPr>
      <w:r w:rsidRPr="005D681E">
        <w:t>The contractor is expected to:</w:t>
      </w:r>
    </w:p>
    <w:p w14:paraId="074D06DC" w14:textId="77777777" w:rsidR="0091249E" w:rsidRPr="005D681E" w:rsidRDefault="0091249E" w:rsidP="003102E2">
      <w:pPr>
        <w:pStyle w:val="Liststycke"/>
        <w:numPr>
          <w:ilvl w:val="0"/>
          <w:numId w:val="43"/>
        </w:numPr>
        <w:rPr>
          <w:lang w:val="en-GB"/>
        </w:rPr>
      </w:pPr>
      <w:r w:rsidRPr="005D681E">
        <w:rPr>
          <w:lang w:val="en-GB"/>
        </w:rPr>
        <w:t>based on the provisional list of bird species</w:t>
      </w:r>
      <w:r>
        <w:rPr>
          <w:lang w:val="en-GB"/>
        </w:rPr>
        <w:t xml:space="preserve"> and relevant parameters drawn up by ICG-ORED, finalize the species of bird</w:t>
      </w:r>
      <w:r w:rsidRPr="005D681E">
        <w:rPr>
          <w:lang w:val="en-GB"/>
        </w:rPr>
        <w:t xml:space="preserve"> for inclusion in eac</w:t>
      </w:r>
      <w:r>
        <w:rPr>
          <w:lang w:val="en-GB"/>
        </w:rPr>
        <w:t xml:space="preserve">h of the two </w:t>
      </w:r>
      <w:r w:rsidRPr="005D681E">
        <w:rPr>
          <w:lang w:val="en-GB"/>
        </w:rPr>
        <w:t>pilot assessment studies;</w:t>
      </w:r>
    </w:p>
    <w:p w14:paraId="310CE6A9" w14:textId="77777777" w:rsidR="0091249E" w:rsidRPr="005D681E" w:rsidRDefault="0091249E" w:rsidP="003102E2">
      <w:pPr>
        <w:pStyle w:val="Liststycke"/>
        <w:numPr>
          <w:ilvl w:val="0"/>
          <w:numId w:val="43"/>
        </w:numPr>
        <w:rPr>
          <w:lang w:val="en-GB"/>
        </w:rPr>
      </w:pPr>
      <w:r w:rsidRPr="005D681E">
        <w:rPr>
          <w:lang w:val="en-GB"/>
        </w:rPr>
        <w:t>define the exact geographical scope of the two pilot studies, based on the provisional delimitation already carried out by ICG-ORED</w:t>
      </w:r>
      <w:r>
        <w:rPr>
          <w:lang w:val="en-GB"/>
        </w:rPr>
        <w:t xml:space="preserve"> and relevance to the bird species selected</w:t>
      </w:r>
      <w:r w:rsidRPr="005D681E">
        <w:rPr>
          <w:lang w:val="en-GB"/>
        </w:rPr>
        <w:t>;</w:t>
      </w:r>
    </w:p>
    <w:p w14:paraId="56F9B8D6" w14:textId="01C44279" w:rsidR="0091249E" w:rsidRPr="005D681E" w:rsidRDefault="0091249E" w:rsidP="003102E2">
      <w:pPr>
        <w:pStyle w:val="Liststycke"/>
        <w:numPr>
          <w:ilvl w:val="0"/>
          <w:numId w:val="43"/>
        </w:numPr>
        <w:rPr>
          <w:lang w:val="en-GB"/>
        </w:rPr>
      </w:pPr>
      <w:r w:rsidRPr="005D681E">
        <w:rPr>
          <w:lang w:val="en-GB"/>
        </w:rPr>
        <w:t>develop scenarios relative to offshore wind power development</w:t>
      </w:r>
      <w:r>
        <w:rPr>
          <w:lang w:val="en-GB"/>
        </w:rPr>
        <w:t xml:space="preserve"> pre- and post-2030</w:t>
      </w:r>
      <w:r w:rsidRPr="005D681E">
        <w:rPr>
          <w:lang w:val="en-GB"/>
        </w:rPr>
        <w:t xml:space="preserve"> in the two pilot study areas;</w:t>
      </w:r>
    </w:p>
    <w:p w14:paraId="4534C29B" w14:textId="6E067AFB" w:rsidR="0091249E" w:rsidRPr="005D681E" w:rsidRDefault="0091249E" w:rsidP="003102E2">
      <w:pPr>
        <w:pStyle w:val="Liststycke"/>
        <w:numPr>
          <w:ilvl w:val="0"/>
          <w:numId w:val="43"/>
        </w:numPr>
        <w:rPr>
          <w:lang w:val="en-GB"/>
        </w:rPr>
      </w:pPr>
      <w:r w:rsidRPr="005D681E">
        <w:rPr>
          <w:lang w:val="en-GB"/>
        </w:rPr>
        <w:t>further develop a CIA approach, including the development</w:t>
      </w:r>
      <w:r>
        <w:rPr>
          <w:lang w:val="en-GB"/>
        </w:rPr>
        <w:t xml:space="preserve"> or application</w:t>
      </w:r>
      <w:r w:rsidRPr="005D681E">
        <w:rPr>
          <w:lang w:val="en-GB"/>
        </w:rPr>
        <w:t xml:space="preserve"> of one or more tools enabling a spatially-explicit estimation of cumulative impacts of offshore</w:t>
      </w:r>
      <w:r>
        <w:rPr>
          <w:lang w:val="en-GB"/>
        </w:rPr>
        <w:t xml:space="preserve"> wind power on bird</w:t>
      </w:r>
      <w:r w:rsidR="000B3D31">
        <w:rPr>
          <w:lang w:val="en-GB"/>
        </w:rPr>
        <w:t xml:space="preserve"> populations</w:t>
      </w:r>
      <w:r>
        <w:rPr>
          <w:lang w:val="en-GB"/>
        </w:rPr>
        <w:t xml:space="preserve"> and their distribution</w:t>
      </w:r>
      <w:r w:rsidRPr="005D681E">
        <w:rPr>
          <w:lang w:val="en-GB"/>
        </w:rPr>
        <w:t>; and</w:t>
      </w:r>
    </w:p>
    <w:p w14:paraId="141A9E7C" w14:textId="77777777" w:rsidR="0091249E" w:rsidRPr="00C45274" w:rsidRDefault="0091249E" w:rsidP="003102E2">
      <w:pPr>
        <w:pStyle w:val="Liststycke"/>
        <w:numPr>
          <w:ilvl w:val="0"/>
          <w:numId w:val="43"/>
        </w:numPr>
        <w:rPr>
          <w:lang w:val="en-GB"/>
        </w:rPr>
      </w:pPr>
      <w:r w:rsidRPr="005D681E">
        <w:rPr>
          <w:lang w:val="en-GB"/>
        </w:rPr>
        <w:t xml:space="preserve">carry out the two bird pilot assessment studies, including producing a report with results in terms </w:t>
      </w:r>
      <w:r w:rsidRPr="00C45274">
        <w:rPr>
          <w:lang w:val="en-GB"/>
        </w:rPr>
        <w:t>of expected impacts and proposals for minimizing them.</w:t>
      </w:r>
    </w:p>
    <w:p w14:paraId="5C3EBD48" w14:textId="77777777" w:rsidR="0091249E" w:rsidRPr="00C45274" w:rsidRDefault="0091249E" w:rsidP="0091249E">
      <w:pPr>
        <w:keepNext/>
        <w:rPr>
          <w:u w:val="single"/>
        </w:rPr>
      </w:pPr>
      <w:r w:rsidRPr="00C45274">
        <w:rPr>
          <w:u w:val="single"/>
        </w:rPr>
        <w:t>Cumulative impact assessment (CIA) approach and pilot studies on birds</w:t>
      </w:r>
    </w:p>
    <w:p w14:paraId="6DF062DF" w14:textId="77777777" w:rsidR="0091249E" w:rsidRPr="00C45274" w:rsidRDefault="0091249E" w:rsidP="00DA5EAD">
      <w:pPr>
        <w:pStyle w:val="Liststycke"/>
        <w:numPr>
          <w:ilvl w:val="0"/>
          <w:numId w:val="41"/>
        </w:numPr>
        <w:ind w:hanging="357"/>
      </w:pPr>
      <w:r w:rsidRPr="00C45274">
        <w:t>The initial assessment of cumulative impacts on birds in two study areas that is the focus of this contract should be in line with the following principles:</w:t>
      </w:r>
    </w:p>
    <w:p w14:paraId="3A0DFE8C" w14:textId="77777777" w:rsidR="0091249E" w:rsidRPr="00C45274" w:rsidRDefault="0091249E" w:rsidP="00DA5EAD">
      <w:pPr>
        <w:pStyle w:val="Liststycke"/>
        <w:numPr>
          <w:ilvl w:val="0"/>
          <w:numId w:val="47"/>
        </w:numPr>
        <w:ind w:hanging="357"/>
        <w:rPr>
          <w:lang w:val="en-GB"/>
        </w:rPr>
      </w:pPr>
      <w:r w:rsidRPr="00C45274">
        <w:rPr>
          <w:lang w:val="en-GB"/>
        </w:rPr>
        <w:t xml:space="preserve">The results of the CIA will be used by ICG-ORED to elaborate recommendations on additional OSPAR measures to protect the marine environment. </w:t>
      </w:r>
    </w:p>
    <w:p w14:paraId="45EB0C50" w14:textId="77777777" w:rsidR="0091249E" w:rsidRPr="00C45274" w:rsidRDefault="0091249E" w:rsidP="00DA5EAD">
      <w:pPr>
        <w:pStyle w:val="Liststycke"/>
        <w:numPr>
          <w:ilvl w:val="0"/>
          <w:numId w:val="47"/>
        </w:numPr>
        <w:ind w:hanging="357"/>
        <w:rPr>
          <w:lang w:val="en-GB"/>
        </w:rPr>
      </w:pPr>
      <w:r w:rsidRPr="00C45274">
        <w:rPr>
          <w:lang w:val="en-GB"/>
        </w:rPr>
        <w:t>The impacts assessment should be based on the DAPSIR framework including a pathway approach based on spatial information.</w:t>
      </w:r>
    </w:p>
    <w:p w14:paraId="65442F87" w14:textId="05371C33" w:rsidR="0091249E" w:rsidRPr="00C45274" w:rsidRDefault="0091249E" w:rsidP="00DA5EAD">
      <w:pPr>
        <w:pStyle w:val="Liststycke"/>
        <w:numPr>
          <w:ilvl w:val="0"/>
          <w:numId w:val="47"/>
        </w:numPr>
        <w:ind w:hanging="357"/>
        <w:rPr>
          <w:lang w:val="en-GB"/>
        </w:rPr>
      </w:pPr>
      <w:r w:rsidRPr="00C45274">
        <w:rPr>
          <w:lang w:val="en-GB"/>
        </w:rPr>
        <w:t>The description of impacts should be based on the most recent publicly available knowledge</w:t>
      </w:r>
      <w:r w:rsidR="00264FFC" w:rsidRPr="00C45274">
        <w:rPr>
          <w:lang w:val="en-GB"/>
        </w:rPr>
        <w:t xml:space="preserve"> </w:t>
      </w:r>
      <w:r w:rsidRPr="00C45274">
        <w:rPr>
          <w:lang w:val="en-GB"/>
        </w:rPr>
        <w:t>and include:</w:t>
      </w:r>
    </w:p>
    <w:p w14:paraId="03E03F6A" w14:textId="77777777" w:rsidR="0091249E" w:rsidRPr="00C45274" w:rsidRDefault="0091249E" w:rsidP="00DA5EAD">
      <w:pPr>
        <w:numPr>
          <w:ilvl w:val="0"/>
          <w:numId w:val="45"/>
        </w:numPr>
        <w:tabs>
          <w:tab w:val="clear" w:pos="567"/>
          <w:tab w:val="clear" w:pos="1134"/>
          <w:tab w:val="clear" w:pos="1701"/>
          <w:tab w:val="clear" w:pos="2268"/>
        </w:tabs>
        <w:spacing w:after="160" w:line="259" w:lineRule="auto"/>
        <w:ind w:hanging="357"/>
        <w:contextualSpacing/>
        <w:jc w:val="left"/>
      </w:pPr>
      <w:r w:rsidRPr="00C45274">
        <w:t>transparency about knowledge gaps and assumptions and use of expert judgements to address knowledge gaps;</w:t>
      </w:r>
    </w:p>
    <w:p w14:paraId="4CED722A" w14:textId="77777777" w:rsidR="0091249E" w:rsidRPr="00C45274" w:rsidRDefault="0091249E" w:rsidP="00DA5EAD">
      <w:pPr>
        <w:numPr>
          <w:ilvl w:val="0"/>
          <w:numId w:val="45"/>
        </w:numPr>
        <w:tabs>
          <w:tab w:val="clear" w:pos="567"/>
          <w:tab w:val="clear" w:pos="1134"/>
          <w:tab w:val="clear" w:pos="1701"/>
          <w:tab w:val="clear" w:pos="2268"/>
        </w:tabs>
        <w:spacing w:after="160" w:line="259" w:lineRule="auto"/>
        <w:ind w:hanging="357"/>
        <w:contextualSpacing/>
        <w:jc w:val="left"/>
      </w:pPr>
      <w:r w:rsidRPr="00C45274">
        <w:t>use of the precautionary principle assuming a realistic worst-case approach within the range of expected developments;</w:t>
      </w:r>
    </w:p>
    <w:p w14:paraId="4C4198FD" w14:textId="77777777" w:rsidR="0091249E" w:rsidRPr="00C45274" w:rsidRDefault="0091249E" w:rsidP="00DA5EAD">
      <w:pPr>
        <w:numPr>
          <w:ilvl w:val="0"/>
          <w:numId w:val="45"/>
        </w:numPr>
        <w:tabs>
          <w:tab w:val="clear" w:pos="567"/>
          <w:tab w:val="clear" w:pos="1134"/>
          <w:tab w:val="clear" w:pos="1701"/>
          <w:tab w:val="clear" w:pos="2268"/>
        </w:tabs>
        <w:spacing w:after="160" w:line="259" w:lineRule="auto"/>
        <w:ind w:hanging="357"/>
        <w:contextualSpacing/>
        <w:jc w:val="left"/>
      </w:pPr>
      <w:r w:rsidRPr="00C45274">
        <w:t>absolute clarity about the geographical scale and time horizon of the calculated impacts; and</w:t>
      </w:r>
    </w:p>
    <w:p w14:paraId="0B96F2B0" w14:textId="77777777" w:rsidR="0091249E" w:rsidRPr="00C45274" w:rsidRDefault="0091249E" w:rsidP="00DA5EAD">
      <w:pPr>
        <w:numPr>
          <w:ilvl w:val="0"/>
          <w:numId w:val="45"/>
        </w:numPr>
        <w:tabs>
          <w:tab w:val="clear" w:pos="567"/>
          <w:tab w:val="clear" w:pos="1134"/>
          <w:tab w:val="clear" w:pos="1701"/>
          <w:tab w:val="clear" w:pos="2268"/>
        </w:tabs>
        <w:spacing w:after="160" w:line="259" w:lineRule="auto"/>
        <w:ind w:hanging="357"/>
        <w:contextualSpacing/>
        <w:jc w:val="left"/>
      </w:pPr>
      <w:r w:rsidRPr="00C45274">
        <w:t>focus on species that are expected to suffer significant negative impacts.</w:t>
      </w:r>
    </w:p>
    <w:p w14:paraId="37A7C26F" w14:textId="49ADF598" w:rsidR="000B3D31" w:rsidRPr="00C45274" w:rsidRDefault="0091249E" w:rsidP="00DA5EAD">
      <w:pPr>
        <w:pStyle w:val="Liststycke"/>
        <w:numPr>
          <w:ilvl w:val="0"/>
          <w:numId w:val="47"/>
        </w:numPr>
        <w:ind w:hanging="357"/>
        <w:rPr>
          <w:lang w:val="en-GB"/>
        </w:rPr>
      </w:pPr>
      <w:r w:rsidRPr="00C45274">
        <w:rPr>
          <w:lang w:val="en-GB"/>
        </w:rPr>
        <w:t>The CIA approach and tool or tools developed and/or used in this contract will be made available</w:t>
      </w:r>
      <w:r w:rsidR="002200EC" w:rsidRPr="00C45274">
        <w:rPr>
          <w:lang w:val="en-GB"/>
        </w:rPr>
        <w:t xml:space="preserve"> in full</w:t>
      </w:r>
      <w:r w:rsidRPr="00C45274">
        <w:rPr>
          <w:lang w:val="en-GB"/>
        </w:rPr>
        <w:t xml:space="preserve"> to OSPAR at the end of the contract for</w:t>
      </w:r>
      <w:r w:rsidR="002200EC" w:rsidRPr="00C45274">
        <w:rPr>
          <w:lang w:val="en-GB"/>
        </w:rPr>
        <w:t xml:space="preserve"> independent</w:t>
      </w:r>
      <w:r w:rsidRPr="00C45274">
        <w:rPr>
          <w:lang w:val="en-GB"/>
        </w:rPr>
        <w:t xml:space="preserve"> future use and further development by OSPAR </w:t>
      </w:r>
      <w:r w:rsidR="00BE5E40" w:rsidRPr="00C45274">
        <w:rPr>
          <w:lang w:val="en-GB"/>
        </w:rPr>
        <w:t>C</w:t>
      </w:r>
      <w:r w:rsidRPr="00C45274">
        <w:rPr>
          <w:lang w:val="en-GB"/>
        </w:rPr>
        <w:t xml:space="preserve">ontracting </w:t>
      </w:r>
      <w:r w:rsidR="00BE5E40" w:rsidRPr="00C45274">
        <w:rPr>
          <w:lang w:val="en-GB"/>
        </w:rPr>
        <w:t>P</w:t>
      </w:r>
      <w:r w:rsidRPr="00C45274">
        <w:rPr>
          <w:lang w:val="en-GB"/>
        </w:rPr>
        <w:t>arties.</w:t>
      </w:r>
      <w:r w:rsidR="002200EC" w:rsidRPr="00C45274">
        <w:rPr>
          <w:lang w:val="en-GB"/>
        </w:rPr>
        <w:t xml:space="preserve"> The contractor will retain the right to independently use and further develop the tool or tools after the end of the contract.</w:t>
      </w:r>
    </w:p>
    <w:p w14:paraId="5C34E9DA" w14:textId="77777777" w:rsidR="0091249E" w:rsidRPr="00C45274" w:rsidRDefault="0091249E" w:rsidP="0091249E">
      <w:pPr>
        <w:keepNext/>
        <w:rPr>
          <w:u w:val="single"/>
        </w:rPr>
      </w:pPr>
      <w:r w:rsidRPr="00C45274">
        <w:rPr>
          <w:u w:val="single"/>
        </w:rPr>
        <w:t>Available background information:</w:t>
      </w:r>
    </w:p>
    <w:p w14:paraId="74FC3DD0" w14:textId="6A2153BE" w:rsidR="0091249E" w:rsidRPr="00C45274" w:rsidRDefault="0091249E" w:rsidP="003102E2">
      <w:pPr>
        <w:pStyle w:val="Liststycke"/>
        <w:numPr>
          <w:ilvl w:val="0"/>
          <w:numId w:val="41"/>
        </w:numPr>
      </w:pPr>
      <w:r w:rsidRPr="00C45274">
        <w:t>As part of its work, ICG-ORED has produced:</w:t>
      </w:r>
    </w:p>
    <w:p w14:paraId="0BDC4ACE" w14:textId="6136C1B8" w:rsidR="0091249E" w:rsidRPr="00C45274" w:rsidRDefault="0091249E" w:rsidP="003102E2">
      <w:pPr>
        <w:pStyle w:val="Liststycke"/>
        <w:numPr>
          <w:ilvl w:val="0"/>
          <w:numId w:val="46"/>
        </w:numPr>
        <w:rPr>
          <w:lang w:val="en-GB"/>
        </w:rPr>
      </w:pPr>
      <w:r w:rsidRPr="00C45274">
        <w:rPr>
          <w:lang w:val="en-GB"/>
        </w:rPr>
        <w:t>an updated synthesis of research on the impacts of offshore windfarms on birds in the OSPAR maritime area;</w:t>
      </w:r>
    </w:p>
    <w:p w14:paraId="1D2E663A" w14:textId="77777777" w:rsidR="0091249E" w:rsidRPr="00C45274" w:rsidRDefault="0091249E" w:rsidP="003102E2">
      <w:pPr>
        <w:pStyle w:val="Liststycke"/>
        <w:numPr>
          <w:ilvl w:val="0"/>
          <w:numId w:val="46"/>
        </w:numPr>
        <w:rPr>
          <w:lang w:val="en-GB"/>
        </w:rPr>
      </w:pPr>
      <w:r w:rsidRPr="00C45274">
        <w:rPr>
          <w:lang w:val="en-GB"/>
        </w:rPr>
        <w:t>an overview of measures available to and used by OSPAR contracting parties to prevent and mitigate the negative impacts of offshore wind power on birds. This overview does not include compensatory measures;</w:t>
      </w:r>
    </w:p>
    <w:p w14:paraId="18148B0D" w14:textId="77777777" w:rsidR="0091249E" w:rsidRPr="00C45274" w:rsidRDefault="0091249E" w:rsidP="003102E2">
      <w:pPr>
        <w:pStyle w:val="Liststycke"/>
        <w:numPr>
          <w:ilvl w:val="0"/>
          <w:numId w:val="46"/>
        </w:numPr>
        <w:rPr>
          <w:lang w:val="en-GB"/>
        </w:rPr>
      </w:pPr>
      <w:r w:rsidRPr="00C45274">
        <w:rPr>
          <w:lang w:val="en-GB"/>
        </w:rPr>
        <w:lastRenderedPageBreak/>
        <w:t>an overview of tools available and used for assessing the impacts of offshore wind farms on birds in the OSPAR maritime area;</w:t>
      </w:r>
    </w:p>
    <w:p w14:paraId="67272C3D" w14:textId="77777777" w:rsidR="0091249E" w:rsidRPr="00C45274" w:rsidRDefault="0091249E" w:rsidP="003102E2">
      <w:pPr>
        <w:pStyle w:val="Liststycke"/>
        <w:numPr>
          <w:ilvl w:val="0"/>
          <w:numId w:val="46"/>
        </w:numPr>
        <w:rPr>
          <w:lang w:val="en-GB"/>
        </w:rPr>
      </w:pPr>
      <w:r w:rsidRPr="00C45274">
        <w:rPr>
          <w:lang w:val="en-GB"/>
        </w:rPr>
        <w:t>a provisional list of bird species for inclusion in the bird pilot studies, based on a number of inclusion criteria;</w:t>
      </w:r>
    </w:p>
    <w:p w14:paraId="64D91B0A" w14:textId="77777777" w:rsidR="0091249E" w:rsidRPr="00C45274" w:rsidRDefault="0091249E" w:rsidP="003102E2">
      <w:pPr>
        <w:pStyle w:val="Liststycke"/>
        <w:numPr>
          <w:ilvl w:val="0"/>
          <w:numId w:val="46"/>
        </w:numPr>
        <w:rPr>
          <w:lang w:val="en-GB"/>
        </w:rPr>
      </w:pPr>
      <w:r w:rsidRPr="00C45274">
        <w:rPr>
          <w:lang w:val="en-GB"/>
        </w:rPr>
        <w:t>a proposal for two large geographical areas on which to carry out the bird pilot studies, namely the North Sea and a second area extending from the Celtic Sea to the Bay of Biscay.</w:t>
      </w:r>
    </w:p>
    <w:p w14:paraId="77EF4AA3" w14:textId="3959E9DC" w:rsidR="0091249E" w:rsidRPr="00C45274" w:rsidRDefault="0091249E" w:rsidP="003102E2">
      <w:pPr>
        <w:pStyle w:val="Liststycke"/>
        <w:numPr>
          <w:ilvl w:val="0"/>
          <w:numId w:val="41"/>
        </w:numPr>
      </w:pPr>
      <w:r w:rsidRPr="00C45274">
        <w:t>For the scenario development work, ICG-ORED has available the results of the work carried out by the North Seas Energy Cooperation on offshore wind energy development in the North Sea by</w:t>
      </w:r>
      <w:r w:rsidR="00CE2B2F" w:rsidRPr="00C45274">
        <w:t xml:space="preserve"> 2022 and </w:t>
      </w:r>
      <w:r w:rsidRPr="00C45274">
        <w:t xml:space="preserve"> 2030.</w:t>
      </w:r>
    </w:p>
    <w:p w14:paraId="320F40A8" w14:textId="6D2F42AA" w:rsidR="0091249E" w:rsidRPr="00C45274" w:rsidRDefault="0091249E" w:rsidP="003102E2">
      <w:pPr>
        <w:pStyle w:val="Liststycke"/>
        <w:numPr>
          <w:ilvl w:val="0"/>
          <w:numId w:val="41"/>
        </w:numPr>
      </w:pPr>
      <w:r w:rsidRPr="00C45274">
        <w:t xml:space="preserve">These background documents will be made available to </w:t>
      </w:r>
      <w:r w:rsidR="00DB23B6" w:rsidRPr="00C45274">
        <w:t xml:space="preserve">the </w:t>
      </w:r>
      <w:r w:rsidRPr="00C45274">
        <w:t>tenderers upon request.</w:t>
      </w:r>
    </w:p>
    <w:p w14:paraId="71278A97" w14:textId="77777777" w:rsidR="00B167C5" w:rsidRPr="00C45274" w:rsidRDefault="00B167C5" w:rsidP="00B167C5"/>
    <w:p w14:paraId="14FCC96E" w14:textId="77777777" w:rsidR="00B167C5" w:rsidRPr="00C45274" w:rsidRDefault="00B167C5" w:rsidP="00B167C5">
      <w:pPr>
        <w:rPr>
          <w:b/>
        </w:rPr>
      </w:pPr>
      <w:r w:rsidRPr="00C45274">
        <w:rPr>
          <w:b/>
        </w:rPr>
        <w:t xml:space="preserve">4. Tasks and products </w:t>
      </w:r>
    </w:p>
    <w:p w14:paraId="40C83D21" w14:textId="3128258F" w:rsidR="00B167C5" w:rsidRPr="00C45274" w:rsidRDefault="00B167C5" w:rsidP="00DA5EAD">
      <w:pPr>
        <w:pStyle w:val="Liststycke"/>
        <w:numPr>
          <w:ilvl w:val="0"/>
          <w:numId w:val="41"/>
        </w:numPr>
        <w:spacing w:after="120"/>
        <w:ind w:hanging="357"/>
        <w:contextualSpacing w:val="0"/>
      </w:pPr>
      <w:r w:rsidRPr="00C45274">
        <w:t>The aim of this cont</w:t>
      </w:r>
      <w:r w:rsidR="00CE2B2F" w:rsidRPr="00C45274">
        <w:t>r</w:t>
      </w:r>
      <w:r w:rsidRPr="00C45274">
        <w:t xml:space="preserve">act is to provide technical assistance to OSPAR ICG-ORED in further developing an approach and tool(s) for </w:t>
      </w:r>
      <w:r w:rsidR="00FD5DE9" w:rsidRPr="00C45274">
        <w:t>cumulative impact assessment</w:t>
      </w:r>
      <w:r w:rsidRPr="00C45274">
        <w:t xml:space="preserve">, including carrying out two pilot assessment studies on birds in the OSPAR maritime area. </w:t>
      </w:r>
      <w:r w:rsidR="00BE5E81" w:rsidRPr="00C45274">
        <w:t>Tenderers should</w:t>
      </w:r>
      <w:r w:rsidRPr="00C45274">
        <w:t xml:space="preserve"> demonstrate in the</w:t>
      </w:r>
      <w:r w:rsidR="00BE5E81" w:rsidRPr="00C45274">
        <w:t>ir</w:t>
      </w:r>
      <w:r w:rsidRPr="00C45274">
        <w:t xml:space="preserve"> response how </w:t>
      </w:r>
      <w:r w:rsidR="00BE5E81" w:rsidRPr="00C45274">
        <w:t xml:space="preserve">they would </w:t>
      </w:r>
      <w:r w:rsidRPr="00C45274">
        <w:t xml:space="preserve"> fulfil the tasks included in </w:t>
      </w:r>
      <w:r w:rsidRPr="00C45274">
        <w:fldChar w:fldCharType="begin"/>
      </w:r>
      <w:r w:rsidRPr="00C45274">
        <w:instrText xml:space="preserve"> REF _Ref137450146 \h </w:instrText>
      </w:r>
      <w:r w:rsidR="003102E2" w:rsidRPr="00C45274">
        <w:instrText xml:space="preserve"> \* MERGEFORMAT </w:instrText>
      </w:r>
      <w:r w:rsidRPr="00C45274">
        <w:fldChar w:fldCharType="separate"/>
      </w:r>
      <w:r w:rsidRPr="00C45274">
        <w:t>Table 1</w:t>
      </w:r>
      <w:r w:rsidRPr="00C45274">
        <w:fldChar w:fldCharType="end"/>
      </w:r>
      <w:r w:rsidRPr="00C45274">
        <w:t>.</w:t>
      </w:r>
    </w:p>
    <w:p w14:paraId="5CDDEF5B" w14:textId="77777777" w:rsidR="00B167C5" w:rsidRPr="00C45274" w:rsidRDefault="00B167C5" w:rsidP="00DA5EAD">
      <w:pPr>
        <w:pStyle w:val="Liststycke"/>
        <w:numPr>
          <w:ilvl w:val="0"/>
          <w:numId w:val="41"/>
        </w:numPr>
        <w:spacing w:after="120"/>
        <w:ind w:hanging="357"/>
        <w:contextualSpacing w:val="0"/>
      </w:pPr>
      <w:r w:rsidRPr="00C45274">
        <w:t>In line with the description in the preceding section of this document, the anticipated outcomes of the contract are:</w:t>
      </w:r>
    </w:p>
    <w:p w14:paraId="49346421" w14:textId="5DDA0058" w:rsidR="00B167C5" w:rsidRPr="00C45274" w:rsidRDefault="00B167C5" w:rsidP="00DA5EAD">
      <w:pPr>
        <w:pStyle w:val="Liststycke"/>
        <w:numPr>
          <w:ilvl w:val="0"/>
          <w:numId w:val="27"/>
        </w:numPr>
        <w:spacing w:after="120"/>
        <w:ind w:hanging="357"/>
        <w:contextualSpacing w:val="0"/>
        <w:rPr>
          <w:bCs/>
          <w:lang w:val="en-GB"/>
        </w:rPr>
      </w:pPr>
      <w:r w:rsidRPr="00C45274">
        <w:rPr>
          <w:bCs/>
          <w:lang w:val="en-GB"/>
        </w:rPr>
        <w:t xml:space="preserve">An approach and tool (or tools) for </w:t>
      </w:r>
      <w:r w:rsidR="00FD5DE9" w:rsidRPr="00C45274">
        <w:rPr>
          <w:bCs/>
          <w:lang w:val="en-GB"/>
        </w:rPr>
        <w:t>cumulative impact assessment</w:t>
      </w:r>
      <w:r w:rsidRPr="00C45274">
        <w:rPr>
          <w:bCs/>
          <w:lang w:val="en-GB"/>
        </w:rPr>
        <w:t xml:space="preserve"> of offshore wind power development; </w:t>
      </w:r>
    </w:p>
    <w:p w14:paraId="79F2194E" w14:textId="55DDF3FD" w:rsidR="00B167C5" w:rsidRPr="00C45274" w:rsidRDefault="00B167C5" w:rsidP="00DA5EAD">
      <w:pPr>
        <w:pStyle w:val="Liststycke"/>
        <w:numPr>
          <w:ilvl w:val="0"/>
          <w:numId w:val="27"/>
        </w:numPr>
        <w:spacing w:after="120"/>
        <w:ind w:hanging="357"/>
        <w:contextualSpacing w:val="0"/>
        <w:rPr>
          <w:bCs/>
          <w:lang w:val="en-GB"/>
        </w:rPr>
      </w:pPr>
      <w:r w:rsidRPr="00C45274">
        <w:rPr>
          <w:bCs/>
          <w:lang w:val="en-GB"/>
        </w:rPr>
        <w:t xml:space="preserve">Pilot assessment studies of </w:t>
      </w:r>
      <w:r w:rsidR="00FD5DE9" w:rsidRPr="00C45274">
        <w:rPr>
          <w:bCs/>
          <w:lang w:val="en-GB"/>
        </w:rPr>
        <w:t>impact</w:t>
      </w:r>
      <w:r w:rsidRPr="00C45274">
        <w:rPr>
          <w:bCs/>
          <w:lang w:val="en-GB"/>
        </w:rPr>
        <w:t>s on birds in two sub-areas of the OSPAR maritime area, including:</w:t>
      </w:r>
    </w:p>
    <w:p w14:paraId="57C1C4F0" w14:textId="77777777" w:rsidR="00B167C5" w:rsidRPr="00C45274" w:rsidRDefault="00B167C5" w:rsidP="00DA5EAD">
      <w:pPr>
        <w:pStyle w:val="Liststycke"/>
        <w:numPr>
          <w:ilvl w:val="1"/>
          <w:numId w:val="27"/>
        </w:numPr>
        <w:spacing w:after="120"/>
        <w:ind w:hanging="357"/>
        <w:contextualSpacing w:val="0"/>
        <w:rPr>
          <w:bCs/>
          <w:lang w:val="en-GB"/>
        </w:rPr>
      </w:pPr>
      <w:r w:rsidRPr="00C45274">
        <w:rPr>
          <w:bCs/>
          <w:lang w:val="en-GB"/>
        </w:rPr>
        <w:t>Delimitation and characterisation of the two distinct study areas;</w:t>
      </w:r>
    </w:p>
    <w:p w14:paraId="3FAD11EA" w14:textId="77777777" w:rsidR="00B167C5" w:rsidRPr="00C45274" w:rsidRDefault="00B167C5" w:rsidP="00DA5EAD">
      <w:pPr>
        <w:pStyle w:val="Liststycke"/>
        <w:numPr>
          <w:ilvl w:val="1"/>
          <w:numId w:val="27"/>
        </w:numPr>
        <w:spacing w:after="120"/>
        <w:ind w:hanging="357"/>
        <w:contextualSpacing w:val="0"/>
        <w:rPr>
          <w:bCs/>
          <w:lang w:val="en-GB"/>
        </w:rPr>
      </w:pPr>
      <w:r w:rsidRPr="00C45274">
        <w:rPr>
          <w:bCs/>
          <w:lang w:val="en-GB"/>
        </w:rPr>
        <w:t>List of bird species for inclusion in the pilot studies, including inclusion criteria;</w:t>
      </w:r>
    </w:p>
    <w:p w14:paraId="6D9518F8" w14:textId="77777777" w:rsidR="00B167C5" w:rsidRPr="00C45274" w:rsidRDefault="00B167C5" w:rsidP="00DA5EAD">
      <w:pPr>
        <w:pStyle w:val="Liststycke"/>
        <w:numPr>
          <w:ilvl w:val="1"/>
          <w:numId w:val="27"/>
        </w:numPr>
        <w:spacing w:after="120"/>
        <w:ind w:hanging="357"/>
        <w:contextualSpacing w:val="0"/>
        <w:rPr>
          <w:bCs/>
          <w:lang w:val="en-GB"/>
        </w:rPr>
      </w:pPr>
      <w:r w:rsidRPr="00C45274">
        <w:rPr>
          <w:bCs/>
          <w:lang w:val="en-GB"/>
        </w:rPr>
        <w:t>Scenarios relative to the development of offshore wind power in the two pilot study areas;</w:t>
      </w:r>
    </w:p>
    <w:p w14:paraId="0BEBCF91" w14:textId="1DB81113" w:rsidR="00B167C5" w:rsidRPr="00C45274" w:rsidRDefault="00B167C5" w:rsidP="00DA5EAD">
      <w:pPr>
        <w:pStyle w:val="Liststycke"/>
        <w:numPr>
          <w:ilvl w:val="0"/>
          <w:numId w:val="27"/>
        </w:numPr>
        <w:spacing w:after="120"/>
        <w:ind w:hanging="357"/>
        <w:contextualSpacing w:val="0"/>
        <w:rPr>
          <w:bCs/>
          <w:lang w:val="en-GB"/>
        </w:rPr>
      </w:pPr>
      <w:r w:rsidRPr="00C45274">
        <w:rPr>
          <w:bCs/>
          <w:lang w:val="en-GB"/>
        </w:rPr>
        <w:t xml:space="preserve">Delivery of a report with the results of the pilot bird studies, including proposals for </w:t>
      </w:r>
      <w:r w:rsidR="00FD5DE9" w:rsidRPr="00C45274">
        <w:rPr>
          <w:bCs/>
          <w:lang w:val="en-GB"/>
        </w:rPr>
        <w:t>impact</w:t>
      </w:r>
      <w:r w:rsidRPr="00C45274">
        <w:rPr>
          <w:bCs/>
          <w:lang w:val="en-GB"/>
        </w:rPr>
        <w:t xml:space="preserve"> mitigation measures.</w:t>
      </w:r>
    </w:p>
    <w:p w14:paraId="7086AFAF" w14:textId="77777777" w:rsidR="00B167C5" w:rsidRPr="00C45274" w:rsidRDefault="00B167C5" w:rsidP="00B167C5">
      <w:pPr>
        <w:rPr>
          <w:bCs/>
        </w:rPr>
      </w:pPr>
    </w:p>
    <w:tbl>
      <w:tblPr>
        <w:tblStyle w:val="Tabellrutnt"/>
        <w:tblW w:w="9634" w:type="dxa"/>
        <w:tblCellMar>
          <w:top w:w="28" w:type="dxa"/>
          <w:left w:w="28" w:type="dxa"/>
          <w:bottom w:w="28" w:type="dxa"/>
          <w:right w:w="28" w:type="dxa"/>
        </w:tblCellMar>
        <w:tblLook w:val="04A0" w:firstRow="1" w:lastRow="0" w:firstColumn="1" w:lastColumn="0" w:noHBand="0" w:noVBand="1"/>
      </w:tblPr>
      <w:tblGrid>
        <w:gridCol w:w="7792"/>
        <w:gridCol w:w="1842"/>
      </w:tblGrid>
      <w:tr w:rsidR="002D4B03" w:rsidRPr="00C45274" w14:paraId="22316339" w14:textId="77777777" w:rsidTr="002D4B03">
        <w:tc>
          <w:tcPr>
            <w:tcW w:w="7792" w:type="dxa"/>
          </w:tcPr>
          <w:p w14:paraId="5DAEA0C6" w14:textId="77777777" w:rsidR="002D4B03" w:rsidRPr="00C45274" w:rsidRDefault="002D4B03" w:rsidP="00DA4BD6">
            <w:pPr>
              <w:jc w:val="left"/>
              <w:rPr>
                <w:b/>
                <w:sz w:val="20"/>
              </w:rPr>
            </w:pPr>
            <w:bookmarkStart w:id="0" w:name="_Hlk137545335"/>
            <w:r w:rsidRPr="00C45274">
              <w:rPr>
                <w:b/>
                <w:sz w:val="20"/>
              </w:rPr>
              <w:t>Tasks</w:t>
            </w:r>
          </w:p>
        </w:tc>
        <w:tc>
          <w:tcPr>
            <w:tcW w:w="1842" w:type="dxa"/>
          </w:tcPr>
          <w:p w14:paraId="0F5AA5FF" w14:textId="77777777" w:rsidR="002D4B03" w:rsidRPr="00C45274" w:rsidRDefault="002D4B03" w:rsidP="00DA4BD6">
            <w:pPr>
              <w:jc w:val="left"/>
              <w:rPr>
                <w:b/>
                <w:sz w:val="20"/>
              </w:rPr>
            </w:pPr>
            <w:r w:rsidRPr="00C45274">
              <w:rPr>
                <w:b/>
                <w:sz w:val="20"/>
              </w:rPr>
              <w:t>Delivery schedule *</w:t>
            </w:r>
          </w:p>
        </w:tc>
      </w:tr>
      <w:tr w:rsidR="002D4B03" w:rsidRPr="00C45274" w14:paraId="3C2151D1" w14:textId="77777777" w:rsidTr="002D4B03">
        <w:tc>
          <w:tcPr>
            <w:tcW w:w="7792" w:type="dxa"/>
          </w:tcPr>
          <w:p w14:paraId="5BB8510E" w14:textId="77777777" w:rsidR="002D4B03" w:rsidRPr="00C45274" w:rsidRDefault="002D4B03" w:rsidP="00DA4BD6">
            <w:pPr>
              <w:jc w:val="left"/>
              <w:rPr>
                <w:b/>
                <w:sz w:val="20"/>
              </w:rPr>
            </w:pPr>
            <w:r w:rsidRPr="00C45274">
              <w:rPr>
                <w:b/>
                <w:sz w:val="20"/>
              </w:rPr>
              <w:t>Step 0 - Inception</w:t>
            </w:r>
          </w:p>
          <w:p w14:paraId="490A6DA3" w14:textId="149D5E46" w:rsidR="002D4B03" w:rsidRPr="00C45274" w:rsidRDefault="002D4B03" w:rsidP="00DA4BD6">
            <w:pPr>
              <w:jc w:val="left"/>
              <w:rPr>
                <w:bCs/>
                <w:sz w:val="20"/>
              </w:rPr>
            </w:pPr>
            <w:r w:rsidRPr="00C45274">
              <w:rPr>
                <w:bCs/>
                <w:sz w:val="20"/>
              </w:rPr>
              <w:t>Take stock of the work carried out by ICG-ORED so far, in particular of products with direct relevance for the contract. Kick-off meeting and initial coordination with project steering group about the implementation of the project and the expected content of deliverables. Carry out detailed planning of project implementation.</w:t>
            </w:r>
          </w:p>
          <w:p w14:paraId="301CE11B" w14:textId="77777777" w:rsidR="002D4B03" w:rsidRPr="00C45274" w:rsidRDefault="002D4B03" w:rsidP="00DA4BD6">
            <w:pPr>
              <w:jc w:val="left"/>
              <w:rPr>
                <w:bCs/>
                <w:sz w:val="20"/>
              </w:rPr>
            </w:pPr>
            <w:r w:rsidRPr="00C45274">
              <w:rPr>
                <w:bCs/>
                <w:sz w:val="20"/>
              </w:rPr>
              <w:t xml:space="preserve">Produce an inception report, including, but not limited to: </w:t>
            </w:r>
          </w:p>
          <w:p w14:paraId="5EF488F2" w14:textId="77777777" w:rsidR="002D4B03" w:rsidRPr="00C45274" w:rsidRDefault="002D4B03" w:rsidP="003102E2">
            <w:pPr>
              <w:numPr>
                <w:ilvl w:val="0"/>
                <w:numId w:val="49"/>
              </w:numPr>
              <w:tabs>
                <w:tab w:val="clear" w:pos="567"/>
                <w:tab w:val="clear" w:pos="1134"/>
                <w:tab w:val="clear" w:pos="1701"/>
                <w:tab w:val="clear" w:pos="2268"/>
              </w:tabs>
              <w:spacing w:after="0"/>
              <w:ind w:left="396"/>
              <w:jc w:val="left"/>
              <w:rPr>
                <w:bCs/>
                <w:sz w:val="20"/>
              </w:rPr>
            </w:pPr>
            <w:r w:rsidRPr="00C45274">
              <w:rPr>
                <w:bCs/>
                <w:sz w:val="20"/>
              </w:rPr>
              <w:t>A detailed work plan and time table for implementation of the project</w:t>
            </w:r>
          </w:p>
          <w:p w14:paraId="66369855" w14:textId="189A52B8" w:rsidR="002D4B03" w:rsidRPr="00C45274" w:rsidRDefault="002D4B03" w:rsidP="003102E2">
            <w:pPr>
              <w:numPr>
                <w:ilvl w:val="0"/>
                <w:numId w:val="49"/>
              </w:numPr>
              <w:tabs>
                <w:tab w:val="clear" w:pos="567"/>
                <w:tab w:val="clear" w:pos="1134"/>
                <w:tab w:val="clear" w:pos="1701"/>
                <w:tab w:val="clear" w:pos="2268"/>
              </w:tabs>
              <w:spacing w:after="0"/>
              <w:ind w:left="396"/>
              <w:jc w:val="left"/>
              <w:rPr>
                <w:bCs/>
                <w:sz w:val="20"/>
              </w:rPr>
            </w:pPr>
            <w:r w:rsidRPr="00C45274">
              <w:rPr>
                <w:bCs/>
                <w:sz w:val="20"/>
              </w:rPr>
              <w:t>Relative to the CIA approach (Step 1): An outline of the approach, including identification of assessment tools, metrics and data requirements</w:t>
            </w:r>
          </w:p>
          <w:p w14:paraId="577EEEB6" w14:textId="77777777" w:rsidR="002D4B03" w:rsidRPr="00C45274" w:rsidRDefault="002D4B03" w:rsidP="003102E2">
            <w:pPr>
              <w:numPr>
                <w:ilvl w:val="0"/>
                <w:numId w:val="49"/>
              </w:numPr>
              <w:tabs>
                <w:tab w:val="clear" w:pos="567"/>
                <w:tab w:val="clear" w:pos="1134"/>
                <w:tab w:val="clear" w:pos="1701"/>
                <w:tab w:val="clear" w:pos="2268"/>
              </w:tabs>
              <w:spacing w:after="0"/>
              <w:ind w:left="396"/>
              <w:jc w:val="left"/>
              <w:rPr>
                <w:bCs/>
                <w:sz w:val="20"/>
              </w:rPr>
            </w:pPr>
            <w:r w:rsidRPr="00C45274">
              <w:rPr>
                <w:bCs/>
                <w:sz w:val="20"/>
              </w:rPr>
              <w:t xml:space="preserve">Relative to the bird pilot assessment studies (Step 2): </w:t>
            </w:r>
          </w:p>
          <w:p w14:paraId="3B98A34B" w14:textId="77777777" w:rsidR="002D4B03" w:rsidRPr="00C45274" w:rsidRDefault="002D4B03" w:rsidP="001D732E">
            <w:pPr>
              <w:numPr>
                <w:ilvl w:val="0"/>
                <w:numId w:val="50"/>
              </w:numPr>
              <w:tabs>
                <w:tab w:val="clear" w:pos="567"/>
                <w:tab w:val="clear" w:pos="1134"/>
                <w:tab w:val="clear" w:pos="1701"/>
                <w:tab w:val="clear" w:pos="2268"/>
              </w:tabs>
              <w:spacing w:after="0"/>
              <w:ind w:left="537"/>
              <w:jc w:val="left"/>
              <w:rPr>
                <w:bCs/>
                <w:sz w:val="20"/>
              </w:rPr>
            </w:pPr>
            <w:r w:rsidRPr="00C45274">
              <w:rPr>
                <w:bCs/>
                <w:sz w:val="20"/>
              </w:rPr>
              <w:t>a description of the approach for elaborating scenarios, including data sources</w:t>
            </w:r>
          </w:p>
          <w:p w14:paraId="69BD52A7" w14:textId="77777777" w:rsidR="002D4B03" w:rsidRPr="00C45274" w:rsidRDefault="002D4B03" w:rsidP="001D732E">
            <w:pPr>
              <w:numPr>
                <w:ilvl w:val="0"/>
                <w:numId w:val="50"/>
              </w:numPr>
              <w:tabs>
                <w:tab w:val="clear" w:pos="567"/>
                <w:tab w:val="clear" w:pos="1134"/>
                <w:tab w:val="clear" w:pos="1701"/>
                <w:tab w:val="clear" w:pos="2268"/>
              </w:tabs>
              <w:spacing w:after="0"/>
              <w:ind w:left="537"/>
              <w:jc w:val="left"/>
              <w:rPr>
                <w:bCs/>
                <w:sz w:val="20"/>
              </w:rPr>
            </w:pPr>
            <w:r w:rsidRPr="00C45274">
              <w:rPr>
                <w:bCs/>
                <w:sz w:val="20"/>
              </w:rPr>
              <w:t>a final list of bird species for inclusion in the assessment studies</w:t>
            </w:r>
          </w:p>
          <w:p w14:paraId="1F18CBC7" w14:textId="77777777" w:rsidR="002D4B03" w:rsidRPr="00C45274" w:rsidRDefault="002D4B03" w:rsidP="001D732E">
            <w:pPr>
              <w:numPr>
                <w:ilvl w:val="0"/>
                <w:numId w:val="50"/>
              </w:numPr>
              <w:tabs>
                <w:tab w:val="clear" w:pos="567"/>
                <w:tab w:val="clear" w:pos="1134"/>
                <w:tab w:val="clear" w:pos="1701"/>
                <w:tab w:val="clear" w:pos="2268"/>
              </w:tabs>
              <w:spacing w:after="0"/>
              <w:ind w:left="537"/>
              <w:jc w:val="left"/>
              <w:rPr>
                <w:bCs/>
                <w:sz w:val="20"/>
              </w:rPr>
            </w:pPr>
            <w:r w:rsidRPr="00C45274">
              <w:rPr>
                <w:bCs/>
                <w:sz w:val="20"/>
              </w:rPr>
              <w:t>the geographical delimitation of the assessment areas</w:t>
            </w:r>
          </w:p>
          <w:p w14:paraId="154E557B" w14:textId="77777777" w:rsidR="002D4B03" w:rsidRPr="00C45274" w:rsidRDefault="002D4B03" w:rsidP="001D732E">
            <w:pPr>
              <w:numPr>
                <w:ilvl w:val="0"/>
                <w:numId w:val="50"/>
              </w:numPr>
              <w:tabs>
                <w:tab w:val="clear" w:pos="567"/>
                <w:tab w:val="clear" w:pos="1134"/>
                <w:tab w:val="clear" w:pos="1701"/>
                <w:tab w:val="clear" w:pos="2268"/>
              </w:tabs>
              <w:spacing w:after="0"/>
              <w:ind w:left="537"/>
              <w:jc w:val="left"/>
              <w:rPr>
                <w:bCs/>
                <w:sz w:val="20"/>
              </w:rPr>
            </w:pPr>
            <w:r w:rsidRPr="00C45274">
              <w:rPr>
                <w:bCs/>
                <w:sz w:val="20"/>
              </w:rPr>
              <w:lastRenderedPageBreak/>
              <w:t>the identification of data sources for carrying out the assessments</w:t>
            </w:r>
          </w:p>
          <w:p w14:paraId="79320E65" w14:textId="77777777" w:rsidR="002D4B03" w:rsidRPr="00C45274" w:rsidRDefault="002D4B03" w:rsidP="003102E2">
            <w:pPr>
              <w:numPr>
                <w:ilvl w:val="0"/>
                <w:numId w:val="33"/>
              </w:numPr>
              <w:tabs>
                <w:tab w:val="clear" w:pos="567"/>
                <w:tab w:val="clear" w:pos="1134"/>
                <w:tab w:val="clear" w:pos="1701"/>
                <w:tab w:val="clear" w:pos="2268"/>
              </w:tabs>
              <w:spacing w:after="0"/>
              <w:ind w:left="396"/>
              <w:jc w:val="left"/>
              <w:rPr>
                <w:bCs/>
                <w:sz w:val="20"/>
              </w:rPr>
            </w:pPr>
            <w:r w:rsidRPr="00C45274">
              <w:rPr>
                <w:bCs/>
                <w:sz w:val="20"/>
              </w:rPr>
              <w:t>Relative to the final project report (Step 3), a tentative outline of its contents.</w:t>
            </w:r>
          </w:p>
        </w:tc>
        <w:tc>
          <w:tcPr>
            <w:tcW w:w="1842" w:type="dxa"/>
          </w:tcPr>
          <w:p w14:paraId="2EEDF428" w14:textId="6930862D" w:rsidR="002D4B03" w:rsidRPr="00C45274" w:rsidRDefault="002D4B03" w:rsidP="00DA4BD6">
            <w:pPr>
              <w:jc w:val="left"/>
              <w:rPr>
                <w:bCs/>
                <w:sz w:val="20"/>
              </w:rPr>
            </w:pPr>
            <w:r w:rsidRPr="00C45274">
              <w:rPr>
                <w:bCs/>
                <w:sz w:val="20"/>
              </w:rPr>
              <w:lastRenderedPageBreak/>
              <w:t>Inception report by 1</w:t>
            </w:r>
            <w:r w:rsidR="005D50B4" w:rsidRPr="00C45274">
              <w:rPr>
                <w:bCs/>
                <w:sz w:val="20"/>
              </w:rPr>
              <w:t>5 April 2024</w:t>
            </w:r>
          </w:p>
          <w:p w14:paraId="105F3A2C" w14:textId="2727FA31" w:rsidR="002D4B03" w:rsidRPr="00C45274" w:rsidRDefault="002D4B03" w:rsidP="00DA4BD6">
            <w:pPr>
              <w:jc w:val="left"/>
              <w:rPr>
                <w:bCs/>
                <w:sz w:val="20"/>
              </w:rPr>
            </w:pPr>
          </w:p>
        </w:tc>
      </w:tr>
      <w:tr w:rsidR="002D4B03" w:rsidRPr="00C45274" w14:paraId="1240F0C0" w14:textId="77777777" w:rsidTr="002D4B03">
        <w:tc>
          <w:tcPr>
            <w:tcW w:w="7792" w:type="dxa"/>
            <w:tcBorders>
              <w:bottom w:val="single" w:sz="4" w:space="0" w:color="auto"/>
            </w:tcBorders>
          </w:tcPr>
          <w:p w14:paraId="654C9385" w14:textId="605FF0A2" w:rsidR="002D4B03" w:rsidRPr="00C45274" w:rsidRDefault="002D4B03" w:rsidP="00DA4BD6">
            <w:pPr>
              <w:jc w:val="left"/>
              <w:rPr>
                <w:b/>
                <w:sz w:val="20"/>
              </w:rPr>
            </w:pPr>
            <w:r w:rsidRPr="00C45274">
              <w:rPr>
                <w:b/>
                <w:sz w:val="20"/>
              </w:rPr>
              <w:t>Step 1 – CIA approach</w:t>
            </w:r>
          </w:p>
          <w:p w14:paraId="45C431EE" w14:textId="7518253C" w:rsidR="002D4B03" w:rsidRPr="00C45274" w:rsidRDefault="002D4B03" w:rsidP="00DA4BD6">
            <w:pPr>
              <w:jc w:val="left"/>
              <w:rPr>
                <w:sz w:val="20"/>
              </w:rPr>
            </w:pPr>
            <w:r w:rsidRPr="00C45274">
              <w:rPr>
                <w:sz w:val="20"/>
              </w:rPr>
              <w:t xml:space="preserve">Develop a fully functional approach and spatial decision support tool or tools enabling the assessment of cumulative impacts of offshore wind power development. The approach and tool(s) should take into consideration the CIA approach development work already carried out by ICG-ORED, and must fulfil the following requirements: </w:t>
            </w:r>
          </w:p>
          <w:p w14:paraId="12BC3E6C" w14:textId="77777777" w:rsidR="002D4B03" w:rsidRPr="00C45274" w:rsidRDefault="002D4B03" w:rsidP="001D732E">
            <w:pPr>
              <w:pStyle w:val="Liststycke"/>
              <w:numPr>
                <w:ilvl w:val="0"/>
                <w:numId w:val="33"/>
              </w:numPr>
              <w:spacing w:after="0" w:line="240" w:lineRule="auto"/>
              <w:ind w:left="396"/>
              <w:rPr>
                <w:sz w:val="20"/>
                <w:szCs w:val="20"/>
                <w:lang w:val="en-GB"/>
              </w:rPr>
            </w:pPr>
            <w:r w:rsidRPr="00C45274">
              <w:rPr>
                <w:sz w:val="20"/>
                <w:szCs w:val="20"/>
                <w:lang w:val="en-GB"/>
              </w:rPr>
              <w:t xml:space="preserve">Encompass the entire causal chain, including activities – exposure (pressures and receptors) – effects – impacts. </w:t>
            </w:r>
          </w:p>
          <w:p w14:paraId="5AB3693C" w14:textId="57A946FF" w:rsidR="002D4B03" w:rsidRPr="00C45274" w:rsidRDefault="002D4B03" w:rsidP="001D732E">
            <w:pPr>
              <w:pStyle w:val="Liststycke"/>
              <w:numPr>
                <w:ilvl w:val="0"/>
                <w:numId w:val="33"/>
              </w:numPr>
              <w:spacing w:after="0" w:line="240" w:lineRule="auto"/>
              <w:ind w:left="396"/>
              <w:rPr>
                <w:sz w:val="20"/>
                <w:szCs w:val="20"/>
                <w:lang w:val="en-GB"/>
              </w:rPr>
            </w:pPr>
            <w:r w:rsidRPr="00C45274">
              <w:rPr>
                <w:sz w:val="20"/>
                <w:szCs w:val="20"/>
                <w:lang w:val="en-GB"/>
              </w:rPr>
              <w:t>Encompass the different stages of offshore wind power development, including surveying, construction, operation and decommissioning</w:t>
            </w:r>
            <w:r w:rsidR="00E1438A" w:rsidRPr="00C45274">
              <w:rPr>
                <w:sz w:val="20"/>
                <w:szCs w:val="20"/>
                <w:lang w:val="en-GB"/>
              </w:rPr>
              <w:t xml:space="preserve">, but excluding </w:t>
            </w:r>
            <w:r w:rsidR="00A03C78" w:rsidRPr="00C45274">
              <w:rPr>
                <w:sz w:val="20"/>
                <w:szCs w:val="20"/>
                <w:lang w:val="en-GB"/>
              </w:rPr>
              <w:t>grid development</w:t>
            </w:r>
            <w:r w:rsidR="00E1438A" w:rsidRPr="00C45274">
              <w:rPr>
                <w:sz w:val="20"/>
                <w:szCs w:val="20"/>
                <w:lang w:val="en-GB"/>
              </w:rPr>
              <w:t xml:space="preserve"> on land</w:t>
            </w:r>
            <w:r w:rsidRPr="00C45274">
              <w:rPr>
                <w:sz w:val="20"/>
                <w:szCs w:val="20"/>
                <w:lang w:val="en-GB"/>
              </w:rPr>
              <w:t>.</w:t>
            </w:r>
          </w:p>
          <w:p w14:paraId="2FD8FEE3" w14:textId="14159B7A" w:rsidR="002D4B03" w:rsidRPr="00C45274" w:rsidRDefault="002D4B03" w:rsidP="001D732E">
            <w:pPr>
              <w:pStyle w:val="Liststycke"/>
              <w:numPr>
                <w:ilvl w:val="0"/>
                <w:numId w:val="33"/>
              </w:numPr>
              <w:spacing w:after="0" w:line="240" w:lineRule="auto"/>
              <w:ind w:left="396"/>
              <w:rPr>
                <w:sz w:val="20"/>
                <w:szCs w:val="20"/>
                <w:lang w:val="en-GB"/>
              </w:rPr>
            </w:pPr>
            <w:r w:rsidRPr="00C45274">
              <w:rPr>
                <w:sz w:val="20"/>
                <w:szCs w:val="20"/>
                <w:lang w:val="en-GB"/>
              </w:rPr>
              <w:t>As a minimum, describe effects and impact in terms of changes in abundance, in the latter case in terms of changes at the population level.</w:t>
            </w:r>
          </w:p>
          <w:p w14:paraId="32B70702" w14:textId="77777777" w:rsidR="002D4B03" w:rsidRPr="00C45274" w:rsidRDefault="002D4B03" w:rsidP="001D732E">
            <w:pPr>
              <w:pStyle w:val="Liststycke"/>
              <w:numPr>
                <w:ilvl w:val="0"/>
                <w:numId w:val="33"/>
              </w:numPr>
              <w:spacing w:after="0" w:line="240" w:lineRule="auto"/>
              <w:ind w:left="396"/>
              <w:rPr>
                <w:sz w:val="20"/>
                <w:szCs w:val="20"/>
                <w:lang w:val="en-GB"/>
              </w:rPr>
            </w:pPr>
            <w:r w:rsidRPr="00C45274">
              <w:rPr>
                <w:sz w:val="20"/>
                <w:szCs w:val="20"/>
                <w:lang w:val="en-GB"/>
              </w:rPr>
              <w:t>Describe all elements of the causal chain in a spatially explicit manner.</w:t>
            </w:r>
          </w:p>
          <w:p w14:paraId="3294A893" w14:textId="77777777" w:rsidR="002D4B03" w:rsidRPr="00C45274" w:rsidRDefault="002D4B03" w:rsidP="001D732E">
            <w:pPr>
              <w:pStyle w:val="Liststycke"/>
              <w:numPr>
                <w:ilvl w:val="0"/>
                <w:numId w:val="33"/>
              </w:numPr>
              <w:spacing w:after="0" w:line="240" w:lineRule="auto"/>
              <w:ind w:left="396"/>
              <w:rPr>
                <w:sz w:val="20"/>
                <w:szCs w:val="20"/>
                <w:lang w:val="en-GB"/>
              </w:rPr>
            </w:pPr>
            <w:r w:rsidRPr="00C45274">
              <w:rPr>
                <w:sz w:val="20"/>
                <w:szCs w:val="20"/>
                <w:lang w:val="en-GB"/>
              </w:rPr>
              <w:t>Enable the amendment and updating of all elements of the causal chain, so that the approach and tool(s) can be continuously improved as new knowledge becomes available.</w:t>
            </w:r>
          </w:p>
          <w:p w14:paraId="4352C5D6" w14:textId="0E0FA1F2" w:rsidR="00840F27" w:rsidRPr="00C45274" w:rsidRDefault="002D4B03" w:rsidP="001D732E">
            <w:pPr>
              <w:pStyle w:val="Liststycke"/>
              <w:numPr>
                <w:ilvl w:val="0"/>
                <w:numId w:val="33"/>
              </w:numPr>
              <w:spacing w:after="0" w:line="240" w:lineRule="auto"/>
              <w:ind w:left="396"/>
              <w:rPr>
                <w:sz w:val="20"/>
                <w:szCs w:val="20"/>
                <w:lang w:val="en-GB"/>
              </w:rPr>
            </w:pPr>
            <w:r w:rsidRPr="00C45274">
              <w:rPr>
                <w:sz w:val="20"/>
                <w:szCs w:val="20"/>
                <w:lang w:val="en-GB"/>
              </w:rPr>
              <w:t xml:space="preserve">All </w:t>
            </w:r>
            <w:r w:rsidR="00E1438A" w:rsidRPr="00C45274">
              <w:rPr>
                <w:sz w:val="20"/>
                <w:szCs w:val="20"/>
                <w:lang w:val="en-GB"/>
              </w:rPr>
              <w:t xml:space="preserve">sources, </w:t>
            </w:r>
            <w:r w:rsidRPr="00C45274">
              <w:rPr>
                <w:sz w:val="20"/>
                <w:szCs w:val="20"/>
                <w:lang w:val="en-GB"/>
              </w:rPr>
              <w:t>calculations and assumptions must be made explicit.</w:t>
            </w:r>
          </w:p>
          <w:p w14:paraId="72D961D7" w14:textId="08C4822E" w:rsidR="002D4B03" w:rsidRPr="00C45274" w:rsidRDefault="002D4B03" w:rsidP="00DA4BD6">
            <w:pPr>
              <w:jc w:val="left"/>
              <w:rPr>
                <w:sz w:val="20"/>
              </w:rPr>
            </w:pPr>
            <w:r w:rsidRPr="00C45274">
              <w:rPr>
                <w:sz w:val="20"/>
              </w:rPr>
              <w:t xml:space="preserve">The contractor should consider and justify the choice of employing existing approaches and tools versus the development of new ones. To this end, the contractor should carry out a review of existing approaches and tools, based on the work already carried out by ICG-ORED. </w:t>
            </w:r>
          </w:p>
          <w:p w14:paraId="188B631A" w14:textId="5DF85599" w:rsidR="002D4B03" w:rsidRPr="00C45274" w:rsidRDefault="002D4B03" w:rsidP="00DA4BD6">
            <w:pPr>
              <w:jc w:val="left"/>
              <w:rPr>
                <w:sz w:val="20"/>
              </w:rPr>
            </w:pPr>
            <w:r w:rsidRPr="00C45274">
              <w:rPr>
                <w:sz w:val="20"/>
              </w:rPr>
              <w:t>This step must be carried out iteratively with Step 2, so that the CIA approach and tool(s) can be improved based on the results of the pilot bird assessment studies.</w:t>
            </w:r>
          </w:p>
        </w:tc>
        <w:tc>
          <w:tcPr>
            <w:tcW w:w="1842" w:type="dxa"/>
            <w:tcBorders>
              <w:bottom w:val="single" w:sz="4" w:space="0" w:color="auto"/>
            </w:tcBorders>
          </w:tcPr>
          <w:p w14:paraId="3665A8CC" w14:textId="229C453A" w:rsidR="002D4B03" w:rsidRPr="00C45274" w:rsidRDefault="002D4B03" w:rsidP="00DA4BD6">
            <w:pPr>
              <w:jc w:val="left"/>
              <w:rPr>
                <w:bCs/>
                <w:sz w:val="20"/>
              </w:rPr>
            </w:pPr>
            <w:r w:rsidRPr="00C45274">
              <w:rPr>
                <w:bCs/>
                <w:sz w:val="20"/>
              </w:rPr>
              <w:t xml:space="preserve">Draft by </w:t>
            </w:r>
            <w:r w:rsidR="009F598B" w:rsidRPr="00C45274">
              <w:rPr>
                <w:bCs/>
                <w:sz w:val="20"/>
              </w:rPr>
              <w:t>28 June</w:t>
            </w:r>
            <w:r w:rsidRPr="00C45274">
              <w:rPr>
                <w:bCs/>
                <w:sz w:val="20"/>
              </w:rPr>
              <w:t xml:space="preserve"> 2024</w:t>
            </w:r>
          </w:p>
          <w:p w14:paraId="75097778" w14:textId="77777777" w:rsidR="002D4B03" w:rsidRPr="00C45274" w:rsidRDefault="002D4B03" w:rsidP="00DA4BD6">
            <w:pPr>
              <w:jc w:val="left"/>
              <w:rPr>
                <w:bCs/>
                <w:sz w:val="20"/>
              </w:rPr>
            </w:pPr>
          </w:p>
          <w:p w14:paraId="07391CE0" w14:textId="4996A73C" w:rsidR="002D4B03" w:rsidRPr="00C45274" w:rsidRDefault="002D4B03" w:rsidP="00DA4BD6">
            <w:pPr>
              <w:jc w:val="left"/>
              <w:rPr>
                <w:bCs/>
                <w:sz w:val="20"/>
              </w:rPr>
            </w:pPr>
            <w:r w:rsidRPr="00C45274">
              <w:rPr>
                <w:bCs/>
                <w:sz w:val="20"/>
              </w:rPr>
              <w:t xml:space="preserve">Final by </w:t>
            </w:r>
            <w:r w:rsidR="009F598B" w:rsidRPr="00C45274">
              <w:rPr>
                <w:bCs/>
                <w:sz w:val="20"/>
              </w:rPr>
              <w:t>1 April 2025</w:t>
            </w:r>
          </w:p>
        </w:tc>
      </w:tr>
      <w:tr w:rsidR="002D4B03" w:rsidRPr="00C45274" w14:paraId="045F56FA" w14:textId="77777777" w:rsidTr="002D4B03">
        <w:tc>
          <w:tcPr>
            <w:tcW w:w="7792" w:type="dxa"/>
            <w:tcBorders>
              <w:bottom w:val="nil"/>
            </w:tcBorders>
          </w:tcPr>
          <w:p w14:paraId="6060B151" w14:textId="77777777" w:rsidR="002D4B03" w:rsidRPr="00C45274" w:rsidRDefault="002D4B03" w:rsidP="00DA4BD6">
            <w:pPr>
              <w:jc w:val="left"/>
              <w:rPr>
                <w:b/>
                <w:sz w:val="20"/>
              </w:rPr>
            </w:pPr>
            <w:r w:rsidRPr="00C45274">
              <w:rPr>
                <w:b/>
                <w:sz w:val="20"/>
              </w:rPr>
              <w:t>Step 2 – Bird pilot</w:t>
            </w:r>
          </w:p>
          <w:p w14:paraId="787F59C6" w14:textId="75C2DA33" w:rsidR="002D4B03" w:rsidRPr="00C45274" w:rsidRDefault="002D4B03" w:rsidP="00DA4BD6">
            <w:pPr>
              <w:jc w:val="left"/>
              <w:rPr>
                <w:sz w:val="20"/>
              </w:rPr>
            </w:pPr>
            <w:r w:rsidRPr="00C45274">
              <w:rPr>
                <w:sz w:val="20"/>
              </w:rPr>
              <w:t xml:space="preserve">Apply the CIA approach and tool(s) developed in Step 1 to the assessment of cumulative impacts of offshore wind power on birds in two distinct areas within the OSPAR maritime area, the North Sea and the Celtic Seas and Bay of Biscay. </w:t>
            </w:r>
          </w:p>
          <w:p w14:paraId="48A3E99B" w14:textId="3873A642" w:rsidR="002D4B03" w:rsidRPr="00C45274" w:rsidRDefault="002D4B03" w:rsidP="00DA4BD6">
            <w:pPr>
              <w:jc w:val="left"/>
              <w:rPr>
                <w:sz w:val="20"/>
              </w:rPr>
            </w:pPr>
            <w:r w:rsidRPr="00C45274">
              <w:rPr>
                <w:sz w:val="20"/>
              </w:rPr>
              <w:t>The assessments must be based on the best publicly available data, with the necessary temporal and spatial resolution. The assessments should consider trend estimates relative to the status of the bird species included in the assessment, as well as to other pressures that might compound the impacts of offshore wind power on birds, such as fisheries affecting prey fish species or bycatch of birds, seaborne pollution among others.</w:t>
            </w:r>
          </w:p>
          <w:p w14:paraId="5345AFB5" w14:textId="77777777" w:rsidR="002D4B03" w:rsidRPr="00C45274" w:rsidRDefault="002D4B03" w:rsidP="00DA4BD6">
            <w:pPr>
              <w:jc w:val="left"/>
              <w:rPr>
                <w:sz w:val="20"/>
              </w:rPr>
            </w:pPr>
            <w:r w:rsidRPr="00C45274">
              <w:rPr>
                <w:sz w:val="20"/>
              </w:rPr>
              <w:t>The pilot assessments are preceded by the following three sub-steps (2.1 – 2.3):</w:t>
            </w:r>
          </w:p>
        </w:tc>
        <w:tc>
          <w:tcPr>
            <w:tcW w:w="1842" w:type="dxa"/>
            <w:tcBorders>
              <w:bottom w:val="nil"/>
            </w:tcBorders>
          </w:tcPr>
          <w:p w14:paraId="337288C6" w14:textId="2E2F0AF8" w:rsidR="002D4B03" w:rsidRPr="00C45274" w:rsidRDefault="002D4B03" w:rsidP="00DA4BD6">
            <w:pPr>
              <w:jc w:val="left"/>
              <w:rPr>
                <w:bCs/>
                <w:sz w:val="20"/>
              </w:rPr>
            </w:pPr>
            <w:r w:rsidRPr="00C45274">
              <w:rPr>
                <w:bCs/>
                <w:sz w:val="20"/>
              </w:rPr>
              <w:t xml:space="preserve">Draft by </w:t>
            </w:r>
            <w:r w:rsidR="009F598B" w:rsidRPr="00C45274">
              <w:rPr>
                <w:bCs/>
                <w:sz w:val="20"/>
              </w:rPr>
              <w:t xml:space="preserve">30 September </w:t>
            </w:r>
            <w:r w:rsidRPr="00C45274">
              <w:rPr>
                <w:bCs/>
                <w:sz w:val="20"/>
              </w:rPr>
              <w:t>2024</w:t>
            </w:r>
          </w:p>
          <w:p w14:paraId="4BF5DB7C" w14:textId="77777777" w:rsidR="002D4B03" w:rsidRPr="00C45274" w:rsidRDefault="002D4B03" w:rsidP="00DA4BD6">
            <w:pPr>
              <w:jc w:val="left"/>
              <w:rPr>
                <w:bCs/>
                <w:sz w:val="20"/>
              </w:rPr>
            </w:pPr>
          </w:p>
          <w:p w14:paraId="31F20FCC" w14:textId="0B2298C7" w:rsidR="002D4B03" w:rsidRPr="00C45274" w:rsidRDefault="002D4B03" w:rsidP="00DA4BD6">
            <w:pPr>
              <w:jc w:val="left"/>
              <w:rPr>
                <w:bCs/>
                <w:sz w:val="20"/>
              </w:rPr>
            </w:pPr>
            <w:r w:rsidRPr="00C45274">
              <w:rPr>
                <w:bCs/>
                <w:sz w:val="20"/>
              </w:rPr>
              <w:t xml:space="preserve">Final by </w:t>
            </w:r>
            <w:r w:rsidR="009F598B" w:rsidRPr="00C45274">
              <w:rPr>
                <w:bCs/>
                <w:sz w:val="20"/>
              </w:rPr>
              <w:t>1 April 2025</w:t>
            </w:r>
          </w:p>
        </w:tc>
      </w:tr>
      <w:tr w:rsidR="002D4B03" w:rsidRPr="00C45274" w14:paraId="051881DF" w14:textId="77777777" w:rsidTr="002D4B03">
        <w:tc>
          <w:tcPr>
            <w:tcW w:w="7792" w:type="dxa"/>
            <w:tcBorders>
              <w:top w:val="nil"/>
              <w:bottom w:val="nil"/>
            </w:tcBorders>
          </w:tcPr>
          <w:p w14:paraId="5898697E" w14:textId="77777777" w:rsidR="002D4B03" w:rsidRPr="00C45274" w:rsidRDefault="002D4B03" w:rsidP="00DA4BD6">
            <w:pPr>
              <w:jc w:val="left"/>
              <w:rPr>
                <w:b/>
                <w:sz w:val="20"/>
              </w:rPr>
            </w:pPr>
            <w:r w:rsidRPr="00C45274">
              <w:rPr>
                <w:b/>
                <w:sz w:val="20"/>
              </w:rPr>
              <w:t>Step 2.1 – Study areas</w:t>
            </w:r>
          </w:p>
          <w:p w14:paraId="1B992ACD" w14:textId="61DDB6D4" w:rsidR="002D4B03" w:rsidRPr="00C45274" w:rsidRDefault="002D4B03">
            <w:pPr>
              <w:jc w:val="left"/>
              <w:rPr>
                <w:bCs/>
                <w:sz w:val="20"/>
              </w:rPr>
            </w:pPr>
            <w:r w:rsidRPr="00C45274">
              <w:rPr>
                <w:bCs/>
                <w:sz w:val="20"/>
              </w:rPr>
              <w:t>Define the exact geographical scope of the pilot studies, based on the initial delimitation carried out by ICG-ORED. The study areas must consider the geographical range of the bird species included in the assessment (Step 2.2)</w:t>
            </w:r>
            <w:r w:rsidR="0057608B" w:rsidRPr="00C45274">
              <w:rPr>
                <w:bCs/>
                <w:sz w:val="20"/>
              </w:rPr>
              <w:t>.</w:t>
            </w:r>
            <w:r w:rsidRPr="00C45274">
              <w:rPr>
                <w:bCs/>
                <w:sz w:val="20"/>
              </w:rPr>
              <w:t xml:space="preserve"> The delimitation of the study areas will be subject to approval by the project steering group.</w:t>
            </w:r>
          </w:p>
        </w:tc>
        <w:tc>
          <w:tcPr>
            <w:tcW w:w="1842" w:type="dxa"/>
            <w:tcBorders>
              <w:top w:val="nil"/>
              <w:bottom w:val="nil"/>
            </w:tcBorders>
          </w:tcPr>
          <w:p w14:paraId="5E0BA854" w14:textId="77777777" w:rsidR="002D4B03" w:rsidRPr="00C45274" w:rsidRDefault="002D4B03" w:rsidP="00DA4BD6">
            <w:pPr>
              <w:jc w:val="left"/>
              <w:rPr>
                <w:bCs/>
                <w:sz w:val="20"/>
              </w:rPr>
            </w:pPr>
          </w:p>
        </w:tc>
      </w:tr>
      <w:tr w:rsidR="002D4B03" w:rsidRPr="00C45274" w14:paraId="4C35376B" w14:textId="77777777" w:rsidTr="002D4B03">
        <w:tc>
          <w:tcPr>
            <w:tcW w:w="7792" w:type="dxa"/>
            <w:tcBorders>
              <w:top w:val="nil"/>
              <w:bottom w:val="nil"/>
            </w:tcBorders>
          </w:tcPr>
          <w:p w14:paraId="183AFA25" w14:textId="77777777" w:rsidR="002D4B03" w:rsidRPr="00C45274" w:rsidRDefault="002D4B03" w:rsidP="00DA4BD6">
            <w:pPr>
              <w:jc w:val="left"/>
              <w:rPr>
                <w:b/>
                <w:bCs/>
                <w:sz w:val="20"/>
              </w:rPr>
            </w:pPr>
            <w:r w:rsidRPr="00C45274">
              <w:rPr>
                <w:b/>
                <w:bCs/>
                <w:sz w:val="20"/>
              </w:rPr>
              <w:t>Step 2.2 – Bird species selection</w:t>
            </w:r>
          </w:p>
          <w:p w14:paraId="299B0CC9" w14:textId="2E622A21" w:rsidR="002D4B03" w:rsidRPr="00C45274" w:rsidRDefault="002D4B03">
            <w:pPr>
              <w:spacing w:after="0"/>
              <w:jc w:val="left"/>
              <w:rPr>
                <w:sz w:val="20"/>
              </w:rPr>
            </w:pPr>
            <w:r w:rsidRPr="00C45274">
              <w:rPr>
                <w:sz w:val="20"/>
              </w:rPr>
              <w:t>Elaborate a list of bird species for inclusion in the pilot assessment studies, based on the preliminary list already compiled by ICG-ORED. The choice of species for inclusion in the final list must be clearly motivated and must be discussed with and subject to approval by the project steering group</w:t>
            </w:r>
            <w:r w:rsidR="00E1438A" w:rsidRPr="00C45274">
              <w:rPr>
                <w:sz w:val="20"/>
              </w:rPr>
              <w:t>.</w:t>
            </w:r>
            <w:r w:rsidRPr="00C45274">
              <w:rPr>
                <w:sz w:val="20"/>
              </w:rPr>
              <w:t xml:space="preserve"> </w:t>
            </w:r>
          </w:p>
        </w:tc>
        <w:tc>
          <w:tcPr>
            <w:tcW w:w="1842" w:type="dxa"/>
            <w:tcBorders>
              <w:top w:val="nil"/>
              <w:bottom w:val="nil"/>
            </w:tcBorders>
          </w:tcPr>
          <w:p w14:paraId="3C46362D" w14:textId="77777777" w:rsidR="002D4B03" w:rsidRPr="00C45274" w:rsidRDefault="002D4B03" w:rsidP="00DA4BD6">
            <w:pPr>
              <w:jc w:val="left"/>
              <w:rPr>
                <w:bCs/>
                <w:sz w:val="20"/>
              </w:rPr>
            </w:pPr>
          </w:p>
        </w:tc>
      </w:tr>
      <w:tr w:rsidR="002D4B03" w:rsidRPr="00C45274" w14:paraId="0CE03D0E" w14:textId="77777777" w:rsidTr="002D4B03">
        <w:tc>
          <w:tcPr>
            <w:tcW w:w="7792" w:type="dxa"/>
            <w:tcBorders>
              <w:top w:val="nil"/>
            </w:tcBorders>
          </w:tcPr>
          <w:p w14:paraId="309BE8CD" w14:textId="77777777" w:rsidR="002D4B03" w:rsidRPr="00C45274" w:rsidRDefault="002D4B03" w:rsidP="00DA4BD6">
            <w:pPr>
              <w:jc w:val="left"/>
              <w:rPr>
                <w:b/>
                <w:bCs/>
                <w:sz w:val="20"/>
              </w:rPr>
            </w:pPr>
            <w:r w:rsidRPr="00C45274">
              <w:rPr>
                <w:b/>
                <w:bCs/>
                <w:sz w:val="20"/>
              </w:rPr>
              <w:t>Step 2.3 – Scenario development</w:t>
            </w:r>
          </w:p>
          <w:p w14:paraId="683ECDA6" w14:textId="4ECED034" w:rsidR="002D4B03" w:rsidRPr="00C45274" w:rsidRDefault="002D4B03" w:rsidP="00DA4BD6">
            <w:pPr>
              <w:jc w:val="left"/>
              <w:rPr>
                <w:sz w:val="20"/>
              </w:rPr>
            </w:pPr>
            <w:r w:rsidRPr="00C45274">
              <w:rPr>
                <w:sz w:val="20"/>
              </w:rPr>
              <w:t>Develop scenarios relative to the development of offshore wind power in the two pilot study areas. Baseline year should be 202</w:t>
            </w:r>
            <w:r w:rsidR="0057608B" w:rsidRPr="00C45274">
              <w:rPr>
                <w:sz w:val="20"/>
              </w:rPr>
              <w:t>2</w:t>
            </w:r>
            <w:r w:rsidRPr="00C45274">
              <w:rPr>
                <w:sz w:val="20"/>
              </w:rPr>
              <w:t>. The first scenario concerns developments by 2030 based on existing plans, pledges or ambitions by countries in the study areas as of 202</w:t>
            </w:r>
            <w:r w:rsidR="0057608B" w:rsidRPr="00C45274">
              <w:rPr>
                <w:sz w:val="20"/>
              </w:rPr>
              <w:t>2</w:t>
            </w:r>
            <w:r w:rsidRPr="00C45274">
              <w:rPr>
                <w:sz w:val="20"/>
              </w:rPr>
              <w:t xml:space="preserve">. A second and third scenario year should be 2040 and 2050, respectively. These longer-term scenarios should also consider plans and ambitions communicated by the countries. However, since </w:t>
            </w:r>
            <w:r w:rsidRPr="00C45274">
              <w:rPr>
                <w:sz w:val="20"/>
              </w:rPr>
              <w:lastRenderedPageBreak/>
              <w:t xml:space="preserve">these are generally less specific than the ones for 2030, scenario development work might need to consider the following aspects when identifying possible areas for offshore wind power development: </w:t>
            </w:r>
          </w:p>
          <w:p w14:paraId="4C643697" w14:textId="77777777" w:rsidR="002D4B03" w:rsidRPr="00C45274" w:rsidRDefault="002D4B03" w:rsidP="001D732E">
            <w:pPr>
              <w:pStyle w:val="Liststycke"/>
              <w:numPr>
                <w:ilvl w:val="0"/>
                <w:numId w:val="33"/>
              </w:numPr>
              <w:spacing w:after="0" w:line="240" w:lineRule="auto"/>
              <w:ind w:left="396"/>
              <w:rPr>
                <w:bCs/>
                <w:sz w:val="20"/>
                <w:szCs w:val="20"/>
                <w:lang w:val="en-GB"/>
              </w:rPr>
            </w:pPr>
            <w:r w:rsidRPr="00C45274">
              <w:rPr>
                <w:sz w:val="20"/>
                <w:szCs w:val="20"/>
                <w:lang w:val="en-GB"/>
              </w:rPr>
              <w:t xml:space="preserve">Levelized </w:t>
            </w:r>
            <w:r w:rsidRPr="00C45274">
              <w:rPr>
                <w:bCs/>
                <w:sz w:val="20"/>
                <w:szCs w:val="20"/>
                <w:lang w:val="en-GB"/>
              </w:rPr>
              <w:t>cost of electricity (LCOE)</w:t>
            </w:r>
          </w:p>
          <w:p w14:paraId="3B8F1E2A" w14:textId="77777777" w:rsidR="002D4B03" w:rsidRPr="00C45274" w:rsidRDefault="002D4B03" w:rsidP="001D732E">
            <w:pPr>
              <w:pStyle w:val="Liststycke"/>
              <w:numPr>
                <w:ilvl w:val="0"/>
                <w:numId w:val="33"/>
              </w:numPr>
              <w:spacing w:after="0" w:line="240" w:lineRule="auto"/>
              <w:ind w:left="396"/>
              <w:rPr>
                <w:bCs/>
                <w:sz w:val="20"/>
                <w:szCs w:val="20"/>
                <w:lang w:val="en-GB"/>
              </w:rPr>
            </w:pPr>
            <w:r w:rsidRPr="00C45274">
              <w:rPr>
                <w:bCs/>
                <w:sz w:val="20"/>
                <w:szCs w:val="20"/>
                <w:lang w:val="en-GB"/>
              </w:rPr>
              <w:t>Exclusion areas, such as shipping routes, military areas, areas for oil &amp; gas and sand extraction, strict nature protection areas, among others</w:t>
            </w:r>
          </w:p>
          <w:p w14:paraId="7C850CE4" w14:textId="75365B0C" w:rsidR="002D4B03" w:rsidRPr="00C45274" w:rsidRDefault="002D4B03" w:rsidP="001D732E">
            <w:pPr>
              <w:pStyle w:val="Liststycke"/>
              <w:numPr>
                <w:ilvl w:val="0"/>
                <w:numId w:val="33"/>
              </w:numPr>
              <w:spacing w:after="0" w:line="240" w:lineRule="auto"/>
              <w:ind w:left="396"/>
              <w:rPr>
                <w:bCs/>
                <w:sz w:val="20"/>
                <w:szCs w:val="20"/>
                <w:lang w:val="en-GB"/>
              </w:rPr>
            </w:pPr>
            <w:r w:rsidRPr="00C45274">
              <w:rPr>
                <w:bCs/>
                <w:sz w:val="20"/>
                <w:szCs w:val="20"/>
                <w:lang w:val="en-GB"/>
              </w:rPr>
              <w:t>Important fish habitat and important areas for protected species, including birds</w:t>
            </w:r>
          </w:p>
          <w:p w14:paraId="62A70295" w14:textId="77777777" w:rsidR="002D4B03" w:rsidRPr="00C45274" w:rsidRDefault="002D4B03" w:rsidP="00DA4BD6">
            <w:pPr>
              <w:jc w:val="left"/>
              <w:rPr>
                <w:bCs/>
                <w:sz w:val="20"/>
              </w:rPr>
            </w:pPr>
            <w:r w:rsidRPr="00C45274">
              <w:rPr>
                <w:bCs/>
                <w:sz w:val="20"/>
              </w:rPr>
              <w:t>For the 2040 and 2050 scenarios, the contractor might consider developing high-GW, mid-GW and low-GW scenarios by varying the degree of installed capacity; or best-case and worst-case scenarios relative to some of the scenario parameters – for example a worst-case scenario relative to potential fisheries displacement, or a best-case scenario relative to overlap with migratory bird routes. The feasibility and budgetary implications of developing such alternatives shall be discussed with the project steering group.</w:t>
            </w:r>
          </w:p>
          <w:p w14:paraId="6B0C1659" w14:textId="20A12F79" w:rsidR="002D4B03" w:rsidRPr="00C45274" w:rsidRDefault="002D4B03" w:rsidP="00DA4BD6">
            <w:pPr>
              <w:jc w:val="left"/>
              <w:rPr>
                <w:bCs/>
                <w:sz w:val="20"/>
              </w:rPr>
            </w:pPr>
            <w:r w:rsidRPr="00C45274">
              <w:rPr>
                <w:bCs/>
                <w:sz w:val="20"/>
              </w:rPr>
              <w:t>All parameters and assumptions used in scenario development must be made explicit, and the scenario development process must be clearly described in the project report (Step 3).</w:t>
            </w:r>
          </w:p>
          <w:p w14:paraId="6EBCA607" w14:textId="56073367" w:rsidR="002D4B03" w:rsidRPr="00C45274" w:rsidRDefault="002D4B03" w:rsidP="00DA4BD6">
            <w:pPr>
              <w:jc w:val="left"/>
              <w:rPr>
                <w:bCs/>
                <w:sz w:val="20"/>
              </w:rPr>
            </w:pPr>
            <w:r w:rsidRPr="00C45274">
              <w:rPr>
                <w:bCs/>
                <w:color w:val="000000" w:themeColor="text1"/>
                <w:sz w:val="20"/>
              </w:rPr>
              <w:t>Scenarios must be discussed with and subject to approval by the project steering group.</w:t>
            </w:r>
          </w:p>
        </w:tc>
        <w:tc>
          <w:tcPr>
            <w:tcW w:w="1842" w:type="dxa"/>
            <w:tcBorders>
              <w:top w:val="nil"/>
            </w:tcBorders>
          </w:tcPr>
          <w:p w14:paraId="563A3FB2" w14:textId="77777777" w:rsidR="002D4B03" w:rsidRPr="00C45274" w:rsidRDefault="002D4B03" w:rsidP="00DA4BD6">
            <w:pPr>
              <w:jc w:val="left"/>
              <w:rPr>
                <w:bCs/>
                <w:sz w:val="20"/>
              </w:rPr>
            </w:pPr>
          </w:p>
        </w:tc>
      </w:tr>
      <w:tr w:rsidR="002D4B03" w:rsidRPr="00C45274" w14:paraId="376A3EFE" w14:textId="77777777" w:rsidTr="002D4B03">
        <w:tc>
          <w:tcPr>
            <w:tcW w:w="7792" w:type="dxa"/>
          </w:tcPr>
          <w:p w14:paraId="1192F3EB" w14:textId="77777777" w:rsidR="002D4B03" w:rsidRPr="00C45274" w:rsidRDefault="002D4B03" w:rsidP="00DA4BD6">
            <w:pPr>
              <w:jc w:val="left"/>
              <w:rPr>
                <w:b/>
                <w:sz w:val="20"/>
              </w:rPr>
            </w:pPr>
            <w:r w:rsidRPr="00C45274">
              <w:rPr>
                <w:b/>
                <w:sz w:val="20"/>
              </w:rPr>
              <w:t>Step 3</w:t>
            </w:r>
          </w:p>
          <w:p w14:paraId="4DA429D4" w14:textId="77777777" w:rsidR="002D4B03" w:rsidRPr="00C45274" w:rsidRDefault="002D4B03" w:rsidP="00DA4BD6">
            <w:pPr>
              <w:jc w:val="left"/>
              <w:rPr>
                <w:sz w:val="20"/>
              </w:rPr>
            </w:pPr>
            <w:r w:rsidRPr="00C45274">
              <w:rPr>
                <w:sz w:val="20"/>
              </w:rPr>
              <w:t xml:space="preserve">Produce a report documenting the results of the project, including, but not limited to: </w:t>
            </w:r>
          </w:p>
          <w:p w14:paraId="2DE59158" w14:textId="1E78638C" w:rsidR="002D4B03" w:rsidRPr="00C45274" w:rsidRDefault="002D4B03" w:rsidP="001D732E">
            <w:pPr>
              <w:pStyle w:val="Liststycke"/>
              <w:numPr>
                <w:ilvl w:val="0"/>
                <w:numId w:val="33"/>
              </w:numPr>
              <w:spacing w:after="0" w:line="240" w:lineRule="auto"/>
              <w:ind w:left="396"/>
              <w:rPr>
                <w:sz w:val="20"/>
                <w:szCs w:val="20"/>
                <w:lang w:val="en-GB"/>
              </w:rPr>
            </w:pPr>
            <w:r w:rsidRPr="00C45274">
              <w:rPr>
                <w:sz w:val="20"/>
                <w:szCs w:val="20"/>
                <w:lang w:val="en-GB"/>
              </w:rPr>
              <w:t xml:space="preserve">A description of CIA approach and tools, scenarios, bird species and results in terms of effects and impacts on populations; </w:t>
            </w:r>
          </w:p>
          <w:p w14:paraId="5B05A2F3" w14:textId="77777777" w:rsidR="002D4B03" w:rsidRPr="00C45274" w:rsidRDefault="002D4B03" w:rsidP="001D732E">
            <w:pPr>
              <w:pStyle w:val="Liststycke"/>
              <w:numPr>
                <w:ilvl w:val="0"/>
                <w:numId w:val="33"/>
              </w:numPr>
              <w:spacing w:after="0" w:line="240" w:lineRule="auto"/>
              <w:ind w:left="396"/>
              <w:rPr>
                <w:sz w:val="20"/>
                <w:szCs w:val="20"/>
                <w:lang w:val="en-GB"/>
              </w:rPr>
            </w:pPr>
            <w:r w:rsidRPr="00C45274">
              <w:rPr>
                <w:sz w:val="20"/>
                <w:szCs w:val="20"/>
                <w:lang w:val="en-GB"/>
              </w:rPr>
              <w:t>A description of assumptions and uncertainties, how these were dealt with and how they affect result validity;</w:t>
            </w:r>
          </w:p>
          <w:p w14:paraId="02493726" w14:textId="77777777" w:rsidR="002D4B03" w:rsidRPr="00C45274" w:rsidRDefault="002D4B03" w:rsidP="001D732E">
            <w:pPr>
              <w:pStyle w:val="Liststycke"/>
              <w:numPr>
                <w:ilvl w:val="0"/>
                <w:numId w:val="33"/>
              </w:numPr>
              <w:spacing w:after="0" w:line="240" w:lineRule="auto"/>
              <w:ind w:left="396"/>
              <w:rPr>
                <w:sz w:val="20"/>
                <w:szCs w:val="20"/>
                <w:lang w:val="en-GB"/>
              </w:rPr>
            </w:pPr>
            <w:r w:rsidRPr="00C45274">
              <w:rPr>
                <w:sz w:val="20"/>
                <w:szCs w:val="20"/>
                <w:lang w:val="en-GB"/>
              </w:rPr>
              <w:t>A description of knowledge and data gaps;</w:t>
            </w:r>
          </w:p>
          <w:p w14:paraId="4DD54B60" w14:textId="77777777" w:rsidR="002D4B03" w:rsidRPr="00C45274" w:rsidRDefault="002D4B03" w:rsidP="001D732E">
            <w:pPr>
              <w:pStyle w:val="Liststycke"/>
              <w:numPr>
                <w:ilvl w:val="0"/>
                <w:numId w:val="33"/>
              </w:numPr>
              <w:spacing w:after="0" w:line="240" w:lineRule="auto"/>
              <w:ind w:left="396"/>
              <w:rPr>
                <w:sz w:val="20"/>
                <w:szCs w:val="20"/>
                <w:lang w:val="en-GB"/>
              </w:rPr>
            </w:pPr>
            <w:r w:rsidRPr="00C45274">
              <w:rPr>
                <w:sz w:val="20"/>
                <w:szCs w:val="20"/>
                <w:lang w:val="en-GB"/>
              </w:rPr>
              <w:t>Maps and illustrations depicting the assessment steps and results;</w:t>
            </w:r>
          </w:p>
          <w:p w14:paraId="0AB97FEA" w14:textId="77777777" w:rsidR="002D4B03" w:rsidRPr="00C45274" w:rsidRDefault="002D4B03" w:rsidP="001D732E">
            <w:pPr>
              <w:pStyle w:val="Liststycke"/>
              <w:numPr>
                <w:ilvl w:val="0"/>
                <w:numId w:val="33"/>
              </w:numPr>
              <w:spacing w:after="0" w:line="240" w:lineRule="auto"/>
              <w:ind w:left="396"/>
              <w:rPr>
                <w:sz w:val="20"/>
                <w:szCs w:val="20"/>
                <w:lang w:val="en-GB"/>
              </w:rPr>
            </w:pPr>
            <w:r w:rsidRPr="00C45274">
              <w:rPr>
                <w:sz w:val="20"/>
                <w:szCs w:val="20"/>
                <w:lang w:val="en-GB"/>
              </w:rPr>
              <w:t xml:space="preserve">Conclusions regarding: </w:t>
            </w:r>
          </w:p>
          <w:p w14:paraId="096CFCEB" w14:textId="233F0977" w:rsidR="002D4B03" w:rsidRPr="00C45274" w:rsidRDefault="002D4B03" w:rsidP="001D732E">
            <w:pPr>
              <w:numPr>
                <w:ilvl w:val="0"/>
                <w:numId w:val="50"/>
              </w:numPr>
              <w:tabs>
                <w:tab w:val="clear" w:pos="567"/>
                <w:tab w:val="clear" w:pos="1134"/>
                <w:tab w:val="clear" w:pos="1701"/>
                <w:tab w:val="clear" w:pos="2268"/>
              </w:tabs>
              <w:spacing w:after="0"/>
              <w:ind w:left="537"/>
              <w:jc w:val="left"/>
              <w:rPr>
                <w:bCs/>
                <w:sz w:val="20"/>
              </w:rPr>
            </w:pPr>
            <w:r w:rsidRPr="00C45274">
              <w:rPr>
                <w:bCs/>
                <w:sz w:val="20"/>
              </w:rPr>
              <w:t>The suitability and limitations of the CIA approach and tool(s) and how the latter could be overcome in view of the aims of ICG-ORED;</w:t>
            </w:r>
          </w:p>
          <w:p w14:paraId="776B25F6" w14:textId="6C01F8C5" w:rsidR="002D4B03" w:rsidRPr="00C45274" w:rsidRDefault="002D4B03" w:rsidP="001D732E">
            <w:pPr>
              <w:numPr>
                <w:ilvl w:val="0"/>
                <w:numId w:val="50"/>
              </w:numPr>
              <w:tabs>
                <w:tab w:val="clear" w:pos="567"/>
                <w:tab w:val="clear" w:pos="1134"/>
                <w:tab w:val="clear" w:pos="1701"/>
                <w:tab w:val="clear" w:pos="2268"/>
              </w:tabs>
              <w:spacing w:after="0"/>
              <w:ind w:left="537"/>
              <w:jc w:val="left"/>
              <w:rPr>
                <w:sz w:val="20"/>
              </w:rPr>
            </w:pPr>
            <w:r w:rsidRPr="00C45274">
              <w:rPr>
                <w:bCs/>
                <w:sz w:val="20"/>
              </w:rPr>
              <w:t>Options for actions by OSPAR to minimize the impacts identified in the assessment.</w:t>
            </w:r>
            <w:r w:rsidRPr="00C45274">
              <w:rPr>
                <w:sz w:val="20"/>
              </w:rPr>
              <w:t xml:space="preserve"> </w:t>
            </w:r>
          </w:p>
        </w:tc>
        <w:tc>
          <w:tcPr>
            <w:tcW w:w="1842" w:type="dxa"/>
          </w:tcPr>
          <w:p w14:paraId="3F2DC49E" w14:textId="460A87E9" w:rsidR="002D4B03" w:rsidRPr="00C45274" w:rsidRDefault="002D4B03" w:rsidP="002D4B03">
            <w:pPr>
              <w:jc w:val="left"/>
              <w:rPr>
                <w:bCs/>
                <w:sz w:val="20"/>
              </w:rPr>
            </w:pPr>
            <w:r w:rsidRPr="00C45274">
              <w:rPr>
                <w:bCs/>
                <w:sz w:val="20"/>
              </w:rPr>
              <w:t xml:space="preserve">Draft by </w:t>
            </w:r>
            <w:r w:rsidR="009F598B" w:rsidRPr="00C45274">
              <w:rPr>
                <w:bCs/>
                <w:sz w:val="20"/>
              </w:rPr>
              <w:t>14 February</w:t>
            </w:r>
            <w:r w:rsidR="001F1769" w:rsidRPr="00C45274">
              <w:rPr>
                <w:bCs/>
                <w:sz w:val="20"/>
              </w:rPr>
              <w:t xml:space="preserve"> 2025</w:t>
            </w:r>
          </w:p>
          <w:p w14:paraId="5890CA9D" w14:textId="77777777" w:rsidR="002D4B03" w:rsidRPr="00C45274" w:rsidRDefault="002D4B03" w:rsidP="00DA4BD6">
            <w:pPr>
              <w:jc w:val="left"/>
              <w:rPr>
                <w:bCs/>
                <w:sz w:val="20"/>
              </w:rPr>
            </w:pPr>
          </w:p>
          <w:p w14:paraId="45B9D1C9" w14:textId="05DB5041" w:rsidR="002D4B03" w:rsidRPr="00C45274" w:rsidRDefault="002D4B03" w:rsidP="00DA4BD6">
            <w:pPr>
              <w:jc w:val="left"/>
              <w:rPr>
                <w:bCs/>
                <w:sz w:val="20"/>
              </w:rPr>
            </w:pPr>
            <w:r w:rsidRPr="00C45274">
              <w:rPr>
                <w:bCs/>
                <w:sz w:val="20"/>
              </w:rPr>
              <w:t xml:space="preserve">Final draft report by </w:t>
            </w:r>
            <w:r w:rsidR="001F1769" w:rsidRPr="00C45274">
              <w:rPr>
                <w:bCs/>
                <w:sz w:val="20"/>
              </w:rPr>
              <w:t>1</w:t>
            </w:r>
            <w:r w:rsidR="009F598B" w:rsidRPr="00C45274">
              <w:rPr>
                <w:bCs/>
                <w:sz w:val="20"/>
              </w:rPr>
              <w:t xml:space="preserve"> April</w:t>
            </w:r>
            <w:r w:rsidR="001F1769" w:rsidRPr="00C45274">
              <w:rPr>
                <w:bCs/>
                <w:sz w:val="20"/>
              </w:rPr>
              <w:t xml:space="preserve"> 2025</w:t>
            </w:r>
          </w:p>
        </w:tc>
      </w:tr>
    </w:tbl>
    <w:p w14:paraId="3D6BF201" w14:textId="32399416" w:rsidR="00B167C5" w:rsidRPr="00C45274" w:rsidRDefault="00B167C5" w:rsidP="002D4B03">
      <w:pPr>
        <w:pStyle w:val="Beskrivning"/>
        <w:rPr>
          <w:bCs/>
          <w:lang w:val="en-GB"/>
        </w:rPr>
      </w:pPr>
      <w:bookmarkStart w:id="1" w:name="_Ref137450146"/>
      <w:bookmarkEnd w:id="0"/>
      <w:r w:rsidRPr="00C45274">
        <w:rPr>
          <w:lang w:val="en-US"/>
        </w:rPr>
        <w:t xml:space="preserve">Table </w:t>
      </w:r>
      <w:r w:rsidRPr="00C45274">
        <w:rPr>
          <w:lang w:val="en-GB"/>
        </w:rPr>
        <w:fldChar w:fldCharType="begin"/>
      </w:r>
      <w:r w:rsidRPr="00C45274">
        <w:rPr>
          <w:lang w:val="en-US"/>
        </w:rPr>
        <w:instrText xml:space="preserve"> SEQ Table \* ARABIC </w:instrText>
      </w:r>
      <w:r w:rsidRPr="00C45274">
        <w:rPr>
          <w:lang w:val="en-GB"/>
        </w:rPr>
        <w:fldChar w:fldCharType="separate"/>
      </w:r>
      <w:r w:rsidRPr="00C45274">
        <w:rPr>
          <w:noProof/>
          <w:lang w:val="en-US"/>
        </w:rPr>
        <w:t>1</w:t>
      </w:r>
      <w:r w:rsidRPr="00C45274">
        <w:rPr>
          <w:noProof/>
          <w:lang w:val="en-GB"/>
        </w:rPr>
        <w:fldChar w:fldCharType="end"/>
      </w:r>
      <w:bookmarkEnd w:id="1"/>
      <w:r w:rsidRPr="00C45274">
        <w:rPr>
          <w:lang w:val="en-US"/>
        </w:rPr>
        <w:t xml:space="preserve"> - Overview of tasks and proposed time allocation. (*) Delivery schedule assumes project start on 1</w:t>
      </w:r>
      <w:r w:rsidR="002D4B03" w:rsidRPr="00C45274">
        <w:rPr>
          <w:lang w:val="en-US"/>
        </w:rPr>
        <w:t>5</w:t>
      </w:r>
      <w:r w:rsidRPr="00C45274">
        <w:rPr>
          <w:lang w:val="en-US"/>
        </w:rPr>
        <w:t xml:space="preserve"> October, 2023</w:t>
      </w:r>
      <w:r w:rsidR="002D4B03" w:rsidRPr="00C45274">
        <w:rPr>
          <w:lang w:val="en-US"/>
        </w:rPr>
        <w:t xml:space="preserve"> and will be adjusted in case the project starts at a later date. </w:t>
      </w:r>
    </w:p>
    <w:p w14:paraId="712FE0C3" w14:textId="77777777" w:rsidR="00B167C5" w:rsidRPr="00C45274" w:rsidRDefault="00B167C5" w:rsidP="00B167C5">
      <w:pPr>
        <w:rPr>
          <w:b/>
          <w:bCs/>
        </w:rPr>
      </w:pPr>
      <w:r w:rsidRPr="00C45274">
        <w:rPr>
          <w:b/>
          <w:bCs/>
        </w:rPr>
        <w:t>5. Duration of the contract and timing of deliverables</w:t>
      </w:r>
    </w:p>
    <w:p w14:paraId="54CE85DC" w14:textId="23801316" w:rsidR="00B167C5" w:rsidRPr="00C45274" w:rsidRDefault="00B167C5" w:rsidP="00B167C5">
      <w:pPr>
        <w:rPr>
          <w:i/>
          <w:iCs/>
        </w:rPr>
      </w:pPr>
      <w:r w:rsidRPr="00C45274">
        <w:t xml:space="preserve">Start date: </w:t>
      </w:r>
      <w:r w:rsidR="001F1769" w:rsidRPr="00C45274">
        <w:t>4 March 2024</w:t>
      </w:r>
    </w:p>
    <w:p w14:paraId="11F22DDA" w14:textId="39C21154" w:rsidR="00B167C5" w:rsidRPr="00C45274" w:rsidRDefault="00957E91" w:rsidP="00B167C5">
      <w:r w:rsidRPr="00C45274">
        <w:t xml:space="preserve">Expected </w:t>
      </w:r>
      <w:r w:rsidR="002D4B03" w:rsidRPr="00C45274">
        <w:t>e</w:t>
      </w:r>
      <w:r w:rsidR="00B167C5" w:rsidRPr="00C45274">
        <w:t xml:space="preserve">nd date: </w:t>
      </w:r>
      <w:r w:rsidR="001F1769" w:rsidRPr="00C45274">
        <w:t>3</w:t>
      </w:r>
      <w:r w:rsidR="009F598B" w:rsidRPr="00C45274">
        <w:t>0</w:t>
      </w:r>
      <w:r w:rsidR="001F1769" w:rsidRPr="00C45274">
        <w:t xml:space="preserve"> </w:t>
      </w:r>
      <w:r w:rsidR="009F598B" w:rsidRPr="00C45274">
        <w:t>April</w:t>
      </w:r>
      <w:r w:rsidR="001F1769" w:rsidRPr="00C45274">
        <w:t xml:space="preserve"> 2025</w:t>
      </w:r>
    </w:p>
    <w:p w14:paraId="12D5D160" w14:textId="381BE958" w:rsidR="00B167C5" w:rsidRPr="00C45274" w:rsidRDefault="00B167C5" w:rsidP="00B167C5">
      <w:r w:rsidRPr="00C45274">
        <w:t xml:space="preserve">Inception report delivery by: </w:t>
      </w:r>
      <w:r w:rsidR="001F1769" w:rsidRPr="00C45274">
        <w:t>15 April 2024</w:t>
      </w:r>
    </w:p>
    <w:p w14:paraId="1FE47AE5" w14:textId="1F4496D3" w:rsidR="00986228" w:rsidRPr="00C45274" w:rsidRDefault="000E1BC5" w:rsidP="005D681E">
      <w:r w:rsidRPr="00C45274">
        <w:t xml:space="preserve">First </w:t>
      </w:r>
      <w:r w:rsidR="00B167C5" w:rsidRPr="00C45274">
        <w:t xml:space="preserve">Draft report delivery by: </w:t>
      </w:r>
      <w:r w:rsidR="009F598B" w:rsidRPr="00C45274">
        <w:t>14 February</w:t>
      </w:r>
      <w:r w:rsidR="001F1769" w:rsidRPr="00C45274">
        <w:t xml:space="preserve"> 2025 </w:t>
      </w:r>
    </w:p>
    <w:p w14:paraId="0DE79F6C" w14:textId="659DBB92" w:rsidR="00B167C5" w:rsidRPr="00C45274" w:rsidRDefault="00B167C5" w:rsidP="00B167C5">
      <w:r w:rsidRPr="00C45274">
        <w:t xml:space="preserve">Final </w:t>
      </w:r>
      <w:r w:rsidR="000E1BC5" w:rsidRPr="00C45274">
        <w:t xml:space="preserve">draft </w:t>
      </w:r>
      <w:r w:rsidRPr="00C45274">
        <w:t xml:space="preserve">report delivery by: </w:t>
      </w:r>
      <w:r w:rsidR="009F598B" w:rsidRPr="00C45274">
        <w:t xml:space="preserve">1 April </w:t>
      </w:r>
      <w:r w:rsidR="001F1769" w:rsidRPr="00C45274">
        <w:t>2025</w:t>
      </w:r>
    </w:p>
    <w:p w14:paraId="09DBA783" w14:textId="77777777" w:rsidR="00B167C5" w:rsidRPr="00C45274" w:rsidRDefault="00B167C5" w:rsidP="00B167C5"/>
    <w:p w14:paraId="4AB605AF" w14:textId="77777777" w:rsidR="00B167C5" w:rsidRPr="005D681E" w:rsidRDefault="00B167C5" w:rsidP="00B167C5">
      <w:pPr>
        <w:rPr>
          <w:b/>
          <w:bCs/>
        </w:rPr>
      </w:pPr>
      <w:r w:rsidRPr="00C45274">
        <w:rPr>
          <w:b/>
          <w:bCs/>
        </w:rPr>
        <w:t>6. Type of tender</w:t>
      </w:r>
    </w:p>
    <w:p w14:paraId="4404F426" w14:textId="7E8959AD" w:rsidR="00B167C5" w:rsidRPr="005D681E" w:rsidRDefault="00957E91" w:rsidP="00B167C5">
      <w:r>
        <w:t>Open</w:t>
      </w:r>
    </w:p>
    <w:p w14:paraId="0D172D06" w14:textId="77777777" w:rsidR="00B167C5" w:rsidRPr="005D681E" w:rsidRDefault="00B167C5" w:rsidP="00B167C5"/>
    <w:p w14:paraId="4D270324" w14:textId="77777777" w:rsidR="00B167C5" w:rsidRPr="005D681E" w:rsidRDefault="00B167C5" w:rsidP="00B167C5">
      <w:pPr>
        <w:rPr>
          <w:b/>
          <w:bCs/>
        </w:rPr>
      </w:pPr>
      <w:r w:rsidRPr="005D681E">
        <w:rPr>
          <w:b/>
          <w:bCs/>
        </w:rPr>
        <w:t>7. Estimated level of provision of technical assistance</w:t>
      </w:r>
    </w:p>
    <w:p w14:paraId="6CB04C40" w14:textId="6C35A1B5" w:rsidR="00B167C5" w:rsidRPr="005D681E" w:rsidRDefault="00B167C5" w:rsidP="00DA5EAD">
      <w:pPr>
        <w:pStyle w:val="Liststycke"/>
        <w:numPr>
          <w:ilvl w:val="0"/>
          <w:numId w:val="41"/>
        </w:numPr>
        <w:spacing w:after="120"/>
        <w:ind w:left="357" w:hanging="357"/>
        <w:contextualSpacing w:val="0"/>
      </w:pPr>
      <w:r w:rsidRPr="005D681E">
        <w:t xml:space="preserve">It is envisaged that the work will be conducted remotely, at the contractor’s premises. The tender should budget for three </w:t>
      </w:r>
      <w:r w:rsidR="005D681E">
        <w:t>one</w:t>
      </w:r>
      <w:r w:rsidRPr="005D681E">
        <w:t>-day</w:t>
      </w:r>
      <w:r w:rsidR="00C70D2E" w:rsidRPr="005D681E">
        <w:t xml:space="preserve"> hybrid </w:t>
      </w:r>
      <w:r w:rsidRPr="005D681E">
        <w:t xml:space="preserve">meetings with the project steering group in a location in Europe. If additional travel is necessary for the purposes of the delivery of the technical assistance it </w:t>
      </w:r>
      <w:r w:rsidRPr="005D681E">
        <w:lastRenderedPageBreak/>
        <w:t xml:space="preserve">shall be agreed with the project </w:t>
      </w:r>
      <w:r w:rsidR="00B707AD">
        <w:t>manager. Reasonable travel and subsistence costs associated with this additional travel will be reimbursed by the OSPAR Secretariat and should not be included in the tender.</w:t>
      </w:r>
    </w:p>
    <w:p w14:paraId="426A1ABA" w14:textId="283C4DD3" w:rsidR="00B167C5" w:rsidRPr="005D681E" w:rsidRDefault="00B167C5" w:rsidP="00DA5EAD">
      <w:pPr>
        <w:pStyle w:val="Liststycke"/>
        <w:numPr>
          <w:ilvl w:val="0"/>
          <w:numId w:val="41"/>
        </w:numPr>
        <w:spacing w:after="120"/>
        <w:ind w:left="357" w:hanging="357"/>
        <w:contextualSpacing w:val="0"/>
      </w:pPr>
      <w:r w:rsidRPr="005D681E">
        <w:t>The budget for th</w:t>
      </w:r>
      <w:r w:rsidR="00E1438A">
        <w:t>is</w:t>
      </w:r>
      <w:r w:rsidRPr="005D681E">
        <w:t xml:space="preserve"> contrac</w:t>
      </w:r>
      <w:r w:rsidR="00E1438A">
        <w:t>t shall not exceed</w:t>
      </w:r>
      <w:r w:rsidRPr="005D681E">
        <w:t xml:space="preserve"> </w:t>
      </w:r>
      <w:r w:rsidR="00E1438A">
        <w:t xml:space="preserve">EUR </w:t>
      </w:r>
      <w:r w:rsidRPr="005D681E">
        <w:t>200</w:t>
      </w:r>
      <w:r w:rsidR="001828DB">
        <w:t>,</w:t>
      </w:r>
      <w:r w:rsidRPr="005D681E">
        <w:t xml:space="preserve">000 </w:t>
      </w:r>
      <w:r w:rsidR="00E1438A">
        <w:t>excluding VAT and expenses.</w:t>
      </w:r>
    </w:p>
    <w:p w14:paraId="7B902590" w14:textId="77777777" w:rsidR="00B167C5" w:rsidRPr="005D681E" w:rsidRDefault="00B167C5" w:rsidP="00B167C5"/>
    <w:p w14:paraId="63FDF6E7" w14:textId="77777777" w:rsidR="00B167C5" w:rsidRPr="005D681E" w:rsidRDefault="00B167C5" w:rsidP="00B167C5">
      <w:pPr>
        <w:tabs>
          <w:tab w:val="left" w:pos="5368"/>
        </w:tabs>
        <w:rPr>
          <w:b/>
          <w:bCs/>
        </w:rPr>
      </w:pPr>
      <w:r w:rsidRPr="005D681E">
        <w:rPr>
          <w:b/>
          <w:bCs/>
        </w:rPr>
        <w:t>8. Management, delivery and completion of the work</w:t>
      </w:r>
    </w:p>
    <w:p w14:paraId="20F5E3D9" w14:textId="2C824D3A" w:rsidR="00B167C5" w:rsidRPr="005D681E" w:rsidRDefault="00B73FDE" w:rsidP="001D732E">
      <w:pPr>
        <w:pStyle w:val="Liststycke"/>
        <w:numPr>
          <w:ilvl w:val="0"/>
          <w:numId w:val="41"/>
        </w:numPr>
        <w:spacing w:after="120"/>
        <w:ind w:hanging="357"/>
        <w:contextualSpacing w:val="0"/>
      </w:pPr>
      <w:r>
        <w:t>The OSPAR Secretariat</w:t>
      </w:r>
      <w:r w:rsidR="004D25CC">
        <w:t xml:space="preserve"> </w:t>
      </w:r>
      <w:r w:rsidR="00B167C5" w:rsidRPr="005D681E">
        <w:t>will act as project manager</w:t>
      </w:r>
      <w:r w:rsidR="004D25CC">
        <w:t xml:space="preserve">, </w:t>
      </w:r>
      <w:r>
        <w:t>supported by a member of ICG-ORED on technical questions</w:t>
      </w:r>
      <w:r w:rsidR="00B167C5" w:rsidRPr="005D681E">
        <w:t xml:space="preserve">. The project manager will be the main point of contact for all matters concerning this contract, and the recipient of all deliverables submitted by the contractor. The project </w:t>
      </w:r>
      <w:r w:rsidR="00B707AD">
        <w:t>will include</w:t>
      </w:r>
      <w:r w:rsidR="00B167C5" w:rsidRPr="005D681E">
        <w:t xml:space="preserve"> a project steering group composed of representatives from ICG-ORED members. The project steering group will provide advice on matters pertaining to the content and quality of deliverables. The project steering group will engage directly with the contractor at the three scheduled meetings. These include:</w:t>
      </w:r>
    </w:p>
    <w:p w14:paraId="1432ACD7" w14:textId="79A39647" w:rsidR="00B167C5" w:rsidRPr="00C45274" w:rsidRDefault="00B167C5" w:rsidP="001D732E">
      <w:pPr>
        <w:pStyle w:val="Liststycke"/>
        <w:numPr>
          <w:ilvl w:val="0"/>
          <w:numId w:val="27"/>
        </w:numPr>
        <w:spacing w:after="120"/>
        <w:ind w:hanging="357"/>
        <w:contextualSpacing w:val="0"/>
        <w:rPr>
          <w:bCs/>
          <w:lang w:val="en-GB"/>
        </w:rPr>
      </w:pPr>
      <w:r w:rsidRPr="00C45274">
        <w:rPr>
          <w:bCs/>
          <w:lang w:val="en-GB"/>
        </w:rPr>
        <w:t xml:space="preserve">a project </w:t>
      </w:r>
      <w:r w:rsidR="00B707AD" w:rsidRPr="00C45274">
        <w:rPr>
          <w:bCs/>
          <w:lang w:val="en-GB"/>
        </w:rPr>
        <w:t xml:space="preserve">kick-off </w:t>
      </w:r>
      <w:r w:rsidRPr="00C45274">
        <w:rPr>
          <w:bCs/>
          <w:lang w:val="en-GB"/>
        </w:rPr>
        <w:t>meeting within two weeks from signature of the contract;</w:t>
      </w:r>
    </w:p>
    <w:p w14:paraId="771D5FA3" w14:textId="60FC75EB" w:rsidR="00B167C5" w:rsidRPr="00C45274" w:rsidRDefault="00B167C5" w:rsidP="001D732E">
      <w:pPr>
        <w:pStyle w:val="Liststycke"/>
        <w:numPr>
          <w:ilvl w:val="0"/>
          <w:numId w:val="27"/>
        </w:numPr>
        <w:spacing w:after="120"/>
        <w:ind w:hanging="357"/>
        <w:contextualSpacing w:val="0"/>
        <w:rPr>
          <w:bCs/>
          <w:lang w:val="en-GB"/>
        </w:rPr>
      </w:pPr>
      <w:r w:rsidRPr="00C45274">
        <w:rPr>
          <w:bCs/>
          <w:lang w:val="en-GB"/>
        </w:rPr>
        <w:t xml:space="preserve">a mid-point progress review meeting within </w:t>
      </w:r>
      <w:r w:rsidR="00A30155" w:rsidRPr="00C45274">
        <w:rPr>
          <w:bCs/>
          <w:lang w:val="en-GB"/>
        </w:rPr>
        <w:t>2</w:t>
      </w:r>
      <w:r w:rsidR="002200EC" w:rsidRPr="00C45274">
        <w:rPr>
          <w:bCs/>
          <w:lang w:val="en-GB"/>
        </w:rPr>
        <w:t>6</w:t>
      </w:r>
      <w:r w:rsidRPr="00C45274">
        <w:rPr>
          <w:bCs/>
          <w:lang w:val="en-GB"/>
        </w:rPr>
        <w:t xml:space="preserve"> weeks from signature of the contract; and</w:t>
      </w:r>
    </w:p>
    <w:p w14:paraId="3CEADE83" w14:textId="77777777" w:rsidR="00B167C5" w:rsidRPr="00C45274" w:rsidRDefault="00B167C5" w:rsidP="001D732E">
      <w:pPr>
        <w:pStyle w:val="Liststycke"/>
        <w:numPr>
          <w:ilvl w:val="0"/>
          <w:numId w:val="27"/>
        </w:numPr>
        <w:spacing w:after="120"/>
        <w:ind w:hanging="357"/>
        <w:contextualSpacing w:val="0"/>
        <w:rPr>
          <w:bCs/>
          <w:lang w:val="en-GB"/>
        </w:rPr>
      </w:pPr>
      <w:r w:rsidRPr="00C45274">
        <w:rPr>
          <w:bCs/>
          <w:lang w:val="en-GB"/>
        </w:rPr>
        <w:t>a final review meeting within four weeks from submission of the draft final report.</w:t>
      </w:r>
    </w:p>
    <w:p w14:paraId="19670974" w14:textId="1806C5EE" w:rsidR="00B167C5" w:rsidRPr="00C45274" w:rsidRDefault="00B167C5" w:rsidP="001D732E">
      <w:pPr>
        <w:pStyle w:val="Liststycke"/>
        <w:numPr>
          <w:ilvl w:val="0"/>
          <w:numId w:val="41"/>
        </w:numPr>
        <w:spacing w:after="120"/>
        <w:ind w:hanging="357"/>
        <w:contextualSpacing w:val="0"/>
      </w:pPr>
      <w:r w:rsidRPr="00C45274">
        <w:t xml:space="preserve">The contractor is also expected to be available for participating online and presenting the results of the project at </w:t>
      </w:r>
      <w:r w:rsidR="005D681E" w:rsidRPr="00C45274">
        <w:t>ICG-ORED meeting</w:t>
      </w:r>
      <w:r w:rsidR="009F598B" w:rsidRPr="00C45274">
        <w:t>s (dates to be confirmed)</w:t>
      </w:r>
      <w:r w:rsidR="005D681E" w:rsidRPr="00C45274">
        <w:t xml:space="preserve"> and at the </w:t>
      </w:r>
      <w:r w:rsidRPr="00C45274">
        <w:t xml:space="preserve">EIHA </w:t>
      </w:r>
      <w:r w:rsidR="00B707AD" w:rsidRPr="00C45274">
        <w:t>committee meeting in April, 202</w:t>
      </w:r>
      <w:r w:rsidR="009F598B" w:rsidRPr="00C45274">
        <w:t>5</w:t>
      </w:r>
      <w:r w:rsidR="00B707AD" w:rsidRPr="00C45274">
        <w:t>.</w:t>
      </w:r>
    </w:p>
    <w:p w14:paraId="20E27405" w14:textId="2A6298DF" w:rsidR="00B167C5" w:rsidRPr="00C45274" w:rsidRDefault="00B167C5" w:rsidP="001D732E">
      <w:pPr>
        <w:pStyle w:val="Liststycke"/>
        <w:numPr>
          <w:ilvl w:val="0"/>
          <w:numId w:val="41"/>
        </w:numPr>
        <w:spacing w:after="120"/>
        <w:ind w:hanging="357"/>
        <w:contextualSpacing w:val="0"/>
      </w:pPr>
      <w:r w:rsidRPr="00C45274">
        <w:t xml:space="preserve">The contractor is required to deliver an inception report within </w:t>
      </w:r>
      <w:r w:rsidR="00A30155" w:rsidRPr="00C45274">
        <w:t>six weeks</w:t>
      </w:r>
      <w:r w:rsidRPr="00C45274">
        <w:t xml:space="preserve"> from contract signature. A draft report with the results of the various steps indicated in </w:t>
      </w:r>
      <w:r w:rsidRPr="00C45274">
        <w:fldChar w:fldCharType="begin"/>
      </w:r>
      <w:r w:rsidRPr="00C45274">
        <w:instrText xml:space="preserve"> REF _Ref137450146 \h </w:instrText>
      </w:r>
      <w:r w:rsidR="003102E2" w:rsidRPr="00C45274">
        <w:instrText xml:space="preserve"> \* MERGEFORMAT </w:instrText>
      </w:r>
      <w:r w:rsidRPr="00C45274">
        <w:fldChar w:fldCharType="separate"/>
      </w:r>
      <w:r w:rsidRPr="00C45274">
        <w:t>Table 1</w:t>
      </w:r>
      <w:r w:rsidRPr="00C45274">
        <w:fldChar w:fldCharType="end"/>
      </w:r>
      <w:r w:rsidRPr="00C45274">
        <w:t xml:space="preserve"> shall be delivered by the contractor by </w:t>
      </w:r>
      <w:r w:rsidR="00A30155" w:rsidRPr="00C45274">
        <w:t>1</w:t>
      </w:r>
      <w:r w:rsidR="001E79EE" w:rsidRPr="00C45274">
        <w:t>4 February, 2025</w:t>
      </w:r>
      <w:r w:rsidRPr="00C45274">
        <w:t>. ICG-ORED will provide feedback on the draft report by</w:t>
      </w:r>
      <w:r w:rsidR="00A30155" w:rsidRPr="00C45274">
        <w:t xml:space="preserve"> 7 </w:t>
      </w:r>
      <w:r w:rsidR="001E79EE" w:rsidRPr="00C45274">
        <w:t>March</w:t>
      </w:r>
      <w:r w:rsidRPr="00C45274">
        <w:t xml:space="preserve">, upon which the contractor will have until </w:t>
      </w:r>
      <w:r w:rsidR="001E79EE" w:rsidRPr="00C45274">
        <w:t xml:space="preserve">1 April, 2025 </w:t>
      </w:r>
      <w:r w:rsidRPr="00C45274">
        <w:t>to finalise the</w:t>
      </w:r>
      <w:r w:rsidR="00A30155" w:rsidRPr="00C45274">
        <w:t xml:space="preserve"> draft final</w:t>
      </w:r>
      <w:r w:rsidR="00DF4DB8" w:rsidRPr="00C45274">
        <w:t xml:space="preserve"> </w:t>
      </w:r>
      <w:r w:rsidRPr="00C45274">
        <w:t>project report. The final review meeting will serve to discuss the dr</w:t>
      </w:r>
      <w:r w:rsidR="00A30155" w:rsidRPr="00C45274">
        <w:t>a</w:t>
      </w:r>
      <w:r w:rsidRPr="00C45274">
        <w:t>ft</w:t>
      </w:r>
      <w:r w:rsidR="00A30155" w:rsidRPr="00C45274">
        <w:t xml:space="preserve"> final </w:t>
      </w:r>
      <w:r w:rsidRPr="00C45274">
        <w:t>report, including ICG-ORED’s review ahead of the finalisation</w:t>
      </w:r>
      <w:r w:rsidR="00A30155" w:rsidRPr="00C45274">
        <w:t xml:space="preserve"> and acceptance </w:t>
      </w:r>
      <w:r w:rsidRPr="00C45274">
        <w:t>of the project report.</w:t>
      </w:r>
    </w:p>
    <w:p w14:paraId="2A89A53B" w14:textId="77777777" w:rsidR="00B167C5" w:rsidRPr="005D681E" w:rsidRDefault="00B167C5" w:rsidP="001D732E">
      <w:pPr>
        <w:pStyle w:val="Liststycke"/>
        <w:numPr>
          <w:ilvl w:val="0"/>
          <w:numId w:val="41"/>
        </w:numPr>
        <w:spacing w:after="120"/>
        <w:ind w:hanging="357"/>
        <w:contextualSpacing w:val="0"/>
      </w:pPr>
      <w:r w:rsidRPr="005D681E">
        <w:t>All communication and deliverables of the project are required to be in English. The contractor is responsible for language and accessibility proofing of deliverables.</w:t>
      </w:r>
    </w:p>
    <w:p w14:paraId="7D9491DC" w14:textId="77777777" w:rsidR="00B167C5" w:rsidRPr="005D681E" w:rsidRDefault="00B167C5" w:rsidP="00B167C5">
      <w:pPr>
        <w:rPr>
          <w:b/>
        </w:rPr>
      </w:pPr>
    </w:p>
    <w:p w14:paraId="47ACA56C" w14:textId="77777777" w:rsidR="00B167C5" w:rsidRPr="005D681E" w:rsidRDefault="00B167C5" w:rsidP="00B167C5">
      <w:pPr>
        <w:rPr>
          <w:b/>
        </w:rPr>
      </w:pPr>
      <w:r w:rsidRPr="005D681E">
        <w:rPr>
          <w:b/>
        </w:rPr>
        <w:t>9. Selection criteria and weighting</w:t>
      </w:r>
    </w:p>
    <w:tbl>
      <w:tblPr>
        <w:tblStyle w:val="Tabellrutnt"/>
        <w:tblW w:w="0" w:type="auto"/>
        <w:tblCellMar>
          <w:top w:w="28" w:type="dxa"/>
          <w:left w:w="28" w:type="dxa"/>
          <w:bottom w:w="28" w:type="dxa"/>
          <w:right w:w="28" w:type="dxa"/>
        </w:tblCellMar>
        <w:tblLook w:val="04A0" w:firstRow="1" w:lastRow="0" w:firstColumn="1" w:lastColumn="0" w:noHBand="0" w:noVBand="1"/>
      </w:tblPr>
      <w:tblGrid>
        <w:gridCol w:w="5949"/>
        <w:gridCol w:w="2126"/>
      </w:tblGrid>
      <w:tr w:rsidR="00B167C5" w:rsidRPr="005D681E" w14:paraId="32651FEE" w14:textId="77777777" w:rsidTr="00E00872">
        <w:tc>
          <w:tcPr>
            <w:tcW w:w="5949" w:type="dxa"/>
          </w:tcPr>
          <w:p w14:paraId="45530DDB" w14:textId="77777777" w:rsidR="00B167C5" w:rsidRPr="005D681E" w:rsidRDefault="00B167C5" w:rsidP="00E00872">
            <w:pPr>
              <w:rPr>
                <w:b/>
                <w:bCs/>
                <w:i/>
                <w:iCs/>
              </w:rPr>
            </w:pPr>
            <w:r w:rsidRPr="005D681E">
              <w:rPr>
                <w:b/>
                <w:bCs/>
                <w:i/>
                <w:iCs/>
              </w:rPr>
              <w:t>Criteria</w:t>
            </w:r>
          </w:p>
        </w:tc>
        <w:tc>
          <w:tcPr>
            <w:tcW w:w="2126" w:type="dxa"/>
          </w:tcPr>
          <w:p w14:paraId="1E475A6F" w14:textId="77777777" w:rsidR="00B167C5" w:rsidRPr="005D681E" w:rsidRDefault="00B167C5" w:rsidP="00E00872">
            <w:pPr>
              <w:jc w:val="center"/>
              <w:rPr>
                <w:b/>
                <w:bCs/>
                <w:i/>
                <w:iCs/>
              </w:rPr>
            </w:pPr>
            <w:r w:rsidRPr="005D681E">
              <w:rPr>
                <w:b/>
                <w:bCs/>
                <w:i/>
                <w:iCs/>
              </w:rPr>
              <w:t>Weighting (%)</w:t>
            </w:r>
          </w:p>
        </w:tc>
      </w:tr>
      <w:tr w:rsidR="00B167C5" w:rsidRPr="005D681E" w14:paraId="70326BF8" w14:textId="77777777" w:rsidTr="00E00872">
        <w:tc>
          <w:tcPr>
            <w:tcW w:w="5949" w:type="dxa"/>
          </w:tcPr>
          <w:p w14:paraId="6C86AB80" w14:textId="77777777" w:rsidR="00B167C5" w:rsidRPr="005D681E" w:rsidRDefault="00B167C5" w:rsidP="00E00872">
            <w:r w:rsidRPr="005D681E">
              <w:t>Understanding of and relevance to OSPAR’s requirements</w:t>
            </w:r>
          </w:p>
        </w:tc>
        <w:tc>
          <w:tcPr>
            <w:tcW w:w="2126" w:type="dxa"/>
          </w:tcPr>
          <w:p w14:paraId="056E36A1" w14:textId="6989FB93" w:rsidR="00B167C5" w:rsidRPr="005D681E" w:rsidRDefault="00250E0B" w:rsidP="00E00872">
            <w:pPr>
              <w:jc w:val="center"/>
            </w:pPr>
            <w:r>
              <w:t>10</w:t>
            </w:r>
          </w:p>
        </w:tc>
      </w:tr>
      <w:tr w:rsidR="00B167C5" w:rsidRPr="005D681E" w14:paraId="6AF41CF1" w14:textId="77777777" w:rsidTr="00E00872">
        <w:tc>
          <w:tcPr>
            <w:tcW w:w="5949" w:type="dxa"/>
          </w:tcPr>
          <w:p w14:paraId="5964ECBF" w14:textId="6D8534F4" w:rsidR="00B167C5" w:rsidRPr="005D681E" w:rsidRDefault="00B167C5" w:rsidP="00E00872">
            <w:r w:rsidRPr="005D681E">
              <w:t xml:space="preserve">Clarity and content of proposed </w:t>
            </w:r>
            <w:r w:rsidR="00250E0B">
              <w:t>methodology and approach</w:t>
            </w:r>
          </w:p>
        </w:tc>
        <w:tc>
          <w:tcPr>
            <w:tcW w:w="2126" w:type="dxa"/>
          </w:tcPr>
          <w:p w14:paraId="0FDB4BB5" w14:textId="2A4D6CD4" w:rsidR="00B167C5" w:rsidRPr="005D681E" w:rsidRDefault="00250E0B" w:rsidP="00E00872">
            <w:pPr>
              <w:jc w:val="center"/>
            </w:pPr>
            <w:r>
              <w:t>40</w:t>
            </w:r>
          </w:p>
        </w:tc>
      </w:tr>
      <w:tr w:rsidR="00B167C5" w:rsidRPr="005D681E" w14:paraId="3D745B9F" w14:textId="77777777" w:rsidTr="00E00872">
        <w:tc>
          <w:tcPr>
            <w:tcW w:w="5949" w:type="dxa"/>
          </w:tcPr>
          <w:p w14:paraId="3207409D" w14:textId="77777777" w:rsidR="00B167C5" w:rsidRPr="005D681E" w:rsidRDefault="00B167C5" w:rsidP="00E00872">
            <w:r w:rsidRPr="005D681E">
              <w:t>Contractor’s expertise and experience</w:t>
            </w:r>
          </w:p>
        </w:tc>
        <w:tc>
          <w:tcPr>
            <w:tcW w:w="2126" w:type="dxa"/>
          </w:tcPr>
          <w:p w14:paraId="5B4692A3" w14:textId="77777777" w:rsidR="00B167C5" w:rsidRPr="005D681E" w:rsidRDefault="00B167C5" w:rsidP="00E00872">
            <w:pPr>
              <w:jc w:val="center"/>
            </w:pPr>
            <w:r w:rsidRPr="005D681E">
              <w:t>25</w:t>
            </w:r>
          </w:p>
        </w:tc>
      </w:tr>
      <w:tr w:rsidR="00B167C5" w:rsidRPr="005D681E" w14:paraId="3057ED77" w14:textId="77777777" w:rsidTr="00E00872">
        <w:tc>
          <w:tcPr>
            <w:tcW w:w="5949" w:type="dxa"/>
          </w:tcPr>
          <w:p w14:paraId="33EBA586" w14:textId="77777777" w:rsidR="00B167C5" w:rsidRPr="005D681E" w:rsidRDefault="00B167C5" w:rsidP="00E00872">
            <w:r w:rsidRPr="005D681E">
              <w:t>Value for money</w:t>
            </w:r>
          </w:p>
        </w:tc>
        <w:tc>
          <w:tcPr>
            <w:tcW w:w="2126" w:type="dxa"/>
          </w:tcPr>
          <w:p w14:paraId="7239D972" w14:textId="77777777" w:rsidR="00B167C5" w:rsidRPr="005D681E" w:rsidRDefault="00B167C5" w:rsidP="00E00872">
            <w:pPr>
              <w:jc w:val="center"/>
            </w:pPr>
            <w:r w:rsidRPr="005D681E">
              <w:t>25</w:t>
            </w:r>
          </w:p>
        </w:tc>
      </w:tr>
    </w:tbl>
    <w:p w14:paraId="383DBC3B" w14:textId="77777777" w:rsidR="00B167C5" w:rsidRPr="005D681E" w:rsidRDefault="00B167C5" w:rsidP="00B167C5"/>
    <w:p w14:paraId="336B00A5" w14:textId="77777777" w:rsidR="00B167C5" w:rsidRPr="005D681E" w:rsidRDefault="00B167C5" w:rsidP="00B167C5">
      <w:pPr>
        <w:rPr>
          <w:b/>
        </w:rPr>
      </w:pPr>
      <w:r w:rsidRPr="005D681E">
        <w:rPr>
          <w:b/>
        </w:rPr>
        <w:t>10. Information required in the response to tender</w:t>
      </w:r>
    </w:p>
    <w:p w14:paraId="2B049249" w14:textId="7754C1FA" w:rsidR="00B167C5" w:rsidRPr="005D681E" w:rsidRDefault="00B167C5" w:rsidP="003102E2">
      <w:pPr>
        <w:pStyle w:val="Liststycke"/>
        <w:numPr>
          <w:ilvl w:val="0"/>
          <w:numId w:val="41"/>
        </w:numPr>
      </w:pPr>
      <w:r w:rsidRPr="005D681E">
        <w:t xml:space="preserve">The response to this call </w:t>
      </w:r>
      <w:r w:rsidR="00DF4DB8">
        <w:t>for</w:t>
      </w:r>
      <w:r w:rsidR="00DF4DB8" w:rsidRPr="005D681E">
        <w:t xml:space="preserve"> </w:t>
      </w:r>
      <w:r w:rsidRPr="005D681E">
        <w:t>tender should incorporate the following elements:</w:t>
      </w:r>
    </w:p>
    <w:p w14:paraId="696CB3EA" w14:textId="77777777" w:rsidR="00B167C5" w:rsidRPr="005D681E" w:rsidRDefault="00B167C5" w:rsidP="00B167C5">
      <w:pPr>
        <w:pStyle w:val="Liststycke"/>
        <w:numPr>
          <w:ilvl w:val="0"/>
          <w:numId w:val="28"/>
        </w:numPr>
        <w:rPr>
          <w:lang w:val="en-GB"/>
        </w:rPr>
      </w:pPr>
      <w:r w:rsidRPr="005D681E">
        <w:rPr>
          <w:lang w:val="en-GB"/>
        </w:rPr>
        <w:t>Demonstration of understanding of the issue and requirements;</w:t>
      </w:r>
    </w:p>
    <w:p w14:paraId="0A3EF718" w14:textId="6B0DD317" w:rsidR="00B167C5" w:rsidRPr="005D681E" w:rsidRDefault="00B167C5" w:rsidP="00B167C5">
      <w:pPr>
        <w:pStyle w:val="Liststycke"/>
        <w:numPr>
          <w:ilvl w:val="0"/>
          <w:numId w:val="28"/>
        </w:numPr>
        <w:rPr>
          <w:lang w:val="en-GB"/>
        </w:rPr>
      </w:pPr>
      <w:r w:rsidRPr="005D681E">
        <w:rPr>
          <w:lang w:val="en-GB"/>
        </w:rPr>
        <w:t xml:space="preserve">Description of how </w:t>
      </w:r>
      <w:r w:rsidR="00A30155">
        <w:rPr>
          <w:lang w:val="en-GB"/>
        </w:rPr>
        <w:t xml:space="preserve">the </w:t>
      </w:r>
      <w:r w:rsidR="00250E0B">
        <w:rPr>
          <w:lang w:val="en-GB"/>
        </w:rPr>
        <w:t xml:space="preserve">project </w:t>
      </w:r>
      <w:r w:rsidRPr="005D681E">
        <w:rPr>
          <w:lang w:val="en-GB"/>
        </w:rPr>
        <w:t xml:space="preserve">would be </w:t>
      </w:r>
      <w:r w:rsidR="00250E0B">
        <w:rPr>
          <w:lang w:val="en-GB"/>
        </w:rPr>
        <w:t>delivered</w:t>
      </w:r>
      <w:r w:rsidRPr="005D681E">
        <w:rPr>
          <w:lang w:val="en-GB"/>
        </w:rPr>
        <w:t>, including a preliminary outline of approach and timeline</w:t>
      </w:r>
      <w:r w:rsidR="00250E0B">
        <w:rPr>
          <w:lang w:val="en-GB"/>
        </w:rPr>
        <w:t>;</w:t>
      </w:r>
    </w:p>
    <w:p w14:paraId="2C9A1A74" w14:textId="251A1760" w:rsidR="00B167C5" w:rsidRPr="005D681E" w:rsidRDefault="00B167C5" w:rsidP="00B167C5">
      <w:pPr>
        <w:pStyle w:val="Liststycke"/>
        <w:numPr>
          <w:ilvl w:val="0"/>
          <w:numId w:val="28"/>
        </w:numPr>
        <w:rPr>
          <w:lang w:val="en-GB"/>
        </w:rPr>
      </w:pPr>
      <w:r w:rsidRPr="005D681E">
        <w:rPr>
          <w:lang w:val="en-GB"/>
        </w:rPr>
        <w:lastRenderedPageBreak/>
        <w:t>Examples of relevant previous experience</w:t>
      </w:r>
      <w:r w:rsidR="00250E0B">
        <w:rPr>
          <w:lang w:val="en-GB"/>
        </w:rPr>
        <w:t>;</w:t>
      </w:r>
    </w:p>
    <w:p w14:paraId="2EF5999A" w14:textId="77777777" w:rsidR="00B167C5" w:rsidRPr="005D681E" w:rsidRDefault="00B167C5" w:rsidP="00B167C5">
      <w:pPr>
        <w:pStyle w:val="Liststycke"/>
        <w:numPr>
          <w:ilvl w:val="0"/>
          <w:numId w:val="28"/>
        </w:numPr>
        <w:rPr>
          <w:lang w:val="en-GB"/>
        </w:rPr>
      </w:pPr>
      <w:r w:rsidRPr="005D681E">
        <w:rPr>
          <w:lang w:val="en-GB"/>
        </w:rPr>
        <w:t>Skills and expertise of proposed personnel;</w:t>
      </w:r>
    </w:p>
    <w:p w14:paraId="1F126B09" w14:textId="77777777" w:rsidR="00B167C5" w:rsidRPr="005D681E" w:rsidRDefault="00B167C5" w:rsidP="00B167C5">
      <w:pPr>
        <w:pStyle w:val="Liststycke"/>
        <w:numPr>
          <w:ilvl w:val="0"/>
          <w:numId w:val="28"/>
        </w:numPr>
        <w:rPr>
          <w:lang w:val="en-GB"/>
        </w:rPr>
      </w:pPr>
      <w:r w:rsidRPr="005D681E">
        <w:rPr>
          <w:lang w:val="en-GB"/>
        </w:rPr>
        <w:t>Project budget breakdown;</w:t>
      </w:r>
    </w:p>
    <w:p w14:paraId="20A0F3B1" w14:textId="1D56C0B3" w:rsidR="00B167C5" w:rsidRPr="005D681E" w:rsidRDefault="00B167C5" w:rsidP="00B167C5">
      <w:pPr>
        <w:pStyle w:val="Liststycke"/>
        <w:numPr>
          <w:ilvl w:val="0"/>
          <w:numId w:val="28"/>
        </w:numPr>
        <w:rPr>
          <w:lang w:val="en-GB"/>
        </w:rPr>
      </w:pPr>
      <w:r w:rsidRPr="005D681E">
        <w:rPr>
          <w:lang w:val="en-GB"/>
        </w:rPr>
        <w:t>Name</w:t>
      </w:r>
      <w:r w:rsidR="00E1438A">
        <w:rPr>
          <w:lang w:val="en-GB"/>
        </w:rPr>
        <w:t xml:space="preserve"> and full contact details </w:t>
      </w:r>
      <w:r w:rsidRPr="005D681E">
        <w:rPr>
          <w:lang w:val="en-GB"/>
        </w:rPr>
        <w:t>of a primary contact.</w:t>
      </w:r>
    </w:p>
    <w:p w14:paraId="09E28141" w14:textId="77777777" w:rsidR="00B167C5" w:rsidRDefault="00B167C5" w:rsidP="00250E0B"/>
    <w:p w14:paraId="5B5ED56F" w14:textId="1FF11753" w:rsidR="00F236BD" w:rsidRPr="005D681E" w:rsidRDefault="00F236BD" w:rsidP="00B167C5">
      <w:pPr>
        <w:rPr>
          <w:b/>
          <w:highlight w:val="yellow"/>
        </w:rPr>
      </w:pPr>
    </w:p>
    <w:sectPr w:rsidR="00F236BD" w:rsidRPr="005D681E" w:rsidSect="007968A7">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851" w:left="1134"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9B9B9" w14:textId="77777777" w:rsidR="00936C9F" w:rsidRDefault="00936C9F">
      <w:r>
        <w:separator/>
      </w:r>
    </w:p>
  </w:endnote>
  <w:endnote w:type="continuationSeparator" w:id="0">
    <w:p w14:paraId="14AE6C6D" w14:textId="77777777" w:rsidR="00936C9F" w:rsidRDefault="0093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C6CE" w14:textId="04C4E672" w:rsidR="00146812" w:rsidRDefault="00146812" w:rsidP="001D17BA">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3729E">
      <w:rPr>
        <w:rStyle w:val="Sidnummer"/>
        <w:noProof/>
      </w:rPr>
      <w:t>1</w:t>
    </w:r>
    <w:r>
      <w:rPr>
        <w:rStyle w:val="Sidnummer"/>
      </w:rPr>
      <w:fldChar w:fldCharType="end"/>
    </w:r>
  </w:p>
  <w:p w14:paraId="040CB06B" w14:textId="77777777" w:rsidR="00146812" w:rsidRDefault="00146812" w:rsidP="003740C7">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E97F" w14:textId="77777777" w:rsidR="00146812" w:rsidRDefault="00146812">
    <w:pPr>
      <w:pStyle w:val="Sidfot"/>
    </w:pPr>
  </w:p>
  <w:tbl>
    <w:tblPr>
      <w:tblW w:w="9647" w:type="dxa"/>
      <w:tblCellMar>
        <w:top w:w="57" w:type="dxa"/>
        <w:left w:w="0" w:type="dxa"/>
        <w:bottom w:w="57" w:type="dxa"/>
        <w:right w:w="0" w:type="dxa"/>
      </w:tblCellMar>
      <w:tblLook w:val="0000" w:firstRow="0" w:lastRow="0" w:firstColumn="0" w:lastColumn="0" w:noHBand="0" w:noVBand="0"/>
    </w:tblPr>
    <w:tblGrid>
      <w:gridCol w:w="4937"/>
      <w:gridCol w:w="4710"/>
    </w:tblGrid>
    <w:tr w:rsidR="00146812" w:rsidRPr="0047211A" w14:paraId="47883AC7" w14:textId="77777777" w:rsidTr="001207B5">
      <w:trPr>
        <w:cantSplit/>
        <w:trHeight w:hRule="exact" w:val="284"/>
      </w:trPr>
      <w:tc>
        <w:tcPr>
          <w:tcW w:w="9647" w:type="dxa"/>
          <w:gridSpan w:val="2"/>
          <w:tcBorders>
            <w:bottom w:val="single" w:sz="4" w:space="0" w:color="auto"/>
          </w:tcBorders>
        </w:tcPr>
        <w:p w14:paraId="75FB5F69" w14:textId="3D430C11" w:rsidR="00146812" w:rsidRPr="0047211A" w:rsidRDefault="00146812" w:rsidP="001207B5">
          <w:pPr>
            <w:pStyle w:val="Sidfot"/>
            <w:tabs>
              <w:tab w:val="left" w:pos="272"/>
            </w:tabs>
            <w:jc w:val="right"/>
            <w:rPr>
              <w:rFonts w:cs="Arial"/>
              <w:sz w:val="18"/>
              <w:szCs w:val="18"/>
            </w:rPr>
          </w:pPr>
          <w:r w:rsidRPr="0047211A">
            <w:rPr>
              <w:rStyle w:val="Sidnummer"/>
              <w:rFonts w:cs="Arial"/>
              <w:sz w:val="18"/>
              <w:szCs w:val="18"/>
            </w:rPr>
            <w:fldChar w:fldCharType="begin"/>
          </w:r>
          <w:r w:rsidRPr="0047211A">
            <w:rPr>
              <w:rStyle w:val="Sidnummer"/>
              <w:rFonts w:cs="Arial"/>
              <w:sz w:val="18"/>
              <w:szCs w:val="18"/>
            </w:rPr>
            <w:instrText xml:space="preserve"> PAGE </w:instrText>
          </w:r>
          <w:r w:rsidRPr="0047211A">
            <w:rPr>
              <w:rStyle w:val="Sidnummer"/>
              <w:rFonts w:cs="Arial"/>
              <w:sz w:val="18"/>
              <w:szCs w:val="18"/>
            </w:rPr>
            <w:fldChar w:fldCharType="separate"/>
          </w:r>
          <w:r w:rsidR="000E7F4A">
            <w:rPr>
              <w:rStyle w:val="Sidnummer"/>
              <w:rFonts w:cs="Arial"/>
              <w:noProof/>
              <w:sz w:val="18"/>
              <w:szCs w:val="18"/>
            </w:rPr>
            <w:t>8</w:t>
          </w:r>
          <w:r w:rsidRPr="0047211A">
            <w:rPr>
              <w:rStyle w:val="Sidnummer"/>
              <w:rFonts w:cs="Arial"/>
              <w:sz w:val="18"/>
              <w:szCs w:val="18"/>
            </w:rPr>
            <w:fldChar w:fldCharType="end"/>
          </w:r>
          <w:r w:rsidRPr="0047211A">
            <w:rPr>
              <w:rStyle w:val="Sidnummer"/>
              <w:rFonts w:cs="Arial"/>
              <w:sz w:val="18"/>
              <w:szCs w:val="18"/>
            </w:rPr>
            <w:t xml:space="preserve"> of </w:t>
          </w:r>
          <w:r w:rsidRPr="0047211A">
            <w:rPr>
              <w:rStyle w:val="Sidnummer"/>
              <w:rFonts w:cs="Arial"/>
              <w:sz w:val="18"/>
              <w:szCs w:val="18"/>
            </w:rPr>
            <w:fldChar w:fldCharType="begin"/>
          </w:r>
          <w:r w:rsidRPr="0047211A">
            <w:rPr>
              <w:rStyle w:val="Sidnummer"/>
              <w:rFonts w:cs="Arial"/>
              <w:sz w:val="18"/>
              <w:szCs w:val="18"/>
            </w:rPr>
            <w:instrText xml:space="preserve"> NUMPAGES </w:instrText>
          </w:r>
          <w:r w:rsidRPr="0047211A">
            <w:rPr>
              <w:rStyle w:val="Sidnummer"/>
              <w:rFonts w:cs="Arial"/>
              <w:sz w:val="18"/>
              <w:szCs w:val="18"/>
            </w:rPr>
            <w:fldChar w:fldCharType="separate"/>
          </w:r>
          <w:r w:rsidR="000E7F4A">
            <w:rPr>
              <w:rStyle w:val="Sidnummer"/>
              <w:rFonts w:cs="Arial"/>
              <w:noProof/>
              <w:sz w:val="18"/>
              <w:szCs w:val="18"/>
            </w:rPr>
            <w:t>8</w:t>
          </w:r>
          <w:r w:rsidRPr="0047211A">
            <w:rPr>
              <w:rStyle w:val="Sidnummer"/>
              <w:rFonts w:cs="Arial"/>
              <w:sz w:val="18"/>
              <w:szCs w:val="18"/>
            </w:rPr>
            <w:fldChar w:fldCharType="end"/>
          </w:r>
          <w:r w:rsidRPr="0047211A">
            <w:rPr>
              <w:rStyle w:val="Sidnummer"/>
              <w:rFonts w:cs="Arial"/>
              <w:sz w:val="18"/>
              <w:szCs w:val="18"/>
            </w:rPr>
            <w:t xml:space="preserve"> </w:t>
          </w:r>
        </w:p>
      </w:tc>
    </w:tr>
    <w:tr w:rsidR="00146812" w:rsidRPr="0047211A" w14:paraId="230CB7C1" w14:textId="77777777" w:rsidTr="001207B5">
      <w:trPr>
        <w:cantSplit/>
        <w:trHeight w:hRule="exact" w:val="284"/>
      </w:trPr>
      <w:tc>
        <w:tcPr>
          <w:tcW w:w="4937" w:type="dxa"/>
          <w:tcBorders>
            <w:top w:val="single" w:sz="4" w:space="0" w:color="auto"/>
          </w:tcBorders>
        </w:tcPr>
        <w:p w14:paraId="5043B30B" w14:textId="77777777" w:rsidR="00146812" w:rsidRPr="0047211A" w:rsidRDefault="00146812" w:rsidP="001207B5">
          <w:pPr>
            <w:pStyle w:val="Sidfot"/>
            <w:rPr>
              <w:rFonts w:cs="Arial"/>
              <w:sz w:val="18"/>
              <w:szCs w:val="18"/>
            </w:rPr>
          </w:pPr>
          <w:r w:rsidRPr="0047211A">
            <w:rPr>
              <w:rFonts w:cs="Arial"/>
              <w:sz w:val="18"/>
              <w:szCs w:val="18"/>
            </w:rPr>
            <w:t>OSPAR Commission</w:t>
          </w:r>
        </w:p>
      </w:tc>
      <w:tc>
        <w:tcPr>
          <w:tcW w:w="4710" w:type="dxa"/>
          <w:tcBorders>
            <w:top w:val="single" w:sz="4" w:space="0" w:color="auto"/>
          </w:tcBorders>
        </w:tcPr>
        <w:p w14:paraId="5038832A" w14:textId="0DE4DEC4" w:rsidR="00146812" w:rsidRPr="0047211A" w:rsidRDefault="00146812" w:rsidP="001172BF">
          <w:pPr>
            <w:pStyle w:val="Sidfot"/>
            <w:tabs>
              <w:tab w:val="left" w:pos="272"/>
            </w:tabs>
            <w:jc w:val="right"/>
            <w:rPr>
              <w:rFonts w:cs="Arial"/>
              <w:sz w:val="18"/>
              <w:szCs w:val="18"/>
            </w:rPr>
          </w:pPr>
        </w:p>
      </w:tc>
    </w:tr>
  </w:tbl>
  <w:p w14:paraId="39F22441" w14:textId="77777777" w:rsidR="00146812" w:rsidRDefault="00146812">
    <w:pPr>
      <w:pStyle w:val="Sidfot"/>
    </w:pPr>
  </w:p>
  <w:p w14:paraId="1965B3D9" w14:textId="77777777" w:rsidR="00146812" w:rsidRDefault="001468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F7262" w14:textId="77777777" w:rsidR="006E45E1" w:rsidRDefault="006E45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A5D62" w14:textId="77777777" w:rsidR="00936C9F" w:rsidRDefault="00936C9F">
      <w:r>
        <w:separator/>
      </w:r>
    </w:p>
  </w:footnote>
  <w:footnote w:type="continuationSeparator" w:id="0">
    <w:p w14:paraId="3C6A4E9A" w14:textId="77777777" w:rsidR="00936C9F" w:rsidRDefault="00936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E38D0" w14:textId="77777777" w:rsidR="006E45E1" w:rsidRDefault="006E45E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5BE2" w14:textId="77777777" w:rsidR="006E45E1" w:rsidRDefault="006E45E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E88C" w14:textId="77777777" w:rsidR="006E45E1" w:rsidRDefault="006E45E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E22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F3002"/>
    <w:multiLevelType w:val="hybridMultilevel"/>
    <w:tmpl w:val="592C6C9C"/>
    <w:lvl w:ilvl="0" w:tplc="08090019">
      <w:start w:val="1"/>
      <w:numFmt w:val="lowerLetter"/>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 w15:restartNumberingAfterBreak="0">
    <w:nsid w:val="09BC2E77"/>
    <w:multiLevelType w:val="hybridMultilevel"/>
    <w:tmpl w:val="9EB40C2A"/>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CEA1089"/>
    <w:multiLevelType w:val="hybridMultilevel"/>
    <w:tmpl w:val="200A945E"/>
    <w:lvl w:ilvl="0" w:tplc="041D001B">
      <w:start w:val="1"/>
      <w:numFmt w:val="lowerRoman"/>
      <w:lvlText w:val="%1."/>
      <w:lvlJc w:val="righ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32933E5"/>
    <w:multiLevelType w:val="hybridMultilevel"/>
    <w:tmpl w:val="31FE38F2"/>
    <w:lvl w:ilvl="0" w:tplc="041D001B">
      <w:start w:val="1"/>
      <w:numFmt w:val="lowerRoman"/>
      <w:lvlText w:val="%1."/>
      <w:lvlJc w:val="righ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72933C7"/>
    <w:multiLevelType w:val="hybridMultilevel"/>
    <w:tmpl w:val="360E07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E2511D"/>
    <w:multiLevelType w:val="multilevel"/>
    <w:tmpl w:val="0FA69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FF34D4"/>
    <w:multiLevelType w:val="hybridMultilevel"/>
    <w:tmpl w:val="DBCE1DC8"/>
    <w:lvl w:ilvl="0" w:tplc="041D0017">
      <w:start w:val="1"/>
      <w:numFmt w:val="lowerLetter"/>
      <w:lvlText w:val="%1)"/>
      <w:lvlJc w:val="left"/>
      <w:pPr>
        <w:ind w:left="927" w:hanging="360"/>
      </w:pPr>
      <w:rPr>
        <w:rFonts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8" w15:restartNumberingAfterBreak="0">
    <w:nsid w:val="1A78338A"/>
    <w:multiLevelType w:val="hybridMultilevel"/>
    <w:tmpl w:val="E8B87D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B87414E"/>
    <w:multiLevelType w:val="hybridMultilevel"/>
    <w:tmpl w:val="200A945E"/>
    <w:lvl w:ilvl="0" w:tplc="041D001B">
      <w:start w:val="1"/>
      <w:numFmt w:val="lowerRoman"/>
      <w:lvlText w:val="%1."/>
      <w:lvlJc w:val="righ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BF70368"/>
    <w:multiLevelType w:val="hybridMultilevel"/>
    <w:tmpl w:val="D352854E"/>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1" w15:restartNumberingAfterBreak="0">
    <w:nsid w:val="22072C0A"/>
    <w:multiLevelType w:val="hybridMultilevel"/>
    <w:tmpl w:val="7756C068"/>
    <w:lvl w:ilvl="0" w:tplc="C758F044">
      <w:numFmt w:val="bullet"/>
      <w:lvlText w:val="-"/>
      <w:lvlJc w:val="left"/>
      <w:pPr>
        <w:ind w:left="360" w:hanging="360"/>
      </w:pPr>
      <w:rPr>
        <w:rFonts w:ascii="Calibri" w:eastAsia="Times New Roman" w:hAnsi="Calibri" w:cs="Calibri" w:hint="default"/>
      </w:rPr>
    </w:lvl>
    <w:lvl w:ilvl="1" w:tplc="041D0003">
      <w:start w:val="1"/>
      <w:numFmt w:val="bullet"/>
      <w:lvlText w:val="o"/>
      <w:lvlJc w:val="left"/>
      <w:pPr>
        <w:ind w:left="1080" w:hanging="360"/>
      </w:pPr>
      <w:rPr>
        <w:rFonts w:ascii="Courier New" w:hAnsi="Courier New" w:cs="Courier New" w:hint="default"/>
      </w:rPr>
    </w:lvl>
    <w:lvl w:ilvl="2" w:tplc="041D0001">
      <w:start w:val="1"/>
      <w:numFmt w:val="bullet"/>
      <w:lvlText w:val=""/>
      <w:lvlJc w:val="left"/>
      <w:pPr>
        <w:ind w:left="1800" w:hanging="180"/>
      </w:pPr>
      <w:rPr>
        <w:rFonts w:ascii="Symbol" w:hAnsi="Symbol" w:hint="default"/>
      </w:r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23436D97"/>
    <w:multiLevelType w:val="hybridMultilevel"/>
    <w:tmpl w:val="F6884B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97229C1"/>
    <w:multiLevelType w:val="hybridMultilevel"/>
    <w:tmpl w:val="69487702"/>
    <w:lvl w:ilvl="0" w:tplc="9418C718">
      <w:start w:val="7"/>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9AA06D9"/>
    <w:multiLevelType w:val="hybridMultilevel"/>
    <w:tmpl w:val="AFB0A8F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2AE84160"/>
    <w:multiLevelType w:val="hybridMultilevel"/>
    <w:tmpl w:val="8C9258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2DD80558"/>
    <w:multiLevelType w:val="hybridMultilevel"/>
    <w:tmpl w:val="AA1A11BE"/>
    <w:lvl w:ilvl="0" w:tplc="B168640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31FE1792"/>
    <w:multiLevelType w:val="hybridMultilevel"/>
    <w:tmpl w:val="D3BA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25C9C"/>
    <w:multiLevelType w:val="multilevel"/>
    <w:tmpl w:val="41BA059E"/>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2602196"/>
    <w:multiLevelType w:val="hybridMultilevel"/>
    <w:tmpl w:val="22347C80"/>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15:restartNumberingAfterBreak="0">
    <w:nsid w:val="45CF67E3"/>
    <w:multiLevelType w:val="hybridMultilevel"/>
    <w:tmpl w:val="592C6C9C"/>
    <w:lvl w:ilvl="0" w:tplc="08090019">
      <w:start w:val="1"/>
      <w:numFmt w:val="lowerLetter"/>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1" w15:restartNumberingAfterBreak="0">
    <w:nsid w:val="472056F7"/>
    <w:multiLevelType w:val="hybridMultilevel"/>
    <w:tmpl w:val="C288560A"/>
    <w:lvl w:ilvl="0" w:tplc="041D001B">
      <w:start w:val="1"/>
      <w:numFmt w:val="lowerRoman"/>
      <w:lvlText w:val="%1."/>
      <w:lvlJc w:val="righ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9A878A1"/>
    <w:multiLevelType w:val="hybridMultilevel"/>
    <w:tmpl w:val="F17242B0"/>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4A364E0F"/>
    <w:multiLevelType w:val="multilevel"/>
    <w:tmpl w:val="7D6CF6D8"/>
    <w:lvl w:ilvl="0">
      <w:start w:val="1"/>
      <w:numFmt w:val="decimal"/>
      <w:pStyle w:val="Brdtext"/>
      <w:lvlText w:val="%1."/>
      <w:lvlJc w:val="left"/>
      <w:pPr>
        <w:tabs>
          <w:tab w:val="num" w:pos="1418"/>
        </w:tabs>
        <w:ind w:left="1418" w:hanging="1134"/>
      </w:pPr>
      <w:rPr>
        <w:rFonts w:hint="default"/>
      </w:rPr>
    </w:lvl>
    <w:lvl w:ilvl="1">
      <w:start w:val="1"/>
      <w:numFmt w:val="lowerLetter"/>
      <w:lvlText w:val="%2."/>
      <w:lvlJc w:val="left"/>
      <w:pPr>
        <w:tabs>
          <w:tab w:val="num" w:pos="1494"/>
        </w:tabs>
        <w:ind w:left="1418" w:hanging="284"/>
      </w:pPr>
      <w:rPr>
        <w:rFonts w:hint="default"/>
      </w:rPr>
    </w:lvl>
    <w:lvl w:ilvl="2">
      <w:start w:val="1"/>
      <w:numFmt w:val="lowerRoman"/>
      <w:lvlText w:val="%3."/>
      <w:lvlJc w:val="left"/>
      <w:pPr>
        <w:tabs>
          <w:tab w:val="num" w:pos="2138"/>
        </w:tabs>
        <w:ind w:left="1701" w:hanging="283"/>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24" w15:restartNumberingAfterBreak="0">
    <w:nsid w:val="4A4C091C"/>
    <w:multiLevelType w:val="hybridMultilevel"/>
    <w:tmpl w:val="4E9E5E86"/>
    <w:lvl w:ilvl="0" w:tplc="041D001B">
      <w:start w:val="1"/>
      <w:numFmt w:val="lowerRoman"/>
      <w:lvlText w:val="%1."/>
      <w:lvlJc w:val="righ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5" w15:restartNumberingAfterBreak="0">
    <w:nsid w:val="4AA02498"/>
    <w:multiLevelType w:val="hybridMultilevel"/>
    <w:tmpl w:val="43EACEEA"/>
    <w:lvl w:ilvl="0" w:tplc="B52CCAC4">
      <w:start w:val="7"/>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87C4FBD"/>
    <w:multiLevelType w:val="hybridMultilevel"/>
    <w:tmpl w:val="B8205006"/>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A6F15D5"/>
    <w:multiLevelType w:val="hybridMultilevel"/>
    <w:tmpl w:val="8DB620A0"/>
    <w:lvl w:ilvl="0" w:tplc="C758F044">
      <w:numFmt w:val="bullet"/>
      <w:lvlText w:val="-"/>
      <w:lvlJc w:val="left"/>
      <w:pPr>
        <w:ind w:left="360" w:hanging="360"/>
      </w:pPr>
      <w:rPr>
        <w:rFonts w:ascii="Calibri" w:eastAsia="Times New Roman"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922ACD"/>
    <w:multiLevelType w:val="hybridMultilevel"/>
    <w:tmpl w:val="5CF8F9A8"/>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0D061FD"/>
    <w:multiLevelType w:val="multilevel"/>
    <w:tmpl w:val="456CC36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3C1374A"/>
    <w:multiLevelType w:val="hybridMultilevel"/>
    <w:tmpl w:val="7D2A495A"/>
    <w:lvl w:ilvl="0" w:tplc="041D001B">
      <w:start w:val="1"/>
      <w:numFmt w:val="low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4236104"/>
    <w:multiLevelType w:val="hybridMultilevel"/>
    <w:tmpl w:val="5BCC3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B54415"/>
    <w:multiLevelType w:val="hybridMultilevel"/>
    <w:tmpl w:val="43C2BAB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7360E8"/>
    <w:multiLevelType w:val="hybridMultilevel"/>
    <w:tmpl w:val="D4C291A0"/>
    <w:lvl w:ilvl="0" w:tplc="C758F044">
      <w:numFmt w:val="bullet"/>
      <w:lvlText w:val="-"/>
      <w:lvlJc w:val="left"/>
      <w:pPr>
        <w:ind w:left="360" w:hanging="360"/>
      </w:pPr>
      <w:rPr>
        <w:rFonts w:ascii="Calibri" w:eastAsia="Times New Roman" w:hAnsi="Calibri" w:cs="Calibri" w:hint="default"/>
      </w:rPr>
    </w:lvl>
    <w:lvl w:ilvl="1" w:tplc="041D0003">
      <w:start w:val="1"/>
      <w:numFmt w:val="bullet"/>
      <w:lvlText w:val="o"/>
      <w:lvlJc w:val="left"/>
      <w:pPr>
        <w:ind w:left="1080" w:hanging="360"/>
      </w:pPr>
      <w:rPr>
        <w:rFonts w:ascii="Courier New" w:hAnsi="Courier New" w:cs="Courier New" w:hint="default"/>
      </w:r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4" w15:restartNumberingAfterBreak="0">
    <w:nsid w:val="6CC75ED0"/>
    <w:multiLevelType w:val="hybridMultilevel"/>
    <w:tmpl w:val="2732112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5" w15:restartNumberingAfterBreak="0">
    <w:nsid w:val="6EFD2EFA"/>
    <w:multiLevelType w:val="hybridMultilevel"/>
    <w:tmpl w:val="B7C23F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0164AD1"/>
    <w:multiLevelType w:val="hybridMultilevel"/>
    <w:tmpl w:val="EBC0B2CA"/>
    <w:lvl w:ilvl="0" w:tplc="041D001B">
      <w:start w:val="1"/>
      <w:numFmt w:val="lowerRoman"/>
      <w:lvlText w:val="%1."/>
      <w:lvlJc w:val="right"/>
      <w:pPr>
        <w:ind w:left="927" w:hanging="360"/>
      </w:pPr>
      <w:rPr>
        <w:rFonts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7" w15:restartNumberingAfterBreak="0">
    <w:nsid w:val="70511B27"/>
    <w:multiLevelType w:val="hybridMultilevel"/>
    <w:tmpl w:val="0DAC015C"/>
    <w:lvl w:ilvl="0" w:tplc="C758F044">
      <w:numFmt w:val="bullet"/>
      <w:lvlText w:val="-"/>
      <w:lvlJc w:val="left"/>
      <w:pPr>
        <w:ind w:left="360" w:hanging="360"/>
      </w:pPr>
      <w:rPr>
        <w:rFonts w:ascii="Calibri" w:eastAsia="Times New Roman" w:hAnsi="Calibri" w:cs="Calibri"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8" w15:restartNumberingAfterBreak="0">
    <w:nsid w:val="71D66FFE"/>
    <w:multiLevelType w:val="hybridMultilevel"/>
    <w:tmpl w:val="55B44D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E804EF5"/>
    <w:multiLevelType w:val="hybridMultilevel"/>
    <w:tmpl w:val="C42E89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DA3E6E"/>
    <w:multiLevelType w:val="hybridMultilevel"/>
    <w:tmpl w:val="970E7972"/>
    <w:lvl w:ilvl="0" w:tplc="08090019">
      <w:start w:val="1"/>
      <w:numFmt w:val="lowerLetter"/>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num w:numId="1">
    <w:abstractNumId w:val="23"/>
  </w:num>
  <w:num w:numId="2">
    <w:abstractNumId w:val="40"/>
  </w:num>
  <w:num w:numId="3">
    <w:abstractNumId w:val="6"/>
  </w:num>
  <w:num w:numId="4">
    <w:abstractNumId w:val="29"/>
  </w:num>
  <w:num w:numId="5">
    <w:abstractNumId w:val="17"/>
  </w:num>
  <w:num w:numId="6">
    <w:abstractNumId w:val="26"/>
  </w:num>
  <w:num w:numId="7">
    <w:abstractNumId w:val="20"/>
  </w:num>
  <w:num w:numId="8">
    <w:abstractNumId w:val="1"/>
  </w:num>
  <w:num w:numId="9">
    <w:abstractNumId w:val="18"/>
  </w:num>
  <w:num w:numId="10">
    <w:abstractNumId w:val="23"/>
  </w:num>
  <w:num w:numId="11">
    <w:abstractNumId w:val="31"/>
  </w:num>
  <w:num w:numId="12">
    <w:abstractNumId w:val="23"/>
  </w:num>
  <w:num w:numId="13">
    <w:abstractNumId w:val="23"/>
  </w:num>
  <w:num w:numId="14">
    <w:abstractNumId w:val="2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0"/>
  </w:num>
  <w:num w:numId="18">
    <w:abstractNumId w:val="23"/>
  </w:num>
  <w:num w:numId="19">
    <w:abstractNumId w:val="23"/>
  </w:num>
  <w:num w:numId="20">
    <w:abstractNumId w:val="23"/>
  </w:num>
  <w:num w:numId="21">
    <w:abstractNumId w:val="39"/>
  </w:num>
  <w:num w:numId="22">
    <w:abstractNumId w:val="32"/>
  </w:num>
  <w:num w:numId="23">
    <w:abstractNumId w:val="8"/>
  </w:num>
  <w:num w:numId="24">
    <w:abstractNumId w:val="35"/>
  </w:num>
  <w:num w:numId="25">
    <w:abstractNumId w:val="38"/>
  </w:num>
  <w:num w:numId="26">
    <w:abstractNumId w:val="5"/>
  </w:num>
  <w:num w:numId="27">
    <w:abstractNumId w:val="4"/>
  </w:num>
  <w:num w:numId="28">
    <w:abstractNumId w:val="30"/>
  </w:num>
  <w:num w:numId="29">
    <w:abstractNumId w:val="10"/>
  </w:num>
  <w:num w:numId="30">
    <w:abstractNumId w:val="37"/>
  </w:num>
  <w:num w:numId="31">
    <w:abstractNumId w:val="28"/>
  </w:num>
  <w:num w:numId="32">
    <w:abstractNumId w:val="27"/>
  </w:num>
  <w:num w:numId="33">
    <w:abstractNumId w:val="28"/>
  </w:num>
  <w:num w:numId="34">
    <w:abstractNumId w:val="33"/>
  </w:num>
  <w:num w:numId="35">
    <w:abstractNumId w:val="12"/>
  </w:num>
  <w:num w:numId="36">
    <w:abstractNumId w:val="16"/>
  </w:num>
  <w:num w:numId="37">
    <w:abstractNumId w:val="34"/>
  </w:num>
  <w:num w:numId="38">
    <w:abstractNumId w:val="15"/>
  </w:num>
  <w:num w:numId="39">
    <w:abstractNumId w:val="13"/>
  </w:num>
  <w:num w:numId="40">
    <w:abstractNumId w:val="25"/>
  </w:num>
  <w:num w:numId="41">
    <w:abstractNumId w:val="19"/>
  </w:num>
  <w:num w:numId="42">
    <w:abstractNumId w:val="14"/>
  </w:num>
  <w:num w:numId="43">
    <w:abstractNumId w:val="9"/>
  </w:num>
  <w:num w:numId="44">
    <w:abstractNumId w:val="36"/>
  </w:num>
  <w:num w:numId="45">
    <w:abstractNumId w:val="7"/>
  </w:num>
  <w:num w:numId="46">
    <w:abstractNumId w:val="21"/>
  </w:num>
  <w:num w:numId="47">
    <w:abstractNumId w:val="3"/>
  </w:num>
  <w:num w:numId="48">
    <w:abstractNumId w:val="24"/>
  </w:num>
  <w:num w:numId="49">
    <w:abstractNumId w:val="2"/>
  </w:num>
  <w:num w:numId="5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4577" fillcolor="white" strokecolor="none [671]">
      <v:fill color="white"/>
      <v:stroke color="none [671]"/>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A08"/>
    <w:rsid w:val="00002875"/>
    <w:rsid w:val="00004C2B"/>
    <w:rsid w:val="00006101"/>
    <w:rsid w:val="0000736A"/>
    <w:rsid w:val="000113B6"/>
    <w:rsid w:val="0001169E"/>
    <w:rsid w:val="00012957"/>
    <w:rsid w:val="00013994"/>
    <w:rsid w:val="000149FE"/>
    <w:rsid w:val="000176BC"/>
    <w:rsid w:val="000214D1"/>
    <w:rsid w:val="00022A06"/>
    <w:rsid w:val="00022E21"/>
    <w:rsid w:val="0002380F"/>
    <w:rsid w:val="0002383F"/>
    <w:rsid w:val="00023D36"/>
    <w:rsid w:val="00024AD9"/>
    <w:rsid w:val="00026896"/>
    <w:rsid w:val="00027AAE"/>
    <w:rsid w:val="000323C2"/>
    <w:rsid w:val="0003279C"/>
    <w:rsid w:val="00035296"/>
    <w:rsid w:val="00035401"/>
    <w:rsid w:val="000402D9"/>
    <w:rsid w:val="00040591"/>
    <w:rsid w:val="00040BC5"/>
    <w:rsid w:val="0004153B"/>
    <w:rsid w:val="00042062"/>
    <w:rsid w:val="0005298C"/>
    <w:rsid w:val="00056481"/>
    <w:rsid w:val="00062203"/>
    <w:rsid w:val="0006270C"/>
    <w:rsid w:val="0006525C"/>
    <w:rsid w:val="00065DA8"/>
    <w:rsid w:val="00066145"/>
    <w:rsid w:val="00067105"/>
    <w:rsid w:val="00070F9E"/>
    <w:rsid w:val="00071F23"/>
    <w:rsid w:val="00072010"/>
    <w:rsid w:val="000728EE"/>
    <w:rsid w:val="0007509B"/>
    <w:rsid w:val="00075228"/>
    <w:rsid w:val="0008533F"/>
    <w:rsid w:val="00085781"/>
    <w:rsid w:val="000860DB"/>
    <w:rsid w:val="000877BC"/>
    <w:rsid w:val="00087DC4"/>
    <w:rsid w:val="000926F5"/>
    <w:rsid w:val="000933D3"/>
    <w:rsid w:val="00093526"/>
    <w:rsid w:val="000A15F9"/>
    <w:rsid w:val="000A4421"/>
    <w:rsid w:val="000A4F2A"/>
    <w:rsid w:val="000A57C3"/>
    <w:rsid w:val="000A6689"/>
    <w:rsid w:val="000B30B1"/>
    <w:rsid w:val="000B39B8"/>
    <w:rsid w:val="000B3D31"/>
    <w:rsid w:val="000B6733"/>
    <w:rsid w:val="000B6C3C"/>
    <w:rsid w:val="000B6EA4"/>
    <w:rsid w:val="000B793D"/>
    <w:rsid w:val="000C5518"/>
    <w:rsid w:val="000C5A08"/>
    <w:rsid w:val="000C622D"/>
    <w:rsid w:val="000D067D"/>
    <w:rsid w:val="000D1020"/>
    <w:rsid w:val="000D1536"/>
    <w:rsid w:val="000D2DFF"/>
    <w:rsid w:val="000D3DAB"/>
    <w:rsid w:val="000D4E33"/>
    <w:rsid w:val="000D4EE4"/>
    <w:rsid w:val="000D5350"/>
    <w:rsid w:val="000D590B"/>
    <w:rsid w:val="000D6A4B"/>
    <w:rsid w:val="000D6D67"/>
    <w:rsid w:val="000D7CD3"/>
    <w:rsid w:val="000E0686"/>
    <w:rsid w:val="000E06B4"/>
    <w:rsid w:val="000E1BC5"/>
    <w:rsid w:val="000E29E1"/>
    <w:rsid w:val="000E6AAD"/>
    <w:rsid w:val="000E7F4A"/>
    <w:rsid w:val="000F0154"/>
    <w:rsid w:val="000F018D"/>
    <w:rsid w:val="000F21B6"/>
    <w:rsid w:val="000F3865"/>
    <w:rsid w:val="000F478B"/>
    <w:rsid w:val="000F4870"/>
    <w:rsid w:val="000F4EB2"/>
    <w:rsid w:val="000F618F"/>
    <w:rsid w:val="000F6393"/>
    <w:rsid w:val="000F689B"/>
    <w:rsid w:val="000F6D80"/>
    <w:rsid w:val="00104363"/>
    <w:rsid w:val="00110EB2"/>
    <w:rsid w:val="00111D7D"/>
    <w:rsid w:val="00111E4A"/>
    <w:rsid w:val="00112585"/>
    <w:rsid w:val="001172BF"/>
    <w:rsid w:val="001207B5"/>
    <w:rsid w:val="001211F1"/>
    <w:rsid w:val="00125064"/>
    <w:rsid w:val="001313D8"/>
    <w:rsid w:val="00133F8D"/>
    <w:rsid w:val="001342EE"/>
    <w:rsid w:val="00134926"/>
    <w:rsid w:val="0013664B"/>
    <w:rsid w:val="00137313"/>
    <w:rsid w:val="00137F54"/>
    <w:rsid w:val="00140435"/>
    <w:rsid w:val="00144CB8"/>
    <w:rsid w:val="00144D76"/>
    <w:rsid w:val="00146812"/>
    <w:rsid w:val="00147113"/>
    <w:rsid w:val="00147CE1"/>
    <w:rsid w:val="00150EE5"/>
    <w:rsid w:val="001521AB"/>
    <w:rsid w:val="00154BB8"/>
    <w:rsid w:val="00154D98"/>
    <w:rsid w:val="00156786"/>
    <w:rsid w:val="00156812"/>
    <w:rsid w:val="001627D6"/>
    <w:rsid w:val="00163ED8"/>
    <w:rsid w:val="0016532C"/>
    <w:rsid w:val="00167732"/>
    <w:rsid w:val="00167AF0"/>
    <w:rsid w:val="0017119B"/>
    <w:rsid w:val="00171651"/>
    <w:rsid w:val="00172753"/>
    <w:rsid w:val="0017437E"/>
    <w:rsid w:val="00176C47"/>
    <w:rsid w:val="0018090F"/>
    <w:rsid w:val="001824BF"/>
    <w:rsid w:val="001828DB"/>
    <w:rsid w:val="001840BE"/>
    <w:rsid w:val="00184B13"/>
    <w:rsid w:val="0018531B"/>
    <w:rsid w:val="001863B7"/>
    <w:rsid w:val="00186471"/>
    <w:rsid w:val="00186B91"/>
    <w:rsid w:val="00190162"/>
    <w:rsid w:val="00194007"/>
    <w:rsid w:val="00195028"/>
    <w:rsid w:val="00195132"/>
    <w:rsid w:val="00195371"/>
    <w:rsid w:val="001A0D43"/>
    <w:rsid w:val="001A3CAD"/>
    <w:rsid w:val="001B0257"/>
    <w:rsid w:val="001B0767"/>
    <w:rsid w:val="001B4C27"/>
    <w:rsid w:val="001B77BE"/>
    <w:rsid w:val="001B7F11"/>
    <w:rsid w:val="001C0E35"/>
    <w:rsid w:val="001C1BAD"/>
    <w:rsid w:val="001C3236"/>
    <w:rsid w:val="001C418A"/>
    <w:rsid w:val="001C5387"/>
    <w:rsid w:val="001C5814"/>
    <w:rsid w:val="001C63FE"/>
    <w:rsid w:val="001C70F1"/>
    <w:rsid w:val="001C7C37"/>
    <w:rsid w:val="001D17BA"/>
    <w:rsid w:val="001D5486"/>
    <w:rsid w:val="001D570E"/>
    <w:rsid w:val="001D61D4"/>
    <w:rsid w:val="001D61E4"/>
    <w:rsid w:val="001D732E"/>
    <w:rsid w:val="001E0A8B"/>
    <w:rsid w:val="001E2F28"/>
    <w:rsid w:val="001E30C0"/>
    <w:rsid w:val="001E33DA"/>
    <w:rsid w:val="001E4347"/>
    <w:rsid w:val="001E4518"/>
    <w:rsid w:val="001E485C"/>
    <w:rsid w:val="001E50BD"/>
    <w:rsid w:val="001E5F32"/>
    <w:rsid w:val="001E79EE"/>
    <w:rsid w:val="001F0F7E"/>
    <w:rsid w:val="001F1769"/>
    <w:rsid w:val="001F2429"/>
    <w:rsid w:val="001F2D61"/>
    <w:rsid w:val="001F2E85"/>
    <w:rsid w:val="001F30EE"/>
    <w:rsid w:val="001F34FB"/>
    <w:rsid w:val="001F450B"/>
    <w:rsid w:val="001F5E83"/>
    <w:rsid w:val="001F7ABB"/>
    <w:rsid w:val="0020312E"/>
    <w:rsid w:val="00207E6B"/>
    <w:rsid w:val="00211E46"/>
    <w:rsid w:val="0021280C"/>
    <w:rsid w:val="00214D70"/>
    <w:rsid w:val="002161A7"/>
    <w:rsid w:val="00216EF9"/>
    <w:rsid w:val="00217183"/>
    <w:rsid w:val="002200EC"/>
    <w:rsid w:val="0022184A"/>
    <w:rsid w:val="002256AD"/>
    <w:rsid w:val="00233126"/>
    <w:rsid w:val="00234587"/>
    <w:rsid w:val="00241F08"/>
    <w:rsid w:val="00242AAF"/>
    <w:rsid w:val="002430D6"/>
    <w:rsid w:val="002430E4"/>
    <w:rsid w:val="00245A4F"/>
    <w:rsid w:val="002462F0"/>
    <w:rsid w:val="002472F6"/>
    <w:rsid w:val="00250E0B"/>
    <w:rsid w:val="002513C2"/>
    <w:rsid w:val="00251D1D"/>
    <w:rsid w:val="00251E40"/>
    <w:rsid w:val="00252494"/>
    <w:rsid w:val="00254F72"/>
    <w:rsid w:val="00261B25"/>
    <w:rsid w:val="00261E92"/>
    <w:rsid w:val="00262D52"/>
    <w:rsid w:val="00264907"/>
    <w:rsid w:val="00264FFC"/>
    <w:rsid w:val="00266660"/>
    <w:rsid w:val="002666A2"/>
    <w:rsid w:val="00266A0D"/>
    <w:rsid w:val="00266F2C"/>
    <w:rsid w:val="00271BE8"/>
    <w:rsid w:val="00272224"/>
    <w:rsid w:val="00272B8B"/>
    <w:rsid w:val="002732F2"/>
    <w:rsid w:val="00273D50"/>
    <w:rsid w:val="00274CF3"/>
    <w:rsid w:val="00275659"/>
    <w:rsid w:val="00276381"/>
    <w:rsid w:val="002823C1"/>
    <w:rsid w:val="00286266"/>
    <w:rsid w:val="00287457"/>
    <w:rsid w:val="002878F6"/>
    <w:rsid w:val="00290442"/>
    <w:rsid w:val="0029262A"/>
    <w:rsid w:val="00295223"/>
    <w:rsid w:val="00295DA8"/>
    <w:rsid w:val="00297CE4"/>
    <w:rsid w:val="002A1E61"/>
    <w:rsid w:val="002A1FC6"/>
    <w:rsid w:val="002A25A4"/>
    <w:rsid w:val="002A26A1"/>
    <w:rsid w:val="002A2954"/>
    <w:rsid w:val="002A5A7F"/>
    <w:rsid w:val="002A6C99"/>
    <w:rsid w:val="002B03F3"/>
    <w:rsid w:val="002B0CFB"/>
    <w:rsid w:val="002B0F84"/>
    <w:rsid w:val="002B4394"/>
    <w:rsid w:val="002B678D"/>
    <w:rsid w:val="002B689C"/>
    <w:rsid w:val="002B74AC"/>
    <w:rsid w:val="002B77AB"/>
    <w:rsid w:val="002C0F3C"/>
    <w:rsid w:val="002C3759"/>
    <w:rsid w:val="002C4695"/>
    <w:rsid w:val="002C54D1"/>
    <w:rsid w:val="002C60C4"/>
    <w:rsid w:val="002D1F31"/>
    <w:rsid w:val="002D322C"/>
    <w:rsid w:val="002D4047"/>
    <w:rsid w:val="002D446C"/>
    <w:rsid w:val="002D4B03"/>
    <w:rsid w:val="002D6F01"/>
    <w:rsid w:val="002E1D39"/>
    <w:rsid w:val="002E4C7C"/>
    <w:rsid w:val="002E5DB1"/>
    <w:rsid w:val="002E6A84"/>
    <w:rsid w:val="002E787C"/>
    <w:rsid w:val="002F05A6"/>
    <w:rsid w:val="002F0703"/>
    <w:rsid w:val="002F1BFC"/>
    <w:rsid w:val="002F2A00"/>
    <w:rsid w:val="002F50F1"/>
    <w:rsid w:val="002F53AB"/>
    <w:rsid w:val="002F6758"/>
    <w:rsid w:val="002F6A39"/>
    <w:rsid w:val="002F7EFA"/>
    <w:rsid w:val="0030104A"/>
    <w:rsid w:val="00301C00"/>
    <w:rsid w:val="00301C7E"/>
    <w:rsid w:val="003026FE"/>
    <w:rsid w:val="00304930"/>
    <w:rsid w:val="003102E2"/>
    <w:rsid w:val="00312B64"/>
    <w:rsid w:val="003171E9"/>
    <w:rsid w:val="003200FB"/>
    <w:rsid w:val="00321130"/>
    <w:rsid w:val="00322B77"/>
    <w:rsid w:val="003276E0"/>
    <w:rsid w:val="00327DBD"/>
    <w:rsid w:val="00331664"/>
    <w:rsid w:val="003338DA"/>
    <w:rsid w:val="00334D01"/>
    <w:rsid w:val="00334D50"/>
    <w:rsid w:val="003366F6"/>
    <w:rsid w:val="00337F46"/>
    <w:rsid w:val="00342B7C"/>
    <w:rsid w:val="00342F74"/>
    <w:rsid w:val="00343034"/>
    <w:rsid w:val="003464E6"/>
    <w:rsid w:val="00351A1B"/>
    <w:rsid w:val="00354A31"/>
    <w:rsid w:val="003568C1"/>
    <w:rsid w:val="00361847"/>
    <w:rsid w:val="00362051"/>
    <w:rsid w:val="0036299D"/>
    <w:rsid w:val="0037051D"/>
    <w:rsid w:val="003718BF"/>
    <w:rsid w:val="003728F1"/>
    <w:rsid w:val="00372A53"/>
    <w:rsid w:val="00373E51"/>
    <w:rsid w:val="003740C7"/>
    <w:rsid w:val="00375A4D"/>
    <w:rsid w:val="00376738"/>
    <w:rsid w:val="0038574B"/>
    <w:rsid w:val="00387F88"/>
    <w:rsid w:val="003909CA"/>
    <w:rsid w:val="00390AF9"/>
    <w:rsid w:val="003927ED"/>
    <w:rsid w:val="00392FE9"/>
    <w:rsid w:val="00393936"/>
    <w:rsid w:val="00395DEB"/>
    <w:rsid w:val="00395FEF"/>
    <w:rsid w:val="0039708A"/>
    <w:rsid w:val="003978FF"/>
    <w:rsid w:val="0039798E"/>
    <w:rsid w:val="003A0CAA"/>
    <w:rsid w:val="003A2571"/>
    <w:rsid w:val="003A3BC0"/>
    <w:rsid w:val="003A5CF0"/>
    <w:rsid w:val="003A6AC0"/>
    <w:rsid w:val="003B0EF7"/>
    <w:rsid w:val="003B3284"/>
    <w:rsid w:val="003B65A8"/>
    <w:rsid w:val="003C50D1"/>
    <w:rsid w:val="003C5A9C"/>
    <w:rsid w:val="003C6B6C"/>
    <w:rsid w:val="003D02A0"/>
    <w:rsid w:val="003D0324"/>
    <w:rsid w:val="003D130A"/>
    <w:rsid w:val="003D3DE9"/>
    <w:rsid w:val="003D3E0A"/>
    <w:rsid w:val="003D6510"/>
    <w:rsid w:val="003D6D5C"/>
    <w:rsid w:val="003E1EBD"/>
    <w:rsid w:val="003E2657"/>
    <w:rsid w:val="003E2E98"/>
    <w:rsid w:val="003E5A06"/>
    <w:rsid w:val="00402D0B"/>
    <w:rsid w:val="00404D65"/>
    <w:rsid w:val="00405025"/>
    <w:rsid w:val="0040616B"/>
    <w:rsid w:val="0040638D"/>
    <w:rsid w:val="00407E28"/>
    <w:rsid w:val="00410609"/>
    <w:rsid w:val="00410D20"/>
    <w:rsid w:val="0041113B"/>
    <w:rsid w:val="00411366"/>
    <w:rsid w:val="004122F1"/>
    <w:rsid w:val="00415C30"/>
    <w:rsid w:val="00417E2A"/>
    <w:rsid w:val="004239E0"/>
    <w:rsid w:val="00425A29"/>
    <w:rsid w:val="00426181"/>
    <w:rsid w:val="004261C8"/>
    <w:rsid w:val="00427515"/>
    <w:rsid w:val="004276D5"/>
    <w:rsid w:val="004316B5"/>
    <w:rsid w:val="0043214B"/>
    <w:rsid w:val="00432305"/>
    <w:rsid w:val="00433E96"/>
    <w:rsid w:val="004344B7"/>
    <w:rsid w:val="00434FCF"/>
    <w:rsid w:val="00435E0E"/>
    <w:rsid w:val="0043670A"/>
    <w:rsid w:val="004367D3"/>
    <w:rsid w:val="00442828"/>
    <w:rsid w:val="00443222"/>
    <w:rsid w:val="00446401"/>
    <w:rsid w:val="00446E4C"/>
    <w:rsid w:val="00451858"/>
    <w:rsid w:val="00452BA2"/>
    <w:rsid w:val="00453011"/>
    <w:rsid w:val="00454678"/>
    <w:rsid w:val="00454A44"/>
    <w:rsid w:val="00454EEB"/>
    <w:rsid w:val="00455130"/>
    <w:rsid w:val="00460882"/>
    <w:rsid w:val="00461244"/>
    <w:rsid w:val="00461D78"/>
    <w:rsid w:val="004632FF"/>
    <w:rsid w:val="00467518"/>
    <w:rsid w:val="004707EE"/>
    <w:rsid w:val="004719C0"/>
    <w:rsid w:val="00471CCF"/>
    <w:rsid w:val="00473F36"/>
    <w:rsid w:val="00476FB0"/>
    <w:rsid w:val="00477C24"/>
    <w:rsid w:val="004804B8"/>
    <w:rsid w:val="00480BC5"/>
    <w:rsid w:val="004830B1"/>
    <w:rsid w:val="004844E5"/>
    <w:rsid w:val="004864A7"/>
    <w:rsid w:val="004904DD"/>
    <w:rsid w:val="00491BEE"/>
    <w:rsid w:val="00493C83"/>
    <w:rsid w:val="00494BE1"/>
    <w:rsid w:val="00494E0A"/>
    <w:rsid w:val="00497CE5"/>
    <w:rsid w:val="004A10E5"/>
    <w:rsid w:val="004A2AFC"/>
    <w:rsid w:val="004A577E"/>
    <w:rsid w:val="004A57A5"/>
    <w:rsid w:val="004A6AC9"/>
    <w:rsid w:val="004A7114"/>
    <w:rsid w:val="004B02B0"/>
    <w:rsid w:val="004B7198"/>
    <w:rsid w:val="004C00A5"/>
    <w:rsid w:val="004C0F16"/>
    <w:rsid w:val="004C55F0"/>
    <w:rsid w:val="004C6A88"/>
    <w:rsid w:val="004D03D3"/>
    <w:rsid w:val="004D04B3"/>
    <w:rsid w:val="004D071E"/>
    <w:rsid w:val="004D0C9B"/>
    <w:rsid w:val="004D1193"/>
    <w:rsid w:val="004D252A"/>
    <w:rsid w:val="004D25CC"/>
    <w:rsid w:val="004D3FE0"/>
    <w:rsid w:val="004D5714"/>
    <w:rsid w:val="004D6CE0"/>
    <w:rsid w:val="004D72E4"/>
    <w:rsid w:val="004E0D39"/>
    <w:rsid w:val="004E462F"/>
    <w:rsid w:val="004E57DF"/>
    <w:rsid w:val="004E5890"/>
    <w:rsid w:val="004E67A0"/>
    <w:rsid w:val="004E76DE"/>
    <w:rsid w:val="004F12BB"/>
    <w:rsid w:val="004F512C"/>
    <w:rsid w:val="004F5440"/>
    <w:rsid w:val="004F562A"/>
    <w:rsid w:val="004F5A15"/>
    <w:rsid w:val="004F6E94"/>
    <w:rsid w:val="004F7654"/>
    <w:rsid w:val="004F7B7C"/>
    <w:rsid w:val="00501D33"/>
    <w:rsid w:val="005020D6"/>
    <w:rsid w:val="00502223"/>
    <w:rsid w:val="005058B0"/>
    <w:rsid w:val="00505A7B"/>
    <w:rsid w:val="00511AA6"/>
    <w:rsid w:val="005152BD"/>
    <w:rsid w:val="00517759"/>
    <w:rsid w:val="005238E6"/>
    <w:rsid w:val="00523DBA"/>
    <w:rsid w:val="00526BB2"/>
    <w:rsid w:val="00526E63"/>
    <w:rsid w:val="0052766D"/>
    <w:rsid w:val="00531701"/>
    <w:rsid w:val="005321F4"/>
    <w:rsid w:val="0053257B"/>
    <w:rsid w:val="00532639"/>
    <w:rsid w:val="005349C6"/>
    <w:rsid w:val="00536076"/>
    <w:rsid w:val="0054207A"/>
    <w:rsid w:val="00542A4D"/>
    <w:rsid w:val="00543096"/>
    <w:rsid w:val="00543545"/>
    <w:rsid w:val="005437CD"/>
    <w:rsid w:val="00545985"/>
    <w:rsid w:val="0054697C"/>
    <w:rsid w:val="00551313"/>
    <w:rsid w:val="00552D39"/>
    <w:rsid w:val="00554A5D"/>
    <w:rsid w:val="00554D34"/>
    <w:rsid w:val="005576C7"/>
    <w:rsid w:val="00557DF7"/>
    <w:rsid w:val="005618F2"/>
    <w:rsid w:val="0056202A"/>
    <w:rsid w:val="00562D77"/>
    <w:rsid w:val="00566E51"/>
    <w:rsid w:val="0057043F"/>
    <w:rsid w:val="0057178B"/>
    <w:rsid w:val="00572417"/>
    <w:rsid w:val="0057393F"/>
    <w:rsid w:val="00574173"/>
    <w:rsid w:val="0057499E"/>
    <w:rsid w:val="00574C79"/>
    <w:rsid w:val="00574EEA"/>
    <w:rsid w:val="00575C44"/>
    <w:rsid w:val="00575F80"/>
    <w:rsid w:val="0057608B"/>
    <w:rsid w:val="005803D6"/>
    <w:rsid w:val="00582FB1"/>
    <w:rsid w:val="00583051"/>
    <w:rsid w:val="00586637"/>
    <w:rsid w:val="00590D7E"/>
    <w:rsid w:val="00592C16"/>
    <w:rsid w:val="00594705"/>
    <w:rsid w:val="00595538"/>
    <w:rsid w:val="00596196"/>
    <w:rsid w:val="005962C5"/>
    <w:rsid w:val="005A1956"/>
    <w:rsid w:val="005A299B"/>
    <w:rsid w:val="005A5870"/>
    <w:rsid w:val="005A5FDE"/>
    <w:rsid w:val="005A77A0"/>
    <w:rsid w:val="005B0434"/>
    <w:rsid w:val="005B2188"/>
    <w:rsid w:val="005B3013"/>
    <w:rsid w:val="005B55F1"/>
    <w:rsid w:val="005B5EC2"/>
    <w:rsid w:val="005B6071"/>
    <w:rsid w:val="005C0962"/>
    <w:rsid w:val="005C0D1D"/>
    <w:rsid w:val="005C7AA4"/>
    <w:rsid w:val="005C7D3B"/>
    <w:rsid w:val="005D090E"/>
    <w:rsid w:val="005D2A6B"/>
    <w:rsid w:val="005D37B7"/>
    <w:rsid w:val="005D50B4"/>
    <w:rsid w:val="005D681E"/>
    <w:rsid w:val="005E052B"/>
    <w:rsid w:val="005E067E"/>
    <w:rsid w:val="005E2E4D"/>
    <w:rsid w:val="005E3C6C"/>
    <w:rsid w:val="005E57E8"/>
    <w:rsid w:val="005E6220"/>
    <w:rsid w:val="005F09FF"/>
    <w:rsid w:val="005F0CD3"/>
    <w:rsid w:val="005F0DC7"/>
    <w:rsid w:val="005F5811"/>
    <w:rsid w:val="005F762C"/>
    <w:rsid w:val="006001B8"/>
    <w:rsid w:val="00601E9B"/>
    <w:rsid w:val="00606F95"/>
    <w:rsid w:val="0061079A"/>
    <w:rsid w:val="0061244D"/>
    <w:rsid w:val="00614F63"/>
    <w:rsid w:val="0061581E"/>
    <w:rsid w:val="0061721D"/>
    <w:rsid w:val="0061765F"/>
    <w:rsid w:val="00620487"/>
    <w:rsid w:val="0062151A"/>
    <w:rsid w:val="00621EDE"/>
    <w:rsid w:val="00632B34"/>
    <w:rsid w:val="00635F4B"/>
    <w:rsid w:val="006368C8"/>
    <w:rsid w:val="00637D39"/>
    <w:rsid w:val="006415DA"/>
    <w:rsid w:val="00642EB0"/>
    <w:rsid w:val="00643439"/>
    <w:rsid w:val="0064394F"/>
    <w:rsid w:val="0064445E"/>
    <w:rsid w:val="006454EB"/>
    <w:rsid w:val="00645AEC"/>
    <w:rsid w:val="00646B36"/>
    <w:rsid w:val="006504BB"/>
    <w:rsid w:val="00653D32"/>
    <w:rsid w:val="0065552D"/>
    <w:rsid w:val="00661084"/>
    <w:rsid w:val="006621C0"/>
    <w:rsid w:val="0066419E"/>
    <w:rsid w:val="0066468C"/>
    <w:rsid w:val="00665F23"/>
    <w:rsid w:val="00666BD5"/>
    <w:rsid w:val="0066711E"/>
    <w:rsid w:val="00672665"/>
    <w:rsid w:val="00672805"/>
    <w:rsid w:val="00673051"/>
    <w:rsid w:val="00674462"/>
    <w:rsid w:val="00676BB5"/>
    <w:rsid w:val="006775FE"/>
    <w:rsid w:val="00682075"/>
    <w:rsid w:val="00691748"/>
    <w:rsid w:val="00691EE3"/>
    <w:rsid w:val="00692F1A"/>
    <w:rsid w:val="0069431B"/>
    <w:rsid w:val="006A1A5E"/>
    <w:rsid w:val="006A2F16"/>
    <w:rsid w:val="006A4369"/>
    <w:rsid w:val="006A441C"/>
    <w:rsid w:val="006A7BB1"/>
    <w:rsid w:val="006A7FA2"/>
    <w:rsid w:val="006B00E7"/>
    <w:rsid w:val="006B01EB"/>
    <w:rsid w:val="006B0C01"/>
    <w:rsid w:val="006B12B7"/>
    <w:rsid w:val="006B3D01"/>
    <w:rsid w:val="006B5408"/>
    <w:rsid w:val="006C0AA2"/>
    <w:rsid w:val="006C1CAC"/>
    <w:rsid w:val="006C4F44"/>
    <w:rsid w:val="006C5C0A"/>
    <w:rsid w:val="006C5E3A"/>
    <w:rsid w:val="006C77D2"/>
    <w:rsid w:val="006D02FD"/>
    <w:rsid w:val="006D0EDF"/>
    <w:rsid w:val="006D109A"/>
    <w:rsid w:val="006D4A13"/>
    <w:rsid w:val="006D53A3"/>
    <w:rsid w:val="006D703D"/>
    <w:rsid w:val="006D7A92"/>
    <w:rsid w:val="006E190F"/>
    <w:rsid w:val="006E2D7F"/>
    <w:rsid w:val="006E33F5"/>
    <w:rsid w:val="006E3A06"/>
    <w:rsid w:val="006E3A57"/>
    <w:rsid w:val="006E45E1"/>
    <w:rsid w:val="006E7D5F"/>
    <w:rsid w:val="006F218D"/>
    <w:rsid w:val="006F2D0F"/>
    <w:rsid w:val="006F685E"/>
    <w:rsid w:val="006F6F54"/>
    <w:rsid w:val="006F77CE"/>
    <w:rsid w:val="0070132D"/>
    <w:rsid w:val="007037F9"/>
    <w:rsid w:val="0070428C"/>
    <w:rsid w:val="00704486"/>
    <w:rsid w:val="00706ED9"/>
    <w:rsid w:val="00710328"/>
    <w:rsid w:val="0071109B"/>
    <w:rsid w:val="007112B3"/>
    <w:rsid w:val="00711F1E"/>
    <w:rsid w:val="007127EC"/>
    <w:rsid w:val="007128C0"/>
    <w:rsid w:val="00712EAB"/>
    <w:rsid w:val="00716BA9"/>
    <w:rsid w:val="007175F5"/>
    <w:rsid w:val="00721D75"/>
    <w:rsid w:val="007231E1"/>
    <w:rsid w:val="00723E2B"/>
    <w:rsid w:val="00725512"/>
    <w:rsid w:val="007265DA"/>
    <w:rsid w:val="00726C0A"/>
    <w:rsid w:val="00726CB7"/>
    <w:rsid w:val="007326FD"/>
    <w:rsid w:val="0073365E"/>
    <w:rsid w:val="00733754"/>
    <w:rsid w:val="0073587F"/>
    <w:rsid w:val="00737E17"/>
    <w:rsid w:val="00741B15"/>
    <w:rsid w:val="007421C9"/>
    <w:rsid w:val="007426A3"/>
    <w:rsid w:val="007439BB"/>
    <w:rsid w:val="00743EE1"/>
    <w:rsid w:val="00744F8F"/>
    <w:rsid w:val="00746373"/>
    <w:rsid w:val="00746733"/>
    <w:rsid w:val="00746C7A"/>
    <w:rsid w:val="007477FC"/>
    <w:rsid w:val="00750226"/>
    <w:rsid w:val="00752890"/>
    <w:rsid w:val="00753499"/>
    <w:rsid w:val="00754680"/>
    <w:rsid w:val="007573B5"/>
    <w:rsid w:val="007577DC"/>
    <w:rsid w:val="007615D8"/>
    <w:rsid w:val="007627E5"/>
    <w:rsid w:val="00762873"/>
    <w:rsid w:val="007638C4"/>
    <w:rsid w:val="00772EB2"/>
    <w:rsid w:val="00777285"/>
    <w:rsid w:val="0077729F"/>
    <w:rsid w:val="007822C9"/>
    <w:rsid w:val="007901E3"/>
    <w:rsid w:val="00790894"/>
    <w:rsid w:val="00794CF1"/>
    <w:rsid w:val="00795F5F"/>
    <w:rsid w:val="007968A7"/>
    <w:rsid w:val="0079768F"/>
    <w:rsid w:val="007A05CB"/>
    <w:rsid w:val="007A2062"/>
    <w:rsid w:val="007A51CA"/>
    <w:rsid w:val="007B187F"/>
    <w:rsid w:val="007B2212"/>
    <w:rsid w:val="007B3F36"/>
    <w:rsid w:val="007B4099"/>
    <w:rsid w:val="007B5A7B"/>
    <w:rsid w:val="007B7FD6"/>
    <w:rsid w:val="007C011F"/>
    <w:rsid w:val="007C0D14"/>
    <w:rsid w:val="007C420A"/>
    <w:rsid w:val="007D36AC"/>
    <w:rsid w:val="007D7EB3"/>
    <w:rsid w:val="007E38E9"/>
    <w:rsid w:val="007F1536"/>
    <w:rsid w:val="007F238F"/>
    <w:rsid w:val="007F5CB3"/>
    <w:rsid w:val="007F6EA1"/>
    <w:rsid w:val="00800B11"/>
    <w:rsid w:val="00801C38"/>
    <w:rsid w:val="008114A0"/>
    <w:rsid w:val="00813C3F"/>
    <w:rsid w:val="00814476"/>
    <w:rsid w:val="00816DAC"/>
    <w:rsid w:val="008242E8"/>
    <w:rsid w:val="008263B3"/>
    <w:rsid w:val="008268C0"/>
    <w:rsid w:val="00827F43"/>
    <w:rsid w:val="008301AD"/>
    <w:rsid w:val="00830B1A"/>
    <w:rsid w:val="008320B9"/>
    <w:rsid w:val="008329A5"/>
    <w:rsid w:val="00833BCC"/>
    <w:rsid w:val="008348AE"/>
    <w:rsid w:val="008404C7"/>
    <w:rsid w:val="00840F27"/>
    <w:rsid w:val="00841952"/>
    <w:rsid w:val="00841EE8"/>
    <w:rsid w:val="00842941"/>
    <w:rsid w:val="008437DA"/>
    <w:rsid w:val="00845A49"/>
    <w:rsid w:val="00845D93"/>
    <w:rsid w:val="00850C4C"/>
    <w:rsid w:val="00854F78"/>
    <w:rsid w:val="0085515C"/>
    <w:rsid w:val="008554AB"/>
    <w:rsid w:val="00857CA0"/>
    <w:rsid w:val="00857CF7"/>
    <w:rsid w:val="00860341"/>
    <w:rsid w:val="00860956"/>
    <w:rsid w:val="0086143E"/>
    <w:rsid w:val="00861938"/>
    <w:rsid w:val="008619C6"/>
    <w:rsid w:val="008635FF"/>
    <w:rsid w:val="00866698"/>
    <w:rsid w:val="00867326"/>
    <w:rsid w:val="008712BF"/>
    <w:rsid w:val="0087377E"/>
    <w:rsid w:val="00873837"/>
    <w:rsid w:val="00873C25"/>
    <w:rsid w:val="00873E1B"/>
    <w:rsid w:val="00873FE8"/>
    <w:rsid w:val="00876894"/>
    <w:rsid w:val="00876EB8"/>
    <w:rsid w:val="0087737E"/>
    <w:rsid w:val="00880DB7"/>
    <w:rsid w:val="00882723"/>
    <w:rsid w:val="00882BFB"/>
    <w:rsid w:val="00883F31"/>
    <w:rsid w:val="008853FD"/>
    <w:rsid w:val="00885F0D"/>
    <w:rsid w:val="0088670F"/>
    <w:rsid w:val="008878FB"/>
    <w:rsid w:val="008917BA"/>
    <w:rsid w:val="00892D93"/>
    <w:rsid w:val="00895673"/>
    <w:rsid w:val="008964B4"/>
    <w:rsid w:val="00897B01"/>
    <w:rsid w:val="008A0313"/>
    <w:rsid w:val="008A138F"/>
    <w:rsid w:val="008A2B3B"/>
    <w:rsid w:val="008A357D"/>
    <w:rsid w:val="008A4E3D"/>
    <w:rsid w:val="008B476F"/>
    <w:rsid w:val="008B5391"/>
    <w:rsid w:val="008B632A"/>
    <w:rsid w:val="008B71BE"/>
    <w:rsid w:val="008B7424"/>
    <w:rsid w:val="008B74BE"/>
    <w:rsid w:val="008C352B"/>
    <w:rsid w:val="008C4457"/>
    <w:rsid w:val="008C4786"/>
    <w:rsid w:val="008C503B"/>
    <w:rsid w:val="008C6C49"/>
    <w:rsid w:val="008C7069"/>
    <w:rsid w:val="008D5E55"/>
    <w:rsid w:val="008D7593"/>
    <w:rsid w:val="008E0442"/>
    <w:rsid w:val="008E126D"/>
    <w:rsid w:val="008E13E0"/>
    <w:rsid w:val="008E1670"/>
    <w:rsid w:val="008E1E94"/>
    <w:rsid w:val="008E3176"/>
    <w:rsid w:val="008E32A8"/>
    <w:rsid w:val="008E34F9"/>
    <w:rsid w:val="008E356A"/>
    <w:rsid w:val="008E4C94"/>
    <w:rsid w:val="008E669E"/>
    <w:rsid w:val="008E793C"/>
    <w:rsid w:val="008E7EBB"/>
    <w:rsid w:val="008F0838"/>
    <w:rsid w:val="008F0C4D"/>
    <w:rsid w:val="008F382E"/>
    <w:rsid w:val="008F465A"/>
    <w:rsid w:val="008F4E1C"/>
    <w:rsid w:val="008F64B7"/>
    <w:rsid w:val="00901660"/>
    <w:rsid w:val="0090276B"/>
    <w:rsid w:val="00903C42"/>
    <w:rsid w:val="0091249E"/>
    <w:rsid w:val="00912A1A"/>
    <w:rsid w:val="00912ECD"/>
    <w:rsid w:val="00914EF4"/>
    <w:rsid w:val="00915289"/>
    <w:rsid w:val="00920C5F"/>
    <w:rsid w:val="00921C45"/>
    <w:rsid w:val="009229D0"/>
    <w:rsid w:val="009242AB"/>
    <w:rsid w:val="0092469B"/>
    <w:rsid w:val="00924877"/>
    <w:rsid w:val="00925331"/>
    <w:rsid w:val="0092749E"/>
    <w:rsid w:val="0092796E"/>
    <w:rsid w:val="00927FD2"/>
    <w:rsid w:val="009302F9"/>
    <w:rsid w:val="00934C5E"/>
    <w:rsid w:val="00936C9F"/>
    <w:rsid w:val="0093729E"/>
    <w:rsid w:val="00940328"/>
    <w:rsid w:val="009409A8"/>
    <w:rsid w:val="00942714"/>
    <w:rsid w:val="00942C71"/>
    <w:rsid w:val="00944039"/>
    <w:rsid w:val="009449C9"/>
    <w:rsid w:val="00944C17"/>
    <w:rsid w:val="00945491"/>
    <w:rsid w:val="009502C6"/>
    <w:rsid w:val="009504A3"/>
    <w:rsid w:val="00950BA5"/>
    <w:rsid w:val="009533F2"/>
    <w:rsid w:val="009563C1"/>
    <w:rsid w:val="0095658B"/>
    <w:rsid w:val="00957E91"/>
    <w:rsid w:val="009606A9"/>
    <w:rsid w:val="00970A1A"/>
    <w:rsid w:val="009711F8"/>
    <w:rsid w:val="00973229"/>
    <w:rsid w:val="00975A04"/>
    <w:rsid w:val="009779CC"/>
    <w:rsid w:val="009813A2"/>
    <w:rsid w:val="009839BE"/>
    <w:rsid w:val="00985C33"/>
    <w:rsid w:val="00985E8A"/>
    <w:rsid w:val="00986228"/>
    <w:rsid w:val="00986690"/>
    <w:rsid w:val="009910D4"/>
    <w:rsid w:val="00992599"/>
    <w:rsid w:val="00993EF7"/>
    <w:rsid w:val="00994751"/>
    <w:rsid w:val="00994C43"/>
    <w:rsid w:val="00994DE4"/>
    <w:rsid w:val="009954AD"/>
    <w:rsid w:val="009A58FB"/>
    <w:rsid w:val="009A5FF8"/>
    <w:rsid w:val="009B0DF0"/>
    <w:rsid w:val="009B4E40"/>
    <w:rsid w:val="009B4F99"/>
    <w:rsid w:val="009B7473"/>
    <w:rsid w:val="009C1168"/>
    <w:rsid w:val="009C1989"/>
    <w:rsid w:val="009C3AF9"/>
    <w:rsid w:val="009C3F9B"/>
    <w:rsid w:val="009C4551"/>
    <w:rsid w:val="009C457B"/>
    <w:rsid w:val="009D1972"/>
    <w:rsid w:val="009D2505"/>
    <w:rsid w:val="009D552B"/>
    <w:rsid w:val="009D5720"/>
    <w:rsid w:val="009D6F2D"/>
    <w:rsid w:val="009D6F34"/>
    <w:rsid w:val="009E0204"/>
    <w:rsid w:val="009E2B44"/>
    <w:rsid w:val="009E2DD5"/>
    <w:rsid w:val="009E3013"/>
    <w:rsid w:val="009E39C3"/>
    <w:rsid w:val="009F1F8E"/>
    <w:rsid w:val="009F598B"/>
    <w:rsid w:val="009F6A81"/>
    <w:rsid w:val="00A001F3"/>
    <w:rsid w:val="00A004F9"/>
    <w:rsid w:val="00A03C78"/>
    <w:rsid w:val="00A05D16"/>
    <w:rsid w:val="00A075CD"/>
    <w:rsid w:val="00A11E0B"/>
    <w:rsid w:val="00A130A9"/>
    <w:rsid w:val="00A14704"/>
    <w:rsid w:val="00A20785"/>
    <w:rsid w:val="00A22820"/>
    <w:rsid w:val="00A22CF6"/>
    <w:rsid w:val="00A240E1"/>
    <w:rsid w:val="00A24B1A"/>
    <w:rsid w:val="00A27DCB"/>
    <w:rsid w:val="00A30155"/>
    <w:rsid w:val="00A32967"/>
    <w:rsid w:val="00A338D3"/>
    <w:rsid w:val="00A34580"/>
    <w:rsid w:val="00A3581D"/>
    <w:rsid w:val="00A40459"/>
    <w:rsid w:val="00A40A84"/>
    <w:rsid w:val="00A41812"/>
    <w:rsid w:val="00A429FD"/>
    <w:rsid w:val="00A43D7F"/>
    <w:rsid w:val="00A43F88"/>
    <w:rsid w:val="00A4412E"/>
    <w:rsid w:val="00A46DA6"/>
    <w:rsid w:val="00A47405"/>
    <w:rsid w:val="00A47835"/>
    <w:rsid w:val="00A522FE"/>
    <w:rsid w:val="00A526CB"/>
    <w:rsid w:val="00A573B2"/>
    <w:rsid w:val="00A57D38"/>
    <w:rsid w:val="00A617FE"/>
    <w:rsid w:val="00A66DBB"/>
    <w:rsid w:val="00A67C4A"/>
    <w:rsid w:val="00A7004C"/>
    <w:rsid w:val="00A73D79"/>
    <w:rsid w:val="00A7777B"/>
    <w:rsid w:val="00A80C6A"/>
    <w:rsid w:val="00A816F7"/>
    <w:rsid w:val="00A81A98"/>
    <w:rsid w:val="00A82AAC"/>
    <w:rsid w:val="00A83D43"/>
    <w:rsid w:val="00A8565D"/>
    <w:rsid w:val="00A860F6"/>
    <w:rsid w:val="00A86B62"/>
    <w:rsid w:val="00A87B7F"/>
    <w:rsid w:val="00A87F39"/>
    <w:rsid w:val="00A90CA3"/>
    <w:rsid w:val="00A9249D"/>
    <w:rsid w:val="00A92C3F"/>
    <w:rsid w:val="00A92DC8"/>
    <w:rsid w:val="00A939A9"/>
    <w:rsid w:val="00A941DD"/>
    <w:rsid w:val="00A95740"/>
    <w:rsid w:val="00A963FB"/>
    <w:rsid w:val="00A97C43"/>
    <w:rsid w:val="00AA08BD"/>
    <w:rsid w:val="00AA140B"/>
    <w:rsid w:val="00AA4D83"/>
    <w:rsid w:val="00AB1187"/>
    <w:rsid w:val="00AB16A3"/>
    <w:rsid w:val="00AB414C"/>
    <w:rsid w:val="00AB4230"/>
    <w:rsid w:val="00AB4DEA"/>
    <w:rsid w:val="00AB57B0"/>
    <w:rsid w:val="00AB582F"/>
    <w:rsid w:val="00AC036F"/>
    <w:rsid w:val="00AC1C3B"/>
    <w:rsid w:val="00AC4DF5"/>
    <w:rsid w:val="00AC5834"/>
    <w:rsid w:val="00AC72A7"/>
    <w:rsid w:val="00AD1910"/>
    <w:rsid w:val="00AD3585"/>
    <w:rsid w:val="00AD3DEF"/>
    <w:rsid w:val="00AD4898"/>
    <w:rsid w:val="00AD5002"/>
    <w:rsid w:val="00AD545B"/>
    <w:rsid w:val="00AE0CC0"/>
    <w:rsid w:val="00AE2671"/>
    <w:rsid w:val="00AE501B"/>
    <w:rsid w:val="00AE51C5"/>
    <w:rsid w:val="00AE6F8E"/>
    <w:rsid w:val="00AF0D0A"/>
    <w:rsid w:val="00AF0F42"/>
    <w:rsid w:val="00AF5C34"/>
    <w:rsid w:val="00AF7833"/>
    <w:rsid w:val="00B00C45"/>
    <w:rsid w:val="00B010B6"/>
    <w:rsid w:val="00B03D9C"/>
    <w:rsid w:val="00B04EA4"/>
    <w:rsid w:val="00B05EFF"/>
    <w:rsid w:val="00B11F18"/>
    <w:rsid w:val="00B13984"/>
    <w:rsid w:val="00B141AB"/>
    <w:rsid w:val="00B14FD2"/>
    <w:rsid w:val="00B151A4"/>
    <w:rsid w:val="00B167C5"/>
    <w:rsid w:val="00B2136C"/>
    <w:rsid w:val="00B225D6"/>
    <w:rsid w:val="00B230FD"/>
    <w:rsid w:val="00B24BDA"/>
    <w:rsid w:val="00B2575F"/>
    <w:rsid w:val="00B26068"/>
    <w:rsid w:val="00B30116"/>
    <w:rsid w:val="00B31480"/>
    <w:rsid w:val="00B318A9"/>
    <w:rsid w:val="00B319B3"/>
    <w:rsid w:val="00B3253D"/>
    <w:rsid w:val="00B33206"/>
    <w:rsid w:val="00B4018C"/>
    <w:rsid w:val="00B42568"/>
    <w:rsid w:val="00B442B7"/>
    <w:rsid w:val="00B473A5"/>
    <w:rsid w:val="00B50076"/>
    <w:rsid w:val="00B51143"/>
    <w:rsid w:val="00B51690"/>
    <w:rsid w:val="00B523B4"/>
    <w:rsid w:val="00B5323A"/>
    <w:rsid w:val="00B53463"/>
    <w:rsid w:val="00B543F3"/>
    <w:rsid w:val="00B63B2D"/>
    <w:rsid w:val="00B63EC2"/>
    <w:rsid w:val="00B64A53"/>
    <w:rsid w:val="00B707AD"/>
    <w:rsid w:val="00B73FDE"/>
    <w:rsid w:val="00B74861"/>
    <w:rsid w:val="00B7542A"/>
    <w:rsid w:val="00B75D5C"/>
    <w:rsid w:val="00B76641"/>
    <w:rsid w:val="00B77FA8"/>
    <w:rsid w:val="00B8014F"/>
    <w:rsid w:val="00B80C61"/>
    <w:rsid w:val="00B831C6"/>
    <w:rsid w:val="00B83423"/>
    <w:rsid w:val="00B85199"/>
    <w:rsid w:val="00B867C0"/>
    <w:rsid w:val="00B871C5"/>
    <w:rsid w:val="00B87867"/>
    <w:rsid w:val="00B90FE8"/>
    <w:rsid w:val="00B91720"/>
    <w:rsid w:val="00B91AED"/>
    <w:rsid w:val="00B932BB"/>
    <w:rsid w:val="00B94EAB"/>
    <w:rsid w:val="00B958E2"/>
    <w:rsid w:val="00BA0AC7"/>
    <w:rsid w:val="00BA125B"/>
    <w:rsid w:val="00BA2523"/>
    <w:rsid w:val="00BA30B0"/>
    <w:rsid w:val="00BB33F5"/>
    <w:rsid w:val="00BB6386"/>
    <w:rsid w:val="00BB7275"/>
    <w:rsid w:val="00BC0805"/>
    <w:rsid w:val="00BC4A9C"/>
    <w:rsid w:val="00BC5458"/>
    <w:rsid w:val="00BC7300"/>
    <w:rsid w:val="00BD0A0D"/>
    <w:rsid w:val="00BD2E14"/>
    <w:rsid w:val="00BD4209"/>
    <w:rsid w:val="00BD6393"/>
    <w:rsid w:val="00BD67BB"/>
    <w:rsid w:val="00BE2056"/>
    <w:rsid w:val="00BE383F"/>
    <w:rsid w:val="00BE4957"/>
    <w:rsid w:val="00BE5E40"/>
    <w:rsid w:val="00BE5E81"/>
    <w:rsid w:val="00BF085F"/>
    <w:rsid w:val="00BF3FFA"/>
    <w:rsid w:val="00BF52FA"/>
    <w:rsid w:val="00BF5577"/>
    <w:rsid w:val="00BF6DA0"/>
    <w:rsid w:val="00C00D1E"/>
    <w:rsid w:val="00C01208"/>
    <w:rsid w:val="00C01285"/>
    <w:rsid w:val="00C0174B"/>
    <w:rsid w:val="00C02984"/>
    <w:rsid w:val="00C02BBF"/>
    <w:rsid w:val="00C0390B"/>
    <w:rsid w:val="00C04036"/>
    <w:rsid w:val="00C064F7"/>
    <w:rsid w:val="00C07024"/>
    <w:rsid w:val="00C07BBB"/>
    <w:rsid w:val="00C1303D"/>
    <w:rsid w:val="00C14504"/>
    <w:rsid w:val="00C1598D"/>
    <w:rsid w:val="00C16415"/>
    <w:rsid w:val="00C17ED2"/>
    <w:rsid w:val="00C17F98"/>
    <w:rsid w:val="00C201F7"/>
    <w:rsid w:val="00C20A5F"/>
    <w:rsid w:val="00C2155B"/>
    <w:rsid w:val="00C21601"/>
    <w:rsid w:val="00C22FE0"/>
    <w:rsid w:val="00C247ED"/>
    <w:rsid w:val="00C27A27"/>
    <w:rsid w:val="00C27F8C"/>
    <w:rsid w:val="00C30560"/>
    <w:rsid w:val="00C30F61"/>
    <w:rsid w:val="00C311E7"/>
    <w:rsid w:val="00C31F61"/>
    <w:rsid w:val="00C324D4"/>
    <w:rsid w:val="00C34DEE"/>
    <w:rsid w:val="00C353AD"/>
    <w:rsid w:val="00C35C25"/>
    <w:rsid w:val="00C35E66"/>
    <w:rsid w:val="00C407E2"/>
    <w:rsid w:val="00C40C81"/>
    <w:rsid w:val="00C40DC8"/>
    <w:rsid w:val="00C418BD"/>
    <w:rsid w:val="00C450F4"/>
    <w:rsid w:val="00C45274"/>
    <w:rsid w:val="00C45802"/>
    <w:rsid w:val="00C5312E"/>
    <w:rsid w:val="00C53B2A"/>
    <w:rsid w:val="00C55890"/>
    <w:rsid w:val="00C606B2"/>
    <w:rsid w:val="00C62C1F"/>
    <w:rsid w:val="00C6726F"/>
    <w:rsid w:val="00C70D2E"/>
    <w:rsid w:val="00C73011"/>
    <w:rsid w:val="00C75408"/>
    <w:rsid w:val="00C771B3"/>
    <w:rsid w:val="00C80F41"/>
    <w:rsid w:val="00C81028"/>
    <w:rsid w:val="00C8411B"/>
    <w:rsid w:val="00C866ED"/>
    <w:rsid w:val="00C93A47"/>
    <w:rsid w:val="00C9423A"/>
    <w:rsid w:val="00CA04D5"/>
    <w:rsid w:val="00CA0A93"/>
    <w:rsid w:val="00CA128A"/>
    <w:rsid w:val="00CA21AD"/>
    <w:rsid w:val="00CA519B"/>
    <w:rsid w:val="00CA6419"/>
    <w:rsid w:val="00CA693D"/>
    <w:rsid w:val="00CB0812"/>
    <w:rsid w:val="00CB13A7"/>
    <w:rsid w:val="00CB15D5"/>
    <w:rsid w:val="00CB3B21"/>
    <w:rsid w:val="00CB3ED9"/>
    <w:rsid w:val="00CB43E5"/>
    <w:rsid w:val="00CB519C"/>
    <w:rsid w:val="00CB6F3E"/>
    <w:rsid w:val="00CC023C"/>
    <w:rsid w:val="00CC0F03"/>
    <w:rsid w:val="00CC15DC"/>
    <w:rsid w:val="00CC2F7F"/>
    <w:rsid w:val="00CC444A"/>
    <w:rsid w:val="00CC4A06"/>
    <w:rsid w:val="00CC4BA1"/>
    <w:rsid w:val="00CC4F4B"/>
    <w:rsid w:val="00CC755A"/>
    <w:rsid w:val="00CC79F1"/>
    <w:rsid w:val="00CD0B35"/>
    <w:rsid w:val="00CD0D9A"/>
    <w:rsid w:val="00CD4878"/>
    <w:rsid w:val="00CD4DF5"/>
    <w:rsid w:val="00CD5931"/>
    <w:rsid w:val="00CD674F"/>
    <w:rsid w:val="00CE0EE0"/>
    <w:rsid w:val="00CE19F3"/>
    <w:rsid w:val="00CE2B2F"/>
    <w:rsid w:val="00CE3EA1"/>
    <w:rsid w:val="00CE5588"/>
    <w:rsid w:val="00CE6E50"/>
    <w:rsid w:val="00CE70FF"/>
    <w:rsid w:val="00CF3B18"/>
    <w:rsid w:val="00CF3BEA"/>
    <w:rsid w:val="00CF4A25"/>
    <w:rsid w:val="00CF4F53"/>
    <w:rsid w:val="00D008B9"/>
    <w:rsid w:val="00D009AB"/>
    <w:rsid w:val="00D02332"/>
    <w:rsid w:val="00D03B9B"/>
    <w:rsid w:val="00D056CF"/>
    <w:rsid w:val="00D06183"/>
    <w:rsid w:val="00D07A65"/>
    <w:rsid w:val="00D07FD4"/>
    <w:rsid w:val="00D110A8"/>
    <w:rsid w:val="00D1166D"/>
    <w:rsid w:val="00D12690"/>
    <w:rsid w:val="00D12A4D"/>
    <w:rsid w:val="00D13207"/>
    <w:rsid w:val="00D1363B"/>
    <w:rsid w:val="00D14C01"/>
    <w:rsid w:val="00D15796"/>
    <w:rsid w:val="00D17320"/>
    <w:rsid w:val="00D204E6"/>
    <w:rsid w:val="00D206E4"/>
    <w:rsid w:val="00D21304"/>
    <w:rsid w:val="00D2783D"/>
    <w:rsid w:val="00D31FFE"/>
    <w:rsid w:val="00D3311F"/>
    <w:rsid w:val="00D345E2"/>
    <w:rsid w:val="00D363C7"/>
    <w:rsid w:val="00D374E6"/>
    <w:rsid w:val="00D42F49"/>
    <w:rsid w:val="00D455FE"/>
    <w:rsid w:val="00D46276"/>
    <w:rsid w:val="00D5171E"/>
    <w:rsid w:val="00D52868"/>
    <w:rsid w:val="00D54665"/>
    <w:rsid w:val="00D54DFA"/>
    <w:rsid w:val="00D556F3"/>
    <w:rsid w:val="00D57F22"/>
    <w:rsid w:val="00D63183"/>
    <w:rsid w:val="00D675A7"/>
    <w:rsid w:val="00D734C6"/>
    <w:rsid w:val="00D7459F"/>
    <w:rsid w:val="00D7471F"/>
    <w:rsid w:val="00D767D2"/>
    <w:rsid w:val="00D800B6"/>
    <w:rsid w:val="00D80804"/>
    <w:rsid w:val="00D814CA"/>
    <w:rsid w:val="00D847F5"/>
    <w:rsid w:val="00D86370"/>
    <w:rsid w:val="00D8741A"/>
    <w:rsid w:val="00D87C91"/>
    <w:rsid w:val="00D915FE"/>
    <w:rsid w:val="00D91846"/>
    <w:rsid w:val="00D91DD5"/>
    <w:rsid w:val="00D94F14"/>
    <w:rsid w:val="00D969FE"/>
    <w:rsid w:val="00DA0555"/>
    <w:rsid w:val="00DA0932"/>
    <w:rsid w:val="00DA3519"/>
    <w:rsid w:val="00DA373A"/>
    <w:rsid w:val="00DA4358"/>
    <w:rsid w:val="00DA4BD6"/>
    <w:rsid w:val="00DA5EAD"/>
    <w:rsid w:val="00DA6948"/>
    <w:rsid w:val="00DA77DD"/>
    <w:rsid w:val="00DB1F8B"/>
    <w:rsid w:val="00DB2342"/>
    <w:rsid w:val="00DB23B6"/>
    <w:rsid w:val="00DB275C"/>
    <w:rsid w:val="00DB302B"/>
    <w:rsid w:val="00DB66EA"/>
    <w:rsid w:val="00DB7596"/>
    <w:rsid w:val="00DC0BE5"/>
    <w:rsid w:val="00DC10A3"/>
    <w:rsid w:val="00DC15E7"/>
    <w:rsid w:val="00DC3BAC"/>
    <w:rsid w:val="00DC4175"/>
    <w:rsid w:val="00DC4963"/>
    <w:rsid w:val="00DC4F54"/>
    <w:rsid w:val="00DC570A"/>
    <w:rsid w:val="00DC6B89"/>
    <w:rsid w:val="00DD180F"/>
    <w:rsid w:val="00DD22CF"/>
    <w:rsid w:val="00DD47D4"/>
    <w:rsid w:val="00DD5082"/>
    <w:rsid w:val="00DD6999"/>
    <w:rsid w:val="00DD7FAA"/>
    <w:rsid w:val="00DE0562"/>
    <w:rsid w:val="00DE400B"/>
    <w:rsid w:val="00DE57CB"/>
    <w:rsid w:val="00DE5BFD"/>
    <w:rsid w:val="00DE5EB9"/>
    <w:rsid w:val="00DE6124"/>
    <w:rsid w:val="00DF035B"/>
    <w:rsid w:val="00DF0529"/>
    <w:rsid w:val="00DF0FF0"/>
    <w:rsid w:val="00DF1EEA"/>
    <w:rsid w:val="00DF441C"/>
    <w:rsid w:val="00DF47FC"/>
    <w:rsid w:val="00DF4DB8"/>
    <w:rsid w:val="00DF51BA"/>
    <w:rsid w:val="00E01A32"/>
    <w:rsid w:val="00E01F70"/>
    <w:rsid w:val="00E0289A"/>
    <w:rsid w:val="00E0433B"/>
    <w:rsid w:val="00E04643"/>
    <w:rsid w:val="00E05CD5"/>
    <w:rsid w:val="00E0688B"/>
    <w:rsid w:val="00E06933"/>
    <w:rsid w:val="00E07F09"/>
    <w:rsid w:val="00E1204C"/>
    <w:rsid w:val="00E125AD"/>
    <w:rsid w:val="00E1435D"/>
    <w:rsid w:val="00E1438A"/>
    <w:rsid w:val="00E14FA2"/>
    <w:rsid w:val="00E15451"/>
    <w:rsid w:val="00E16739"/>
    <w:rsid w:val="00E21314"/>
    <w:rsid w:val="00E21E1B"/>
    <w:rsid w:val="00E23CD1"/>
    <w:rsid w:val="00E23FAA"/>
    <w:rsid w:val="00E2470E"/>
    <w:rsid w:val="00E25477"/>
    <w:rsid w:val="00E25B30"/>
    <w:rsid w:val="00E262CC"/>
    <w:rsid w:val="00E263EB"/>
    <w:rsid w:val="00E2662A"/>
    <w:rsid w:val="00E26C77"/>
    <w:rsid w:val="00E275D2"/>
    <w:rsid w:val="00E27C37"/>
    <w:rsid w:val="00E35944"/>
    <w:rsid w:val="00E35EF2"/>
    <w:rsid w:val="00E360DB"/>
    <w:rsid w:val="00E37245"/>
    <w:rsid w:val="00E37F63"/>
    <w:rsid w:val="00E40A35"/>
    <w:rsid w:val="00E418F8"/>
    <w:rsid w:val="00E43CA2"/>
    <w:rsid w:val="00E45F7B"/>
    <w:rsid w:val="00E51DE6"/>
    <w:rsid w:val="00E52378"/>
    <w:rsid w:val="00E527D4"/>
    <w:rsid w:val="00E52FEF"/>
    <w:rsid w:val="00E5300C"/>
    <w:rsid w:val="00E54F6C"/>
    <w:rsid w:val="00E56E75"/>
    <w:rsid w:val="00E5708D"/>
    <w:rsid w:val="00E60A0B"/>
    <w:rsid w:val="00E61DD7"/>
    <w:rsid w:val="00E62BF2"/>
    <w:rsid w:val="00E62F61"/>
    <w:rsid w:val="00E65DA9"/>
    <w:rsid w:val="00E661F5"/>
    <w:rsid w:val="00E6698D"/>
    <w:rsid w:val="00E6724F"/>
    <w:rsid w:val="00E72237"/>
    <w:rsid w:val="00E72EFA"/>
    <w:rsid w:val="00E73462"/>
    <w:rsid w:val="00E73604"/>
    <w:rsid w:val="00E744D7"/>
    <w:rsid w:val="00E76AB2"/>
    <w:rsid w:val="00E77FA1"/>
    <w:rsid w:val="00E82089"/>
    <w:rsid w:val="00E82853"/>
    <w:rsid w:val="00E83091"/>
    <w:rsid w:val="00E8400A"/>
    <w:rsid w:val="00E8418C"/>
    <w:rsid w:val="00E865EC"/>
    <w:rsid w:val="00E86E5F"/>
    <w:rsid w:val="00E91986"/>
    <w:rsid w:val="00E9269D"/>
    <w:rsid w:val="00E9403D"/>
    <w:rsid w:val="00E94F41"/>
    <w:rsid w:val="00EA015B"/>
    <w:rsid w:val="00EA47F6"/>
    <w:rsid w:val="00EA55A0"/>
    <w:rsid w:val="00EA5B7C"/>
    <w:rsid w:val="00EB2AD3"/>
    <w:rsid w:val="00EB555F"/>
    <w:rsid w:val="00EB78FA"/>
    <w:rsid w:val="00EC1D69"/>
    <w:rsid w:val="00EC3B18"/>
    <w:rsid w:val="00EC5EDC"/>
    <w:rsid w:val="00EC60E1"/>
    <w:rsid w:val="00ED026C"/>
    <w:rsid w:val="00ED05F1"/>
    <w:rsid w:val="00ED0B7D"/>
    <w:rsid w:val="00ED11F1"/>
    <w:rsid w:val="00ED1D51"/>
    <w:rsid w:val="00ED25F5"/>
    <w:rsid w:val="00ED5D05"/>
    <w:rsid w:val="00ED7178"/>
    <w:rsid w:val="00EE10DB"/>
    <w:rsid w:val="00EE205B"/>
    <w:rsid w:val="00EE23FB"/>
    <w:rsid w:val="00EE5349"/>
    <w:rsid w:val="00EE6FC9"/>
    <w:rsid w:val="00EF2257"/>
    <w:rsid w:val="00EF2760"/>
    <w:rsid w:val="00EF4E1C"/>
    <w:rsid w:val="00EF5166"/>
    <w:rsid w:val="00F0207B"/>
    <w:rsid w:val="00F048D0"/>
    <w:rsid w:val="00F07F0B"/>
    <w:rsid w:val="00F10B95"/>
    <w:rsid w:val="00F10D2B"/>
    <w:rsid w:val="00F110CB"/>
    <w:rsid w:val="00F11563"/>
    <w:rsid w:val="00F11820"/>
    <w:rsid w:val="00F11B21"/>
    <w:rsid w:val="00F12072"/>
    <w:rsid w:val="00F12161"/>
    <w:rsid w:val="00F12393"/>
    <w:rsid w:val="00F129FF"/>
    <w:rsid w:val="00F13E4E"/>
    <w:rsid w:val="00F1480D"/>
    <w:rsid w:val="00F156A0"/>
    <w:rsid w:val="00F176E3"/>
    <w:rsid w:val="00F200DE"/>
    <w:rsid w:val="00F236BD"/>
    <w:rsid w:val="00F23713"/>
    <w:rsid w:val="00F2527A"/>
    <w:rsid w:val="00F25480"/>
    <w:rsid w:val="00F30C4D"/>
    <w:rsid w:val="00F33880"/>
    <w:rsid w:val="00F34984"/>
    <w:rsid w:val="00F362C6"/>
    <w:rsid w:val="00F3648E"/>
    <w:rsid w:val="00F41731"/>
    <w:rsid w:val="00F51E1D"/>
    <w:rsid w:val="00F5331D"/>
    <w:rsid w:val="00F54B57"/>
    <w:rsid w:val="00F56236"/>
    <w:rsid w:val="00F563AC"/>
    <w:rsid w:val="00F577D5"/>
    <w:rsid w:val="00F6015C"/>
    <w:rsid w:val="00F60A26"/>
    <w:rsid w:val="00F631DE"/>
    <w:rsid w:val="00F65F02"/>
    <w:rsid w:val="00F673A6"/>
    <w:rsid w:val="00F807C4"/>
    <w:rsid w:val="00F82FCF"/>
    <w:rsid w:val="00F8409C"/>
    <w:rsid w:val="00F85940"/>
    <w:rsid w:val="00F85DCB"/>
    <w:rsid w:val="00F864A9"/>
    <w:rsid w:val="00F9508E"/>
    <w:rsid w:val="00F95106"/>
    <w:rsid w:val="00F97411"/>
    <w:rsid w:val="00FA0593"/>
    <w:rsid w:val="00FA13D2"/>
    <w:rsid w:val="00FA2A29"/>
    <w:rsid w:val="00FA3817"/>
    <w:rsid w:val="00FA4637"/>
    <w:rsid w:val="00FA64D3"/>
    <w:rsid w:val="00FB148F"/>
    <w:rsid w:val="00FB2AFD"/>
    <w:rsid w:val="00FC089B"/>
    <w:rsid w:val="00FC287D"/>
    <w:rsid w:val="00FC37A8"/>
    <w:rsid w:val="00FC4188"/>
    <w:rsid w:val="00FC4543"/>
    <w:rsid w:val="00FC4F2F"/>
    <w:rsid w:val="00FC5705"/>
    <w:rsid w:val="00FC6C91"/>
    <w:rsid w:val="00FC7811"/>
    <w:rsid w:val="00FD024A"/>
    <w:rsid w:val="00FD3EF4"/>
    <w:rsid w:val="00FD5DE9"/>
    <w:rsid w:val="00FE165B"/>
    <w:rsid w:val="00FE23B0"/>
    <w:rsid w:val="00FE245F"/>
    <w:rsid w:val="00FE46F7"/>
    <w:rsid w:val="00FE4889"/>
    <w:rsid w:val="00FF1CF4"/>
    <w:rsid w:val="00FF4860"/>
    <w:rsid w:val="00FF6B1D"/>
    <w:rsid w:val="00FF7C7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strokecolor="none [671]">
      <v:fill color="white"/>
      <v:stroke color="none [671]"/>
    </o:shapedefaults>
    <o:shapelayout v:ext="edit">
      <o:idmap v:ext="edit" data="1"/>
    </o:shapelayout>
  </w:shapeDefaults>
  <w:decimalSymbol w:val=","/>
  <w:listSeparator w:val=";"/>
  <w14:docId w14:val="480444A4"/>
  <w15:chartTrackingRefBased/>
  <w15:docId w15:val="{5C56D66F-1263-484E-A621-490A6C38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720"/>
    <w:pPr>
      <w:tabs>
        <w:tab w:val="left" w:pos="567"/>
        <w:tab w:val="left" w:pos="1134"/>
        <w:tab w:val="left" w:pos="1701"/>
        <w:tab w:val="left" w:pos="2268"/>
      </w:tabs>
      <w:spacing w:after="120"/>
      <w:jc w:val="both"/>
    </w:pPr>
    <w:rPr>
      <w:rFonts w:ascii="Calibri" w:hAnsi="Calibri"/>
      <w:sz w:val="22"/>
      <w:lang w:val="en-GB" w:eastAsia="en-GB"/>
    </w:rPr>
  </w:style>
  <w:style w:type="paragraph" w:styleId="Rubrik1">
    <w:name w:val="heading 1"/>
    <w:basedOn w:val="Normal"/>
    <w:next w:val="Normal"/>
    <w:qFormat/>
    <w:rsid w:val="001C5814"/>
    <w:pPr>
      <w:keepNext/>
      <w:tabs>
        <w:tab w:val="clear" w:pos="567"/>
        <w:tab w:val="clear" w:pos="1134"/>
        <w:tab w:val="clear" w:pos="1701"/>
        <w:tab w:val="clear" w:pos="2268"/>
      </w:tabs>
      <w:spacing w:before="240" w:line="276" w:lineRule="auto"/>
      <w:outlineLvl w:val="0"/>
    </w:pPr>
    <w:rPr>
      <w:kern w:val="32"/>
      <w:sz w:val="40"/>
    </w:rPr>
  </w:style>
  <w:style w:type="paragraph" w:styleId="Rubrik2">
    <w:name w:val="heading 2"/>
    <w:basedOn w:val="Normal"/>
    <w:next w:val="Normal"/>
    <w:link w:val="Rubrik2Char"/>
    <w:qFormat/>
    <w:rsid w:val="001C5814"/>
    <w:pPr>
      <w:keepNext/>
      <w:tabs>
        <w:tab w:val="clear" w:pos="567"/>
        <w:tab w:val="clear" w:pos="1134"/>
        <w:tab w:val="clear" w:pos="1701"/>
        <w:tab w:val="clear" w:pos="2268"/>
      </w:tabs>
      <w:spacing w:before="240" w:line="276" w:lineRule="auto"/>
      <w:outlineLvl w:val="1"/>
    </w:pPr>
    <w:rPr>
      <w:sz w:val="28"/>
    </w:rPr>
  </w:style>
  <w:style w:type="paragraph" w:styleId="Rubrik3">
    <w:name w:val="heading 3"/>
    <w:basedOn w:val="Rubrik2"/>
    <w:next w:val="Normal"/>
    <w:qFormat/>
    <w:pPr>
      <w:outlineLvl w:val="2"/>
    </w:pPr>
    <w:rPr>
      <w:i/>
      <w:sz w:val="24"/>
    </w:rPr>
  </w:style>
  <w:style w:type="paragraph" w:styleId="Rubrik4">
    <w:name w:val="heading 4"/>
    <w:basedOn w:val="Normal"/>
    <w:next w:val="Normal"/>
    <w:qFormat/>
    <w:pPr>
      <w:keepNext/>
      <w:outlineLvl w:val="3"/>
    </w:pPr>
    <w:rPr>
      <w:i/>
    </w:rPr>
  </w:style>
  <w:style w:type="paragraph" w:styleId="Rubrik5">
    <w:name w:val="heading 5"/>
    <w:basedOn w:val="Normal"/>
    <w:next w:val="Normal"/>
    <w:qFormat/>
    <w:pPr>
      <w:keepNext/>
      <w:outlineLvl w:val="4"/>
    </w:pPr>
    <w:rPr>
      <w:b/>
    </w:rPr>
  </w:style>
  <w:style w:type="paragraph" w:styleId="Rubrik6">
    <w:name w:val="heading 6"/>
    <w:basedOn w:val="Normal"/>
    <w:next w:val="Normal"/>
    <w:qFormat/>
    <w:pPr>
      <w:spacing w:after="60"/>
      <w:jc w:val="center"/>
      <w:outlineLvl w:val="5"/>
    </w:pPr>
    <w:rPr>
      <w:rFonts w:ascii="Times New Roman Bold" w:hAnsi="Times New Roman Bold"/>
      <w:b/>
      <w:sz w:val="28"/>
    </w:rPr>
  </w:style>
  <w:style w:type="paragraph" w:styleId="Rubrik7">
    <w:name w:val="heading 7"/>
    <w:basedOn w:val="Normal"/>
    <w:next w:val="Normal"/>
    <w:qFormat/>
    <w:pPr>
      <w:keepNext/>
      <w:ind w:left="547"/>
      <w:outlineLvl w:val="6"/>
    </w:pPr>
    <w:rPr>
      <w:u w:val="single"/>
    </w:rPr>
  </w:style>
  <w:style w:type="paragraph" w:styleId="Rubrik8">
    <w:name w:val="heading 8"/>
    <w:basedOn w:val="Normal"/>
    <w:next w:val="Normal"/>
    <w:qFormat/>
    <w:pPr>
      <w:keepNext/>
      <w:spacing w:before="360" w:after="360"/>
      <w:jc w:val="center"/>
      <w:outlineLvl w:val="7"/>
    </w:pPr>
    <w:rPr>
      <w:b/>
      <w:sz w:val="28"/>
    </w:rPr>
  </w:style>
  <w:style w:type="paragraph" w:styleId="Rubrik9">
    <w:name w:val="heading 9"/>
    <w:basedOn w:val="Normal"/>
    <w:next w:val="Normal"/>
    <w:qFormat/>
    <w:pPr>
      <w:keepNext/>
      <w:ind w:left="1134" w:hanging="567"/>
      <w:outlineLvl w:val="8"/>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dress">
    <w:name w:val="Address"/>
    <w:basedOn w:val="Normal"/>
    <w:pPr>
      <w:spacing w:after="0"/>
    </w:pPr>
  </w:style>
  <w:style w:type="paragraph" w:styleId="Sidfot">
    <w:name w:val="footer"/>
    <w:aliases w:val="Footer1"/>
    <w:basedOn w:val="Normal"/>
    <w:link w:val="SidfotChar"/>
    <w:uiPriority w:val="99"/>
    <w:pPr>
      <w:tabs>
        <w:tab w:val="left" w:pos="2552"/>
        <w:tab w:val="center" w:pos="3969"/>
        <w:tab w:val="center" w:pos="4536"/>
        <w:tab w:val="center" w:pos="5103"/>
        <w:tab w:val="left" w:pos="5670"/>
        <w:tab w:val="left" w:pos="6237"/>
        <w:tab w:val="left" w:pos="6804"/>
        <w:tab w:val="left" w:pos="7371"/>
        <w:tab w:val="left" w:pos="7938"/>
      </w:tabs>
      <w:spacing w:after="0"/>
    </w:pPr>
    <w:rPr>
      <w:sz w:val="20"/>
    </w:rPr>
  </w:style>
  <w:style w:type="character" w:customStyle="1" w:styleId="Voetnootmarkering1">
    <w:name w:val="Voetnootmarkering1"/>
    <w:rPr>
      <w:rFonts w:ascii="Times New Roman" w:hAnsi="Times New Roman"/>
      <w:dstrike w:val="0"/>
      <w:vertAlign w:val="superscript"/>
    </w:rPr>
  </w:style>
  <w:style w:type="paragraph" w:styleId="Fotnotstext">
    <w:name w:val="footnote text"/>
    <w:basedOn w:val="Normal"/>
    <w:link w:val="FotnotstextChar"/>
    <w:uiPriority w:val="99"/>
    <w:pPr>
      <w:ind w:left="567" w:hanging="567"/>
    </w:pPr>
    <w:rPr>
      <w:sz w:val="20"/>
    </w:rPr>
  </w:style>
  <w:style w:type="paragraph" w:customStyle="1" w:styleId="Voetnoottekst1">
    <w:name w:val="Voetnoottekst1"/>
    <w:basedOn w:val="Normal"/>
    <w:pPr>
      <w:ind w:left="567" w:hanging="567"/>
    </w:pPr>
    <w:rPr>
      <w:sz w:val="18"/>
      <w:szCs w:val="18"/>
    </w:rPr>
  </w:style>
  <w:style w:type="paragraph" w:styleId="Sidhuvud">
    <w:name w:val="header"/>
    <w:basedOn w:val="Normal"/>
    <w:pPr>
      <w:tabs>
        <w:tab w:val="center" w:pos="4153"/>
        <w:tab w:val="right" w:pos="8306"/>
      </w:tabs>
    </w:pPr>
  </w:style>
  <w:style w:type="paragraph" w:customStyle="1" w:styleId="Indenta">
    <w:name w:val="Indent a"/>
    <w:basedOn w:val="Normal"/>
    <w:pPr>
      <w:ind w:left="1134" w:hanging="567"/>
    </w:pPr>
  </w:style>
  <w:style w:type="paragraph" w:customStyle="1" w:styleId="Indenti">
    <w:name w:val="Indent i"/>
    <w:basedOn w:val="Normal"/>
    <w:pPr>
      <w:ind w:left="1701" w:hanging="567"/>
    </w:pPr>
  </w:style>
  <w:style w:type="paragraph" w:customStyle="1" w:styleId="Indentnono">
    <w:name w:val="Indent no no"/>
    <w:basedOn w:val="Normal"/>
    <w:pPr>
      <w:ind w:left="567"/>
    </w:pPr>
  </w:style>
  <w:style w:type="paragraph" w:customStyle="1" w:styleId="Indentnonodouble">
    <w:name w:val="Indent no no (double)"/>
    <w:basedOn w:val="Indentnono"/>
    <w:pPr>
      <w:ind w:left="1134"/>
    </w:pPr>
  </w:style>
  <w:style w:type="character" w:styleId="Sidnummer">
    <w:name w:val="page number"/>
    <w:basedOn w:val="Standardstycketeckensnitt"/>
  </w:style>
  <w:style w:type="character" w:styleId="Fotnotsreferens">
    <w:name w:val="footnote reference"/>
    <w:rsid w:val="00AE51C5"/>
    <w:rPr>
      <w:vertAlign w:val="superscript"/>
    </w:rPr>
  </w:style>
  <w:style w:type="paragraph" w:styleId="Ballongtext">
    <w:name w:val="Balloon Text"/>
    <w:basedOn w:val="Normal"/>
    <w:semiHidden/>
    <w:rsid w:val="00A338D3"/>
    <w:rPr>
      <w:rFonts w:ascii="Tahoma" w:hAnsi="Tahoma" w:cs="Tahoma"/>
      <w:sz w:val="16"/>
      <w:szCs w:val="16"/>
    </w:rPr>
  </w:style>
  <w:style w:type="paragraph" w:styleId="Dokumentversikt">
    <w:name w:val="Document Map"/>
    <w:basedOn w:val="Normal"/>
    <w:semiHidden/>
    <w:rsid w:val="00D80804"/>
    <w:pPr>
      <w:shd w:val="clear" w:color="auto" w:fill="000080"/>
    </w:pPr>
    <w:rPr>
      <w:rFonts w:ascii="Tahoma" w:hAnsi="Tahoma" w:cs="Tahoma"/>
      <w:sz w:val="20"/>
    </w:rPr>
  </w:style>
  <w:style w:type="paragraph" w:customStyle="1" w:styleId="CharChar">
    <w:name w:val="Char Char"/>
    <w:basedOn w:val="Normal"/>
    <w:rsid w:val="009C457B"/>
    <w:pPr>
      <w:tabs>
        <w:tab w:val="clear" w:pos="567"/>
        <w:tab w:val="clear" w:pos="1134"/>
        <w:tab w:val="clear" w:pos="1701"/>
        <w:tab w:val="clear" w:pos="2268"/>
      </w:tabs>
      <w:spacing w:after="160" w:line="240" w:lineRule="exact"/>
    </w:pPr>
    <w:rPr>
      <w:rFonts w:ascii="Tahoma" w:hAnsi="Tahoma"/>
      <w:sz w:val="20"/>
      <w:lang w:val="en-US" w:eastAsia="en-US"/>
    </w:rPr>
  </w:style>
  <w:style w:type="paragraph" w:customStyle="1" w:styleId="CarCar">
    <w:name w:val="Car Car"/>
    <w:basedOn w:val="Normal"/>
    <w:rsid w:val="00B91AED"/>
    <w:pPr>
      <w:tabs>
        <w:tab w:val="clear" w:pos="567"/>
        <w:tab w:val="clear" w:pos="1134"/>
        <w:tab w:val="clear" w:pos="1701"/>
        <w:tab w:val="clear" w:pos="2268"/>
      </w:tabs>
      <w:spacing w:after="160" w:line="240" w:lineRule="exact"/>
    </w:pPr>
    <w:rPr>
      <w:rFonts w:ascii="Tahoma" w:hAnsi="Tahoma"/>
      <w:sz w:val="20"/>
      <w:lang w:val="en-US" w:eastAsia="en-US"/>
    </w:rPr>
  </w:style>
  <w:style w:type="paragraph" w:customStyle="1" w:styleId="ZchnZchn1CharCharCarCar">
    <w:name w:val="Zchn Zchn1 Char Char Car Car"/>
    <w:basedOn w:val="Normal"/>
    <w:rsid w:val="00E77FA1"/>
    <w:pPr>
      <w:tabs>
        <w:tab w:val="clear" w:pos="567"/>
        <w:tab w:val="clear" w:pos="1134"/>
        <w:tab w:val="clear" w:pos="1701"/>
        <w:tab w:val="clear" w:pos="2268"/>
      </w:tabs>
      <w:spacing w:after="160" w:line="240" w:lineRule="exact"/>
    </w:pPr>
    <w:rPr>
      <w:rFonts w:ascii="Tahoma" w:hAnsi="Tahoma"/>
      <w:sz w:val="20"/>
      <w:lang w:val="en-US" w:eastAsia="en-US"/>
    </w:rPr>
  </w:style>
  <w:style w:type="paragraph" w:customStyle="1" w:styleId="CarCar1">
    <w:name w:val="Car Car1"/>
    <w:basedOn w:val="Normal"/>
    <w:rsid w:val="00FE23B0"/>
    <w:pPr>
      <w:tabs>
        <w:tab w:val="clear" w:pos="567"/>
        <w:tab w:val="clear" w:pos="1134"/>
        <w:tab w:val="clear" w:pos="1701"/>
        <w:tab w:val="clear" w:pos="2268"/>
      </w:tabs>
      <w:spacing w:after="160" w:line="240" w:lineRule="exact"/>
    </w:pPr>
    <w:rPr>
      <w:rFonts w:ascii="Tahoma" w:hAnsi="Tahoma"/>
      <w:sz w:val="20"/>
      <w:lang w:val="en-US" w:eastAsia="en-US"/>
    </w:rPr>
  </w:style>
  <w:style w:type="paragraph" w:styleId="Brdtext">
    <w:name w:val="Body Text"/>
    <w:basedOn w:val="Normal"/>
    <w:link w:val="BrdtextChar"/>
    <w:rsid w:val="00FE23B0"/>
    <w:pPr>
      <w:numPr>
        <w:numId w:val="1"/>
      </w:numPr>
      <w:tabs>
        <w:tab w:val="clear" w:pos="567"/>
        <w:tab w:val="clear" w:pos="1134"/>
        <w:tab w:val="clear" w:pos="2268"/>
      </w:tabs>
      <w:spacing w:after="140" w:line="280" w:lineRule="atLeast"/>
    </w:pPr>
    <w:rPr>
      <w:rFonts w:ascii="Arial" w:hAnsi="Arial"/>
      <w:sz w:val="20"/>
    </w:rPr>
  </w:style>
  <w:style w:type="paragraph" w:styleId="Rubrik">
    <w:name w:val="Title"/>
    <w:link w:val="RubrikChar"/>
    <w:qFormat/>
    <w:rsid w:val="00FE23B0"/>
    <w:pPr>
      <w:spacing w:line="280" w:lineRule="atLeast"/>
      <w:outlineLvl w:val="0"/>
    </w:pPr>
    <w:rPr>
      <w:rFonts w:ascii="Arial" w:hAnsi="Arial"/>
      <w:noProof/>
      <w:kern w:val="28"/>
      <w:sz w:val="24"/>
      <w:lang w:val="en-GB" w:eastAsia="en-GB"/>
    </w:rPr>
  </w:style>
  <w:style w:type="paragraph" w:styleId="Brdtext2">
    <w:name w:val="Body Text 2"/>
    <w:basedOn w:val="Normal"/>
    <w:rsid w:val="00C14504"/>
    <w:pPr>
      <w:tabs>
        <w:tab w:val="clear" w:pos="567"/>
        <w:tab w:val="clear" w:pos="1134"/>
        <w:tab w:val="clear" w:pos="1701"/>
        <w:tab w:val="clear" w:pos="2268"/>
        <w:tab w:val="left" w:pos="1418"/>
      </w:tabs>
      <w:spacing w:line="480" w:lineRule="auto"/>
    </w:pPr>
    <w:rPr>
      <w:rFonts w:ascii="Arial" w:hAnsi="Arial"/>
      <w:sz w:val="20"/>
    </w:rPr>
  </w:style>
  <w:style w:type="character" w:styleId="Kommentarsreferens">
    <w:name w:val="annotation reference"/>
    <w:semiHidden/>
    <w:rsid w:val="00973229"/>
    <w:rPr>
      <w:sz w:val="16"/>
      <w:szCs w:val="16"/>
    </w:rPr>
  </w:style>
  <w:style w:type="paragraph" w:styleId="Kommentarer">
    <w:name w:val="annotation text"/>
    <w:basedOn w:val="Normal"/>
    <w:link w:val="KommentarerChar"/>
    <w:semiHidden/>
    <w:rsid w:val="00973229"/>
    <w:rPr>
      <w:sz w:val="20"/>
    </w:rPr>
  </w:style>
  <w:style w:type="paragraph" w:styleId="Kommentarsmne">
    <w:name w:val="annotation subject"/>
    <w:basedOn w:val="Kommentarer"/>
    <w:next w:val="Kommentarer"/>
    <w:semiHidden/>
    <w:rsid w:val="00973229"/>
    <w:rPr>
      <w:b/>
      <w:bCs/>
    </w:rPr>
  </w:style>
  <w:style w:type="character" w:styleId="Hyperlnk">
    <w:name w:val="Hyperlink"/>
    <w:rsid w:val="00FC4543"/>
    <w:rPr>
      <w:color w:val="0000FF"/>
      <w:u w:val="single"/>
    </w:rPr>
  </w:style>
  <w:style w:type="character" w:styleId="AnvndHyperlnk">
    <w:name w:val="FollowedHyperlink"/>
    <w:rsid w:val="008C503B"/>
    <w:rPr>
      <w:color w:val="800080"/>
      <w:u w:val="single"/>
    </w:rPr>
  </w:style>
  <w:style w:type="paragraph" w:customStyle="1" w:styleId="Gemiddeldraster3-accent51">
    <w:name w:val="Gemiddeld raster 3 - accent 51"/>
    <w:hidden/>
    <w:uiPriority w:val="99"/>
    <w:semiHidden/>
    <w:rsid w:val="009242AB"/>
    <w:rPr>
      <w:sz w:val="22"/>
      <w:lang w:val="en-GB" w:eastAsia="en-GB"/>
    </w:rPr>
  </w:style>
  <w:style w:type="paragraph" w:styleId="Normalwebb">
    <w:name w:val="Normal (Web)"/>
    <w:basedOn w:val="Normal"/>
    <w:rsid w:val="002A2954"/>
    <w:pPr>
      <w:tabs>
        <w:tab w:val="clear" w:pos="567"/>
        <w:tab w:val="clear" w:pos="1134"/>
        <w:tab w:val="clear" w:pos="1701"/>
        <w:tab w:val="clear" w:pos="2268"/>
      </w:tabs>
      <w:spacing w:before="100" w:beforeAutospacing="1" w:after="100" w:afterAutospacing="1"/>
    </w:pPr>
    <w:rPr>
      <w:sz w:val="24"/>
      <w:szCs w:val="24"/>
    </w:rPr>
  </w:style>
  <w:style w:type="character" w:customStyle="1" w:styleId="A2">
    <w:name w:val="A2"/>
    <w:uiPriority w:val="99"/>
    <w:rsid w:val="005152BD"/>
    <w:rPr>
      <w:b/>
      <w:bCs/>
      <w:color w:val="000000"/>
      <w:sz w:val="20"/>
      <w:szCs w:val="20"/>
    </w:rPr>
  </w:style>
  <w:style w:type="table" w:styleId="Tabellrutnt">
    <w:name w:val="Table Grid"/>
    <w:basedOn w:val="Normaltabell"/>
    <w:uiPriority w:val="39"/>
    <w:rsid w:val="00E92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2">
    <w:name w:val="Zchn Zchn2"/>
    <w:basedOn w:val="Normal"/>
    <w:rsid w:val="00BA2523"/>
    <w:pPr>
      <w:tabs>
        <w:tab w:val="clear" w:pos="567"/>
        <w:tab w:val="clear" w:pos="1134"/>
        <w:tab w:val="clear" w:pos="1701"/>
        <w:tab w:val="clear" w:pos="2268"/>
      </w:tabs>
      <w:spacing w:after="160" w:line="240" w:lineRule="exact"/>
    </w:pPr>
    <w:rPr>
      <w:rFonts w:ascii="Tahoma" w:hAnsi="Tahoma"/>
      <w:sz w:val="20"/>
      <w:lang w:val="en-US" w:eastAsia="en-US"/>
    </w:rPr>
  </w:style>
  <w:style w:type="paragraph" w:customStyle="1" w:styleId="Default">
    <w:name w:val="Default"/>
    <w:rsid w:val="00D056CF"/>
    <w:pPr>
      <w:autoSpaceDE w:val="0"/>
      <w:autoSpaceDN w:val="0"/>
      <w:adjustRightInd w:val="0"/>
    </w:pPr>
    <w:rPr>
      <w:rFonts w:ascii="Microsoft PhagsPa" w:hAnsi="Microsoft PhagsPa" w:cs="Microsoft PhagsPa"/>
      <w:color w:val="000000"/>
      <w:sz w:val="24"/>
      <w:szCs w:val="24"/>
      <w:lang w:val="en-GB" w:eastAsia="en-GB"/>
    </w:rPr>
  </w:style>
  <w:style w:type="paragraph" w:customStyle="1" w:styleId="Pa1">
    <w:name w:val="Pa1"/>
    <w:basedOn w:val="Default"/>
    <w:next w:val="Default"/>
    <w:uiPriority w:val="99"/>
    <w:rsid w:val="00D056CF"/>
    <w:pPr>
      <w:spacing w:line="241" w:lineRule="atLeast"/>
    </w:pPr>
    <w:rPr>
      <w:rFonts w:cs="Times New Roman"/>
      <w:color w:val="auto"/>
    </w:rPr>
  </w:style>
  <w:style w:type="character" w:customStyle="1" w:styleId="A3">
    <w:name w:val="A3"/>
    <w:uiPriority w:val="99"/>
    <w:rsid w:val="00D056CF"/>
    <w:rPr>
      <w:rFonts w:cs="Microsoft PhagsPa"/>
      <w:color w:val="000000"/>
      <w:sz w:val="48"/>
      <w:szCs w:val="48"/>
    </w:rPr>
  </w:style>
  <w:style w:type="paragraph" w:customStyle="1" w:styleId="Char">
    <w:name w:val="Char"/>
    <w:basedOn w:val="Normal"/>
    <w:rsid w:val="00583051"/>
    <w:pPr>
      <w:tabs>
        <w:tab w:val="clear" w:pos="567"/>
        <w:tab w:val="clear" w:pos="1134"/>
        <w:tab w:val="clear" w:pos="1701"/>
        <w:tab w:val="clear" w:pos="2268"/>
      </w:tabs>
      <w:spacing w:after="160" w:line="240" w:lineRule="exact"/>
    </w:pPr>
    <w:rPr>
      <w:rFonts w:ascii="Tahoma" w:hAnsi="Tahoma"/>
      <w:sz w:val="20"/>
      <w:lang w:val="en-US" w:eastAsia="en-US"/>
    </w:rPr>
  </w:style>
  <w:style w:type="character" w:customStyle="1" w:styleId="Rubrik2Char">
    <w:name w:val="Rubrik 2 Char"/>
    <w:link w:val="Rubrik2"/>
    <w:rsid w:val="001C5814"/>
    <w:rPr>
      <w:rFonts w:ascii="Calibri" w:hAnsi="Calibri"/>
      <w:sz w:val="28"/>
    </w:rPr>
  </w:style>
  <w:style w:type="character" w:customStyle="1" w:styleId="BrdtextChar">
    <w:name w:val="Brödtext Char"/>
    <w:link w:val="Brdtext"/>
    <w:rsid w:val="000176BC"/>
    <w:rPr>
      <w:rFonts w:ascii="Arial" w:hAnsi="Arial"/>
      <w:lang w:eastAsia="en-GB"/>
    </w:rPr>
  </w:style>
  <w:style w:type="character" w:customStyle="1" w:styleId="RubrikChar">
    <w:name w:val="Rubrik Char"/>
    <w:link w:val="Rubrik"/>
    <w:rsid w:val="00F631DE"/>
    <w:rPr>
      <w:rFonts w:ascii="Arial" w:hAnsi="Arial"/>
      <w:noProof/>
      <w:kern w:val="28"/>
      <w:sz w:val="24"/>
    </w:rPr>
  </w:style>
  <w:style w:type="character" w:customStyle="1" w:styleId="SidfotChar">
    <w:name w:val="Sidfot Char"/>
    <w:aliases w:val="Footer1 Char"/>
    <w:link w:val="Sidfot"/>
    <w:uiPriority w:val="99"/>
    <w:rsid w:val="00217183"/>
    <w:rPr>
      <w:rFonts w:ascii="Calibri" w:hAnsi="Calibri"/>
    </w:rPr>
  </w:style>
  <w:style w:type="character" w:customStyle="1" w:styleId="apple-converted-space">
    <w:name w:val="apple-converted-space"/>
    <w:rsid w:val="008F0838"/>
  </w:style>
  <w:style w:type="paragraph" w:customStyle="1" w:styleId="Sideheadingsmall">
    <w:name w:val="Side heading (small)"/>
    <w:basedOn w:val="Normal"/>
    <w:next w:val="Normal"/>
    <w:rsid w:val="00DF47FC"/>
    <w:pPr>
      <w:keepNext/>
      <w:spacing w:after="80"/>
      <w:jc w:val="left"/>
    </w:pPr>
    <w:rPr>
      <w:rFonts w:ascii="Times New Roman Bold" w:hAnsi="Times New Roman Bold"/>
      <w:b/>
      <w:bCs/>
      <w:i/>
      <w:iCs/>
      <w:sz w:val="20"/>
      <w:lang w:eastAsia="en-US"/>
    </w:rPr>
  </w:style>
  <w:style w:type="paragraph" w:customStyle="1" w:styleId="Titre2">
    <w:name w:val="Titre 2"/>
    <w:basedOn w:val="Normal"/>
    <w:link w:val="Titre2Car"/>
    <w:qFormat/>
    <w:rsid w:val="00543545"/>
    <w:pPr>
      <w:keepNext/>
      <w:tabs>
        <w:tab w:val="clear" w:pos="1134"/>
        <w:tab w:val="clear" w:pos="1701"/>
        <w:tab w:val="clear" w:pos="2268"/>
      </w:tabs>
      <w:spacing w:before="140" w:after="140" w:line="280" w:lineRule="atLeast"/>
      <w:jc w:val="left"/>
      <w:outlineLvl w:val="1"/>
    </w:pPr>
    <w:rPr>
      <w:rFonts w:ascii="Arial" w:eastAsia="Microsoft YaHei" w:hAnsi="Arial" w:cs="Mangal"/>
      <w:color w:val="00000A"/>
      <w:sz w:val="28"/>
      <w:szCs w:val="28"/>
      <w:lang w:val="en-US" w:eastAsia="en-US"/>
    </w:rPr>
  </w:style>
  <w:style w:type="character" w:customStyle="1" w:styleId="Titre2Car">
    <w:name w:val="Titre 2 Car"/>
    <w:link w:val="Titre2"/>
    <w:qFormat/>
    <w:rsid w:val="00543545"/>
    <w:rPr>
      <w:rFonts w:ascii="Arial" w:eastAsia="Microsoft YaHei" w:hAnsi="Arial" w:cs="Mangal"/>
      <w:color w:val="00000A"/>
      <w:sz w:val="28"/>
      <w:szCs w:val="28"/>
      <w:lang w:val="en-US" w:eastAsia="en-US"/>
    </w:rPr>
  </w:style>
  <w:style w:type="paragraph" w:customStyle="1" w:styleId="Docheader">
    <w:name w:val="Doc header"/>
    <w:basedOn w:val="Normal"/>
    <w:rsid w:val="000D5350"/>
    <w:pPr>
      <w:tabs>
        <w:tab w:val="clear" w:pos="1134"/>
        <w:tab w:val="clear" w:pos="1701"/>
        <w:tab w:val="clear" w:pos="2268"/>
      </w:tabs>
      <w:spacing w:after="0" w:line="280" w:lineRule="exact"/>
    </w:pPr>
    <w:rPr>
      <w:sz w:val="24"/>
      <w:lang w:val="en-US" w:eastAsia="en-US"/>
    </w:rPr>
  </w:style>
  <w:style w:type="paragraph" w:styleId="Liststycke">
    <w:name w:val="List Paragraph"/>
    <w:basedOn w:val="Normal"/>
    <w:uiPriority w:val="34"/>
    <w:qFormat/>
    <w:rsid w:val="00B167C5"/>
    <w:pPr>
      <w:tabs>
        <w:tab w:val="clear" w:pos="567"/>
        <w:tab w:val="clear" w:pos="1134"/>
        <w:tab w:val="clear" w:pos="1701"/>
        <w:tab w:val="clear" w:pos="2268"/>
      </w:tabs>
      <w:spacing w:after="160" w:line="259" w:lineRule="auto"/>
      <w:ind w:left="720"/>
      <w:contextualSpacing/>
      <w:jc w:val="left"/>
    </w:pPr>
    <w:rPr>
      <w:rFonts w:asciiTheme="minorHAnsi" w:eastAsiaTheme="minorHAnsi" w:hAnsiTheme="minorHAnsi" w:cstheme="minorBidi"/>
      <w:szCs w:val="22"/>
      <w:lang w:val="nl-NL" w:eastAsia="en-US"/>
    </w:rPr>
  </w:style>
  <w:style w:type="character" w:customStyle="1" w:styleId="FotnotstextChar">
    <w:name w:val="Fotnotstext Char"/>
    <w:basedOn w:val="Standardstycketeckensnitt"/>
    <w:link w:val="Fotnotstext"/>
    <w:uiPriority w:val="99"/>
    <w:rsid w:val="00B167C5"/>
    <w:rPr>
      <w:rFonts w:ascii="Calibri" w:hAnsi="Calibri"/>
      <w:lang w:val="en-GB" w:eastAsia="en-GB"/>
    </w:rPr>
  </w:style>
  <w:style w:type="paragraph" w:styleId="Beskrivning">
    <w:name w:val="caption"/>
    <w:basedOn w:val="Normal"/>
    <w:next w:val="Normal"/>
    <w:uiPriority w:val="35"/>
    <w:unhideWhenUsed/>
    <w:qFormat/>
    <w:rsid w:val="00B167C5"/>
    <w:pPr>
      <w:tabs>
        <w:tab w:val="clear" w:pos="567"/>
        <w:tab w:val="clear" w:pos="1134"/>
        <w:tab w:val="clear" w:pos="1701"/>
        <w:tab w:val="clear" w:pos="2268"/>
      </w:tabs>
      <w:spacing w:after="200"/>
      <w:jc w:val="left"/>
    </w:pPr>
    <w:rPr>
      <w:rFonts w:asciiTheme="minorHAnsi" w:eastAsiaTheme="minorHAnsi" w:hAnsiTheme="minorHAnsi" w:cstheme="minorBidi"/>
      <w:i/>
      <w:iCs/>
      <w:color w:val="44546A" w:themeColor="text2"/>
      <w:sz w:val="18"/>
      <w:szCs w:val="18"/>
      <w:lang w:val="nl-NL" w:eastAsia="en-US"/>
    </w:rPr>
  </w:style>
  <w:style w:type="character" w:customStyle="1" w:styleId="UnresolvedMention1">
    <w:name w:val="Unresolved Mention1"/>
    <w:basedOn w:val="Standardstycketeckensnitt"/>
    <w:uiPriority w:val="99"/>
    <w:semiHidden/>
    <w:unhideWhenUsed/>
    <w:rsid w:val="00B167C5"/>
    <w:rPr>
      <w:color w:val="605E5C"/>
      <w:shd w:val="clear" w:color="auto" w:fill="E1DFDD"/>
    </w:rPr>
  </w:style>
  <w:style w:type="paragraph" w:styleId="Revision">
    <w:name w:val="Revision"/>
    <w:hidden/>
    <w:uiPriority w:val="99"/>
    <w:semiHidden/>
    <w:rsid w:val="00D03B9B"/>
    <w:rPr>
      <w:rFonts w:ascii="Calibri" w:hAnsi="Calibri"/>
      <w:sz w:val="22"/>
      <w:lang w:val="en-GB" w:eastAsia="en-GB"/>
    </w:rPr>
  </w:style>
  <w:style w:type="character" w:customStyle="1" w:styleId="KommentarerChar">
    <w:name w:val="Kommentarer Char"/>
    <w:basedOn w:val="Standardstycketeckensnitt"/>
    <w:link w:val="Kommentarer"/>
    <w:semiHidden/>
    <w:rsid w:val="00D17320"/>
    <w:rPr>
      <w:rFonts w:ascii="Calibri" w:hAnsi="Calibri"/>
      <w:lang w:val="en-GB" w:eastAsia="en-GB"/>
    </w:rPr>
  </w:style>
  <w:style w:type="character" w:customStyle="1" w:styleId="Olstomnmnande1">
    <w:name w:val="Olöst omnämnande1"/>
    <w:basedOn w:val="Standardstycketeckensnitt"/>
    <w:uiPriority w:val="99"/>
    <w:semiHidden/>
    <w:unhideWhenUsed/>
    <w:rsid w:val="00D57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353">
      <w:bodyDiv w:val="1"/>
      <w:marLeft w:val="0"/>
      <w:marRight w:val="0"/>
      <w:marTop w:val="0"/>
      <w:marBottom w:val="0"/>
      <w:divBdr>
        <w:top w:val="none" w:sz="0" w:space="0" w:color="auto"/>
        <w:left w:val="none" w:sz="0" w:space="0" w:color="auto"/>
        <w:bottom w:val="none" w:sz="0" w:space="0" w:color="auto"/>
        <w:right w:val="none" w:sz="0" w:space="0" w:color="auto"/>
      </w:divBdr>
    </w:div>
    <w:div w:id="161051220">
      <w:bodyDiv w:val="1"/>
      <w:marLeft w:val="0"/>
      <w:marRight w:val="0"/>
      <w:marTop w:val="0"/>
      <w:marBottom w:val="0"/>
      <w:divBdr>
        <w:top w:val="none" w:sz="0" w:space="0" w:color="auto"/>
        <w:left w:val="none" w:sz="0" w:space="0" w:color="auto"/>
        <w:bottom w:val="none" w:sz="0" w:space="0" w:color="auto"/>
        <w:right w:val="none" w:sz="0" w:space="0" w:color="auto"/>
      </w:divBdr>
    </w:div>
    <w:div w:id="317733259">
      <w:bodyDiv w:val="1"/>
      <w:marLeft w:val="0"/>
      <w:marRight w:val="0"/>
      <w:marTop w:val="0"/>
      <w:marBottom w:val="0"/>
      <w:divBdr>
        <w:top w:val="none" w:sz="0" w:space="0" w:color="auto"/>
        <w:left w:val="none" w:sz="0" w:space="0" w:color="auto"/>
        <w:bottom w:val="none" w:sz="0" w:space="0" w:color="auto"/>
        <w:right w:val="none" w:sz="0" w:space="0" w:color="auto"/>
      </w:divBdr>
    </w:div>
    <w:div w:id="548608348">
      <w:bodyDiv w:val="1"/>
      <w:marLeft w:val="0"/>
      <w:marRight w:val="0"/>
      <w:marTop w:val="0"/>
      <w:marBottom w:val="0"/>
      <w:divBdr>
        <w:top w:val="none" w:sz="0" w:space="0" w:color="auto"/>
        <w:left w:val="none" w:sz="0" w:space="0" w:color="auto"/>
        <w:bottom w:val="none" w:sz="0" w:space="0" w:color="auto"/>
        <w:right w:val="none" w:sz="0" w:space="0" w:color="auto"/>
      </w:divBdr>
    </w:div>
    <w:div w:id="563028428">
      <w:bodyDiv w:val="1"/>
      <w:marLeft w:val="0"/>
      <w:marRight w:val="0"/>
      <w:marTop w:val="0"/>
      <w:marBottom w:val="0"/>
      <w:divBdr>
        <w:top w:val="none" w:sz="0" w:space="0" w:color="auto"/>
        <w:left w:val="none" w:sz="0" w:space="0" w:color="auto"/>
        <w:bottom w:val="none" w:sz="0" w:space="0" w:color="auto"/>
        <w:right w:val="none" w:sz="0" w:space="0" w:color="auto"/>
      </w:divBdr>
    </w:div>
    <w:div w:id="972059785">
      <w:bodyDiv w:val="1"/>
      <w:marLeft w:val="0"/>
      <w:marRight w:val="0"/>
      <w:marTop w:val="0"/>
      <w:marBottom w:val="0"/>
      <w:divBdr>
        <w:top w:val="none" w:sz="0" w:space="0" w:color="auto"/>
        <w:left w:val="none" w:sz="0" w:space="0" w:color="auto"/>
        <w:bottom w:val="none" w:sz="0" w:space="0" w:color="auto"/>
        <w:right w:val="none" w:sz="0" w:space="0" w:color="auto"/>
      </w:divBdr>
    </w:div>
    <w:div w:id="1341541719">
      <w:bodyDiv w:val="1"/>
      <w:marLeft w:val="0"/>
      <w:marRight w:val="0"/>
      <w:marTop w:val="0"/>
      <w:marBottom w:val="0"/>
      <w:divBdr>
        <w:top w:val="none" w:sz="0" w:space="0" w:color="auto"/>
        <w:left w:val="none" w:sz="0" w:space="0" w:color="auto"/>
        <w:bottom w:val="none" w:sz="0" w:space="0" w:color="auto"/>
        <w:right w:val="none" w:sz="0" w:space="0" w:color="auto"/>
      </w:divBdr>
    </w:div>
    <w:div w:id="1864974955">
      <w:bodyDiv w:val="1"/>
      <w:marLeft w:val="0"/>
      <w:marRight w:val="0"/>
      <w:marTop w:val="0"/>
      <w:marBottom w:val="0"/>
      <w:divBdr>
        <w:top w:val="none" w:sz="0" w:space="0" w:color="auto"/>
        <w:left w:val="none" w:sz="0" w:space="0" w:color="auto"/>
        <w:bottom w:val="none" w:sz="0" w:space="0" w:color="auto"/>
        <w:right w:val="none" w:sz="0" w:space="0" w:color="auto"/>
      </w:divBdr>
      <w:divsChild>
        <w:div w:id="104279667">
          <w:marLeft w:val="0"/>
          <w:marRight w:val="0"/>
          <w:marTop w:val="0"/>
          <w:marBottom w:val="0"/>
          <w:divBdr>
            <w:top w:val="none" w:sz="0" w:space="0" w:color="auto"/>
            <w:left w:val="none" w:sz="0" w:space="0" w:color="auto"/>
            <w:bottom w:val="none" w:sz="0" w:space="0" w:color="auto"/>
            <w:right w:val="none" w:sz="0" w:space="0" w:color="auto"/>
          </w:divBdr>
        </w:div>
        <w:div w:id="417756911">
          <w:marLeft w:val="0"/>
          <w:marRight w:val="0"/>
          <w:marTop w:val="0"/>
          <w:marBottom w:val="0"/>
          <w:divBdr>
            <w:top w:val="none" w:sz="0" w:space="0" w:color="auto"/>
            <w:left w:val="none" w:sz="0" w:space="0" w:color="auto"/>
            <w:bottom w:val="none" w:sz="0" w:space="0" w:color="auto"/>
            <w:right w:val="none" w:sz="0" w:space="0" w:color="auto"/>
          </w:divBdr>
        </w:div>
        <w:div w:id="538863278">
          <w:marLeft w:val="0"/>
          <w:marRight w:val="0"/>
          <w:marTop w:val="0"/>
          <w:marBottom w:val="0"/>
          <w:divBdr>
            <w:top w:val="none" w:sz="0" w:space="0" w:color="auto"/>
            <w:left w:val="none" w:sz="0" w:space="0" w:color="auto"/>
            <w:bottom w:val="none" w:sz="0" w:space="0" w:color="auto"/>
            <w:right w:val="none" w:sz="0" w:space="0" w:color="auto"/>
          </w:divBdr>
        </w:div>
        <w:div w:id="546527271">
          <w:marLeft w:val="0"/>
          <w:marRight w:val="0"/>
          <w:marTop w:val="0"/>
          <w:marBottom w:val="0"/>
          <w:divBdr>
            <w:top w:val="none" w:sz="0" w:space="0" w:color="auto"/>
            <w:left w:val="none" w:sz="0" w:space="0" w:color="auto"/>
            <w:bottom w:val="none" w:sz="0" w:space="0" w:color="auto"/>
            <w:right w:val="none" w:sz="0" w:space="0" w:color="auto"/>
          </w:divBdr>
        </w:div>
        <w:div w:id="661079635">
          <w:marLeft w:val="0"/>
          <w:marRight w:val="0"/>
          <w:marTop w:val="0"/>
          <w:marBottom w:val="0"/>
          <w:divBdr>
            <w:top w:val="none" w:sz="0" w:space="0" w:color="auto"/>
            <w:left w:val="none" w:sz="0" w:space="0" w:color="auto"/>
            <w:bottom w:val="none" w:sz="0" w:space="0" w:color="auto"/>
            <w:right w:val="none" w:sz="0" w:space="0" w:color="auto"/>
          </w:divBdr>
        </w:div>
        <w:div w:id="1034964489">
          <w:marLeft w:val="0"/>
          <w:marRight w:val="0"/>
          <w:marTop w:val="0"/>
          <w:marBottom w:val="0"/>
          <w:divBdr>
            <w:top w:val="none" w:sz="0" w:space="0" w:color="auto"/>
            <w:left w:val="none" w:sz="0" w:space="0" w:color="auto"/>
            <w:bottom w:val="none" w:sz="0" w:space="0" w:color="auto"/>
            <w:right w:val="none" w:sz="0" w:space="0" w:color="auto"/>
          </w:divBdr>
        </w:div>
        <w:div w:id="1098677729">
          <w:marLeft w:val="0"/>
          <w:marRight w:val="0"/>
          <w:marTop w:val="0"/>
          <w:marBottom w:val="0"/>
          <w:divBdr>
            <w:top w:val="none" w:sz="0" w:space="0" w:color="auto"/>
            <w:left w:val="none" w:sz="0" w:space="0" w:color="auto"/>
            <w:bottom w:val="none" w:sz="0" w:space="0" w:color="auto"/>
            <w:right w:val="none" w:sz="0" w:space="0" w:color="auto"/>
          </w:divBdr>
        </w:div>
        <w:div w:id="1135639827">
          <w:marLeft w:val="0"/>
          <w:marRight w:val="0"/>
          <w:marTop w:val="0"/>
          <w:marBottom w:val="0"/>
          <w:divBdr>
            <w:top w:val="none" w:sz="0" w:space="0" w:color="auto"/>
            <w:left w:val="none" w:sz="0" w:space="0" w:color="auto"/>
            <w:bottom w:val="none" w:sz="0" w:space="0" w:color="auto"/>
            <w:right w:val="none" w:sz="0" w:space="0" w:color="auto"/>
          </w:divBdr>
        </w:div>
        <w:div w:id="1222443266">
          <w:marLeft w:val="0"/>
          <w:marRight w:val="0"/>
          <w:marTop w:val="0"/>
          <w:marBottom w:val="0"/>
          <w:divBdr>
            <w:top w:val="none" w:sz="0" w:space="0" w:color="auto"/>
            <w:left w:val="none" w:sz="0" w:space="0" w:color="auto"/>
            <w:bottom w:val="none" w:sz="0" w:space="0" w:color="auto"/>
            <w:right w:val="none" w:sz="0" w:space="0" w:color="auto"/>
          </w:divBdr>
        </w:div>
        <w:div w:id="1355377002">
          <w:marLeft w:val="0"/>
          <w:marRight w:val="0"/>
          <w:marTop w:val="0"/>
          <w:marBottom w:val="0"/>
          <w:divBdr>
            <w:top w:val="none" w:sz="0" w:space="0" w:color="auto"/>
            <w:left w:val="none" w:sz="0" w:space="0" w:color="auto"/>
            <w:bottom w:val="none" w:sz="0" w:space="0" w:color="auto"/>
            <w:right w:val="none" w:sz="0" w:space="0" w:color="auto"/>
          </w:divBdr>
        </w:div>
        <w:div w:id="1385716799">
          <w:marLeft w:val="0"/>
          <w:marRight w:val="0"/>
          <w:marTop w:val="0"/>
          <w:marBottom w:val="0"/>
          <w:divBdr>
            <w:top w:val="none" w:sz="0" w:space="0" w:color="auto"/>
            <w:left w:val="none" w:sz="0" w:space="0" w:color="auto"/>
            <w:bottom w:val="none" w:sz="0" w:space="0" w:color="auto"/>
            <w:right w:val="none" w:sz="0" w:space="0" w:color="auto"/>
          </w:divBdr>
        </w:div>
        <w:div w:id="1401751374">
          <w:marLeft w:val="0"/>
          <w:marRight w:val="0"/>
          <w:marTop w:val="0"/>
          <w:marBottom w:val="0"/>
          <w:divBdr>
            <w:top w:val="none" w:sz="0" w:space="0" w:color="auto"/>
            <w:left w:val="none" w:sz="0" w:space="0" w:color="auto"/>
            <w:bottom w:val="none" w:sz="0" w:space="0" w:color="auto"/>
            <w:right w:val="none" w:sz="0" w:space="0" w:color="auto"/>
          </w:divBdr>
        </w:div>
        <w:div w:id="1714889064">
          <w:marLeft w:val="0"/>
          <w:marRight w:val="0"/>
          <w:marTop w:val="0"/>
          <w:marBottom w:val="0"/>
          <w:divBdr>
            <w:top w:val="none" w:sz="0" w:space="0" w:color="auto"/>
            <w:left w:val="none" w:sz="0" w:space="0" w:color="auto"/>
            <w:bottom w:val="none" w:sz="0" w:space="0" w:color="auto"/>
            <w:right w:val="none" w:sz="0" w:space="0" w:color="auto"/>
          </w:divBdr>
        </w:div>
        <w:div w:id="2002924086">
          <w:marLeft w:val="0"/>
          <w:marRight w:val="0"/>
          <w:marTop w:val="0"/>
          <w:marBottom w:val="0"/>
          <w:divBdr>
            <w:top w:val="none" w:sz="0" w:space="0" w:color="auto"/>
            <w:left w:val="none" w:sz="0" w:space="0" w:color="auto"/>
            <w:bottom w:val="none" w:sz="0" w:space="0" w:color="auto"/>
            <w:right w:val="none" w:sz="0" w:space="0" w:color="auto"/>
          </w:divBdr>
        </w:div>
        <w:div w:id="2131508791">
          <w:marLeft w:val="0"/>
          <w:marRight w:val="0"/>
          <w:marTop w:val="0"/>
          <w:marBottom w:val="0"/>
          <w:divBdr>
            <w:top w:val="none" w:sz="0" w:space="0" w:color="auto"/>
            <w:left w:val="none" w:sz="0" w:space="0" w:color="auto"/>
            <w:bottom w:val="none" w:sz="0" w:space="0" w:color="auto"/>
            <w:right w:val="none" w:sz="0" w:space="0" w:color="auto"/>
          </w:divBdr>
        </w:div>
      </w:divsChild>
    </w:div>
    <w:div w:id="1919172293">
      <w:bodyDiv w:val="1"/>
      <w:marLeft w:val="0"/>
      <w:marRight w:val="0"/>
      <w:marTop w:val="0"/>
      <w:marBottom w:val="0"/>
      <w:divBdr>
        <w:top w:val="none" w:sz="0" w:space="0" w:color="auto"/>
        <w:left w:val="none" w:sz="0" w:space="0" w:color="auto"/>
        <w:bottom w:val="none" w:sz="0" w:space="0" w:color="auto"/>
        <w:right w:val="none" w:sz="0" w:space="0" w:color="auto"/>
      </w:divBdr>
    </w:div>
    <w:div w:id="196060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6C840-296D-411C-8819-FAEB8DF3C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2851</Words>
  <Characters>15165</Characters>
  <Application>Microsoft Office Word</Application>
  <DocSecurity>0</DocSecurity>
  <Lines>126</Lines>
  <Paragraphs>35</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Agenda Item 1</vt:lpstr>
      <vt:lpstr>Agenda Item 1</vt:lpstr>
      <vt:lpstr>Agenda Item 1</vt:lpstr>
    </vt:vector>
  </TitlesOfParts>
  <Company>ospar</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1</dc:title>
  <dc:subject/>
  <dc:creator>lise</dc:creator>
  <cp:keywords/>
  <cp:lastModifiedBy>Goncalo</cp:lastModifiedBy>
  <cp:revision>10</cp:revision>
  <cp:lastPrinted>2018-12-07T10:12:00Z</cp:lastPrinted>
  <dcterms:created xsi:type="dcterms:W3CDTF">2023-07-17T10:32:00Z</dcterms:created>
  <dcterms:modified xsi:type="dcterms:W3CDTF">2023-10-24T05:52:00Z</dcterms:modified>
</cp:coreProperties>
</file>