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2B101C" w14:textId="77777777" w:rsidR="000B2293" w:rsidRDefault="000B2293" w:rsidP="00FC360C">
      <w:bookmarkStart w:id="0" w:name="_Toc240448326"/>
      <w:bookmarkStart w:id="1" w:name="_Toc240448489"/>
      <w:bookmarkStart w:id="2" w:name="_Toc240448651"/>
      <w:bookmarkStart w:id="3" w:name="_Toc240448811"/>
      <w:bookmarkStart w:id="4" w:name="_Toc240704409"/>
      <w:bookmarkStart w:id="5" w:name="_Toc240787068"/>
      <w:bookmarkStart w:id="6" w:name="_Toc240871114"/>
      <w:bookmarkStart w:id="7" w:name="_Toc240875545"/>
      <w:bookmarkStart w:id="8" w:name="_Toc280276473"/>
      <w:bookmarkStart w:id="9" w:name="_Toc280276703"/>
      <w:bookmarkStart w:id="10" w:name="_Toc300055629"/>
      <w:bookmarkStart w:id="11" w:name="_Toc300055856"/>
      <w:bookmarkStart w:id="12" w:name="_Toc300056086"/>
      <w:bookmarkStart w:id="13" w:name="_Toc300056315"/>
      <w:bookmarkStart w:id="14" w:name="_Toc330293963"/>
      <w:bookmarkStart w:id="15" w:name="_GoBack"/>
    </w:p>
    <w:p w14:paraId="30418150" w14:textId="77777777" w:rsidR="00FC360C" w:rsidRPr="00F63BAF" w:rsidRDefault="00FC360C" w:rsidP="00FC360C">
      <w:r w:rsidRPr="00F63BAF">
        <w:rPr>
          <w:noProof/>
        </w:rPr>
        <w:drawing>
          <wp:anchor distT="0" distB="0" distL="114300" distR="114300" simplePos="0" relativeHeight="251659264" behindDoc="0" locked="0" layoutInCell="1" allowOverlap="1" wp14:anchorId="47FD53F9" wp14:editId="5C8B5DBC">
            <wp:simplePos x="0" y="0"/>
            <wp:positionH relativeFrom="page">
              <wp:posOffset>4394835</wp:posOffset>
            </wp:positionH>
            <wp:positionV relativeFrom="page">
              <wp:posOffset>459740</wp:posOffset>
            </wp:positionV>
            <wp:extent cx="2367280" cy="914400"/>
            <wp:effectExtent l="0" t="0" r="0" b="0"/>
            <wp:wrapNone/>
            <wp:docPr id="28" name="Picture 28" descr="OSPAR_A4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PAR_A4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7280" cy="914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5C0AAF1B" w14:textId="46D7E3FA" w:rsidR="00FC360C" w:rsidRPr="00F63BAF" w:rsidRDefault="007D149A" w:rsidP="002F237A">
      <w:pPr>
        <w:pStyle w:val="Title"/>
      </w:pPr>
      <w:bookmarkStart w:id="16" w:name="_Toc497469437"/>
      <w:bookmarkStart w:id="17" w:name="_Toc505940406"/>
      <w:bookmarkStart w:id="18" w:name="_Toc511217334"/>
      <w:r>
        <w:t>CEMP</w:t>
      </w:r>
      <w:r w:rsidR="00FC360C" w:rsidRPr="00F63BAF">
        <w:t xml:space="preserve"> Guidelines for Monitoring Contaminants in Biota</w:t>
      </w:r>
      <w:bookmarkEnd w:id="16"/>
      <w:bookmarkEnd w:id="17"/>
      <w:bookmarkEnd w:id="18"/>
    </w:p>
    <w:p w14:paraId="65B7EF6C" w14:textId="2932BCDB" w:rsidR="0033752F" w:rsidRDefault="0033752F" w:rsidP="00B33CCD">
      <w:pPr>
        <w:pStyle w:val="Heading1"/>
      </w:pPr>
      <w:bookmarkStart w:id="19" w:name="_Toc497469438"/>
      <w:bookmarkStart w:id="20" w:name="_Toc505940407"/>
      <w:bookmarkStart w:id="21" w:name="_Toc511217335"/>
      <w:r>
        <w:t>(OSPAR Agreement 1999-02)</w:t>
      </w:r>
      <w:r w:rsidRPr="0033752F">
        <w:rPr>
          <w:rStyle w:val="FootnoteReference"/>
          <w:b/>
          <w:sz w:val="30"/>
        </w:rPr>
        <w:t xml:space="preserve"> </w:t>
      </w:r>
      <w:r w:rsidRPr="00F63BAF">
        <w:rPr>
          <w:rStyle w:val="FootnoteReference"/>
          <w:b/>
          <w:sz w:val="30"/>
        </w:rPr>
        <w:footnoteReference w:id="1"/>
      </w:r>
    </w:p>
    <w:p w14:paraId="707FF30C" w14:textId="77777777" w:rsidR="000B2293" w:rsidRPr="000B2293" w:rsidRDefault="00FC360C" w:rsidP="00B33CCD">
      <w:pPr>
        <w:pStyle w:val="Heading1"/>
        <w:rPr>
          <w:noProof/>
          <w:sz w:val="22"/>
          <w:szCs w:val="22"/>
        </w:rPr>
      </w:pPr>
      <w:r w:rsidRPr="00F63BAF">
        <w:t>Contents</w:t>
      </w:r>
      <w:bookmarkEnd w:id="19"/>
      <w:bookmarkEnd w:id="20"/>
      <w:bookmarkEnd w:id="21"/>
      <w:r w:rsidRPr="00F63BAF">
        <w:t xml:space="preserve"> </w:t>
      </w:r>
      <w:r w:rsidRPr="000B2293">
        <w:rPr>
          <w:b/>
          <w:sz w:val="22"/>
          <w:szCs w:val="22"/>
        </w:rPr>
        <w:fldChar w:fldCharType="begin"/>
      </w:r>
      <w:r w:rsidRPr="000B2293">
        <w:rPr>
          <w:sz w:val="22"/>
          <w:szCs w:val="22"/>
        </w:rPr>
        <w:instrText xml:space="preserve"> TOC \o "1-3" </w:instrText>
      </w:r>
      <w:r w:rsidRPr="000B2293">
        <w:rPr>
          <w:b/>
          <w:sz w:val="22"/>
          <w:szCs w:val="22"/>
        </w:rPr>
        <w:fldChar w:fldCharType="separate"/>
      </w:r>
    </w:p>
    <w:p w14:paraId="779BFCB5" w14:textId="77777777" w:rsidR="000B2293" w:rsidRPr="000B2293" w:rsidRDefault="000B2293">
      <w:pPr>
        <w:pStyle w:val="TOC1"/>
        <w:rPr>
          <w:rFonts w:ascii="Calibri" w:eastAsiaTheme="minorEastAsia" w:hAnsi="Calibri" w:cstheme="minorBidi"/>
          <w:b w:val="0"/>
          <w:noProof/>
          <w:sz w:val="22"/>
          <w:szCs w:val="22"/>
        </w:rPr>
      </w:pPr>
      <w:r w:rsidRPr="000B2293">
        <w:rPr>
          <w:rFonts w:ascii="Calibri" w:hAnsi="Calibri"/>
          <w:noProof/>
          <w:sz w:val="22"/>
          <w:szCs w:val="22"/>
        </w:rPr>
        <w:t>CEMP Guidelines for Monitoring Contaminants in Biota</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_Toc511217334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1</w:t>
      </w:r>
      <w:r w:rsidRPr="000B2293">
        <w:rPr>
          <w:rFonts w:ascii="Calibri" w:hAnsi="Calibri"/>
          <w:noProof/>
          <w:sz w:val="22"/>
          <w:szCs w:val="22"/>
        </w:rPr>
        <w:fldChar w:fldCharType="end"/>
      </w:r>
    </w:p>
    <w:p w14:paraId="363A946E" w14:textId="77777777" w:rsidR="000B2293" w:rsidRPr="000B2293" w:rsidRDefault="000B2293">
      <w:pPr>
        <w:pStyle w:val="TOC1"/>
        <w:rPr>
          <w:rFonts w:ascii="Calibri" w:eastAsiaTheme="minorEastAsia" w:hAnsi="Calibri" w:cstheme="minorBidi"/>
          <w:b w:val="0"/>
          <w:noProof/>
          <w:sz w:val="22"/>
          <w:szCs w:val="22"/>
        </w:rPr>
      </w:pPr>
      <w:r w:rsidRPr="000B2293">
        <w:rPr>
          <w:rFonts w:ascii="Calibri" w:hAnsi="Calibri"/>
          <w:noProof/>
          <w:sz w:val="22"/>
          <w:szCs w:val="22"/>
        </w:rPr>
        <w:t>Contents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_Toc511217335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1</w:t>
      </w:r>
      <w:r w:rsidRPr="000B2293">
        <w:rPr>
          <w:rFonts w:ascii="Calibri" w:hAnsi="Calibri"/>
          <w:noProof/>
          <w:sz w:val="22"/>
          <w:szCs w:val="22"/>
        </w:rPr>
        <w:fldChar w:fldCharType="end"/>
      </w:r>
    </w:p>
    <w:p w14:paraId="005D105D" w14:textId="77777777" w:rsidR="000B2293" w:rsidRPr="000B2293" w:rsidRDefault="000B2293">
      <w:pPr>
        <w:pStyle w:val="TOC1"/>
        <w:rPr>
          <w:rFonts w:ascii="Calibri" w:eastAsiaTheme="minorEastAsia" w:hAnsi="Calibri" w:cstheme="minorBidi"/>
          <w:b w:val="0"/>
          <w:noProof/>
          <w:sz w:val="22"/>
          <w:szCs w:val="22"/>
        </w:rPr>
      </w:pPr>
      <w:r w:rsidRPr="000B2293">
        <w:rPr>
          <w:rFonts w:ascii="Calibri" w:hAnsi="Calibri"/>
          <w:noProof/>
          <w:sz w:val="22"/>
          <w:szCs w:val="22"/>
        </w:rPr>
        <w:t>CEMP Guidelines for Monitoring Contaminants in Biota (Agreement 1999-02, revised 2012)</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_Toc511217336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8</w:t>
      </w:r>
      <w:r w:rsidRPr="000B2293">
        <w:rPr>
          <w:rFonts w:ascii="Calibri" w:hAnsi="Calibri"/>
          <w:noProof/>
          <w:sz w:val="22"/>
          <w:szCs w:val="22"/>
        </w:rPr>
        <w:fldChar w:fldCharType="end"/>
      </w:r>
    </w:p>
    <w:p w14:paraId="0D496F71"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1.</w:t>
      </w:r>
      <w:r w:rsidRPr="000B2293">
        <w:rPr>
          <w:rFonts w:ascii="Calibri" w:eastAsiaTheme="minorEastAsia" w:hAnsi="Calibri" w:cstheme="minorBidi"/>
          <w:b w:val="0"/>
          <w:noProof/>
          <w:sz w:val="22"/>
          <w:szCs w:val="22"/>
        </w:rPr>
        <w:tab/>
      </w:r>
      <w:r w:rsidRPr="000B2293">
        <w:rPr>
          <w:rFonts w:ascii="Calibri" w:hAnsi="Calibri"/>
          <w:noProof/>
          <w:sz w:val="22"/>
          <w:szCs w:val="22"/>
        </w:rPr>
        <w:t>Introduction</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_Toc511217337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8</w:t>
      </w:r>
      <w:r w:rsidRPr="000B2293">
        <w:rPr>
          <w:rFonts w:ascii="Calibri" w:hAnsi="Calibri"/>
          <w:noProof/>
          <w:sz w:val="22"/>
          <w:szCs w:val="22"/>
        </w:rPr>
        <w:fldChar w:fldCharType="end"/>
      </w:r>
    </w:p>
    <w:p w14:paraId="5545099C"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2.</w:t>
      </w:r>
      <w:r w:rsidRPr="000B2293">
        <w:rPr>
          <w:rFonts w:ascii="Calibri" w:eastAsiaTheme="minorEastAsia" w:hAnsi="Calibri" w:cstheme="minorBidi"/>
          <w:b w:val="0"/>
          <w:noProof/>
          <w:sz w:val="22"/>
          <w:szCs w:val="22"/>
        </w:rPr>
        <w:tab/>
      </w:r>
      <w:r w:rsidRPr="000B2293">
        <w:rPr>
          <w:rFonts w:ascii="Calibri" w:hAnsi="Calibri"/>
          <w:noProof/>
          <w:sz w:val="22"/>
          <w:szCs w:val="22"/>
        </w:rPr>
        <w:t>Purposes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_Toc511217338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8</w:t>
      </w:r>
      <w:r w:rsidRPr="000B2293">
        <w:rPr>
          <w:rFonts w:ascii="Calibri" w:hAnsi="Calibri"/>
          <w:noProof/>
          <w:sz w:val="22"/>
          <w:szCs w:val="22"/>
        </w:rPr>
        <w:fldChar w:fldCharType="end"/>
      </w:r>
    </w:p>
    <w:p w14:paraId="548E796E"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3.</w:t>
      </w:r>
      <w:r w:rsidRPr="000B2293">
        <w:rPr>
          <w:rFonts w:ascii="Calibri" w:eastAsiaTheme="minorEastAsia" w:hAnsi="Calibri" w:cstheme="minorBidi"/>
          <w:b w:val="0"/>
          <w:noProof/>
          <w:sz w:val="22"/>
          <w:szCs w:val="22"/>
        </w:rPr>
        <w:tab/>
      </w:r>
      <w:r w:rsidRPr="000B2293">
        <w:rPr>
          <w:rFonts w:ascii="Calibri" w:hAnsi="Calibri"/>
          <w:noProof/>
          <w:sz w:val="22"/>
          <w:szCs w:val="22"/>
        </w:rPr>
        <w:t>Quantitative objectives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_Toc511217339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9</w:t>
      </w:r>
      <w:r w:rsidRPr="000B2293">
        <w:rPr>
          <w:rFonts w:ascii="Calibri" w:hAnsi="Calibri"/>
          <w:noProof/>
          <w:sz w:val="22"/>
          <w:szCs w:val="22"/>
        </w:rPr>
        <w:fldChar w:fldCharType="end"/>
      </w:r>
    </w:p>
    <w:p w14:paraId="78D564B9"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3.1</w:t>
      </w:r>
      <w:r w:rsidRPr="000B2293">
        <w:rPr>
          <w:rFonts w:ascii="Calibri" w:eastAsiaTheme="minorEastAsia" w:hAnsi="Calibri" w:cstheme="minorBidi"/>
          <w:sz w:val="22"/>
          <w:szCs w:val="22"/>
        </w:rPr>
        <w:tab/>
      </w:r>
      <w:r w:rsidRPr="000B2293">
        <w:rPr>
          <w:rFonts w:ascii="Calibri" w:hAnsi="Calibri"/>
          <w:sz w:val="22"/>
          <w:szCs w:val="22"/>
        </w:rPr>
        <w:t>Temporal trends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_Toc511217340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w:t>
      </w:r>
      <w:r w:rsidRPr="000B2293">
        <w:rPr>
          <w:rFonts w:ascii="Calibri" w:hAnsi="Calibri"/>
          <w:sz w:val="22"/>
          <w:szCs w:val="22"/>
        </w:rPr>
        <w:fldChar w:fldCharType="end"/>
      </w:r>
    </w:p>
    <w:p w14:paraId="2D85FF66"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3.2</w:t>
      </w:r>
      <w:r w:rsidRPr="000B2293">
        <w:rPr>
          <w:rFonts w:ascii="Calibri" w:eastAsiaTheme="minorEastAsia" w:hAnsi="Calibri" w:cstheme="minorBidi"/>
          <w:sz w:val="22"/>
          <w:szCs w:val="22"/>
        </w:rPr>
        <w:tab/>
      </w:r>
      <w:r w:rsidRPr="000B2293">
        <w:rPr>
          <w:rFonts w:ascii="Calibri" w:hAnsi="Calibri"/>
          <w:sz w:val="22"/>
          <w:szCs w:val="22"/>
        </w:rPr>
        <w:t>Spatial distribution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_Toc511217341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10</w:t>
      </w:r>
      <w:r w:rsidRPr="000B2293">
        <w:rPr>
          <w:rFonts w:ascii="Calibri" w:hAnsi="Calibri"/>
          <w:sz w:val="22"/>
          <w:szCs w:val="22"/>
        </w:rPr>
        <w:fldChar w:fldCharType="end"/>
      </w:r>
    </w:p>
    <w:p w14:paraId="08A3BF01" w14:textId="77777777" w:rsidR="000B2293" w:rsidRPr="000B2293" w:rsidRDefault="000B2293">
      <w:pPr>
        <w:pStyle w:val="TOC2"/>
        <w:tabs>
          <w:tab w:val="left" w:pos="1100"/>
        </w:tabs>
        <w:rPr>
          <w:rFonts w:ascii="Calibri" w:eastAsiaTheme="minorEastAsia" w:hAnsi="Calibri" w:cstheme="minorBidi"/>
          <w:sz w:val="22"/>
          <w:szCs w:val="22"/>
        </w:rPr>
      </w:pPr>
      <w:r w:rsidRPr="000B2293">
        <w:rPr>
          <w:rFonts w:ascii="Calibri" w:hAnsi="Calibri"/>
          <w:sz w:val="22"/>
          <w:szCs w:val="22"/>
        </w:rPr>
        <w:t xml:space="preserve">3.3 </w:t>
      </w:r>
      <w:r w:rsidRPr="000B2293">
        <w:rPr>
          <w:rFonts w:ascii="Calibri" w:eastAsiaTheme="minorEastAsia" w:hAnsi="Calibri" w:cstheme="minorBidi"/>
          <w:sz w:val="22"/>
          <w:szCs w:val="22"/>
        </w:rPr>
        <w:tab/>
      </w:r>
      <w:r w:rsidRPr="000B2293">
        <w:rPr>
          <w:rFonts w:ascii="Calibri" w:hAnsi="Calibri"/>
          <w:sz w:val="22"/>
          <w:szCs w:val="22"/>
        </w:rPr>
        <w:t>Qualitative objectives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_Toc511217342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10</w:t>
      </w:r>
      <w:r w:rsidRPr="000B2293">
        <w:rPr>
          <w:rFonts w:ascii="Calibri" w:hAnsi="Calibri"/>
          <w:sz w:val="22"/>
          <w:szCs w:val="22"/>
        </w:rPr>
        <w:fldChar w:fldCharType="end"/>
      </w:r>
    </w:p>
    <w:p w14:paraId="0CE33FC4"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4.</w:t>
      </w:r>
      <w:r w:rsidRPr="000B2293">
        <w:rPr>
          <w:rFonts w:ascii="Calibri" w:eastAsiaTheme="minorEastAsia" w:hAnsi="Calibri" w:cstheme="minorBidi"/>
          <w:b w:val="0"/>
          <w:noProof/>
          <w:sz w:val="22"/>
          <w:szCs w:val="22"/>
        </w:rPr>
        <w:tab/>
      </w:r>
      <w:r w:rsidRPr="000B2293">
        <w:rPr>
          <w:rFonts w:ascii="Calibri" w:hAnsi="Calibri"/>
          <w:noProof/>
          <w:sz w:val="22"/>
          <w:szCs w:val="22"/>
        </w:rPr>
        <w:t>Sampling strategy</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_Toc511217343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10</w:t>
      </w:r>
      <w:r w:rsidRPr="000B2293">
        <w:rPr>
          <w:rFonts w:ascii="Calibri" w:hAnsi="Calibri"/>
          <w:noProof/>
          <w:sz w:val="22"/>
          <w:szCs w:val="22"/>
        </w:rPr>
        <w:fldChar w:fldCharType="end"/>
      </w:r>
    </w:p>
    <w:p w14:paraId="0511F0BD"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4.1</w:t>
      </w:r>
      <w:r w:rsidRPr="000B2293">
        <w:rPr>
          <w:rFonts w:ascii="Calibri" w:eastAsiaTheme="minorEastAsia" w:hAnsi="Calibri" w:cstheme="minorBidi"/>
          <w:sz w:val="22"/>
          <w:szCs w:val="22"/>
        </w:rPr>
        <w:tab/>
      </w:r>
      <w:r w:rsidRPr="000B2293">
        <w:rPr>
          <w:rFonts w:ascii="Calibri" w:hAnsi="Calibri"/>
          <w:sz w:val="22"/>
          <w:szCs w:val="22"/>
        </w:rPr>
        <w:t>General</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_Toc511217344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10</w:t>
      </w:r>
      <w:r w:rsidRPr="000B2293">
        <w:rPr>
          <w:rFonts w:ascii="Calibri" w:hAnsi="Calibri"/>
          <w:sz w:val="22"/>
          <w:szCs w:val="22"/>
        </w:rPr>
        <w:fldChar w:fldCharType="end"/>
      </w:r>
    </w:p>
    <w:p w14:paraId="1C4D2E6C"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4.1.1</w:t>
      </w:r>
      <w:r w:rsidRPr="000B2293">
        <w:rPr>
          <w:rFonts w:ascii="Calibri" w:eastAsiaTheme="minorEastAsia" w:hAnsi="Calibri" w:cstheme="minorBidi"/>
          <w:sz w:val="22"/>
          <w:szCs w:val="22"/>
        </w:rPr>
        <w:tab/>
      </w:r>
      <w:r w:rsidRPr="000B2293">
        <w:rPr>
          <w:rFonts w:ascii="Calibri" w:hAnsi="Calibri"/>
          <w:sz w:val="22"/>
          <w:szCs w:val="22"/>
        </w:rPr>
        <w:t>Species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_Toc511217345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11</w:t>
      </w:r>
      <w:r w:rsidRPr="000B2293">
        <w:rPr>
          <w:rFonts w:ascii="Calibri" w:hAnsi="Calibri"/>
          <w:sz w:val="22"/>
          <w:szCs w:val="22"/>
        </w:rPr>
        <w:fldChar w:fldCharType="end"/>
      </w:r>
    </w:p>
    <w:p w14:paraId="57FA9BB5"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4.2</w:t>
      </w:r>
      <w:r w:rsidRPr="000B2293">
        <w:rPr>
          <w:rFonts w:ascii="Calibri" w:eastAsiaTheme="minorEastAsia" w:hAnsi="Calibri" w:cstheme="minorBidi"/>
          <w:sz w:val="22"/>
          <w:szCs w:val="22"/>
        </w:rPr>
        <w:tab/>
      </w:r>
      <w:r w:rsidRPr="000B2293">
        <w:rPr>
          <w:rFonts w:ascii="Calibri" w:hAnsi="Calibri"/>
          <w:sz w:val="22"/>
          <w:szCs w:val="22"/>
        </w:rPr>
        <w:t>Sampling strategy for temporal trend monitoring</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_Toc511217346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12</w:t>
      </w:r>
      <w:r w:rsidRPr="000B2293">
        <w:rPr>
          <w:rFonts w:ascii="Calibri" w:hAnsi="Calibri"/>
          <w:sz w:val="22"/>
          <w:szCs w:val="22"/>
        </w:rPr>
        <w:fldChar w:fldCharType="end"/>
      </w:r>
    </w:p>
    <w:p w14:paraId="44344A9E"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4.2.1</w:t>
      </w:r>
      <w:r w:rsidRPr="000B2293">
        <w:rPr>
          <w:rFonts w:ascii="Calibri" w:eastAsiaTheme="minorEastAsia" w:hAnsi="Calibri" w:cstheme="minorBidi"/>
          <w:sz w:val="22"/>
          <w:szCs w:val="22"/>
        </w:rPr>
        <w:tab/>
      </w:r>
      <w:r w:rsidRPr="000B2293">
        <w:rPr>
          <w:rFonts w:ascii="Calibri" w:hAnsi="Calibri"/>
          <w:sz w:val="22"/>
          <w:szCs w:val="22"/>
        </w:rPr>
        <w:t>Species and sampling</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_Toc511217347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12</w:t>
      </w:r>
      <w:r w:rsidRPr="000B2293">
        <w:rPr>
          <w:rFonts w:ascii="Calibri" w:hAnsi="Calibri"/>
          <w:sz w:val="22"/>
          <w:szCs w:val="22"/>
        </w:rPr>
        <w:fldChar w:fldCharType="end"/>
      </w:r>
    </w:p>
    <w:p w14:paraId="251F5D67"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4.2.3</w:t>
      </w:r>
      <w:r w:rsidRPr="000B2293">
        <w:rPr>
          <w:rFonts w:ascii="Calibri" w:eastAsiaTheme="minorEastAsia" w:hAnsi="Calibri" w:cstheme="minorBidi"/>
          <w:sz w:val="22"/>
          <w:szCs w:val="22"/>
        </w:rPr>
        <w:tab/>
      </w:r>
      <w:r w:rsidRPr="000B2293">
        <w:rPr>
          <w:rFonts w:ascii="Calibri" w:hAnsi="Calibri"/>
          <w:sz w:val="22"/>
          <w:szCs w:val="22"/>
        </w:rPr>
        <w:t>Sampling frequency</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_Toc511217348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15</w:t>
      </w:r>
      <w:r w:rsidRPr="000B2293">
        <w:rPr>
          <w:rFonts w:ascii="Calibri" w:hAnsi="Calibri"/>
          <w:sz w:val="22"/>
          <w:szCs w:val="22"/>
        </w:rPr>
        <w:fldChar w:fldCharType="end"/>
      </w:r>
    </w:p>
    <w:p w14:paraId="3F4EEF44"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4.2.4</w:t>
      </w:r>
      <w:r w:rsidRPr="000B2293">
        <w:rPr>
          <w:rFonts w:ascii="Calibri" w:eastAsiaTheme="minorEastAsia" w:hAnsi="Calibri" w:cstheme="minorBidi"/>
          <w:sz w:val="22"/>
          <w:szCs w:val="22"/>
        </w:rPr>
        <w:tab/>
      </w:r>
      <w:r w:rsidRPr="000B2293">
        <w:rPr>
          <w:rFonts w:ascii="Calibri" w:hAnsi="Calibri"/>
          <w:sz w:val="22"/>
          <w:szCs w:val="22"/>
        </w:rPr>
        <w:t>Sampling period</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_Toc511217349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15</w:t>
      </w:r>
      <w:r w:rsidRPr="000B2293">
        <w:rPr>
          <w:rFonts w:ascii="Calibri" w:hAnsi="Calibri"/>
          <w:sz w:val="22"/>
          <w:szCs w:val="22"/>
        </w:rPr>
        <w:fldChar w:fldCharType="end"/>
      </w:r>
    </w:p>
    <w:p w14:paraId="523DDC0B"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4.3</w:t>
      </w:r>
      <w:r w:rsidRPr="000B2293">
        <w:rPr>
          <w:rFonts w:ascii="Calibri" w:eastAsiaTheme="minorEastAsia" w:hAnsi="Calibri" w:cstheme="minorBidi"/>
          <w:sz w:val="22"/>
          <w:szCs w:val="22"/>
        </w:rPr>
        <w:tab/>
      </w:r>
      <w:r w:rsidRPr="000B2293">
        <w:rPr>
          <w:rFonts w:ascii="Calibri" w:hAnsi="Calibri"/>
          <w:sz w:val="22"/>
          <w:szCs w:val="22"/>
        </w:rPr>
        <w:t>Sampling strategy for spatial distribution monitoring</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_Toc511217350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15</w:t>
      </w:r>
      <w:r w:rsidRPr="000B2293">
        <w:rPr>
          <w:rFonts w:ascii="Calibri" w:hAnsi="Calibri"/>
          <w:sz w:val="22"/>
          <w:szCs w:val="22"/>
        </w:rPr>
        <w:fldChar w:fldCharType="end"/>
      </w:r>
    </w:p>
    <w:p w14:paraId="2A2F71C2"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4.3.1</w:t>
      </w:r>
      <w:r w:rsidRPr="000B2293">
        <w:rPr>
          <w:rFonts w:ascii="Calibri" w:eastAsiaTheme="minorEastAsia" w:hAnsi="Calibri" w:cstheme="minorBidi"/>
          <w:sz w:val="22"/>
          <w:szCs w:val="22"/>
        </w:rPr>
        <w:tab/>
      </w:r>
      <w:r w:rsidRPr="000B2293">
        <w:rPr>
          <w:rFonts w:ascii="Calibri" w:hAnsi="Calibri"/>
          <w:sz w:val="22"/>
          <w:szCs w:val="22"/>
        </w:rPr>
        <w:t>Species and sampling</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_Toc511217351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15</w:t>
      </w:r>
      <w:r w:rsidRPr="000B2293">
        <w:rPr>
          <w:rFonts w:ascii="Calibri" w:hAnsi="Calibri"/>
          <w:sz w:val="22"/>
          <w:szCs w:val="22"/>
        </w:rPr>
        <w:fldChar w:fldCharType="end"/>
      </w:r>
    </w:p>
    <w:p w14:paraId="792BD832"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4.3.2</w:t>
      </w:r>
      <w:r w:rsidRPr="000B2293">
        <w:rPr>
          <w:rFonts w:ascii="Calibri" w:eastAsiaTheme="minorEastAsia" w:hAnsi="Calibri" w:cstheme="minorBidi"/>
          <w:sz w:val="22"/>
          <w:szCs w:val="22"/>
        </w:rPr>
        <w:tab/>
      </w:r>
      <w:r w:rsidRPr="000B2293">
        <w:rPr>
          <w:rFonts w:ascii="Calibri" w:hAnsi="Calibri"/>
          <w:sz w:val="22"/>
          <w:szCs w:val="22"/>
        </w:rPr>
        <w:t>Sampling area</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_Toc511217352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18</w:t>
      </w:r>
      <w:r w:rsidRPr="000B2293">
        <w:rPr>
          <w:rFonts w:ascii="Calibri" w:hAnsi="Calibri"/>
          <w:sz w:val="22"/>
          <w:szCs w:val="22"/>
        </w:rPr>
        <w:fldChar w:fldCharType="end"/>
      </w:r>
    </w:p>
    <w:p w14:paraId="2211E343"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4.3.3</w:t>
      </w:r>
      <w:r w:rsidRPr="000B2293">
        <w:rPr>
          <w:rFonts w:ascii="Calibri" w:eastAsiaTheme="minorEastAsia" w:hAnsi="Calibri" w:cstheme="minorBidi"/>
          <w:sz w:val="22"/>
          <w:szCs w:val="22"/>
        </w:rPr>
        <w:tab/>
      </w:r>
      <w:r w:rsidRPr="000B2293">
        <w:rPr>
          <w:rFonts w:ascii="Calibri" w:hAnsi="Calibri"/>
          <w:sz w:val="22"/>
          <w:szCs w:val="22"/>
        </w:rPr>
        <w:t>Sampling period</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_Toc511217353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18</w:t>
      </w:r>
      <w:r w:rsidRPr="000B2293">
        <w:rPr>
          <w:rFonts w:ascii="Calibri" w:hAnsi="Calibri"/>
          <w:sz w:val="22"/>
          <w:szCs w:val="22"/>
        </w:rPr>
        <w:fldChar w:fldCharType="end"/>
      </w:r>
    </w:p>
    <w:p w14:paraId="234846CD"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4.4</w:t>
      </w:r>
      <w:r w:rsidRPr="000B2293">
        <w:rPr>
          <w:rFonts w:ascii="Calibri" w:eastAsiaTheme="minorEastAsia" w:hAnsi="Calibri" w:cstheme="minorBidi"/>
          <w:sz w:val="22"/>
          <w:szCs w:val="22"/>
        </w:rPr>
        <w:tab/>
      </w:r>
      <w:r w:rsidRPr="000B2293">
        <w:rPr>
          <w:rFonts w:ascii="Calibri" w:hAnsi="Calibri"/>
          <w:sz w:val="22"/>
          <w:szCs w:val="22"/>
        </w:rPr>
        <w:t>Sampling strategy for biological effects monitoring</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_Toc511217354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18</w:t>
      </w:r>
      <w:r w:rsidRPr="000B2293">
        <w:rPr>
          <w:rFonts w:ascii="Calibri" w:hAnsi="Calibri"/>
          <w:sz w:val="22"/>
          <w:szCs w:val="22"/>
        </w:rPr>
        <w:fldChar w:fldCharType="end"/>
      </w:r>
    </w:p>
    <w:p w14:paraId="26D0E890"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5.</w:t>
      </w:r>
      <w:r w:rsidRPr="000B2293">
        <w:rPr>
          <w:rFonts w:ascii="Calibri" w:eastAsiaTheme="minorEastAsia" w:hAnsi="Calibri" w:cstheme="minorBidi"/>
          <w:b w:val="0"/>
          <w:noProof/>
          <w:sz w:val="22"/>
          <w:szCs w:val="22"/>
        </w:rPr>
        <w:tab/>
      </w:r>
      <w:r w:rsidRPr="000B2293">
        <w:rPr>
          <w:rFonts w:ascii="Calibri" w:hAnsi="Calibri"/>
          <w:noProof/>
          <w:sz w:val="22"/>
          <w:szCs w:val="22"/>
        </w:rPr>
        <w:t>Field sampling and sampling equipment</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_Toc511217355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18</w:t>
      </w:r>
      <w:r w:rsidRPr="000B2293">
        <w:rPr>
          <w:rFonts w:ascii="Calibri" w:hAnsi="Calibri"/>
          <w:noProof/>
          <w:sz w:val="22"/>
          <w:szCs w:val="22"/>
        </w:rPr>
        <w:fldChar w:fldCharType="end"/>
      </w:r>
    </w:p>
    <w:p w14:paraId="377697BB"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5.1</w:t>
      </w:r>
      <w:r w:rsidRPr="000B2293">
        <w:rPr>
          <w:rFonts w:ascii="Calibri" w:eastAsiaTheme="minorEastAsia" w:hAnsi="Calibri" w:cstheme="minorBidi"/>
          <w:sz w:val="22"/>
          <w:szCs w:val="22"/>
        </w:rPr>
        <w:tab/>
      </w:r>
      <w:r w:rsidRPr="000B2293">
        <w:rPr>
          <w:rFonts w:ascii="Calibri" w:hAnsi="Calibri"/>
          <w:sz w:val="22"/>
          <w:szCs w:val="22"/>
        </w:rPr>
        <w:t>Fish</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_Toc511217356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19</w:t>
      </w:r>
      <w:r w:rsidRPr="000B2293">
        <w:rPr>
          <w:rFonts w:ascii="Calibri" w:hAnsi="Calibri"/>
          <w:sz w:val="22"/>
          <w:szCs w:val="22"/>
        </w:rPr>
        <w:fldChar w:fldCharType="end"/>
      </w:r>
    </w:p>
    <w:p w14:paraId="5BA7BC58"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5.2</w:t>
      </w:r>
      <w:r w:rsidRPr="000B2293">
        <w:rPr>
          <w:rFonts w:ascii="Calibri" w:eastAsiaTheme="minorEastAsia" w:hAnsi="Calibri" w:cstheme="minorBidi"/>
          <w:sz w:val="22"/>
          <w:szCs w:val="22"/>
        </w:rPr>
        <w:tab/>
      </w:r>
      <w:r w:rsidRPr="000B2293">
        <w:rPr>
          <w:rFonts w:ascii="Calibri" w:hAnsi="Calibri"/>
          <w:sz w:val="22"/>
          <w:szCs w:val="22"/>
        </w:rPr>
        <w:t>Shellfish</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_Toc511217357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19</w:t>
      </w:r>
      <w:r w:rsidRPr="000B2293">
        <w:rPr>
          <w:rFonts w:ascii="Calibri" w:hAnsi="Calibri"/>
          <w:sz w:val="22"/>
          <w:szCs w:val="22"/>
        </w:rPr>
        <w:fldChar w:fldCharType="end"/>
      </w:r>
    </w:p>
    <w:p w14:paraId="4CF16CE3"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5.3</w:t>
      </w:r>
      <w:r w:rsidRPr="000B2293">
        <w:rPr>
          <w:rFonts w:ascii="Calibri" w:eastAsiaTheme="minorEastAsia" w:hAnsi="Calibri" w:cstheme="minorBidi"/>
          <w:sz w:val="22"/>
          <w:szCs w:val="22"/>
        </w:rPr>
        <w:tab/>
      </w:r>
      <w:r w:rsidRPr="000B2293">
        <w:rPr>
          <w:rFonts w:ascii="Calibri" w:hAnsi="Calibri"/>
          <w:sz w:val="22"/>
          <w:szCs w:val="22"/>
        </w:rPr>
        <w:t>Seabird eggs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_Toc511217358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19</w:t>
      </w:r>
      <w:r w:rsidRPr="000B2293">
        <w:rPr>
          <w:rFonts w:ascii="Calibri" w:hAnsi="Calibri"/>
          <w:sz w:val="22"/>
          <w:szCs w:val="22"/>
        </w:rPr>
        <w:fldChar w:fldCharType="end"/>
      </w:r>
    </w:p>
    <w:p w14:paraId="64EB1009"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6.</w:t>
      </w:r>
      <w:r w:rsidRPr="000B2293">
        <w:rPr>
          <w:rFonts w:ascii="Calibri" w:eastAsiaTheme="minorEastAsia" w:hAnsi="Calibri" w:cstheme="minorBidi"/>
          <w:b w:val="0"/>
          <w:noProof/>
          <w:sz w:val="22"/>
          <w:szCs w:val="22"/>
        </w:rPr>
        <w:tab/>
      </w:r>
      <w:r w:rsidRPr="000B2293">
        <w:rPr>
          <w:rFonts w:ascii="Calibri" w:hAnsi="Calibri"/>
          <w:noProof/>
          <w:sz w:val="22"/>
          <w:szCs w:val="22"/>
        </w:rPr>
        <w:t>Storage and pre-treatment</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_Toc511217359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19</w:t>
      </w:r>
      <w:r w:rsidRPr="000B2293">
        <w:rPr>
          <w:rFonts w:ascii="Calibri" w:hAnsi="Calibri"/>
          <w:noProof/>
          <w:sz w:val="22"/>
          <w:szCs w:val="22"/>
        </w:rPr>
        <w:fldChar w:fldCharType="end"/>
      </w:r>
    </w:p>
    <w:p w14:paraId="28D325BA"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6.1</w:t>
      </w:r>
      <w:r w:rsidRPr="000B2293">
        <w:rPr>
          <w:rFonts w:ascii="Calibri" w:eastAsiaTheme="minorEastAsia" w:hAnsi="Calibri" w:cstheme="minorBidi"/>
          <w:sz w:val="22"/>
          <w:szCs w:val="22"/>
        </w:rPr>
        <w:tab/>
      </w:r>
      <w:r w:rsidRPr="000B2293">
        <w:rPr>
          <w:rFonts w:ascii="Calibri" w:hAnsi="Calibri"/>
          <w:sz w:val="22"/>
          <w:szCs w:val="22"/>
        </w:rPr>
        <w:t>Fish</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_Toc511217360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19</w:t>
      </w:r>
      <w:r w:rsidRPr="000B2293">
        <w:rPr>
          <w:rFonts w:ascii="Calibri" w:hAnsi="Calibri"/>
          <w:sz w:val="22"/>
          <w:szCs w:val="22"/>
        </w:rPr>
        <w:fldChar w:fldCharType="end"/>
      </w:r>
    </w:p>
    <w:p w14:paraId="475B1F18"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6.2</w:t>
      </w:r>
      <w:r w:rsidRPr="000B2293">
        <w:rPr>
          <w:rFonts w:ascii="Calibri" w:eastAsiaTheme="minorEastAsia" w:hAnsi="Calibri" w:cstheme="minorBidi"/>
          <w:sz w:val="22"/>
          <w:szCs w:val="22"/>
        </w:rPr>
        <w:tab/>
      </w:r>
      <w:r w:rsidRPr="000B2293">
        <w:rPr>
          <w:rFonts w:ascii="Calibri" w:hAnsi="Calibri"/>
          <w:sz w:val="22"/>
          <w:szCs w:val="22"/>
        </w:rPr>
        <w:t>Shellfish</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_Toc511217361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20</w:t>
      </w:r>
      <w:r w:rsidRPr="000B2293">
        <w:rPr>
          <w:rFonts w:ascii="Calibri" w:hAnsi="Calibri"/>
          <w:sz w:val="22"/>
          <w:szCs w:val="22"/>
        </w:rPr>
        <w:fldChar w:fldCharType="end"/>
      </w:r>
    </w:p>
    <w:p w14:paraId="0DC4C359"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lastRenderedPageBreak/>
        <w:t>6.3</w:t>
      </w:r>
      <w:r w:rsidRPr="000B2293">
        <w:rPr>
          <w:rFonts w:ascii="Calibri" w:eastAsiaTheme="minorEastAsia" w:hAnsi="Calibri" w:cstheme="minorBidi"/>
          <w:sz w:val="22"/>
          <w:szCs w:val="22"/>
        </w:rPr>
        <w:tab/>
      </w:r>
      <w:r w:rsidRPr="000B2293">
        <w:rPr>
          <w:rFonts w:ascii="Calibri" w:hAnsi="Calibri"/>
          <w:sz w:val="22"/>
          <w:szCs w:val="22"/>
        </w:rPr>
        <w:t>Seabird eggs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_Toc511217362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20</w:t>
      </w:r>
      <w:r w:rsidRPr="000B2293">
        <w:rPr>
          <w:rFonts w:ascii="Calibri" w:hAnsi="Calibri"/>
          <w:sz w:val="22"/>
          <w:szCs w:val="22"/>
        </w:rPr>
        <w:fldChar w:fldCharType="end"/>
      </w:r>
    </w:p>
    <w:p w14:paraId="5086E8D3"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7.</w:t>
      </w:r>
      <w:r w:rsidRPr="000B2293">
        <w:rPr>
          <w:rFonts w:ascii="Calibri" w:eastAsiaTheme="minorEastAsia" w:hAnsi="Calibri" w:cstheme="minorBidi"/>
          <w:b w:val="0"/>
          <w:noProof/>
          <w:sz w:val="22"/>
          <w:szCs w:val="22"/>
        </w:rPr>
        <w:tab/>
      </w:r>
      <w:r w:rsidRPr="000B2293">
        <w:rPr>
          <w:rFonts w:ascii="Calibri" w:hAnsi="Calibri"/>
          <w:noProof/>
          <w:sz w:val="22"/>
          <w:szCs w:val="22"/>
        </w:rPr>
        <w:t>Analytical procedures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_Toc511217363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20</w:t>
      </w:r>
      <w:r w:rsidRPr="000B2293">
        <w:rPr>
          <w:rFonts w:ascii="Calibri" w:hAnsi="Calibri"/>
          <w:noProof/>
          <w:sz w:val="22"/>
          <w:szCs w:val="22"/>
        </w:rPr>
        <w:fldChar w:fldCharType="end"/>
      </w:r>
    </w:p>
    <w:p w14:paraId="629EC908"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7.1</w:t>
      </w:r>
      <w:r w:rsidRPr="000B2293">
        <w:rPr>
          <w:rFonts w:ascii="Calibri" w:eastAsiaTheme="minorEastAsia" w:hAnsi="Calibri" w:cstheme="minorBidi"/>
          <w:sz w:val="22"/>
          <w:szCs w:val="22"/>
        </w:rPr>
        <w:tab/>
      </w:r>
      <w:r w:rsidRPr="000B2293">
        <w:rPr>
          <w:rFonts w:ascii="Calibri" w:hAnsi="Calibri"/>
          <w:sz w:val="22"/>
          <w:szCs w:val="22"/>
        </w:rPr>
        <w:t>Organic contaminants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_Toc511217364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20</w:t>
      </w:r>
      <w:r w:rsidRPr="000B2293">
        <w:rPr>
          <w:rFonts w:ascii="Calibri" w:hAnsi="Calibri"/>
          <w:sz w:val="22"/>
          <w:szCs w:val="22"/>
        </w:rPr>
        <w:fldChar w:fldCharType="end"/>
      </w:r>
    </w:p>
    <w:p w14:paraId="009324B5"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7.2</w:t>
      </w:r>
      <w:r w:rsidRPr="000B2293">
        <w:rPr>
          <w:rFonts w:ascii="Calibri" w:eastAsiaTheme="minorEastAsia" w:hAnsi="Calibri" w:cstheme="minorBidi"/>
          <w:sz w:val="22"/>
          <w:szCs w:val="22"/>
        </w:rPr>
        <w:tab/>
      </w:r>
      <w:r w:rsidRPr="000B2293">
        <w:rPr>
          <w:rFonts w:ascii="Calibri" w:hAnsi="Calibri"/>
          <w:sz w:val="22"/>
          <w:szCs w:val="22"/>
        </w:rPr>
        <w:t>Metals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_Toc511217365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21</w:t>
      </w:r>
      <w:r w:rsidRPr="000B2293">
        <w:rPr>
          <w:rFonts w:ascii="Calibri" w:hAnsi="Calibri"/>
          <w:sz w:val="22"/>
          <w:szCs w:val="22"/>
        </w:rPr>
        <w:fldChar w:fldCharType="end"/>
      </w:r>
    </w:p>
    <w:p w14:paraId="27F3DD57"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8.</w:t>
      </w:r>
      <w:r w:rsidRPr="000B2293">
        <w:rPr>
          <w:rFonts w:ascii="Calibri" w:eastAsiaTheme="minorEastAsia" w:hAnsi="Calibri" w:cstheme="minorBidi"/>
          <w:b w:val="0"/>
          <w:noProof/>
          <w:sz w:val="22"/>
          <w:szCs w:val="22"/>
        </w:rPr>
        <w:tab/>
      </w:r>
      <w:r w:rsidRPr="000B2293">
        <w:rPr>
          <w:rFonts w:ascii="Calibri" w:hAnsi="Calibri"/>
          <w:noProof/>
          <w:sz w:val="22"/>
          <w:szCs w:val="22"/>
        </w:rPr>
        <w:t>Quality assurance</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_Toc511217366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21</w:t>
      </w:r>
      <w:r w:rsidRPr="000B2293">
        <w:rPr>
          <w:rFonts w:ascii="Calibri" w:hAnsi="Calibri"/>
          <w:noProof/>
          <w:sz w:val="22"/>
          <w:szCs w:val="22"/>
        </w:rPr>
        <w:fldChar w:fldCharType="end"/>
      </w:r>
    </w:p>
    <w:p w14:paraId="517F252D"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9.</w:t>
      </w:r>
      <w:r w:rsidRPr="000B2293">
        <w:rPr>
          <w:rFonts w:ascii="Calibri" w:eastAsiaTheme="minorEastAsia" w:hAnsi="Calibri" w:cstheme="minorBidi"/>
          <w:b w:val="0"/>
          <w:noProof/>
          <w:sz w:val="22"/>
          <w:szCs w:val="22"/>
        </w:rPr>
        <w:tab/>
      </w:r>
      <w:r w:rsidRPr="000B2293">
        <w:rPr>
          <w:rFonts w:ascii="Calibri" w:hAnsi="Calibri"/>
          <w:noProof/>
          <w:sz w:val="22"/>
          <w:szCs w:val="22"/>
        </w:rPr>
        <w:t>Data reporting</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_Toc511217367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21</w:t>
      </w:r>
      <w:r w:rsidRPr="000B2293">
        <w:rPr>
          <w:rFonts w:ascii="Calibri" w:hAnsi="Calibri"/>
          <w:noProof/>
          <w:sz w:val="22"/>
          <w:szCs w:val="22"/>
        </w:rPr>
        <w:fldChar w:fldCharType="end"/>
      </w:r>
    </w:p>
    <w:p w14:paraId="15C21B23"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10.</w:t>
      </w:r>
      <w:r w:rsidRPr="000B2293">
        <w:rPr>
          <w:rFonts w:ascii="Calibri" w:eastAsiaTheme="minorEastAsia" w:hAnsi="Calibri" w:cstheme="minorBidi"/>
          <w:b w:val="0"/>
          <w:noProof/>
          <w:sz w:val="22"/>
          <w:szCs w:val="22"/>
        </w:rPr>
        <w:tab/>
      </w:r>
      <w:r w:rsidRPr="000B2293">
        <w:rPr>
          <w:rFonts w:ascii="Calibri" w:hAnsi="Calibri"/>
          <w:noProof/>
          <w:sz w:val="22"/>
          <w:szCs w:val="22"/>
        </w:rPr>
        <w:t>References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_Toc511217368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21</w:t>
      </w:r>
      <w:r w:rsidRPr="000B2293">
        <w:rPr>
          <w:rFonts w:ascii="Calibri" w:hAnsi="Calibri"/>
          <w:noProof/>
          <w:sz w:val="22"/>
          <w:szCs w:val="22"/>
        </w:rPr>
        <w:fldChar w:fldCharType="end"/>
      </w:r>
    </w:p>
    <w:p w14:paraId="5297B92C" w14:textId="77777777" w:rsidR="000B2293" w:rsidRPr="000B2293" w:rsidRDefault="000B2293">
      <w:pPr>
        <w:pStyle w:val="TOC1"/>
        <w:rPr>
          <w:rFonts w:ascii="Calibri" w:eastAsiaTheme="minorEastAsia" w:hAnsi="Calibri" w:cstheme="minorBidi"/>
          <w:b w:val="0"/>
          <w:noProof/>
          <w:sz w:val="22"/>
          <w:szCs w:val="22"/>
        </w:rPr>
      </w:pPr>
      <w:r w:rsidRPr="000B2293">
        <w:rPr>
          <w:rFonts w:ascii="Calibri" w:hAnsi="Calibri"/>
          <w:noProof/>
          <w:sz w:val="22"/>
          <w:szCs w:val="22"/>
        </w:rPr>
        <w:t>Technical Annex 1: Analysis of organic contaminants in biota</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_Toc511217369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23</w:t>
      </w:r>
      <w:r w:rsidRPr="000B2293">
        <w:rPr>
          <w:rFonts w:ascii="Calibri" w:hAnsi="Calibri"/>
          <w:noProof/>
          <w:sz w:val="22"/>
          <w:szCs w:val="22"/>
        </w:rPr>
        <w:fldChar w:fldCharType="end"/>
      </w:r>
    </w:p>
    <w:p w14:paraId="21A7B450"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1.</w:t>
      </w:r>
      <w:r w:rsidRPr="000B2293">
        <w:rPr>
          <w:rFonts w:ascii="Calibri" w:eastAsiaTheme="minorEastAsia" w:hAnsi="Calibri" w:cstheme="minorBidi"/>
          <w:b w:val="0"/>
          <w:noProof/>
          <w:sz w:val="22"/>
          <w:szCs w:val="22"/>
        </w:rPr>
        <w:tab/>
      </w:r>
      <w:r w:rsidRPr="000B2293">
        <w:rPr>
          <w:rFonts w:ascii="Calibri" w:hAnsi="Calibri"/>
          <w:noProof/>
          <w:sz w:val="22"/>
          <w:szCs w:val="22"/>
        </w:rPr>
        <w:t>Species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_Toc511217370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23</w:t>
      </w:r>
      <w:r w:rsidRPr="000B2293">
        <w:rPr>
          <w:rFonts w:ascii="Calibri" w:hAnsi="Calibri"/>
          <w:noProof/>
          <w:sz w:val="22"/>
          <w:szCs w:val="22"/>
        </w:rPr>
        <w:fldChar w:fldCharType="end"/>
      </w:r>
    </w:p>
    <w:p w14:paraId="39BD270C"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1.1</w:t>
      </w:r>
      <w:r w:rsidRPr="000B2293">
        <w:rPr>
          <w:rFonts w:ascii="Calibri" w:eastAsiaTheme="minorEastAsia" w:hAnsi="Calibri" w:cstheme="minorBidi"/>
          <w:sz w:val="22"/>
          <w:szCs w:val="22"/>
        </w:rPr>
        <w:tab/>
      </w:r>
      <w:r w:rsidRPr="000B2293">
        <w:rPr>
          <w:rFonts w:ascii="Calibri" w:hAnsi="Calibri"/>
          <w:sz w:val="22"/>
          <w:szCs w:val="22"/>
        </w:rPr>
        <w:t>Fish and shellfish</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_Toc511217371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23</w:t>
      </w:r>
      <w:r w:rsidRPr="000B2293">
        <w:rPr>
          <w:rFonts w:ascii="Calibri" w:hAnsi="Calibri"/>
          <w:sz w:val="22"/>
          <w:szCs w:val="22"/>
        </w:rPr>
        <w:fldChar w:fldCharType="end"/>
      </w:r>
    </w:p>
    <w:p w14:paraId="288FC3DD"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1.1.1</w:t>
      </w:r>
      <w:r w:rsidRPr="000B2293">
        <w:rPr>
          <w:rFonts w:ascii="Calibri" w:eastAsiaTheme="minorEastAsia" w:hAnsi="Calibri" w:cstheme="minorBidi"/>
          <w:sz w:val="22"/>
          <w:szCs w:val="22"/>
        </w:rPr>
        <w:tab/>
      </w:r>
      <w:r w:rsidRPr="000B2293">
        <w:rPr>
          <w:rFonts w:ascii="Calibri" w:hAnsi="Calibri"/>
          <w:sz w:val="22"/>
          <w:szCs w:val="22"/>
        </w:rPr>
        <w:t>Criteria for the selection of species for temporal trend monitoring</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_Toc511217372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23</w:t>
      </w:r>
      <w:r w:rsidRPr="000B2293">
        <w:rPr>
          <w:rFonts w:ascii="Calibri" w:hAnsi="Calibri"/>
          <w:sz w:val="22"/>
          <w:szCs w:val="22"/>
        </w:rPr>
        <w:fldChar w:fldCharType="end"/>
      </w:r>
    </w:p>
    <w:p w14:paraId="2E59BA38"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1.1.2</w:t>
      </w:r>
      <w:r w:rsidRPr="000B2293">
        <w:rPr>
          <w:rFonts w:ascii="Calibri" w:eastAsiaTheme="minorEastAsia" w:hAnsi="Calibri" w:cstheme="minorBidi"/>
          <w:sz w:val="22"/>
          <w:szCs w:val="22"/>
        </w:rPr>
        <w:tab/>
      </w:r>
      <w:r w:rsidRPr="000B2293">
        <w:rPr>
          <w:rFonts w:ascii="Calibri" w:hAnsi="Calibri"/>
          <w:sz w:val="22"/>
          <w:szCs w:val="22"/>
        </w:rPr>
        <w:t>Criteria for the selection of species for spatial distribution monitoring</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_Toc511217373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23</w:t>
      </w:r>
      <w:r w:rsidRPr="000B2293">
        <w:rPr>
          <w:rFonts w:ascii="Calibri" w:hAnsi="Calibri"/>
          <w:sz w:val="22"/>
          <w:szCs w:val="22"/>
        </w:rPr>
        <w:fldChar w:fldCharType="end"/>
      </w:r>
    </w:p>
    <w:p w14:paraId="4349D461"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1.2</w:t>
      </w:r>
      <w:r w:rsidRPr="000B2293">
        <w:rPr>
          <w:rFonts w:ascii="Calibri" w:eastAsiaTheme="minorEastAsia" w:hAnsi="Calibri" w:cstheme="minorBidi"/>
          <w:sz w:val="22"/>
          <w:szCs w:val="22"/>
        </w:rPr>
        <w:tab/>
      </w:r>
      <w:r w:rsidRPr="000B2293">
        <w:rPr>
          <w:rFonts w:ascii="Calibri" w:hAnsi="Calibri"/>
          <w:sz w:val="22"/>
          <w:szCs w:val="22"/>
        </w:rPr>
        <w:t>Seabirds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_Toc511217374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24</w:t>
      </w:r>
      <w:r w:rsidRPr="000B2293">
        <w:rPr>
          <w:rFonts w:ascii="Calibri" w:hAnsi="Calibri"/>
          <w:sz w:val="22"/>
          <w:szCs w:val="22"/>
        </w:rPr>
        <w:fldChar w:fldCharType="end"/>
      </w:r>
    </w:p>
    <w:p w14:paraId="02656582"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2.</w:t>
      </w:r>
      <w:r w:rsidRPr="000B2293">
        <w:rPr>
          <w:rFonts w:ascii="Calibri" w:eastAsiaTheme="minorEastAsia" w:hAnsi="Calibri" w:cstheme="minorBidi"/>
          <w:b w:val="0"/>
          <w:noProof/>
          <w:sz w:val="22"/>
          <w:szCs w:val="22"/>
        </w:rPr>
        <w:tab/>
      </w:r>
      <w:r w:rsidRPr="000B2293">
        <w:rPr>
          <w:rFonts w:ascii="Calibri" w:hAnsi="Calibri"/>
          <w:noProof/>
          <w:sz w:val="22"/>
          <w:szCs w:val="22"/>
        </w:rPr>
        <w:t>Sampling</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_Toc511217375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25</w:t>
      </w:r>
      <w:r w:rsidRPr="000B2293">
        <w:rPr>
          <w:rFonts w:ascii="Calibri" w:hAnsi="Calibri"/>
          <w:noProof/>
          <w:sz w:val="22"/>
          <w:szCs w:val="22"/>
        </w:rPr>
        <w:fldChar w:fldCharType="end"/>
      </w:r>
    </w:p>
    <w:p w14:paraId="06F3DEA8"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2.1</w:t>
      </w:r>
      <w:r w:rsidRPr="000B2293">
        <w:rPr>
          <w:rFonts w:ascii="Calibri" w:eastAsiaTheme="minorEastAsia" w:hAnsi="Calibri" w:cstheme="minorBidi"/>
          <w:sz w:val="22"/>
          <w:szCs w:val="22"/>
        </w:rPr>
        <w:tab/>
      </w:r>
      <w:r w:rsidRPr="000B2293">
        <w:rPr>
          <w:rFonts w:ascii="Calibri" w:hAnsi="Calibri"/>
          <w:sz w:val="22"/>
          <w:szCs w:val="22"/>
        </w:rPr>
        <w:t>Sampling to minimise natural variability</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_Toc511217376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25</w:t>
      </w:r>
      <w:r w:rsidRPr="000B2293">
        <w:rPr>
          <w:rFonts w:ascii="Calibri" w:hAnsi="Calibri"/>
          <w:sz w:val="22"/>
          <w:szCs w:val="22"/>
        </w:rPr>
        <w:fldChar w:fldCharType="end"/>
      </w:r>
    </w:p>
    <w:p w14:paraId="54B18FE0"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2.2</w:t>
      </w:r>
      <w:r w:rsidRPr="000B2293">
        <w:rPr>
          <w:rFonts w:ascii="Calibri" w:eastAsiaTheme="minorEastAsia" w:hAnsi="Calibri" w:cstheme="minorBidi"/>
          <w:sz w:val="22"/>
          <w:szCs w:val="22"/>
        </w:rPr>
        <w:tab/>
      </w:r>
      <w:r w:rsidRPr="000B2293">
        <w:rPr>
          <w:rFonts w:ascii="Calibri" w:hAnsi="Calibri"/>
          <w:sz w:val="22"/>
          <w:szCs w:val="22"/>
        </w:rPr>
        <w:t>Length-stratified sampling</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_Toc511217377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25</w:t>
      </w:r>
      <w:r w:rsidRPr="000B2293">
        <w:rPr>
          <w:rFonts w:ascii="Calibri" w:hAnsi="Calibri"/>
          <w:sz w:val="22"/>
          <w:szCs w:val="22"/>
        </w:rPr>
        <w:fldChar w:fldCharType="end"/>
      </w:r>
    </w:p>
    <w:p w14:paraId="3AE961BA"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2.2.1</w:t>
      </w:r>
      <w:r w:rsidRPr="000B2293">
        <w:rPr>
          <w:rFonts w:ascii="Calibri" w:eastAsiaTheme="minorEastAsia" w:hAnsi="Calibri" w:cstheme="minorBidi"/>
          <w:sz w:val="22"/>
          <w:szCs w:val="22"/>
        </w:rPr>
        <w:tab/>
      </w:r>
      <w:r w:rsidRPr="000B2293">
        <w:rPr>
          <w:rFonts w:ascii="Calibri" w:hAnsi="Calibri"/>
          <w:sz w:val="22"/>
          <w:szCs w:val="22"/>
        </w:rPr>
        <w:t>Fish</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_Toc511217378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25</w:t>
      </w:r>
      <w:r w:rsidRPr="000B2293">
        <w:rPr>
          <w:rFonts w:ascii="Calibri" w:hAnsi="Calibri"/>
          <w:sz w:val="22"/>
          <w:szCs w:val="22"/>
        </w:rPr>
        <w:fldChar w:fldCharType="end"/>
      </w:r>
    </w:p>
    <w:p w14:paraId="2656F390"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2.2.2</w:t>
      </w:r>
      <w:r w:rsidRPr="000B2293">
        <w:rPr>
          <w:rFonts w:ascii="Calibri" w:eastAsiaTheme="minorEastAsia" w:hAnsi="Calibri" w:cstheme="minorBidi"/>
          <w:sz w:val="22"/>
          <w:szCs w:val="22"/>
        </w:rPr>
        <w:tab/>
      </w:r>
      <w:r w:rsidRPr="000B2293">
        <w:rPr>
          <w:rFonts w:ascii="Calibri" w:hAnsi="Calibri"/>
          <w:sz w:val="22"/>
          <w:szCs w:val="22"/>
        </w:rPr>
        <w:t>Shellfish</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_Toc511217379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25</w:t>
      </w:r>
      <w:r w:rsidRPr="000B2293">
        <w:rPr>
          <w:rFonts w:ascii="Calibri" w:hAnsi="Calibri"/>
          <w:sz w:val="22"/>
          <w:szCs w:val="22"/>
        </w:rPr>
        <w:fldChar w:fldCharType="end"/>
      </w:r>
    </w:p>
    <w:p w14:paraId="70CAB0BA"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2.3</w:t>
      </w:r>
      <w:r w:rsidRPr="000B2293">
        <w:rPr>
          <w:rFonts w:ascii="Calibri" w:eastAsiaTheme="minorEastAsia" w:hAnsi="Calibri" w:cstheme="minorBidi"/>
          <w:sz w:val="22"/>
          <w:szCs w:val="22"/>
        </w:rPr>
        <w:tab/>
      </w:r>
      <w:r w:rsidRPr="000B2293">
        <w:rPr>
          <w:rFonts w:ascii="Calibri" w:hAnsi="Calibri"/>
          <w:sz w:val="22"/>
          <w:szCs w:val="22"/>
        </w:rPr>
        <w:t>Seabird eggs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_Toc511217380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26</w:t>
      </w:r>
      <w:r w:rsidRPr="000B2293">
        <w:rPr>
          <w:rFonts w:ascii="Calibri" w:hAnsi="Calibri"/>
          <w:sz w:val="22"/>
          <w:szCs w:val="22"/>
        </w:rPr>
        <w:fldChar w:fldCharType="end"/>
      </w:r>
    </w:p>
    <w:p w14:paraId="2AEAD279"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2.3.1</w:t>
      </w:r>
      <w:r w:rsidRPr="000B2293">
        <w:rPr>
          <w:rFonts w:ascii="Calibri" w:eastAsiaTheme="minorEastAsia" w:hAnsi="Calibri" w:cstheme="minorBidi"/>
          <w:sz w:val="22"/>
          <w:szCs w:val="22"/>
        </w:rPr>
        <w:tab/>
      </w:r>
      <w:r w:rsidRPr="000B2293">
        <w:rPr>
          <w:rFonts w:ascii="Calibri" w:hAnsi="Calibri"/>
          <w:sz w:val="22"/>
          <w:szCs w:val="22"/>
        </w:rPr>
        <w:t>Permission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_Toc511217381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26</w:t>
      </w:r>
      <w:r w:rsidRPr="000B2293">
        <w:rPr>
          <w:rFonts w:ascii="Calibri" w:hAnsi="Calibri"/>
          <w:sz w:val="22"/>
          <w:szCs w:val="22"/>
        </w:rPr>
        <w:fldChar w:fldCharType="end"/>
      </w:r>
    </w:p>
    <w:p w14:paraId="0D992C06"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2.3.2</w:t>
      </w:r>
      <w:r w:rsidRPr="000B2293">
        <w:rPr>
          <w:rFonts w:ascii="Calibri" w:eastAsiaTheme="minorEastAsia" w:hAnsi="Calibri" w:cstheme="minorBidi"/>
          <w:sz w:val="22"/>
          <w:szCs w:val="22"/>
        </w:rPr>
        <w:tab/>
      </w:r>
      <w:r w:rsidRPr="000B2293">
        <w:rPr>
          <w:rFonts w:ascii="Calibri" w:hAnsi="Calibri"/>
          <w:sz w:val="22"/>
          <w:szCs w:val="22"/>
        </w:rPr>
        <w:t>Sampling period and frequency</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_Toc511217382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26</w:t>
      </w:r>
      <w:r w:rsidRPr="000B2293">
        <w:rPr>
          <w:rFonts w:ascii="Calibri" w:hAnsi="Calibri"/>
          <w:sz w:val="22"/>
          <w:szCs w:val="22"/>
        </w:rPr>
        <w:fldChar w:fldCharType="end"/>
      </w:r>
    </w:p>
    <w:p w14:paraId="483AA145"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2.3.3</w:t>
      </w:r>
      <w:r w:rsidRPr="000B2293">
        <w:rPr>
          <w:rFonts w:ascii="Calibri" w:eastAsiaTheme="minorEastAsia" w:hAnsi="Calibri" w:cstheme="minorBidi"/>
          <w:sz w:val="22"/>
          <w:szCs w:val="22"/>
        </w:rPr>
        <w:tab/>
      </w:r>
      <w:r w:rsidRPr="000B2293">
        <w:rPr>
          <w:rFonts w:ascii="Calibri" w:hAnsi="Calibri"/>
          <w:sz w:val="22"/>
          <w:szCs w:val="22"/>
        </w:rPr>
        <w:t>Number of eggs and sampling procedure</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_Toc511217383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26</w:t>
      </w:r>
      <w:r w:rsidRPr="000B2293">
        <w:rPr>
          <w:rFonts w:ascii="Calibri" w:hAnsi="Calibri"/>
          <w:sz w:val="22"/>
          <w:szCs w:val="22"/>
        </w:rPr>
        <w:fldChar w:fldCharType="end"/>
      </w:r>
    </w:p>
    <w:p w14:paraId="0C49ABA9"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2.3.4</w:t>
      </w:r>
      <w:r w:rsidRPr="000B2293">
        <w:rPr>
          <w:rFonts w:ascii="Calibri" w:eastAsiaTheme="minorEastAsia" w:hAnsi="Calibri" w:cstheme="minorBidi"/>
          <w:sz w:val="22"/>
          <w:szCs w:val="22"/>
        </w:rPr>
        <w:tab/>
      </w:r>
      <w:r w:rsidRPr="000B2293">
        <w:rPr>
          <w:rFonts w:ascii="Calibri" w:hAnsi="Calibri"/>
          <w:sz w:val="22"/>
          <w:szCs w:val="22"/>
        </w:rPr>
        <w:t>Materials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_Toc511217384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26</w:t>
      </w:r>
      <w:r w:rsidRPr="000B2293">
        <w:rPr>
          <w:rFonts w:ascii="Calibri" w:hAnsi="Calibri"/>
          <w:sz w:val="22"/>
          <w:szCs w:val="22"/>
        </w:rPr>
        <w:fldChar w:fldCharType="end"/>
      </w:r>
    </w:p>
    <w:p w14:paraId="014B32D6"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3.</w:t>
      </w:r>
      <w:r w:rsidRPr="000B2293">
        <w:rPr>
          <w:rFonts w:ascii="Calibri" w:eastAsiaTheme="minorEastAsia" w:hAnsi="Calibri" w:cstheme="minorBidi"/>
          <w:b w:val="0"/>
          <w:noProof/>
          <w:sz w:val="22"/>
          <w:szCs w:val="22"/>
        </w:rPr>
        <w:tab/>
      </w:r>
      <w:r w:rsidRPr="000B2293">
        <w:rPr>
          <w:rFonts w:ascii="Calibri" w:hAnsi="Calibri"/>
          <w:noProof/>
          <w:sz w:val="22"/>
          <w:szCs w:val="22"/>
        </w:rPr>
        <w:t>Transportation</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_Toc511217385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26</w:t>
      </w:r>
      <w:r w:rsidRPr="000B2293">
        <w:rPr>
          <w:rFonts w:ascii="Calibri" w:hAnsi="Calibri"/>
          <w:noProof/>
          <w:sz w:val="22"/>
          <w:szCs w:val="22"/>
        </w:rPr>
        <w:fldChar w:fldCharType="end"/>
      </w:r>
    </w:p>
    <w:p w14:paraId="3CE9F750"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3.1</w:t>
      </w:r>
      <w:r w:rsidRPr="000B2293">
        <w:rPr>
          <w:rFonts w:ascii="Calibri" w:eastAsiaTheme="minorEastAsia" w:hAnsi="Calibri" w:cstheme="minorBidi"/>
          <w:sz w:val="22"/>
          <w:szCs w:val="22"/>
        </w:rPr>
        <w:tab/>
      </w:r>
      <w:r w:rsidRPr="000B2293">
        <w:rPr>
          <w:rFonts w:ascii="Calibri" w:hAnsi="Calibri"/>
          <w:sz w:val="22"/>
          <w:szCs w:val="22"/>
        </w:rPr>
        <w:t>Fish and shellfish</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_Toc511217386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26</w:t>
      </w:r>
      <w:r w:rsidRPr="000B2293">
        <w:rPr>
          <w:rFonts w:ascii="Calibri" w:hAnsi="Calibri"/>
          <w:sz w:val="22"/>
          <w:szCs w:val="22"/>
        </w:rPr>
        <w:fldChar w:fldCharType="end"/>
      </w:r>
    </w:p>
    <w:p w14:paraId="76C17B0C"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3.2</w:t>
      </w:r>
      <w:r w:rsidRPr="000B2293">
        <w:rPr>
          <w:rFonts w:ascii="Calibri" w:eastAsiaTheme="minorEastAsia" w:hAnsi="Calibri" w:cstheme="minorBidi"/>
          <w:sz w:val="22"/>
          <w:szCs w:val="22"/>
        </w:rPr>
        <w:tab/>
      </w:r>
      <w:r w:rsidRPr="000B2293">
        <w:rPr>
          <w:rFonts w:ascii="Calibri" w:hAnsi="Calibri"/>
          <w:sz w:val="22"/>
          <w:szCs w:val="22"/>
        </w:rPr>
        <w:t>Seabird eggs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_Toc511217387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27</w:t>
      </w:r>
      <w:r w:rsidRPr="000B2293">
        <w:rPr>
          <w:rFonts w:ascii="Calibri" w:hAnsi="Calibri"/>
          <w:sz w:val="22"/>
          <w:szCs w:val="22"/>
        </w:rPr>
        <w:fldChar w:fldCharType="end"/>
      </w:r>
    </w:p>
    <w:p w14:paraId="779A6F7F"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4.</w:t>
      </w:r>
      <w:r w:rsidRPr="000B2293">
        <w:rPr>
          <w:rFonts w:ascii="Calibri" w:eastAsiaTheme="minorEastAsia" w:hAnsi="Calibri" w:cstheme="minorBidi"/>
          <w:b w:val="0"/>
          <w:noProof/>
          <w:sz w:val="22"/>
          <w:szCs w:val="22"/>
        </w:rPr>
        <w:tab/>
      </w:r>
      <w:r w:rsidRPr="000B2293">
        <w:rPr>
          <w:rFonts w:ascii="Calibri" w:hAnsi="Calibri"/>
          <w:noProof/>
          <w:sz w:val="22"/>
          <w:szCs w:val="22"/>
        </w:rPr>
        <w:t>Pre-treatment and storage</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_Toc511217388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27</w:t>
      </w:r>
      <w:r w:rsidRPr="000B2293">
        <w:rPr>
          <w:rFonts w:ascii="Calibri" w:hAnsi="Calibri"/>
          <w:noProof/>
          <w:sz w:val="22"/>
          <w:szCs w:val="22"/>
        </w:rPr>
        <w:fldChar w:fldCharType="end"/>
      </w:r>
    </w:p>
    <w:p w14:paraId="7AB449CD"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4.1</w:t>
      </w:r>
      <w:r w:rsidRPr="000B2293">
        <w:rPr>
          <w:rFonts w:ascii="Calibri" w:eastAsiaTheme="minorEastAsia" w:hAnsi="Calibri" w:cstheme="minorBidi"/>
          <w:sz w:val="22"/>
          <w:szCs w:val="22"/>
        </w:rPr>
        <w:tab/>
      </w:r>
      <w:r w:rsidRPr="000B2293">
        <w:rPr>
          <w:rFonts w:ascii="Calibri" w:hAnsi="Calibri"/>
          <w:sz w:val="22"/>
          <w:szCs w:val="22"/>
        </w:rPr>
        <w:t>Contamination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_Toc511217389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27</w:t>
      </w:r>
      <w:r w:rsidRPr="000B2293">
        <w:rPr>
          <w:rFonts w:ascii="Calibri" w:hAnsi="Calibri"/>
          <w:sz w:val="22"/>
          <w:szCs w:val="22"/>
        </w:rPr>
        <w:fldChar w:fldCharType="end"/>
      </w:r>
    </w:p>
    <w:p w14:paraId="7180489D"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4.2</w:t>
      </w:r>
      <w:r w:rsidRPr="000B2293">
        <w:rPr>
          <w:rFonts w:ascii="Calibri" w:eastAsiaTheme="minorEastAsia" w:hAnsi="Calibri" w:cstheme="minorBidi"/>
          <w:sz w:val="22"/>
          <w:szCs w:val="22"/>
        </w:rPr>
        <w:tab/>
      </w:r>
      <w:r w:rsidRPr="000B2293">
        <w:rPr>
          <w:rFonts w:ascii="Calibri" w:hAnsi="Calibri"/>
          <w:sz w:val="22"/>
          <w:szCs w:val="22"/>
        </w:rPr>
        <w:t>Fish</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_Toc511217390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27</w:t>
      </w:r>
      <w:r w:rsidRPr="000B2293">
        <w:rPr>
          <w:rFonts w:ascii="Calibri" w:hAnsi="Calibri"/>
          <w:sz w:val="22"/>
          <w:szCs w:val="22"/>
        </w:rPr>
        <w:fldChar w:fldCharType="end"/>
      </w:r>
    </w:p>
    <w:p w14:paraId="616E94B6"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4.2.1</w:t>
      </w:r>
      <w:r w:rsidRPr="000B2293">
        <w:rPr>
          <w:rFonts w:ascii="Calibri" w:eastAsiaTheme="minorEastAsia" w:hAnsi="Calibri" w:cstheme="minorBidi"/>
          <w:sz w:val="22"/>
          <w:szCs w:val="22"/>
        </w:rPr>
        <w:tab/>
      </w:r>
      <w:r w:rsidRPr="000B2293">
        <w:rPr>
          <w:rFonts w:ascii="Calibri" w:hAnsi="Calibri"/>
          <w:sz w:val="22"/>
          <w:szCs w:val="22"/>
        </w:rPr>
        <w:t>Dissection and storage</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_Toc511217391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27</w:t>
      </w:r>
      <w:r w:rsidRPr="000B2293">
        <w:rPr>
          <w:rFonts w:ascii="Calibri" w:hAnsi="Calibri"/>
          <w:sz w:val="22"/>
          <w:szCs w:val="22"/>
        </w:rPr>
        <w:fldChar w:fldCharType="end"/>
      </w:r>
    </w:p>
    <w:p w14:paraId="6A4BF6B0"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4.2.2</w:t>
      </w:r>
      <w:r w:rsidRPr="000B2293">
        <w:rPr>
          <w:rFonts w:ascii="Calibri" w:eastAsiaTheme="minorEastAsia" w:hAnsi="Calibri" w:cstheme="minorBidi"/>
          <w:sz w:val="22"/>
          <w:szCs w:val="22"/>
        </w:rPr>
        <w:tab/>
      </w:r>
      <w:r w:rsidRPr="000B2293">
        <w:rPr>
          <w:rFonts w:ascii="Calibri" w:hAnsi="Calibri"/>
          <w:sz w:val="22"/>
          <w:szCs w:val="22"/>
        </w:rPr>
        <w:t>Sub-sampling</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_Toc511217392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27</w:t>
      </w:r>
      <w:r w:rsidRPr="000B2293">
        <w:rPr>
          <w:rFonts w:ascii="Calibri" w:hAnsi="Calibri"/>
          <w:sz w:val="22"/>
          <w:szCs w:val="22"/>
        </w:rPr>
        <w:fldChar w:fldCharType="end"/>
      </w:r>
    </w:p>
    <w:p w14:paraId="7F439F57"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4.3</w:t>
      </w:r>
      <w:r w:rsidRPr="000B2293">
        <w:rPr>
          <w:rFonts w:ascii="Calibri" w:eastAsiaTheme="minorEastAsia" w:hAnsi="Calibri" w:cstheme="minorBidi"/>
          <w:sz w:val="22"/>
          <w:szCs w:val="22"/>
        </w:rPr>
        <w:tab/>
      </w:r>
      <w:r w:rsidRPr="000B2293">
        <w:rPr>
          <w:rFonts w:ascii="Calibri" w:hAnsi="Calibri"/>
          <w:sz w:val="22"/>
          <w:szCs w:val="22"/>
        </w:rPr>
        <w:t>Shellfish</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_Toc511217393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28</w:t>
      </w:r>
      <w:r w:rsidRPr="000B2293">
        <w:rPr>
          <w:rFonts w:ascii="Calibri" w:hAnsi="Calibri"/>
          <w:sz w:val="22"/>
          <w:szCs w:val="22"/>
        </w:rPr>
        <w:fldChar w:fldCharType="end"/>
      </w:r>
    </w:p>
    <w:p w14:paraId="6044D1E7"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4.3.1</w:t>
      </w:r>
      <w:r w:rsidRPr="000B2293">
        <w:rPr>
          <w:rFonts w:ascii="Calibri" w:eastAsiaTheme="minorEastAsia" w:hAnsi="Calibri" w:cstheme="minorBidi"/>
          <w:sz w:val="22"/>
          <w:szCs w:val="22"/>
        </w:rPr>
        <w:tab/>
      </w:r>
      <w:r w:rsidRPr="000B2293">
        <w:rPr>
          <w:rFonts w:ascii="Calibri" w:hAnsi="Calibri"/>
          <w:sz w:val="22"/>
          <w:szCs w:val="22"/>
        </w:rPr>
        <w:t>Depuration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_Toc511217394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28</w:t>
      </w:r>
      <w:r w:rsidRPr="000B2293">
        <w:rPr>
          <w:rFonts w:ascii="Calibri" w:hAnsi="Calibri"/>
          <w:sz w:val="22"/>
          <w:szCs w:val="22"/>
        </w:rPr>
        <w:fldChar w:fldCharType="end"/>
      </w:r>
    </w:p>
    <w:p w14:paraId="4B356A27"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4.3.2</w:t>
      </w:r>
      <w:r w:rsidRPr="000B2293">
        <w:rPr>
          <w:rFonts w:ascii="Calibri" w:eastAsiaTheme="minorEastAsia" w:hAnsi="Calibri" w:cstheme="minorBidi"/>
          <w:sz w:val="22"/>
          <w:szCs w:val="22"/>
        </w:rPr>
        <w:tab/>
      </w:r>
      <w:r w:rsidRPr="000B2293">
        <w:rPr>
          <w:rFonts w:ascii="Calibri" w:hAnsi="Calibri"/>
          <w:sz w:val="22"/>
          <w:szCs w:val="22"/>
        </w:rPr>
        <w:t>Opening of the shells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_Toc511217395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28</w:t>
      </w:r>
      <w:r w:rsidRPr="000B2293">
        <w:rPr>
          <w:rFonts w:ascii="Calibri" w:hAnsi="Calibri"/>
          <w:sz w:val="22"/>
          <w:szCs w:val="22"/>
        </w:rPr>
        <w:fldChar w:fldCharType="end"/>
      </w:r>
    </w:p>
    <w:p w14:paraId="5B362ED6"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4.3.3</w:t>
      </w:r>
      <w:r w:rsidRPr="000B2293">
        <w:rPr>
          <w:rFonts w:ascii="Calibri" w:eastAsiaTheme="minorEastAsia" w:hAnsi="Calibri" w:cstheme="minorBidi"/>
          <w:sz w:val="22"/>
          <w:szCs w:val="22"/>
        </w:rPr>
        <w:tab/>
      </w:r>
      <w:r w:rsidRPr="000B2293">
        <w:rPr>
          <w:rFonts w:ascii="Calibri" w:hAnsi="Calibri"/>
          <w:sz w:val="22"/>
          <w:szCs w:val="22"/>
        </w:rPr>
        <w:t>Dissection and storage</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_Toc511217396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28</w:t>
      </w:r>
      <w:r w:rsidRPr="000B2293">
        <w:rPr>
          <w:rFonts w:ascii="Calibri" w:hAnsi="Calibri"/>
          <w:sz w:val="22"/>
          <w:szCs w:val="22"/>
        </w:rPr>
        <w:fldChar w:fldCharType="end"/>
      </w:r>
    </w:p>
    <w:p w14:paraId="48AFAB52"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4.4</w:t>
      </w:r>
      <w:r w:rsidRPr="000B2293">
        <w:rPr>
          <w:rFonts w:ascii="Calibri" w:eastAsiaTheme="minorEastAsia" w:hAnsi="Calibri" w:cstheme="minorBidi"/>
          <w:sz w:val="22"/>
          <w:szCs w:val="22"/>
        </w:rPr>
        <w:tab/>
      </w:r>
      <w:r w:rsidRPr="000B2293">
        <w:rPr>
          <w:rFonts w:ascii="Calibri" w:hAnsi="Calibri"/>
          <w:sz w:val="22"/>
          <w:szCs w:val="22"/>
        </w:rPr>
        <w:t>Seabird eggs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_Toc511217397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28</w:t>
      </w:r>
      <w:r w:rsidRPr="000B2293">
        <w:rPr>
          <w:rFonts w:ascii="Calibri" w:hAnsi="Calibri"/>
          <w:sz w:val="22"/>
          <w:szCs w:val="22"/>
        </w:rPr>
        <w:fldChar w:fldCharType="end"/>
      </w:r>
    </w:p>
    <w:p w14:paraId="164C51FE" w14:textId="77777777" w:rsidR="000B2293" w:rsidRPr="000B2293" w:rsidRDefault="000B2293">
      <w:pPr>
        <w:pStyle w:val="TOC1"/>
        <w:rPr>
          <w:rFonts w:ascii="Calibri" w:eastAsiaTheme="minorEastAsia" w:hAnsi="Calibri" w:cstheme="minorBidi"/>
          <w:b w:val="0"/>
          <w:noProof/>
          <w:sz w:val="22"/>
          <w:szCs w:val="22"/>
        </w:rPr>
      </w:pPr>
      <w:r w:rsidRPr="000B2293">
        <w:rPr>
          <w:rFonts w:ascii="Calibri" w:hAnsi="Calibri"/>
          <w:noProof/>
          <w:sz w:val="22"/>
          <w:szCs w:val="22"/>
        </w:rPr>
        <w:t>Technical Annex 2: Metals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_Toc511217398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28</w:t>
      </w:r>
      <w:r w:rsidRPr="000B2293">
        <w:rPr>
          <w:rFonts w:ascii="Calibri" w:hAnsi="Calibri"/>
          <w:noProof/>
          <w:sz w:val="22"/>
          <w:szCs w:val="22"/>
        </w:rPr>
        <w:fldChar w:fldCharType="end"/>
      </w:r>
    </w:p>
    <w:p w14:paraId="08F231A7"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1.</w:t>
      </w:r>
      <w:r w:rsidRPr="000B2293">
        <w:rPr>
          <w:rFonts w:ascii="Calibri" w:eastAsiaTheme="minorEastAsia" w:hAnsi="Calibri" w:cstheme="minorBidi"/>
          <w:b w:val="0"/>
          <w:noProof/>
          <w:sz w:val="22"/>
          <w:szCs w:val="22"/>
        </w:rPr>
        <w:tab/>
      </w:r>
      <w:r w:rsidRPr="000B2293">
        <w:rPr>
          <w:rFonts w:ascii="Calibri" w:hAnsi="Calibri"/>
          <w:noProof/>
          <w:sz w:val="22"/>
          <w:szCs w:val="22"/>
        </w:rPr>
        <w:t>Species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_Toc511217399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29</w:t>
      </w:r>
      <w:r w:rsidRPr="000B2293">
        <w:rPr>
          <w:rFonts w:ascii="Calibri" w:hAnsi="Calibri"/>
          <w:noProof/>
          <w:sz w:val="22"/>
          <w:szCs w:val="22"/>
        </w:rPr>
        <w:fldChar w:fldCharType="end"/>
      </w:r>
    </w:p>
    <w:p w14:paraId="4E6785DF"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1.1</w:t>
      </w:r>
      <w:r w:rsidRPr="000B2293">
        <w:rPr>
          <w:rFonts w:ascii="Calibri" w:eastAsiaTheme="minorEastAsia" w:hAnsi="Calibri" w:cstheme="minorBidi"/>
          <w:sz w:val="22"/>
          <w:szCs w:val="22"/>
        </w:rPr>
        <w:tab/>
      </w:r>
      <w:r w:rsidRPr="000B2293">
        <w:rPr>
          <w:rFonts w:ascii="Calibri" w:hAnsi="Calibri"/>
          <w:sz w:val="22"/>
          <w:szCs w:val="22"/>
        </w:rPr>
        <w:t>Fish and shellfish</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_Toc511217400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29</w:t>
      </w:r>
      <w:r w:rsidRPr="000B2293">
        <w:rPr>
          <w:rFonts w:ascii="Calibri" w:hAnsi="Calibri"/>
          <w:sz w:val="22"/>
          <w:szCs w:val="22"/>
        </w:rPr>
        <w:fldChar w:fldCharType="end"/>
      </w:r>
    </w:p>
    <w:p w14:paraId="74878A4F"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1.1.1</w:t>
      </w:r>
      <w:r w:rsidRPr="000B2293">
        <w:rPr>
          <w:rFonts w:ascii="Calibri" w:eastAsiaTheme="minorEastAsia" w:hAnsi="Calibri" w:cstheme="minorBidi"/>
          <w:sz w:val="22"/>
          <w:szCs w:val="22"/>
        </w:rPr>
        <w:tab/>
      </w:r>
      <w:r w:rsidRPr="000B2293">
        <w:rPr>
          <w:rFonts w:ascii="Calibri" w:hAnsi="Calibri"/>
          <w:sz w:val="22"/>
          <w:szCs w:val="22"/>
        </w:rPr>
        <w:t>Criteria for the selection of species for temporal trend monitoring</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_Toc511217401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29</w:t>
      </w:r>
      <w:r w:rsidRPr="000B2293">
        <w:rPr>
          <w:rFonts w:ascii="Calibri" w:hAnsi="Calibri"/>
          <w:sz w:val="22"/>
          <w:szCs w:val="22"/>
        </w:rPr>
        <w:fldChar w:fldCharType="end"/>
      </w:r>
    </w:p>
    <w:p w14:paraId="0ED1F1C9"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1.1.2</w:t>
      </w:r>
      <w:r w:rsidRPr="000B2293">
        <w:rPr>
          <w:rFonts w:ascii="Calibri" w:eastAsiaTheme="minorEastAsia" w:hAnsi="Calibri" w:cstheme="minorBidi"/>
          <w:sz w:val="22"/>
          <w:szCs w:val="22"/>
        </w:rPr>
        <w:tab/>
      </w:r>
      <w:r w:rsidRPr="000B2293">
        <w:rPr>
          <w:rFonts w:ascii="Calibri" w:hAnsi="Calibri"/>
          <w:sz w:val="22"/>
          <w:szCs w:val="22"/>
        </w:rPr>
        <w:t>Criteria for the selection of species for spatial distribution monitoring</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_Toc511217402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29</w:t>
      </w:r>
      <w:r w:rsidRPr="000B2293">
        <w:rPr>
          <w:rFonts w:ascii="Calibri" w:hAnsi="Calibri"/>
          <w:sz w:val="22"/>
          <w:szCs w:val="22"/>
        </w:rPr>
        <w:fldChar w:fldCharType="end"/>
      </w:r>
    </w:p>
    <w:p w14:paraId="273573E1"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1.2</w:t>
      </w:r>
      <w:r w:rsidRPr="000B2293">
        <w:rPr>
          <w:rFonts w:ascii="Calibri" w:eastAsiaTheme="minorEastAsia" w:hAnsi="Calibri" w:cstheme="minorBidi"/>
          <w:sz w:val="22"/>
          <w:szCs w:val="22"/>
        </w:rPr>
        <w:tab/>
      </w:r>
      <w:r w:rsidRPr="000B2293">
        <w:rPr>
          <w:rFonts w:ascii="Calibri" w:hAnsi="Calibri"/>
          <w:sz w:val="22"/>
          <w:szCs w:val="22"/>
        </w:rPr>
        <w:t>Seabirds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_Toc511217403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30</w:t>
      </w:r>
      <w:r w:rsidRPr="000B2293">
        <w:rPr>
          <w:rFonts w:ascii="Calibri" w:hAnsi="Calibri"/>
          <w:sz w:val="22"/>
          <w:szCs w:val="22"/>
        </w:rPr>
        <w:fldChar w:fldCharType="end"/>
      </w:r>
    </w:p>
    <w:p w14:paraId="48AB39A2"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2.</w:t>
      </w:r>
      <w:r w:rsidRPr="000B2293">
        <w:rPr>
          <w:rFonts w:ascii="Calibri" w:eastAsiaTheme="minorEastAsia" w:hAnsi="Calibri" w:cstheme="minorBidi"/>
          <w:b w:val="0"/>
          <w:noProof/>
          <w:sz w:val="22"/>
          <w:szCs w:val="22"/>
        </w:rPr>
        <w:tab/>
      </w:r>
      <w:r w:rsidRPr="000B2293">
        <w:rPr>
          <w:rFonts w:ascii="Calibri" w:hAnsi="Calibri"/>
          <w:noProof/>
          <w:sz w:val="22"/>
          <w:szCs w:val="22"/>
        </w:rPr>
        <w:t>Sampling</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_Toc511217404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30</w:t>
      </w:r>
      <w:r w:rsidRPr="000B2293">
        <w:rPr>
          <w:rFonts w:ascii="Calibri" w:hAnsi="Calibri"/>
          <w:noProof/>
          <w:sz w:val="22"/>
          <w:szCs w:val="22"/>
        </w:rPr>
        <w:fldChar w:fldCharType="end"/>
      </w:r>
    </w:p>
    <w:p w14:paraId="6BCECCD9"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2.1</w:t>
      </w:r>
      <w:r w:rsidRPr="000B2293">
        <w:rPr>
          <w:rFonts w:ascii="Calibri" w:eastAsiaTheme="minorEastAsia" w:hAnsi="Calibri" w:cstheme="minorBidi"/>
          <w:sz w:val="22"/>
          <w:szCs w:val="22"/>
        </w:rPr>
        <w:tab/>
      </w:r>
      <w:r w:rsidRPr="000B2293">
        <w:rPr>
          <w:rFonts w:ascii="Calibri" w:hAnsi="Calibri"/>
          <w:sz w:val="22"/>
          <w:szCs w:val="22"/>
        </w:rPr>
        <w:t>Sampling to minimise natural variability</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_Toc511217405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30</w:t>
      </w:r>
      <w:r w:rsidRPr="000B2293">
        <w:rPr>
          <w:rFonts w:ascii="Calibri" w:hAnsi="Calibri"/>
          <w:sz w:val="22"/>
          <w:szCs w:val="22"/>
        </w:rPr>
        <w:fldChar w:fldCharType="end"/>
      </w:r>
    </w:p>
    <w:p w14:paraId="7795883B"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2.2</w:t>
      </w:r>
      <w:r w:rsidRPr="000B2293">
        <w:rPr>
          <w:rFonts w:ascii="Calibri" w:eastAsiaTheme="minorEastAsia" w:hAnsi="Calibri" w:cstheme="minorBidi"/>
          <w:sz w:val="22"/>
          <w:szCs w:val="22"/>
        </w:rPr>
        <w:tab/>
      </w:r>
      <w:r w:rsidRPr="000B2293">
        <w:rPr>
          <w:rFonts w:ascii="Calibri" w:hAnsi="Calibri"/>
          <w:sz w:val="22"/>
          <w:szCs w:val="22"/>
        </w:rPr>
        <w:t>Length-stratified sampling</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_Toc511217406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31</w:t>
      </w:r>
      <w:r w:rsidRPr="000B2293">
        <w:rPr>
          <w:rFonts w:ascii="Calibri" w:hAnsi="Calibri"/>
          <w:sz w:val="22"/>
          <w:szCs w:val="22"/>
        </w:rPr>
        <w:fldChar w:fldCharType="end"/>
      </w:r>
    </w:p>
    <w:p w14:paraId="3E9832C0"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2.2.1</w:t>
      </w:r>
      <w:r w:rsidRPr="000B2293">
        <w:rPr>
          <w:rFonts w:ascii="Calibri" w:eastAsiaTheme="minorEastAsia" w:hAnsi="Calibri" w:cstheme="minorBidi"/>
          <w:sz w:val="22"/>
          <w:szCs w:val="22"/>
        </w:rPr>
        <w:tab/>
      </w:r>
      <w:r w:rsidRPr="000B2293">
        <w:rPr>
          <w:rFonts w:ascii="Calibri" w:hAnsi="Calibri"/>
          <w:sz w:val="22"/>
          <w:szCs w:val="22"/>
        </w:rPr>
        <w:t>Fish</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_Toc511217407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31</w:t>
      </w:r>
      <w:r w:rsidRPr="000B2293">
        <w:rPr>
          <w:rFonts w:ascii="Calibri" w:hAnsi="Calibri"/>
          <w:sz w:val="22"/>
          <w:szCs w:val="22"/>
        </w:rPr>
        <w:fldChar w:fldCharType="end"/>
      </w:r>
    </w:p>
    <w:p w14:paraId="6FDFB834"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lastRenderedPageBreak/>
        <w:t>2.2.2</w:t>
      </w:r>
      <w:r w:rsidRPr="000B2293">
        <w:rPr>
          <w:rFonts w:ascii="Calibri" w:eastAsiaTheme="minorEastAsia" w:hAnsi="Calibri" w:cstheme="minorBidi"/>
          <w:sz w:val="22"/>
          <w:szCs w:val="22"/>
        </w:rPr>
        <w:tab/>
      </w:r>
      <w:r w:rsidRPr="000B2293">
        <w:rPr>
          <w:rFonts w:ascii="Calibri" w:hAnsi="Calibri"/>
          <w:sz w:val="22"/>
          <w:szCs w:val="22"/>
        </w:rPr>
        <w:t>Shellfish</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_Toc511217408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31</w:t>
      </w:r>
      <w:r w:rsidRPr="000B2293">
        <w:rPr>
          <w:rFonts w:ascii="Calibri" w:hAnsi="Calibri"/>
          <w:sz w:val="22"/>
          <w:szCs w:val="22"/>
        </w:rPr>
        <w:fldChar w:fldCharType="end"/>
      </w:r>
    </w:p>
    <w:p w14:paraId="74AA9587"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2.3</w:t>
      </w:r>
      <w:r w:rsidRPr="000B2293">
        <w:rPr>
          <w:rFonts w:ascii="Calibri" w:eastAsiaTheme="minorEastAsia" w:hAnsi="Calibri" w:cstheme="minorBidi"/>
          <w:sz w:val="22"/>
          <w:szCs w:val="22"/>
        </w:rPr>
        <w:tab/>
      </w:r>
      <w:r w:rsidRPr="000B2293">
        <w:rPr>
          <w:rFonts w:ascii="Calibri" w:hAnsi="Calibri"/>
          <w:sz w:val="22"/>
          <w:szCs w:val="22"/>
        </w:rPr>
        <w:t>Seabird eggs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_Toc511217409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31</w:t>
      </w:r>
      <w:r w:rsidRPr="000B2293">
        <w:rPr>
          <w:rFonts w:ascii="Calibri" w:hAnsi="Calibri"/>
          <w:sz w:val="22"/>
          <w:szCs w:val="22"/>
        </w:rPr>
        <w:fldChar w:fldCharType="end"/>
      </w:r>
    </w:p>
    <w:p w14:paraId="4F3758CC"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2.3.1</w:t>
      </w:r>
      <w:r w:rsidRPr="000B2293">
        <w:rPr>
          <w:rFonts w:ascii="Calibri" w:eastAsiaTheme="minorEastAsia" w:hAnsi="Calibri" w:cstheme="minorBidi"/>
          <w:sz w:val="22"/>
          <w:szCs w:val="22"/>
        </w:rPr>
        <w:tab/>
      </w:r>
      <w:r w:rsidRPr="000B2293">
        <w:rPr>
          <w:rFonts w:ascii="Calibri" w:hAnsi="Calibri"/>
          <w:sz w:val="22"/>
          <w:szCs w:val="22"/>
        </w:rPr>
        <w:t>Permission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_Toc511217410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31</w:t>
      </w:r>
      <w:r w:rsidRPr="000B2293">
        <w:rPr>
          <w:rFonts w:ascii="Calibri" w:hAnsi="Calibri"/>
          <w:sz w:val="22"/>
          <w:szCs w:val="22"/>
        </w:rPr>
        <w:fldChar w:fldCharType="end"/>
      </w:r>
    </w:p>
    <w:p w14:paraId="19567496"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2.3.2</w:t>
      </w:r>
      <w:r w:rsidRPr="000B2293">
        <w:rPr>
          <w:rFonts w:ascii="Calibri" w:eastAsiaTheme="minorEastAsia" w:hAnsi="Calibri" w:cstheme="minorBidi"/>
          <w:sz w:val="22"/>
          <w:szCs w:val="22"/>
        </w:rPr>
        <w:tab/>
      </w:r>
      <w:r w:rsidRPr="000B2293">
        <w:rPr>
          <w:rFonts w:ascii="Calibri" w:hAnsi="Calibri"/>
          <w:sz w:val="22"/>
          <w:szCs w:val="22"/>
        </w:rPr>
        <w:t>Sampling period and frequency</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_Toc511217411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31</w:t>
      </w:r>
      <w:r w:rsidRPr="000B2293">
        <w:rPr>
          <w:rFonts w:ascii="Calibri" w:hAnsi="Calibri"/>
          <w:sz w:val="22"/>
          <w:szCs w:val="22"/>
        </w:rPr>
        <w:fldChar w:fldCharType="end"/>
      </w:r>
    </w:p>
    <w:p w14:paraId="24C3563E"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2.3.3</w:t>
      </w:r>
      <w:r w:rsidRPr="000B2293">
        <w:rPr>
          <w:rFonts w:ascii="Calibri" w:eastAsiaTheme="minorEastAsia" w:hAnsi="Calibri" w:cstheme="minorBidi"/>
          <w:sz w:val="22"/>
          <w:szCs w:val="22"/>
        </w:rPr>
        <w:tab/>
      </w:r>
      <w:r w:rsidRPr="000B2293">
        <w:rPr>
          <w:rFonts w:ascii="Calibri" w:hAnsi="Calibri"/>
          <w:sz w:val="22"/>
          <w:szCs w:val="22"/>
        </w:rPr>
        <w:t>Number of eggs and sampling procedure</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_Toc511217412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31</w:t>
      </w:r>
      <w:r w:rsidRPr="000B2293">
        <w:rPr>
          <w:rFonts w:ascii="Calibri" w:hAnsi="Calibri"/>
          <w:sz w:val="22"/>
          <w:szCs w:val="22"/>
        </w:rPr>
        <w:fldChar w:fldCharType="end"/>
      </w:r>
    </w:p>
    <w:p w14:paraId="74D04164"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2.3.4</w:t>
      </w:r>
      <w:r w:rsidRPr="000B2293">
        <w:rPr>
          <w:rFonts w:ascii="Calibri" w:eastAsiaTheme="minorEastAsia" w:hAnsi="Calibri" w:cstheme="minorBidi"/>
          <w:sz w:val="22"/>
          <w:szCs w:val="22"/>
        </w:rPr>
        <w:tab/>
      </w:r>
      <w:r w:rsidRPr="000B2293">
        <w:rPr>
          <w:rFonts w:ascii="Calibri" w:hAnsi="Calibri"/>
          <w:sz w:val="22"/>
          <w:szCs w:val="22"/>
        </w:rPr>
        <w:t>Materials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_Toc511217413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32</w:t>
      </w:r>
      <w:r w:rsidRPr="000B2293">
        <w:rPr>
          <w:rFonts w:ascii="Calibri" w:hAnsi="Calibri"/>
          <w:sz w:val="22"/>
          <w:szCs w:val="22"/>
        </w:rPr>
        <w:fldChar w:fldCharType="end"/>
      </w:r>
    </w:p>
    <w:p w14:paraId="7469945C"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3.</w:t>
      </w:r>
      <w:r w:rsidRPr="000B2293">
        <w:rPr>
          <w:rFonts w:ascii="Calibri" w:eastAsiaTheme="minorEastAsia" w:hAnsi="Calibri" w:cstheme="minorBidi"/>
          <w:b w:val="0"/>
          <w:noProof/>
          <w:sz w:val="22"/>
          <w:szCs w:val="22"/>
        </w:rPr>
        <w:tab/>
      </w:r>
      <w:r w:rsidRPr="000B2293">
        <w:rPr>
          <w:rFonts w:ascii="Calibri" w:hAnsi="Calibri"/>
          <w:noProof/>
          <w:sz w:val="22"/>
          <w:szCs w:val="22"/>
        </w:rPr>
        <w:t>Transportation</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_Toc511217414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32</w:t>
      </w:r>
      <w:r w:rsidRPr="000B2293">
        <w:rPr>
          <w:rFonts w:ascii="Calibri" w:hAnsi="Calibri"/>
          <w:noProof/>
          <w:sz w:val="22"/>
          <w:szCs w:val="22"/>
        </w:rPr>
        <w:fldChar w:fldCharType="end"/>
      </w:r>
    </w:p>
    <w:p w14:paraId="116D7101"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3.1</w:t>
      </w:r>
      <w:r w:rsidRPr="000B2293">
        <w:rPr>
          <w:rFonts w:ascii="Calibri" w:eastAsiaTheme="minorEastAsia" w:hAnsi="Calibri" w:cstheme="minorBidi"/>
          <w:sz w:val="22"/>
          <w:szCs w:val="22"/>
        </w:rPr>
        <w:tab/>
      </w:r>
      <w:r w:rsidRPr="000B2293">
        <w:rPr>
          <w:rFonts w:ascii="Calibri" w:hAnsi="Calibri"/>
          <w:sz w:val="22"/>
          <w:szCs w:val="22"/>
        </w:rPr>
        <w:t>Fish and shellfish</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_Toc511217415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32</w:t>
      </w:r>
      <w:r w:rsidRPr="000B2293">
        <w:rPr>
          <w:rFonts w:ascii="Calibri" w:hAnsi="Calibri"/>
          <w:sz w:val="22"/>
          <w:szCs w:val="22"/>
        </w:rPr>
        <w:fldChar w:fldCharType="end"/>
      </w:r>
    </w:p>
    <w:p w14:paraId="2E94F647" w14:textId="77777777" w:rsidR="000B2293" w:rsidRPr="000B2293" w:rsidRDefault="000B2293">
      <w:pPr>
        <w:pStyle w:val="TOC3"/>
        <w:tabs>
          <w:tab w:val="left" w:pos="1320"/>
        </w:tabs>
        <w:rPr>
          <w:rFonts w:ascii="Calibri" w:eastAsiaTheme="minorEastAsia" w:hAnsi="Calibri" w:cstheme="minorBidi"/>
          <w:sz w:val="22"/>
          <w:szCs w:val="22"/>
        </w:rPr>
      </w:pPr>
      <w:r w:rsidRPr="000B2293">
        <w:rPr>
          <w:rFonts w:ascii="Calibri" w:hAnsi="Calibri"/>
          <w:sz w:val="22"/>
          <w:szCs w:val="22"/>
        </w:rPr>
        <w:t>3.2</w:t>
      </w:r>
      <w:r w:rsidRPr="000B2293">
        <w:rPr>
          <w:rFonts w:ascii="Calibri" w:eastAsiaTheme="minorEastAsia" w:hAnsi="Calibri" w:cstheme="minorBidi"/>
          <w:sz w:val="22"/>
          <w:szCs w:val="22"/>
        </w:rPr>
        <w:tab/>
      </w:r>
      <w:r w:rsidRPr="000B2293">
        <w:rPr>
          <w:rFonts w:ascii="Calibri" w:hAnsi="Calibri"/>
          <w:sz w:val="22"/>
          <w:szCs w:val="22"/>
        </w:rPr>
        <w:t>Seabird eggs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_Toc511217416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32</w:t>
      </w:r>
      <w:r w:rsidRPr="000B2293">
        <w:rPr>
          <w:rFonts w:ascii="Calibri" w:hAnsi="Calibri"/>
          <w:sz w:val="22"/>
          <w:szCs w:val="22"/>
        </w:rPr>
        <w:fldChar w:fldCharType="end"/>
      </w:r>
    </w:p>
    <w:p w14:paraId="23B8BD23"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w:t>
      </w:r>
      <w:r w:rsidRPr="000B2293">
        <w:rPr>
          <w:rFonts w:ascii="Calibri" w:eastAsiaTheme="minorEastAsia" w:hAnsi="Calibri" w:cstheme="minorBidi"/>
          <w:sz w:val="22"/>
          <w:szCs w:val="22"/>
        </w:rPr>
        <w:tab/>
      </w:r>
      <w:r w:rsidRPr="000B2293">
        <w:rPr>
          <w:rFonts w:ascii="Calibri" w:hAnsi="Calibri"/>
          <w:sz w:val="22"/>
          <w:szCs w:val="22"/>
        </w:rPr>
        <w:t>Pre-treatment and storage</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_Toc511217417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32</w:t>
      </w:r>
      <w:r w:rsidRPr="000B2293">
        <w:rPr>
          <w:rFonts w:ascii="Calibri" w:hAnsi="Calibri"/>
          <w:sz w:val="22"/>
          <w:szCs w:val="22"/>
        </w:rPr>
        <w:fldChar w:fldCharType="end"/>
      </w:r>
    </w:p>
    <w:p w14:paraId="013CBC2A" w14:textId="77777777" w:rsidR="000B2293" w:rsidRPr="000B2293" w:rsidRDefault="000B2293">
      <w:pPr>
        <w:pStyle w:val="TOC3"/>
        <w:tabs>
          <w:tab w:val="left" w:pos="1320"/>
        </w:tabs>
        <w:rPr>
          <w:rFonts w:ascii="Calibri" w:eastAsiaTheme="minorEastAsia" w:hAnsi="Calibri" w:cstheme="minorBidi"/>
          <w:sz w:val="22"/>
          <w:szCs w:val="22"/>
        </w:rPr>
      </w:pPr>
      <w:r w:rsidRPr="000B2293">
        <w:rPr>
          <w:rFonts w:ascii="Calibri" w:hAnsi="Calibri"/>
          <w:sz w:val="22"/>
          <w:szCs w:val="22"/>
        </w:rPr>
        <w:t>4.1</w:t>
      </w:r>
      <w:r w:rsidRPr="000B2293">
        <w:rPr>
          <w:rFonts w:ascii="Calibri" w:eastAsiaTheme="minorEastAsia" w:hAnsi="Calibri" w:cstheme="minorBidi"/>
          <w:sz w:val="22"/>
          <w:szCs w:val="22"/>
        </w:rPr>
        <w:tab/>
      </w:r>
      <w:r w:rsidRPr="000B2293">
        <w:rPr>
          <w:rFonts w:ascii="Calibri" w:hAnsi="Calibri"/>
          <w:sz w:val="22"/>
          <w:szCs w:val="22"/>
        </w:rPr>
        <w:t>Contamination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_Toc511217418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32</w:t>
      </w:r>
      <w:r w:rsidRPr="000B2293">
        <w:rPr>
          <w:rFonts w:ascii="Calibri" w:hAnsi="Calibri"/>
          <w:sz w:val="22"/>
          <w:szCs w:val="22"/>
        </w:rPr>
        <w:fldChar w:fldCharType="end"/>
      </w:r>
    </w:p>
    <w:p w14:paraId="120B3F93"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4.2</w:t>
      </w:r>
      <w:r w:rsidRPr="000B2293">
        <w:rPr>
          <w:rFonts w:ascii="Calibri" w:eastAsiaTheme="minorEastAsia" w:hAnsi="Calibri" w:cstheme="minorBidi"/>
          <w:sz w:val="22"/>
          <w:szCs w:val="22"/>
        </w:rPr>
        <w:tab/>
      </w:r>
      <w:r w:rsidRPr="000B2293">
        <w:rPr>
          <w:rFonts w:ascii="Calibri" w:hAnsi="Calibri"/>
          <w:sz w:val="22"/>
          <w:szCs w:val="22"/>
        </w:rPr>
        <w:t>Fish</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_Toc511217419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32</w:t>
      </w:r>
      <w:r w:rsidRPr="000B2293">
        <w:rPr>
          <w:rFonts w:ascii="Calibri" w:hAnsi="Calibri"/>
          <w:sz w:val="22"/>
          <w:szCs w:val="22"/>
        </w:rPr>
        <w:fldChar w:fldCharType="end"/>
      </w:r>
    </w:p>
    <w:p w14:paraId="5492933D"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4.2.1</w:t>
      </w:r>
      <w:r w:rsidRPr="000B2293">
        <w:rPr>
          <w:rFonts w:ascii="Calibri" w:eastAsiaTheme="minorEastAsia" w:hAnsi="Calibri" w:cstheme="minorBidi"/>
          <w:sz w:val="22"/>
          <w:szCs w:val="22"/>
        </w:rPr>
        <w:tab/>
      </w:r>
      <w:r w:rsidRPr="000B2293">
        <w:rPr>
          <w:rFonts w:ascii="Calibri" w:hAnsi="Calibri"/>
          <w:sz w:val="22"/>
          <w:szCs w:val="22"/>
        </w:rPr>
        <w:t>Dissection, storage and drying</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_Toc511217420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33</w:t>
      </w:r>
      <w:r w:rsidRPr="000B2293">
        <w:rPr>
          <w:rFonts w:ascii="Calibri" w:hAnsi="Calibri"/>
          <w:sz w:val="22"/>
          <w:szCs w:val="22"/>
        </w:rPr>
        <w:fldChar w:fldCharType="end"/>
      </w:r>
    </w:p>
    <w:p w14:paraId="16277047"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4.2.2</w:t>
      </w:r>
      <w:r w:rsidRPr="000B2293">
        <w:rPr>
          <w:rFonts w:ascii="Calibri" w:eastAsiaTheme="minorEastAsia" w:hAnsi="Calibri" w:cstheme="minorBidi"/>
          <w:sz w:val="22"/>
          <w:szCs w:val="22"/>
        </w:rPr>
        <w:tab/>
      </w:r>
      <w:r w:rsidRPr="000B2293">
        <w:rPr>
          <w:rFonts w:ascii="Calibri" w:hAnsi="Calibri"/>
          <w:sz w:val="22"/>
          <w:szCs w:val="22"/>
        </w:rPr>
        <w:t>Sub-sampling</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_Toc511217421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33</w:t>
      </w:r>
      <w:r w:rsidRPr="000B2293">
        <w:rPr>
          <w:rFonts w:ascii="Calibri" w:hAnsi="Calibri"/>
          <w:sz w:val="22"/>
          <w:szCs w:val="22"/>
        </w:rPr>
        <w:fldChar w:fldCharType="end"/>
      </w:r>
    </w:p>
    <w:p w14:paraId="020B1F40"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4.3</w:t>
      </w:r>
      <w:r w:rsidRPr="000B2293">
        <w:rPr>
          <w:rFonts w:ascii="Calibri" w:eastAsiaTheme="minorEastAsia" w:hAnsi="Calibri" w:cstheme="minorBidi"/>
          <w:sz w:val="22"/>
          <w:szCs w:val="22"/>
        </w:rPr>
        <w:tab/>
      </w:r>
      <w:r w:rsidRPr="000B2293">
        <w:rPr>
          <w:rFonts w:ascii="Calibri" w:hAnsi="Calibri"/>
          <w:sz w:val="22"/>
          <w:szCs w:val="22"/>
        </w:rPr>
        <w:t>Shellfish</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_Toc511217422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34</w:t>
      </w:r>
      <w:r w:rsidRPr="000B2293">
        <w:rPr>
          <w:rFonts w:ascii="Calibri" w:hAnsi="Calibri"/>
          <w:sz w:val="22"/>
          <w:szCs w:val="22"/>
        </w:rPr>
        <w:fldChar w:fldCharType="end"/>
      </w:r>
    </w:p>
    <w:p w14:paraId="7FBA8A5A"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4.3.1</w:t>
      </w:r>
      <w:r w:rsidRPr="000B2293">
        <w:rPr>
          <w:rFonts w:ascii="Calibri" w:eastAsiaTheme="minorEastAsia" w:hAnsi="Calibri" w:cstheme="minorBidi"/>
          <w:sz w:val="22"/>
          <w:szCs w:val="22"/>
        </w:rPr>
        <w:tab/>
      </w:r>
      <w:r w:rsidRPr="000B2293">
        <w:rPr>
          <w:rFonts w:ascii="Calibri" w:hAnsi="Calibri"/>
          <w:sz w:val="22"/>
          <w:szCs w:val="22"/>
        </w:rPr>
        <w:t>Depuration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_Toc511217423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34</w:t>
      </w:r>
      <w:r w:rsidRPr="000B2293">
        <w:rPr>
          <w:rFonts w:ascii="Calibri" w:hAnsi="Calibri"/>
          <w:sz w:val="22"/>
          <w:szCs w:val="22"/>
        </w:rPr>
        <w:fldChar w:fldCharType="end"/>
      </w:r>
    </w:p>
    <w:p w14:paraId="325A9011"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4.3.2</w:t>
      </w:r>
      <w:r w:rsidRPr="000B2293">
        <w:rPr>
          <w:rFonts w:ascii="Calibri" w:eastAsiaTheme="minorEastAsia" w:hAnsi="Calibri" w:cstheme="minorBidi"/>
          <w:sz w:val="22"/>
          <w:szCs w:val="22"/>
        </w:rPr>
        <w:tab/>
      </w:r>
      <w:r w:rsidRPr="000B2293">
        <w:rPr>
          <w:rFonts w:ascii="Calibri" w:hAnsi="Calibri"/>
          <w:sz w:val="22"/>
          <w:szCs w:val="22"/>
        </w:rPr>
        <w:t>Opening of the shells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_Toc511217424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34</w:t>
      </w:r>
      <w:r w:rsidRPr="000B2293">
        <w:rPr>
          <w:rFonts w:ascii="Calibri" w:hAnsi="Calibri"/>
          <w:sz w:val="22"/>
          <w:szCs w:val="22"/>
        </w:rPr>
        <w:fldChar w:fldCharType="end"/>
      </w:r>
    </w:p>
    <w:p w14:paraId="57559FD6"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4.3.3</w:t>
      </w:r>
      <w:r w:rsidRPr="000B2293">
        <w:rPr>
          <w:rFonts w:ascii="Calibri" w:eastAsiaTheme="minorEastAsia" w:hAnsi="Calibri" w:cstheme="minorBidi"/>
          <w:sz w:val="22"/>
          <w:szCs w:val="22"/>
        </w:rPr>
        <w:tab/>
      </w:r>
      <w:r w:rsidRPr="000B2293">
        <w:rPr>
          <w:rFonts w:ascii="Calibri" w:hAnsi="Calibri"/>
          <w:sz w:val="22"/>
          <w:szCs w:val="22"/>
        </w:rPr>
        <w:t>Dissection and storage</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_Toc511217425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34</w:t>
      </w:r>
      <w:r w:rsidRPr="000B2293">
        <w:rPr>
          <w:rFonts w:ascii="Calibri" w:hAnsi="Calibri"/>
          <w:sz w:val="22"/>
          <w:szCs w:val="22"/>
        </w:rPr>
        <w:fldChar w:fldCharType="end"/>
      </w:r>
    </w:p>
    <w:p w14:paraId="0AE1AF69"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4.4</w:t>
      </w:r>
      <w:r w:rsidRPr="000B2293">
        <w:rPr>
          <w:rFonts w:ascii="Calibri" w:eastAsiaTheme="minorEastAsia" w:hAnsi="Calibri" w:cstheme="minorBidi"/>
          <w:sz w:val="22"/>
          <w:szCs w:val="22"/>
        </w:rPr>
        <w:tab/>
      </w:r>
      <w:r w:rsidRPr="000B2293">
        <w:rPr>
          <w:rFonts w:ascii="Calibri" w:hAnsi="Calibri"/>
          <w:sz w:val="22"/>
          <w:szCs w:val="22"/>
        </w:rPr>
        <w:t>Seabird eggs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_Toc511217426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34</w:t>
      </w:r>
      <w:r w:rsidRPr="000B2293">
        <w:rPr>
          <w:rFonts w:ascii="Calibri" w:hAnsi="Calibri"/>
          <w:sz w:val="22"/>
          <w:szCs w:val="22"/>
        </w:rPr>
        <w:fldChar w:fldCharType="end"/>
      </w:r>
    </w:p>
    <w:p w14:paraId="0F12FA62"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5.</w:t>
      </w:r>
      <w:r w:rsidRPr="000B2293">
        <w:rPr>
          <w:rFonts w:ascii="Calibri" w:eastAsiaTheme="minorEastAsia" w:hAnsi="Calibri" w:cstheme="minorBidi"/>
          <w:b w:val="0"/>
          <w:noProof/>
          <w:sz w:val="22"/>
          <w:szCs w:val="22"/>
        </w:rPr>
        <w:tab/>
      </w:r>
      <w:r w:rsidRPr="000B2293">
        <w:rPr>
          <w:rFonts w:ascii="Calibri" w:hAnsi="Calibri"/>
          <w:noProof/>
          <w:sz w:val="22"/>
          <w:szCs w:val="22"/>
        </w:rPr>
        <w:t>Analysis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_Toc511217427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34</w:t>
      </w:r>
      <w:r w:rsidRPr="000B2293">
        <w:rPr>
          <w:rFonts w:ascii="Calibri" w:hAnsi="Calibri"/>
          <w:noProof/>
          <w:sz w:val="22"/>
          <w:szCs w:val="22"/>
        </w:rPr>
        <w:fldChar w:fldCharType="end"/>
      </w:r>
    </w:p>
    <w:p w14:paraId="661C2DA8"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5.1</w:t>
      </w:r>
      <w:r w:rsidRPr="000B2293">
        <w:rPr>
          <w:rFonts w:ascii="Calibri" w:eastAsiaTheme="minorEastAsia" w:hAnsi="Calibri" w:cstheme="minorBidi"/>
          <w:sz w:val="22"/>
          <w:szCs w:val="22"/>
        </w:rPr>
        <w:tab/>
      </w:r>
      <w:r w:rsidRPr="000B2293">
        <w:rPr>
          <w:rFonts w:ascii="Calibri" w:hAnsi="Calibri"/>
          <w:sz w:val="22"/>
          <w:szCs w:val="22"/>
        </w:rPr>
        <w:t>Preparation of equipment and reagents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_Toc511217428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34</w:t>
      </w:r>
      <w:r w:rsidRPr="000B2293">
        <w:rPr>
          <w:rFonts w:ascii="Calibri" w:hAnsi="Calibri"/>
          <w:sz w:val="22"/>
          <w:szCs w:val="22"/>
        </w:rPr>
        <w:fldChar w:fldCharType="end"/>
      </w:r>
    </w:p>
    <w:p w14:paraId="62107EBD"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5.2</w:t>
      </w:r>
      <w:r w:rsidRPr="000B2293">
        <w:rPr>
          <w:rFonts w:ascii="Calibri" w:eastAsiaTheme="minorEastAsia" w:hAnsi="Calibri" w:cstheme="minorBidi"/>
          <w:sz w:val="22"/>
          <w:szCs w:val="22"/>
        </w:rPr>
        <w:tab/>
      </w:r>
      <w:r w:rsidRPr="000B2293">
        <w:rPr>
          <w:rFonts w:ascii="Calibri" w:hAnsi="Calibri"/>
          <w:sz w:val="22"/>
          <w:szCs w:val="22"/>
        </w:rPr>
        <w:t>Dry weight determination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_Toc511217429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35</w:t>
      </w:r>
      <w:r w:rsidRPr="000B2293">
        <w:rPr>
          <w:rFonts w:ascii="Calibri" w:hAnsi="Calibri"/>
          <w:sz w:val="22"/>
          <w:szCs w:val="22"/>
        </w:rPr>
        <w:fldChar w:fldCharType="end"/>
      </w:r>
    </w:p>
    <w:p w14:paraId="2DDB0A67"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5.3</w:t>
      </w:r>
      <w:r w:rsidRPr="000B2293">
        <w:rPr>
          <w:rFonts w:ascii="Calibri" w:eastAsiaTheme="minorEastAsia" w:hAnsi="Calibri" w:cstheme="minorBidi"/>
          <w:sz w:val="22"/>
          <w:szCs w:val="22"/>
        </w:rPr>
        <w:tab/>
      </w:r>
      <w:r w:rsidRPr="000B2293">
        <w:rPr>
          <w:rFonts w:ascii="Calibri" w:hAnsi="Calibri"/>
          <w:sz w:val="22"/>
          <w:szCs w:val="22"/>
        </w:rPr>
        <w:t>Determination of metals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_Toc511217430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35</w:t>
      </w:r>
      <w:r w:rsidRPr="000B2293">
        <w:rPr>
          <w:rFonts w:ascii="Calibri" w:hAnsi="Calibri"/>
          <w:sz w:val="22"/>
          <w:szCs w:val="22"/>
        </w:rPr>
        <w:fldChar w:fldCharType="end"/>
      </w:r>
    </w:p>
    <w:p w14:paraId="472AE0EB"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5.3.1</w:t>
      </w:r>
      <w:r w:rsidRPr="000B2293">
        <w:rPr>
          <w:rFonts w:ascii="Calibri" w:eastAsiaTheme="minorEastAsia" w:hAnsi="Calibri" w:cstheme="minorBidi"/>
          <w:sz w:val="22"/>
          <w:szCs w:val="22"/>
        </w:rPr>
        <w:tab/>
      </w:r>
      <w:r w:rsidRPr="000B2293">
        <w:rPr>
          <w:rFonts w:ascii="Calibri" w:hAnsi="Calibri"/>
          <w:sz w:val="22"/>
          <w:szCs w:val="22"/>
        </w:rPr>
        <w:t>Homogenisation and drying</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_Toc511217431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35</w:t>
      </w:r>
      <w:r w:rsidRPr="000B2293">
        <w:rPr>
          <w:rFonts w:ascii="Calibri" w:hAnsi="Calibri"/>
          <w:sz w:val="22"/>
          <w:szCs w:val="22"/>
        </w:rPr>
        <w:fldChar w:fldCharType="end"/>
      </w:r>
    </w:p>
    <w:p w14:paraId="5303667F"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5.3.2</w:t>
      </w:r>
      <w:r w:rsidRPr="000B2293">
        <w:rPr>
          <w:rFonts w:ascii="Calibri" w:eastAsiaTheme="minorEastAsia" w:hAnsi="Calibri" w:cstheme="minorBidi"/>
          <w:sz w:val="22"/>
          <w:szCs w:val="22"/>
        </w:rPr>
        <w:tab/>
      </w:r>
      <w:r w:rsidRPr="000B2293">
        <w:rPr>
          <w:rFonts w:ascii="Calibri" w:hAnsi="Calibri"/>
          <w:sz w:val="22"/>
          <w:szCs w:val="22"/>
        </w:rPr>
        <w:t>Digestion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_Toc511217432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35</w:t>
      </w:r>
      <w:r w:rsidRPr="000B2293">
        <w:rPr>
          <w:rFonts w:ascii="Calibri" w:hAnsi="Calibri"/>
          <w:sz w:val="22"/>
          <w:szCs w:val="22"/>
        </w:rPr>
        <w:fldChar w:fldCharType="end"/>
      </w:r>
    </w:p>
    <w:p w14:paraId="447FE8C8"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5.3.3</w:t>
      </w:r>
      <w:r w:rsidRPr="000B2293">
        <w:rPr>
          <w:rFonts w:ascii="Calibri" w:eastAsiaTheme="minorEastAsia" w:hAnsi="Calibri" w:cstheme="minorBidi"/>
          <w:sz w:val="22"/>
          <w:szCs w:val="22"/>
        </w:rPr>
        <w:tab/>
      </w:r>
      <w:r w:rsidRPr="000B2293">
        <w:rPr>
          <w:rFonts w:ascii="Calibri" w:hAnsi="Calibri"/>
          <w:sz w:val="22"/>
          <w:szCs w:val="22"/>
        </w:rPr>
        <w:t>Instrumental determination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_Toc511217433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36</w:t>
      </w:r>
      <w:r w:rsidRPr="000B2293">
        <w:rPr>
          <w:rFonts w:ascii="Calibri" w:hAnsi="Calibri"/>
          <w:sz w:val="22"/>
          <w:szCs w:val="22"/>
        </w:rPr>
        <w:fldChar w:fldCharType="end"/>
      </w:r>
    </w:p>
    <w:p w14:paraId="7A1227E7"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6.</w:t>
      </w:r>
      <w:r w:rsidRPr="000B2293">
        <w:rPr>
          <w:rFonts w:ascii="Calibri" w:eastAsiaTheme="minorEastAsia" w:hAnsi="Calibri" w:cstheme="minorBidi"/>
          <w:b w:val="0"/>
          <w:noProof/>
          <w:sz w:val="22"/>
          <w:szCs w:val="22"/>
        </w:rPr>
        <w:tab/>
      </w:r>
      <w:r w:rsidRPr="000B2293">
        <w:rPr>
          <w:rFonts w:ascii="Calibri" w:hAnsi="Calibri"/>
          <w:noProof/>
          <w:sz w:val="22"/>
          <w:szCs w:val="22"/>
        </w:rPr>
        <w:t>Analytical quality assurance</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_Toc511217434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36</w:t>
      </w:r>
      <w:r w:rsidRPr="000B2293">
        <w:rPr>
          <w:rFonts w:ascii="Calibri" w:hAnsi="Calibri"/>
          <w:noProof/>
          <w:sz w:val="22"/>
          <w:szCs w:val="22"/>
        </w:rPr>
        <w:fldChar w:fldCharType="end"/>
      </w:r>
    </w:p>
    <w:p w14:paraId="2591D4A9"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6.1</w:t>
      </w:r>
      <w:r w:rsidRPr="000B2293">
        <w:rPr>
          <w:rFonts w:ascii="Calibri" w:eastAsiaTheme="minorEastAsia" w:hAnsi="Calibri" w:cstheme="minorBidi"/>
          <w:sz w:val="22"/>
          <w:szCs w:val="22"/>
        </w:rPr>
        <w:tab/>
      </w:r>
      <w:r w:rsidRPr="000B2293">
        <w:rPr>
          <w:rFonts w:ascii="Calibri" w:hAnsi="Calibri"/>
          <w:sz w:val="22"/>
          <w:szCs w:val="22"/>
        </w:rPr>
        <w:t>Calibration and preparation of calibrands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_Toc511217435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36</w:t>
      </w:r>
      <w:r w:rsidRPr="000B2293">
        <w:rPr>
          <w:rFonts w:ascii="Calibri" w:hAnsi="Calibri"/>
          <w:sz w:val="22"/>
          <w:szCs w:val="22"/>
        </w:rPr>
        <w:fldChar w:fldCharType="end"/>
      </w:r>
    </w:p>
    <w:p w14:paraId="66982817"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6.2</w:t>
      </w:r>
      <w:r w:rsidRPr="000B2293">
        <w:rPr>
          <w:rFonts w:ascii="Calibri" w:eastAsiaTheme="minorEastAsia" w:hAnsi="Calibri" w:cstheme="minorBidi"/>
          <w:sz w:val="22"/>
          <w:szCs w:val="22"/>
        </w:rPr>
        <w:tab/>
      </w:r>
      <w:r w:rsidRPr="000B2293">
        <w:rPr>
          <w:rFonts w:ascii="Calibri" w:hAnsi="Calibri"/>
          <w:sz w:val="22"/>
          <w:szCs w:val="22"/>
        </w:rPr>
        <w:t>Blanks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_Toc511217436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37</w:t>
      </w:r>
      <w:r w:rsidRPr="000B2293">
        <w:rPr>
          <w:rFonts w:ascii="Calibri" w:hAnsi="Calibri"/>
          <w:sz w:val="22"/>
          <w:szCs w:val="22"/>
        </w:rPr>
        <w:fldChar w:fldCharType="end"/>
      </w:r>
    </w:p>
    <w:p w14:paraId="7646EC3E"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6.3</w:t>
      </w:r>
      <w:r w:rsidRPr="000B2293">
        <w:rPr>
          <w:rFonts w:ascii="Calibri" w:eastAsiaTheme="minorEastAsia" w:hAnsi="Calibri" w:cstheme="minorBidi"/>
          <w:sz w:val="22"/>
          <w:szCs w:val="22"/>
        </w:rPr>
        <w:tab/>
      </w:r>
      <w:r w:rsidRPr="000B2293">
        <w:rPr>
          <w:rFonts w:ascii="Calibri" w:hAnsi="Calibri"/>
          <w:sz w:val="22"/>
          <w:szCs w:val="22"/>
        </w:rPr>
        <w:t>Accuracy and precision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_Toc511217437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37</w:t>
      </w:r>
      <w:r w:rsidRPr="000B2293">
        <w:rPr>
          <w:rFonts w:ascii="Calibri" w:hAnsi="Calibri"/>
          <w:sz w:val="22"/>
          <w:szCs w:val="22"/>
        </w:rPr>
        <w:fldChar w:fldCharType="end"/>
      </w:r>
    </w:p>
    <w:p w14:paraId="19E20A53"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6.4</w:t>
      </w:r>
      <w:r w:rsidRPr="000B2293">
        <w:rPr>
          <w:rFonts w:ascii="Calibri" w:eastAsiaTheme="minorEastAsia" w:hAnsi="Calibri" w:cstheme="minorBidi"/>
          <w:sz w:val="22"/>
          <w:szCs w:val="22"/>
        </w:rPr>
        <w:tab/>
      </w:r>
      <w:r w:rsidRPr="000B2293">
        <w:rPr>
          <w:rFonts w:ascii="Calibri" w:hAnsi="Calibri"/>
          <w:sz w:val="22"/>
          <w:szCs w:val="22"/>
        </w:rPr>
        <w:t>Data collection and transfer</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_Toc511217438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38</w:t>
      </w:r>
      <w:r w:rsidRPr="000B2293">
        <w:rPr>
          <w:rFonts w:ascii="Calibri" w:hAnsi="Calibri"/>
          <w:sz w:val="22"/>
          <w:szCs w:val="22"/>
        </w:rPr>
        <w:fldChar w:fldCharType="end"/>
      </w:r>
    </w:p>
    <w:p w14:paraId="0FB2D91D"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7.</w:t>
      </w:r>
      <w:r w:rsidRPr="000B2293">
        <w:rPr>
          <w:rFonts w:ascii="Calibri" w:eastAsiaTheme="minorEastAsia" w:hAnsi="Calibri" w:cstheme="minorBidi"/>
          <w:b w:val="0"/>
          <w:noProof/>
          <w:sz w:val="22"/>
          <w:szCs w:val="22"/>
        </w:rPr>
        <w:tab/>
      </w:r>
      <w:r w:rsidRPr="000B2293">
        <w:rPr>
          <w:rFonts w:ascii="Calibri" w:hAnsi="Calibri"/>
          <w:noProof/>
          <w:sz w:val="22"/>
          <w:szCs w:val="22"/>
        </w:rPr>
        <w:t>Data recording and reporting parameters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_Toc511217439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38</w:t>
      </w:r>
      <w:r w:rsidRPr="000B2293">
        <w:rPr>
          <w:rFonts w:ascii="Calibri" w:hAnsi="Calibri"/>
          <w:noProof/>
          <w:sz w:val="22"/>
          <w:szCs w:val="22"/>
        </w:rPr>
        <w:fldChar w:fldCharType="end"/>
      </w:r>
    </w:p>
    <w:p w14:paraId="5B3FE189"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7.1</w:t>
      </w:r>
      <w:r w:rsidRPr="000B2293">
        <w:rPr>
          <w:rFonts w:ascii="Calibri" w:eastAsiaTheme="minorEastAsia" w:hAnsi="Calibri" w:cstheme="minorBidi"/>
          <w:sz w:val="22"/>
          <w:szCs w:val="22"/>
        </w:rPr>
        <w:tab/>
      </w:r>
      <w:r w:rsidRPr="000B2293">
        <w:rPr>
          <w:rFonts w:ascii="Calibri" w:hAnsi="Calibri"/>
          <w:sz w:val="22"/>
          <w:szCs w:val="22"/>
        </w:rPr>
        <w:t>Sampling and biological parameters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_Toc511217440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39</w:t>
      </w:r>
      <w:r w:rsidRPr="000B2293">
        <w:rPr>
          <w:rFonts w:ascii="Calibri" w:hAnsi="Calibri"/>
          <w:sz w:val="22"/>
          <w:szCs w:val="22"/>
        </w:rPr>
        <w:fldChar w:fldCharType="end"/>
      </w:r>
    </w:p>
    <w:p w14:paraId="3CBC20DB"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7.2</w:t>
      </w:r>
      <w:r w:rsidRPr="000B2293">
        <w:rPr>
          <w:rFonts w:ascii="Calibri" w:eastAsiaTheme="minorEastAsia" w:hAnsi="Calibri" w:cstheme="minorBidi"/>
          <w:sz w:val="22"/>
          <w:szCs w:val="22"/>
        </w:rPr>
        <w:tab/>
      </w:r>
      <w:r w:rsidRPr="000B2293">
        <w:rPr>
          <w:rFonts w:ascii="Calibri" w:hAnsi="Calibri"/>
          <w:sz w:val="22"/>
          <w:szCs w:val="22"/>
        </w:rPr>
        <w:t>Analytical and quality assurance parameters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_Toc511217441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40</w:t>
      </w:r>
      <w:r w:rsidRPr="000B2293">
        <w:rPr>
          <w:rFonts w:ascii="Calibri" w:hAnsi="Calibri"/>
          <w:sz w:val="22"/>
          <w:szCs w:val="22"/>
        </w:rPr>
        <w:fldChar w:fldCharType="end"/>
      </w:r>
    </w:p>
    <w:p w14:paraId="18455477"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7.3</w:t>
      </w:r>
      <w:r w:rsidRPr="000B2293">
        <w:rPr>
          <w:rFonts w:ascii="Calibri" w:eastAsiaTheme="minorEastAsia" w:hAnsi="Calibri" w:cstheme="minorBidi"/>
          <w:sz w:val="22"/>
          <w:szCs w:val="22"/>
        </w:rPr>
        <w:tab/>
      </w:r>
      <w:r w:rsidRPr="000B2293">
        <w:rPr>
          <w:rFonts w:ascii="Calibri" w:hAnsi="Calibri"/>
          <w:sz w:val="22"/>
          <w:szCs w:val="22"/>
        </w:rPr>
        <w:t>Parameters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_Toc511217442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40</w:t>
      </w:r>
      <w:r w:rsidRPr="000B2293">
        <w:rPr>
          <w:rFonts w:ascii="Calibri" w:hAnsi="Calibri"/>
          <w:sz w:val="22"/>
          <w:szCs w:val="22"/>
        </w:rPr>
        <w:fldChar w:fldCharType="end"/>
      </w:r>
    </w:p>
    <w:p w14:paraId="36C62A14"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8.</w:t>
      </w:r>
      <w:r w:rsidRPr="000B2293">
        <w:rPr>
          <w:rFonts w:ascii="Calibri" w:eastAsiaTheme="minorEastAsia" w:hAnsi="Calibri" w:cstheme="minorBidi"/>
          <w:b w:val="0"/>
          <w:noProof/>
          <w:sz w:val="22"/>
          <w:szCs w:val="22"/>
        </w:rPr>
        <w:tab/>
      </w:r>
      <w:r w:rsidRPr="000B2293">
        <w:rPr>
          <w:rFonts w:ascii="Calibri" w:hAnsi="Calibri"/>
          <w:noProof/>
          <w:sz w:val="22"/>
          <w:szCs w:val="22"/>
        </w:rPr>
        <w:t>References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_Toc511217443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41</w:t>
      </w:r>
      <w:r w:rsidRPr="000B2293">
        <w:rPr>
          <w:rFonts w:ascii="Calibri" w:hAnsi="Calibri"/>
          <w:noProof/>
          <w:sz w:val="22"/>
          <w:szCs w:val="22"/>
        </w:rPr>
        <w:fldChar w:fldCharType="end"/>
      </w:r>
    </w:p>
    <w:p w14:paraId="6B491ABA" w14:textId="77777777" w:rsidR="000B2293" w:rsidRPr="000B2293" w:rsidRDefault="000B2293">
      <w:pPr>
        <w:pStyle w:val="TOC1"/>
        <w:rPr>
          <w:rFonts w:ascii="Calibri" w:eastAsiaTheme="minorEastAsia" w:hAnsi="Calibri" w:cstheme="minorBidi"/>
          <w:b w:val="0"/>
          <w:noProof/>
          <w:sz w:val="22"/>
          <w:szCs w:val="22"/>
        </w:rPr>
      </w:pPr>
      <w:r w:rsidRPr="000B2293">
        <w:rPr>
          <w:rFonts w:ascii="Calibri" w:hAnsi="Calibri"/>
          <w:noProof/>
          <w:sz w:val="22"/>
          <w:szCs w:val="22"/>
        </w:rPr>
        <w:t>Appendix</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_Toc511217444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44</w:t>
      </w:r>
      <w:r w:rsidRPr="000B2293">
        <w:rPr>
          <w:rFonts w:ascii="Calibri" w:hAnsi="Calibri"/>
          <w:noProof/>
          <w:sz w:val="22"/>
          <w:szCs w:val="22"/>
        </w:rPr>
        <w:fldChar w:fldCharType="end"/>
      </w:r>
    </w:p>
    <w:p w14:paraId="6E934D20" w14:textId="77777777" w:rsidR="000B2293" w:rsidRPr="000B2293" w:rsidRDefault="000B2293">
      <w:pPr>
        <w:pStyle w:val="TOC1"/>
        <w:rPr>
          <w:rFonts w:ascii="Calibri" w:eastAsiaTheme="minorEastAsia" w:hAnsi="Calibri" w:cstheme="minorBidi"/>
          <w:b w:val="0"/>
          <w:noProof/>
          <w:sz w:val="22"/>
          <w:szCs w:val="22"/>
        </w:rPr>
      </w:pPr>
      <w:r w:rsidRPr="000B2293">
        <w:rPr>
          <w:rFonts w:ascii="Calibri" w:hAnsi="Calibri"/>
          <w:noProof/>
          <w:sz w:val="22"/>
          <w:szCs w:val="22"/>
        </w:rPr>
        <w:t>Technical Annex 3: Determination of parent and alkylated PAHs in biological materials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_Toc511217445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47</w:t>
      </w:r>
      <w:r w:rsidRPr="000B2293">
        <w:rPr>
          <w:rFonts w:ascii="Calibri" w:hAnsi="Calibri"/>
          <w:noProof/>
          <w:sz w:val="22"/>
          <w:szCs w:val="22"/>
        </w:rPr>
        <w:fldChar w:fldCharType="end"/>
      </w:r>
    </w:p>
    <w:p w14:paraId="2402B2B2"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1.</w:t>
      </w:r>
      <w:r w:rsidRPr="000B2293">
        <w:rPr>
          <w:rFonts w:ascii="Calibri" w:eastAsiaTheme="minorEastAsia" w:hAnsi="Calibri" w:cstheme="minorBidi"/>
          <w:b w:val="0"/>
          <w:noProof/>
          <w:sz w:val="22"/>
          <w:szCs w:val="22"/>
        </w:rPr>
        <w:tab/>
      </w:r>
      <w:r w:rsidRPr="000B2293">
        <w:rPr>
          <w:rFonts w:ascii="Calibri" w:hAnsi="Calibri"/>
          <w:noProof/>
          <w:sz w:val="22"/>
          <w:szCs w:val="22"/>
        </w:rPr>
        <w:t>Introduction</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_Toc511217446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47</w:t>
      </w:r>
      <w:r w:rsidRPr="000B2293">
        <w:rPr>
          <w:rFonts w:ascii="Calibri" w:hAnsi="Calibri"/>
          <w:noProof/>
          <w:sz w:val="22"/>
          <w:szCs w:val="22"/>
        </w:rPr>
        <w:fldChar w:fldCharType="end"/>
      </w:r>
    </w:p>
    <w:p w14:paraId="168E2A10"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2.</w:t>
      </w:r>
      <w:r w:rsidRPr="000B2293">
        <w:rPr>
          <w:rFonts w:ascii="Calibri" w:eastAsiaTheme="minorEastAsia" w:hAnsi="Calibri" w:cstheme="minorBidi"/>
          <w:b w:val="0"/>
          <w:noProof/>
          <w:sz w:val="22"/>
          <w:szCs w:val="22"/>
        </w:rPr>
        <w:tab/>
      </w:r>
      <w:r w:rsidRPr="000B2293">
        <w:rPr>
          <w:rFonts w:ascii="Calibri" w:hAnsi="Calibri"/>
          <w:noProof/>
          <w:sz w:val="22"/>
          <w:szCs w:val="22"/>
        </w:rPr>
        <w:t>Appropriate species for analysis of parent and alkylated PAHs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_Toc511217447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47</w:t>
      </w:r>
      <w:r w:rsidRPr="000B2293">
        <w:rPr>
          <w:rFonts w:ascii="Calibri" w:hAnsi="Calibri"/>
          <w:noProof/>
          <w:sz w:val="22"/>
          <w:szCs w:val="22"/>
        </w:rPr>
        <w:fldChar w:fldCharType="end"/>
      </w:r>
    </w:p>
    <w:p w14:paraId="66F061A8"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2.1</w:t>
      </w:r>
      <w:r w:rsidRPr="000B2293">
        <w:rPr>
          <w:rFonts w:ascii="Calibri" w:eastAsiaTheme="minorEastAsia" w:hAnsi="Calibri" w:cstheme="minorBidi"/>
          <w:sz w:val="22"/>
          <w:szCs w:val="22"/>
        </w:rPr>
        <w:tab/>
      </w:r>
      <w:r w:rsidRPr="000B2293">
        <w:rPr>
          <w:rFonts w:ascii="Calibri" w:hAnsi="Calibri"/>
          <w:sz w:val="22"/>
          <w:szCs w:val="22"/>
        </w:rPr>
        <w:t>Benthic fish and shellfish</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_Toc511217448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47</w:t>
      </w:r>
      <w:r w:rsidRPr="000B2293">
        <w:rPr>
          <w:rFonts w:ascii="Calibri" w:hAnsi="Calibri"/>
          <w:sz w:val="22"/>
          <w:szCs w:val="22"/>
        </w:rPr>
        <w:fldChar w:fldCharType="end"/>
      </w:r>
    </w:p>
    <w:p w14:paraId="2EDF4C90"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3.</w:t>
      </w:r>
      <w:r w:rsidRPr="000B2293">
        <w:rPr>
          <w:rFonts w:ascii="Calibri" w:eastAsiaTheme="minorEastAsia" w:hAnsi="Calibri" w:cstheme="minorBidi"/>
          <w:b w:val="0"/>
          <w:noProof/>
          <w:sz w:val="22"/>
          <w:szCs w:val="22"/>
        </w:rPr>
        <w:tab/>
      </w:r>
      <w:r w:rsidRPr="000B2293">
        <w:rPr>
          <w:rFonts w:ascii="Calibri" w:hAnsi="Calibri"/>
          <w:noProof/>
          <w:sz w:val="22"/>
          <w:szCs w:val="22"/>
        </w:rPr>
        <w:t>Transportation</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_Toc511217449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48</w:t>
      </w:r>
      <w:r w:rsidRPr="000B2293">
        <w:rPr>
          <w:rFonts w:ascii="Calibri" w:hAnsi="Calibri"/>
          <w:noProof/>
          <w:sz w:val="22"/>
          <w:szCs w:val="22"/>
        </w:rPr>
        <w:fldChar w:fldCharType="end"/>
      </w:r>
    </w:p>
    <w:p w14:paraId="478904AE"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4.</w:t>
      </w:r>
      <w:r w:rsidRPr="000B2293">
        <w:rPr>
          <w:rFonts w:ascii="Calibri" w:eastAsiaTheme="minorEastAsia" w:hAnsi="Calibri" w:cstheme="minorBidi"/>
          <w:b w:val="0"/>
          <w:noProof/>
          <w:sz w:val="22"/>
          <w:szCs w:val="22"/>
        </w:rPr>
        <w:tab/>
      </w:r>
      <w:r w:rsidRPr="000B2293">
        <w:rPr>
          <w:rFonts w:ascii="Calibri" w:hAnsi="Calibri"/>
          <w:noProof/>
          <w:sz w:val="22"/>
          <w:szCs w:val="22"/>
        </w:rPr>
        <w:t>Pre-treatment and storage</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_Toc511217450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48</w:t>
      </w:r>
      <w:r w:rsidRPr="000B2293">
        <w:rPr>
          <w:rFonts w:ascii="Calibri" w:hAnsi="Calibri"/>
          <w:noProof/>
          <w:sz w:val="22"/>
          <w:szCs w:val="22"/>
        </w:rPr>
        <w:fldChar w:fldCharType="end"/>
      </w:r>
    </w:p>
    <w:p w14:paraId="6E857547"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4.1</w:t>
      </w:r>
      <w:r w:rsidRPr="000B2293">
        <w:rPr>
          <w:rFonts w:ascii="Calibri" w:eastAsiaTheme="minorEastAsia" w:hAnsi="Calibri" w:cstheme="minorBidi"/>
          <w:sz w:val="22"/>
          <w:szCs w:val="22"/>
        </w:rPr>
        <w:tab/>
      </w:r>
      <w:r w:rsidRPr="000B2293">
        <w:rPr>
          <w:rFonts w:ascii="Calibri" w:hAnsi="Calibri"/>
          <w:sz w:val="22"/>
          <w:szCs w:val="22"/>
        </w:rPr>
        <w:t>Contamination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_Toc511217451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48</w:t>
      </w:r>
      <w:r w:rsidRPr="000B2293">
        <w:rPr>
          <w:rFonts w:ascii="Calibri" w:hAnsi="Calibri"/>
          <w:sz w:val="22"/>
          <w:szCs w:val="22"/>
        </w:rPr>
        <w:fldChar w:fldCharType="end"/>
      </w:r>
    </w:p>
    <w:p w14:paraId="10F11E7B"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4.2</w:t>
      </w:r>
      <w:r w:rsidRPr="000B2293">
        <w:rPr>
          <w:rFonts w:ascii="Calibri" w:eastAsiaTheme="minorEastAsia" w:hAnsi="Calibri" w:cstheme="minorBidi"/>
          <w:sz w:val="22"/>
          <w:szCs w:val="22"/>
        </w:rPr>
        <w:tab/>
      </w:r>
      <w:r w:rsidRPr="000B2293">
        <w:rPr>
          <w:rFonts w:ascii="Calibri" w:hAnsi="Calibri"/>
          <w:sz w:val="22"/>
          <w:szCs w:val="22"/>
        </w:rPr>
        <w:t>Shellfish</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_Toc511217452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48</w:t>
      </w:r>
      <w:r w:rsidRPr="000B2293">
        <w:rPr>
          <w:rFonts w:ascii="Calibri" w:hAnsi="Calibri"/>
          <w:sz w:val="22"/>
          <w:szCs w:val="22"/>
        </w:rPr>
        <w:fldChar w:fldCharType="end"/>
      </w:r>
    </w:p>
    <w:p w14:paraId="0D2B0790"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4.2.1</w:t>
      </w:r>
      <w:r w:rsidRPr="000B2293">
        <w:rPr>
          <w:rFonts w:ascii="Calibri" w:eastAsiaTheme="minorEastAsia" w:hAnsi="Calibri" w:cstheme="minorBidi"/>
          <w:sz w:val="22"/>
          <w:szCs w:val="22"/>
        </w:rPr>
        <w:tab/>
      </w:r>
      <w:r w:rsidRPr="000B2293">
        <w:rPr>
          <w:rFonts w:ascii="Calibri" w:hAnsi="Calibri"/>
          <w:sz w:val="22"/>
          <w:szCs w:val="22"/>
        </w:rPr>
        <w:t>Depuration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_Toc511217453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49</w:t>
      </w:r>
      <w:r w:rsidRPr="000B2293">
        <w:rPr>
          <w:rFonts w:ascii="Calibri" w:hAnsi="Calibri"/>
          <w:sz w:val="22"/>
          <w:szCs w:val="22"/>
        </w:rPr>
        <w:fldChar w:fldCharType="end"/>
      </w:r>
    </w:p>
    <w:p w14:paraId="46CDDF9A"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4.2.2</w:t>
      </w:r>
      <w:r w:rsidRPr="000B2293">
        <w:rPr>
          <w:rFonts w:ascii="Calibri" w:eastAsiaTheme="minorEastAsia" w:hAnsi="Calibri" w:cstheme="minorBidi"/>
          <w:sz w:val="22"/>
          <w:szCs w:val="22"/>
        </w:rPr>
        <w:tab/>
      </w:r>
      <w:r w:rsidRPr="000B2293">
        <w:rPr>
          <w:rFonts w:ascii="Calibri" w:hAnsi="Calibri"/>
          <w:sz w:val="22"/>
          <w:szCs w:val="22"/>
        </w:rPr>
        <w:t>Dissection and storage</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_Toc511217454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49</w:t>
      </w:r>
      <w:r w:rsidRPr="000B2293">
        <w:rPr>
          <w:rFonts w:ascii="Calibri" w:hAnsi="Calibri"/>
          <w:sz w:val="22"/>
          <w:szCs w:val="22"/>
        </w:rPr>
        <w:fldChar w:fldCharType="end"/>
      </w:r>
    </w:p>
    <w:p w14:paraId="6307EAF0"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5.</w:t>
      </w:r>
      <w:r w:rsidRPr="000B2293">
        <w:rPr>
          <w:rFonts w:ascii="Calibri" w:eastAsiaTheme="minorEastAsia" w:hAnsi="Calibri" w:cstheme="minorBidi"/>
          <w:b w:val="0"/>
          <w:noProof/>
          <w:sz w:val="22"/>
          <w:szCs w:val="22"/>
        </w:rPr>
        <w:tab/>
      </w:r>
      <w:r w:rsidRPr="000B2293">
        <w:rPr>
          <w:rFonts w:ascii="Calibri" w:hAnsi="Calibri"/>
          <w:noProof/>
          <w:sz w:val="22"/>
          <w:szCs w:val="22"/>
        </w:rPr>
        <w:t>Analysis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_Toc511217455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50</w:t>
      </w:r>
      <w:r w:rsidRPr="000B2293">
        <w:rPr>
          <w:rFonts w:ascii="Calibri" w:hAnsi="Calibri"/>
          <w:noProof/>
          <w:sz w:val="22"/>
          <w:szCs w:val="22"/>
        </w:rPr>
        <w:fldChar w:fldCharType="end"/>
      </w:r>
    </w:p>
    <w:p w14:paraId="41CCEAC7"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5.1</w:t>
      </w:r>
      <w:r w:rsidRPr="000B2293">
        <w:rPr>
          <w:rFonts w:ascii="Calibri" w:eastAsiaTheme="minorEastAsia" w:hAnsi="Calibri" w:cstheme="minorBidi"/>
          <w:sz w:val="22"/>
          <w:szCs w:val="22"/>
        </w:rPr>
        <w:tab/>
      </w:r>
      <w:r w:rsidRPr="000B2293">
        <w:rPr>
          <w:rFonts w:ascii="Calibri" w:hAnsi="Calibri"/>
          <w:sz w:val="22"/>
          <w:szCs w:val="22"/>
        </w:rPr>
        <w:t>Preparation of materials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_Toc511217456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50</w:t>
      </w:r>
      <w:r w:rsidRPr="000B2293">
        <w:rPr>
          <w:rFonts w:ascii="Calibri" w:hAnsi="Calibri"/>
          <w:sz w:val="22"/>
          <w:szCs w:val="22"/>
        </w:rPr>
        <w:fldChar w:fldCharType="end"/>
      </w:r>
    </w:p>
    <w:p w14:paraId="6D57BC37"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5.2</w:t>
      </w:r>
      <w:r w:rsidRPr="000B2293">
        <w:rPr>
          <w:rFonts w:ascii="Calibri" w:eastAsiaTheme="minorEastAsia" w:hAnsi="Calibri" w:cstheme="minorBidi"/>
          <w:sz w:val="22"/>
          <w:szCs w:val="22"/>
        </w:rPr>
        <w:tab/>
      </w:r>
      <w:r w:rsidRPr="000B2293">
        <w:rPr>
          <w:rFonts w:ascii="Calibri" w:hAnsi="Calibri"/>
          <w:sz w:val="22"/>
          <w:szCs w:val="22"/>
        </w:rPr>
        <w:t>Lipid determination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_Toc511217457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50</w:t>
      </w:r>
      <w:r w:rsidRPr="000B2293">
        <w:rPr>
          <w:rFonts w:ascii="Calibri" w:hAnsi="Calibri"/>
          <w:sz w:val="22"/>
          <w:szCs w:val="22"/>
        </w:rPr>
        <w:fldChar w:fldCharType="end"/>
      </w:r>
    </w:p>
    <w:p w14:paraId="59DC87B5"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5.3</w:t>
      </w:r>
      <w:r w:rsidRPr="000B2293">
        <w:rPr>
          <w:rFonts w:ascii="Calibri" w:eastAsiaTheme="minorEastAsia" w:hAnsi="Calibri" w:cstheme="minorBidi"/>
          <w:sz w:val="22"/>
          <w:szCs w:val="22"/>
        </w:rPr>
        <w:tab/>
      </w:r>
      <w:r w:rsidRPr="000B2293">
        <w:rPr>
          <w:rFonts w:ascii="Calibri" w:hAnsi="Calibri"/>
          <w:sz w:val="22"/>
          <w:szCs w:val="22"/>
        </w:rPr>
        <w:t>Extraction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_Toc511217458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50</w:t>
      </w:r>
      <w:r w:rsidRPr="000B2293">
        <w:rPr>
          <w:rFonts w:ascii="Calibri" w:hAnsi="Calibri"/>
          <w:sz w:val="22"/>
          <w:szCs w:val="22"/>
        </w:rPr>
        <w:fldChar w:fldCharType="end"/>
      </w:r>
    </w:p>
    <w:p w14:paraId="7C4F2303" w14:textId="77777777" w:rsidR="000B2293" w:rsidRPr="000B2293" w:rsidRDefault="000B2293">
      <w:pPr>
        <w:pStyle w:val="TOC2"/>
        <w:tabs>
          <w:tab w:val="left" w:pos="1100"/>
        </w:tabs>
        <w:rPr>
          <w:rFonts w:ascii="Calibri" w:eastAsiaTheme="minorEastAsia" w:hAnsi="Calibri" w:cstheme="minorBidi"/>
          <w:sz w:val="22"/>
          <w:szCs w:val="22"/>
        </w:rPr>
      </w:pPr>
      <w:r w:rsidRPr="000B2293">
        <w:rPr>
          <w:rFonts w:ascii="Calibri" w:hAnsi="Calibri"/>
          <w:sz w:val="22"/>
          <w:szCs w:val="22"/>
        </w:rPr>
        <w:t xml:space="preserve">5.4 </w:t>
      </w:r>
      <w:r w:rsidRPr="000B2293">
        <w:rPr>
          <w:rFonts w:ascii="Calibri" w:eastAsiaTheme="minorEastAsia" w:hAnsi="Calibri" w:cstheme="minorBidi"/>
          <w:sz w:val="22"/>
          <w:szCs w:val="22"/>
        </w:rPr>
        <w:tab/>
      </w:r>
      <w:r w:rsidRPr="000B2293">
        <w:rPr>
          <w:rFonts w:ascii="Calibri" w:hAnsi="Calibri"/>
          <w:sz w:val="22"/>
          <w:szCs w:val="22"/>
        </w:rPr>
        <w:t>Clean-up</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_Toc511217459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51</w:t>
      </w:r>
      <w:r w:rsidRPr="000B2293">
        <w:rPr>
          <w:rFonts w:ascii="Calibri" w:hAnsi="Calibri"/>
          <w:sz w:val="22"/>
          <w:szCs w:val="22"/>
        </w:rPr>
        <w:fldChar w:fldCharType="end"/>
      </w:r>
    </w:p>
    <w:p w14:paraId="02FF1863"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5.5</w:t>
      </w:r>
      <w:r w:rsidRPr="000B2293">
        <w:rPr>
          <w:rFonts w:ascii="Calibri" w:eastAsiaTheme="minorEastAsia" w:hAnsi="Calibri" w:cstheme="minorBidi"/>
          <w:sz w:val="22"/>
          <w:szCs w:val="22"/>
        </w:rPr>
        <w:tab/>
      </w:r>
      <w:r w:rsidRPr="000B2293">
        <w:rPr>
          <w:rFonts w:ascii="Calibri" w:hAnsi="Calibri"/>
          <w:sz w:val="22"/>
          <w:szCs w:val="22"/>
        </w:rPr>
        <w:t>Pre-concentration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_Toc511217460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51</w:t>
      </w:r>
      <w:r w:rsidRPr="000B2293">
        <w:rPr>
          <w:rFonts w:ascii="Calibri" w:hAnsi="Calibri"/>
          <w:sz w:val="22"/>
          <w:szCs w:val="22"/>
        </w:rPr>
        <w:fldChar w:fldCharType="end"/>
      </w:r>
    </w:p>
    <w:p w14:paraId="0F574FD5"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5.6</w:t>
      </w:r>
      <w:r w:rsidRPr="000B2293">
        <w:rPr>
          <w:rFonts w:ascii="Calibri" w:eastAsiaTheme="minorEastAsia" w:hAnsi="Calibri" w:cstheme="minorBidi"/>
          <w:sz w:val="22"/>
          <w:szCs w:val="22"/>
        </w:rPr>
        <w:tab/>
      </w:r>
      <w:r w:rsidRPr="000B2293">
        <w:rPr>
          <w:rFonts w:ascii="Calibri" w:hAnsi="Calibri"/>
          <w:sz w:val="22"/>
          <w:szCs w:val="22"/>
        </w:rPr>
        <w:t>Selection of PAHs to be determined</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_Toc511217461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51</w:t>
      </w:r>
      <w:r w:rsidRPr="000B2293">
        <w:rPr>
          <w:rFonts w:ascii="Calibri" w:hAnsi="Calibri"/>
          <w:sz w:val="22"/>
          <w:szCs w:val="22"/>
        </w:rPr>
        <w:fldChar w:fldCharType="end"/>
      </w:r>
    </w:p>
    <w:p w14:paraId="239E44E5"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5.7</w:t>
      </w:r>
      <w:r w:rsidRPr="000B2293">
        <w:rPr>
          <w:rFonts w:ascii="Calibri" w:eastAsiaTheme="minorEastAsia" w:hAnsi="Calibri" w:cstheme="minorBidi"/>
          <w:sz w:val="22"/>
          <w:szCs w:val="22"/>
        </w:rPr>
        <w:tab/>
      </w:r>
      <w:r w:rsidRPr="000B2293">
        <w:rPr>
          <w:rFonts w:ascii="Calibri" w:hAnsi="Calibri"/>
          <w:sz w:val="22"/>
          <w:szCs w:val="22"/>
        </w:rPr>
        <w:t>Instrumental determination of PAHs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_Toc511217462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52</w:t>
      </w:r>
      <w:r w:rsidRPr="000B2293">
        <w:rPr>
          <w:rFonts w:ascii="Calibri" w:hAnsi="Calibri"/>
          <w:sz w:val="22"/>
          <w:szCs w:val="22"/>
        </w:rPr>
        <w:fldChar w:fldCharType="end"/>
      </w:r>
    </w:p>
    <w:p w14:paraId="09C5DD9C"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5.7.1</w:t>
      </w:r>
      <w:r w:rsidRPr="000B2293">
        <w:rPr>
          <w:rFonts w:ascii="Calibri" w:eastAsiaTheme="minorEastAsia" w:hAnsi="Calibri" w:cstheme="minorBidi"/>
          <w:sz w:val="22"/>
          <w:szCs w:val="22"/>
        </w:rPr>
        <w:tab/>
      </w:r>
      <w:r w:rsidRPr="000B2293">
        <w:rPr>
          <w:rFonts w:ascii="Calibri" w:hAnsi="Calibri"/>
          <w:sz w:val="22"/>
          <w:szCs w:val="22"/>
        </w:rPr>
        <w:t>GC-MS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_Toc511217463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53</w:t>
      </w:r>
      <w:r w:rsidRPr="000B2293">
        <w:rPr>
          <w:rFonts w:ascii="Calibri" w:hAnsi="Calibri"/>
          <w:sz w:val="22"/>
          <w:szCs w:val="22"/>
        </w:rPr>
        <w:fldChar w:fldCharType="end"/>
      </w:r>
    </w:p>
    <w:p w14:paraId="06D36A0A"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6.</w:t>
      </w:r>
      <w:r w:rsidRPr="000B2293">
        <w:rPr>
          <w:rFonts w:ascii="Calibri" w:eastAsiaTheme="minorEastAsia" w:hAnsi="Calibri" w:cstheme="minorBidi"/>
          <w:b w:val="0"/>
          <w:noProof/>
          <w:sz w:val="22"/>
          <w:szCs w:val="22"/>
        </w:rPr>
        <w:tab/>
      </w:r>
      <w:r w:rsidRPr="000B2293">
        <w:rPr>
          <w:rFonts w:ascii="Calibri" w:hAnsi="Calibri"/>
          <w:noProof/>
          <w:sz w:val="22"/>
          <w:szCs w:val="22"/>
        </w:rPr>
        <w:t>Calibration and quantification</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_Toc511217464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54</w:t>
      </w:r>
      <w:r w:rsidRPr="000B2293">
        <w:rPr>
          <w:rFonts w:ascii="Calibri" w:hAnsi="Calibri"/>
          <w:noProof/>
          <w:sz w:val="22"/>
          <w:szCs w:val="22"/>
        </w:rPr>
        <w:fldChar w:fldCharType="end"/>
      </w:r>
    </w:p>
    <w:p w14:paraId="7797B63B"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6.1</w:t>
      </w:r>
      <w:r w:rsidRPr="000B2293">
        <w:rPr>
          <w:rFonts w:ascii="Calibri" w:eastAsiaTheme="minorEastAsia" w:hAnsi="Calibri" w:cstheme="minorBidi"/>
          <w:sz w:val="22"/>
          <w:szCs w:val="22"/>
        </w:rPr>
        <w:tab/>
      </w:r>
      <w:r w:rsidRPr="000B2293">
        <w:rPr>
          <w:rFonts w:ascii="Calibri" w:hAnsi="Calibri"/>
          <w:sz w:val="22"/>
          <w:szCs w:val="22"/>
        </w:rPr>
        <w:t>Standards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_Toc511217465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54</w:t>
      </w:r>
      <w:r w:rsidRPr="000B2293">
        <w:rPr>
          <w:rFonts w:ascii="Calibri" w:hAnsi="Calibri"/>
          <w:sz w:val="22"/>
          <w:szCs w:val="22"/>
        </w:rPr>
        <w:fldChar w:fldCharType="end"/>
      </w:r>
    </w:p>
    <w:p w14:paraId="1236E2E8"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6.2</w:t>
      </w:r>
      <w:r w:rsidRPr="000B2293">
        <w:rPr>
          <w:rFonts w:ascii="Calibri" w:eastAsiaTheme="minorEastAsia" w:hAnsi="Calibri" w:cstheme="minorBidi"/>
          <w:sz w:val="22"/>
          <w:szCs w:val="22"/>
        </w:rPr>
        <w:tab/>
      </w:r>
      <w:r w:rsidRPr="000B2293">
        <w:rPr>
          <w:rFonts w:ascii="Calibri" w:hAnsi="Calibri"/>
          <w:sz w:val="22"/>
          <w:szCs w:val="22"/>
        </w:rPr>
        <w:t>Calibration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_Toc511217466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54</w:t>
      </w:r>
      <w:r w:rsidRPr="000B2293">
        <w:rPr>
          <w:rFonts w:ascii="Calibri" w:hAnsi="Calibri"/>
          <w:sz w:val="22"/>
          <w:szCs w:val="22"/>
        </w:rPr>
        <w:fldChar w:fldCharType="end"/>
      </w:r>
    </w:p>
    <w:p w14:paraId="5EABA04B"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6.3</w:t>
      </w:r>
      <w:r w:rsidRPr="000B2293">
        <w:rPr>
          <w:rFonts w:ascii="Calibri" w:eastAsiaTheme="minorEastAsia" w:hAnsi="Calibri" w:cstheme="minorBidi"/>
          <w:sz w:val="22"/>
          <w:szCs w:val="22"/>
        </w:rPr>
        <w:tab/>
      </w:r>
      <w:r w:rsidRPr="000B2293">
        <w:rPr>
          <w:rFonts w:ascii="Calibri" w:hAnsi="Calibri"/>
          <w:sz w:val="22"/>
          <w:szCs w:val="22"/>
        </w:rPr>
        <w:t>Recovery</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_Toc511217467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55</w:t>
      </w:r>
      <w:r w:rsidRPr="000B2293">
        <w:rPr>
          <w:rFonts w:ascii="Calibri" w:hAnsi="Calibri"/>
          <w:sz w:val="22"/>
          <w:szCs w:val="22"/>
        </w:rPr>
        <w:fldChar w:fldCharType="end"/>
      </w:r>
    </w:p>
    <w:p w14:paraId="7931380E"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7.</w:t>
      </w:r>
      <w:r w:rsidRPr="000B2293">
        <w:rPr>
          <w:rFonts w:ascii="Calibri" w:eastAsiaTheme="minorEastAsia" w:hAnsi="Calibri" w:cstheme="minorBidi"/>
          <w:b w:val="0"/>
          <w:noProof/>
          <w:sz w:val="22"/>
          <w:szCs w:val="22"/>
        </w:rPr>
        <w:tab/>
      </w:r>
      <w:r w:rsidRPr="000B2293">
        <w:rPr>
          <w:rFonts w:ascii="Calibri" w:hAnsi="Calibri"/>
          <w:noProof/>
          <w:sz w:val="22"/>
          <w:szCs w:val="22"/>
        </w:rPr>
        <w:t>Analytical Quality Control</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_Toc511217468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55</w:t>
      </w:r>
      <w:r w:rsidRPr="000B2293">
        <w:rPr>
          <w:rFonts w:ascii="Calibri" w:hAnsi="Calibri"/>
          <w:noProof/>
          <w:sz w:val="22"/>
          <w:szCs w:val="22"/>
        </w:rPr>
        <w:fldChar w:fldCharType="end"/>
      </w:r>
    </w:p>
    <w:p w14:paraId="704076FB"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8.</w:t>
      </w:r>
      <w:r w:rsidRPr="000B2293">
        <w:rPr>
          <w:rFonts w:ascii="Calibri" w:eastAsiaTheme="minorEastAsia" w:hAnsi="Calibri" w:cstheme="minorBidi"/>
          <w:b w:val="0"/>
          <w:noProof/>
          <w:sz w:val="22"/>
          <w:szCs w:val="22"/>
        </w:rPr>
        <w:tab/>
      </w:r>
      <w:r w:rsidRPr="000B2293">
        <w:rPr>
          <w:rFonts w:ascii="Calibri" w:hAnsi="Calibri"/>
          <w:noProof/>
          <w:sz w:val="22"/>
          <w:szCs w:val="22"/>
        </w:rPr>
        <w:t>Data reporting</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_Toc511217469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55</w:t>
      </w:r>
      <w:r w:rsidRPr="000B2293">
        <w:rPr>
          <w:rFonts w:ascii="Calibri" w:hAnsi="Calibri"/>
          <w:noProof/>
          <w:sz w:val="22"/>
          <w:szCs w:val="22"/>
        </w:rPr>
        <w:fldChar w:fldCharType="end"/>
      </w:r>
    </w:p>
    <w:p w14:paraId="74216BCC"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9.</w:t>
      </w:r>
      <w:r w:rsidRPr="000B2293">
        <w:rPr>
          <w:rFonts w:ascii="Calibri" w:eastAsiaTheme="minorEastAsia" w:hAnsi="Calibri" w:cstheme="minorBidi"/>
          <w:b w:val="0"/>
          <w:noProof/>
          <w:sz w:val="22"/>
          <w:szCs w:val="22"/>
        </w:rPr>
        <w:tab/>
      </w:r>
      <w:r w:rsidRPr="000B2293">
        <w:rPr>
          <w:rFonts w:ascii="Calibri" w:hAnsi="Calibri"/>
          <w:noProof/>
          <w:sz w:val="22"/>
          <w:szCs w:val="22"/>
        </w:rPr>
        <w:t>References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_Toc511217470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56</w:t>
      </w:r>
      <w:r w:rsidRPr="000B2293">
        <w:rPr>
          <w:rFonts w:ascii="Calibri" w:hAnsi="Calibri"/>
          <w:noProof/>
          <w:sz w:val="22"/>
          <w:szCs w:val="22"/>
        </w:rPr>
        <w:fldChar w:fldCharType="end"/>
      </w:r>
    </w:p>
    <w:p w14:paraId="4131719D" w14:textId="77777777" w:rsidR="000B2293" w:rsidRPr="000B2293" w:rsidRDefault="000B2293">
      <w:pPr>
        <w:pStyle w:val="TOC1"/>
        <w:rPr>
          <w:rFonts w:ascii="Calibri" w:eastAsiaTheme="minorEastAsia" w:hAnsi="Calibri" w:cstheme="minorBidi"/>
          <w:b w:val="0"/>
          <w:noProof/>
          <w:sz w:val="22"/>
          <w:szCs w:val="22"/>
        </w:rPr>
      </w:pPr>
      <w:r w:rsidRPr="000B2293">
        <w:rPr>
          <w:rFonts w:ascii="Calibri" w:hAnsi="Calibri"/>
          <w:noProof/>
          <w:sz w:val="22"/>
          <w:szCs w:val="22"/>
        </w:rPr>
        <w:t>Appendix 1</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_Toc511217471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58</w:t>
      </w:r>
      <w:r w:rsidRPr="000B2293">
        <w:rPr>
          <w:rFonts w:ascii="Calibri" w:hAnsi="Calibri"/>
          <w:noProof/>
          <w:sz w:val="22"/>
          <w:szCs w:val="22"/>
        </w:rPr>
        <w:fldChar w:fldCharType="end"/>
      </w:r>
    </w:p>
    <w:p w14:paraId="20E05B4B" w14:textId="77777777" w:rsidR="000B2293" w:rsidRPr="000B2293" w:rsidRDefault="000B2293">
      <w:pPr>
        <w:pStyle w:val="TOC1"/>
        <w:rPr>
          <w:rFonts w:ascii="Calibri" w:eastAsiaTheme="minorEastAsia" w:hAnsi="Calibri" w:cstheme="minorBidi"/>
          <w:b w:val="0"/>
          <w:noProof/>
          <w:sz w:val="22"/>
          <w:szCs w:val="22"/>
        </w:rPr>
      </w:pPr>
      <w:r w:rsidRPr="000B2293">
        <w:rPr>
          <w:rFonts w:ascii="Calibri" w:hAnsi="Calibri"/>
          <w:noProof/>
          <w:sz w:val="22"/>
          <w:szCs w:val="22"/>
        </w:rPr>
        <w:t>Technical Annex 4: PBDEs in biota</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_Toc511217472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62</w:t>
      </w:r>
      <w:r w:rsidRPr="000B2293">
        <w:rPr>
          <w:rFonts w:ascii="Calibri" w:hAnsi="Calibri"/>
          <w:noProof/>
          <w:sz w:val="22"/>
          <w:szCs w:val="22"/>
        </w:rPr>
        <w:fldChar w:fldCharType="end"/>
      </w:r>
    </w:p>
    <w:p w14:paraId="5A1B1C1E" w14:textId="77777777" w:rsidR="000B2293" w:rsidRPr="000B2293" w:rsidRDefault="000B2293">
      <w:pPr>
        <w:pStyle w:val="TOC1"/>
        <w:tabs>
          <w:tab w:val="left" w:pos="357"/>
        </w:tabs>
        <w:rPr>
          <w:rFonts w:ascii="Calibri" w:eastAsiaTheme="minorEastAsia" w:hAnsi="Calibri" w:cstheme="minorBidi"/>
          <w:b w:val="0"/>
          <w:noProof/>
          <w:sz w:val="22"/>
          <w:szCs w:val="22"/>
        </w:rPr>
      </w:pPr>
      <w:r w:rsidRPr="000B2293">
        <w:rPr>
          <w:rFonts w:ascii="Calibri" w:hAnsi="Calibri"/>
          <w:noProof/>
          <w:sz w:val="22"/>
          <w:szCs w:val="22"/>
        </w:rPr>
        <w:t>1</w:t>
      </w:r>
      <w:r w:rsidRPr="000B2293">
        <w:rPr>
          <w:rFonts w:ascii="Calibri" w:eastAsiaTheme="minorEastAsia" w:hAnsi="Calibri" w:cstheme="minorBidi"/>
          <w:b w:val="0"/>
          <w:noProof/>
          <w:sz w:val="22"/>
          <w:szCs w:val="22"/>
        </w:rPr>
        <w:tab/>
      </w:r>
      <w:r w:rsidRPr="000B2293">
        <w:rPr>
          <w:rFonts w:ascii="Calibri" w:hAnsi="Calibri"/>
          <w:noProof/>
          <w:sz w:val="22"/>
          <w:szCs w:val="22"/>
        </w:rPr>
        <w:t>Introduction</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_Toc511217473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63</w:t>
      </w:r>
      <w:r w:rsidRPr="000B2293">
        <w:rPr>
          <w:rFonts w:ascii="Calibri" w:hAnsi="Calibri"/>
          <w:noProof/>
          <w:sz w:val="22"/>
          <w:szCs w:val="22"/>
        </w:rPr>
        <w:fldChar w:fldCharType="end"/>
      </w:r>
    </w:p>
    <w:p w14:paraId="5D129CDD" w14:textId="77777777" w:rsidR="000B2293" w:rsidRPr="000B2293" w:rsidRDefault="000B2293">
      <w:pPr>
        <w:pStyle w:val="TOC1"/>
        <w:tabs>
          <w:tab w:val="left" w:pos="357"/>
        </w:tabs>
        <w:rPr>
          <w:rFonts w:ascii="Calibri" w:eastAsiaTheme="minorEastAsia" w:hAnsi="Calibri" w:cstheme="minorBidi"/>
          <w:b w:val="0"/>
          <w:noProof/>
          <w:sz w:val="22"/>
          <w:szCs w:val="22"/>
        </w:rPr>
      </w:pPr>
      <w:r w:rsidRPr="000B2293">
        <w:rPr>
          <w:rFonts w:ascii="Calibri" w:hAnsi="Calibri"/>
          <w:noProof/>
          <w:sz w:val="22"/>
          <w:szCs w:val="22"/>
        </w:rPr>
        <w:t>2</w:t>
      </w:r>
      <w:r w:rsidRPr="000B2293">
        <w:rPr>
          <w:rFonts w:ascii="Calibri" w:eastAsiaTheme="minorEastAsia" w:hAnsi="Calibri" w:cstheme="minorBidi"/>
          <w:b w:val="0"/>
          <w:noProof/>
          <w:sz w:val="22"/>
          <w:szCs w:val="22"/>
        </w:rPr>
        <w:tab/>
      </w:r>
      <w:r w:rsidRPr="000B2293">
        <w:rPr>
          <w:rFonts w:ascii="Calibri" w:hAnsi="Calibri"/>
          <w:noProof/>
          <w:sz w:val="22"/>
          <w:szCs w:val="22"/>
        </w:rPr>
        <w:t>Appropriate Species for Analysis of PBDEs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_Toc511217474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63</w:t>
      </w:r>
      <w:r w:rsidRPr="000B2293">
        <w:rPr>
          <w:rFonts w:ascii="Calibri" w:hAnsi="Calibri"/>
          <w:noProof/>
          <w:sz w:val="22"/>
          <w:szCs w:val="22"/>
        </w:rPr>
        <w:fldChar w:fldCharType="end"/>
      </w:r>
    </w:p>
    <w:p w14:paraId="2E18AEB1" w14:textId="77777777" w:rsidR="000B2293" w:rsidRPr="000B2293" w:rsidRDefault="000B2293">
      <w:pPr>
        <w:pStyle w:val="TOC1"/>
        <w:tabs>
          <w:tab w:val="left" w:pos="357"/>
        </w:tabs>
        <w:rPr>
          <w:rFonts w:ascii="Calibri" w:eastAsiaTheme="minorEastAsia" w:hAnsi="Calibri" w:cstheme="minorBidi"/>
          <w:b w:val="0"/>
          <w:noProof/>
          <w:sz w:val="22"/>
          <w:szCs w:val="22"/>
        </w:rPr>
      </w:pPr>
      <w:r w:rsidRPr="000B2293">
        <w:rPr>
          <w:rFonts w:ascii="Calibri" w:hAnsi="Calibri"/>
          <w:noProof/>
          <w:sz w:val="22"/>
          <w:szCs w:val="22"/>
        </w:rPr>
        <w:t>3</w:t>
      </w:r>
      <w:r w:rsidRPr="000B2293">
        <w:rPr>
          <w:rFonts w:ascii="Calibri" w:eastAsiaTheme="minorEastAsia" w:hAnsi="Calibri" w:cstheme="minorBidi"/>
          <w:b w:val="0"/>
          <w:noProof/>
          <w:sz w:val="22"/>
          <w:szCs w:val="22"/>
        </w:rPr>
        <w:tab/>
      </w:r>
      <w:r w:rsidRPr="000B2293">
        <w:rPr>
          <w:rFonts w:ascii="Calibri" w:hAnsi="Calibri"/>
          <w:noProof/>
          <w:sz w:val="22"/>
          <w:szCs w:val="22"/>
        </w:rPr>
        <w:t>Transportation</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_Toc511217475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63</w:t>
      </w:r>
      <w:r w:rsidRPr="000B2293">
        <w:rPr>
          <w:rFonts w:ascii="Calibri" w:hAnsi="Calibri"/>
          <w:noProof/>
          <w:sz w:val="22"/>
          <w:szCs w:val="22"/>
        </w:rPr>
        <w:fldChar w:fldCharType="end"/>
      </w:r>
    </w:p>
    <w:p w14:paraId="03F27F11" w14:textId="77777777" w:rsidR="000B2293" w:rsidRPr="000B2293" w:rsidRDefault="000B2293">
      <w:pPr>
        <w:pStyle w:val="TOC1"/>
        <w:tabs>
          <w:tab w:val="left" w:pos="357"/>
        </w:tabs>
        <w:rPr>
          <w:rFonts w:ascii="Calibri" w:eastAsiaTheme="minorEastAsia" w:hAnsi="Calibri" w:cstheme="minorBidi"/>
          <w:b w:val="0"/>
          <w:noProof/>
          <w:sz w:val="22"/>
          <w:szCs w:val="22"/>
        </w:rPr>
      </w:pPr>
      <w:r w:rsidRPr="000B2293">
        <w:rPr>
          <w:rFonts w:ascii="Calibri" w:hAnsi="Calibri"/>
          <w:noProof/>
          <w:sz w:val="22"/>
          <w:szCs w:val="22"/>
        </w:rPr>
        <w:t>4</w:t>
      </w:r>
      <w:r w:rsidRPr="000B2293">
        <w:rPr>
          <w:rFonts w:ascii="Calibri" w:eastAsiaTheme="minorEastAsia" w:hAnsi="Calibri" w:cstheme="minorBidi"/>
          <w:b w:val="0"/>
          <w:noProof/>
          <w:sz w:val="22"/>
          <w:szCs w:val="22"/>
        </w:rPr>
        <w:tab/>
      </w:r>
      <w:r w:rsidRPr="000B2293">
        <w:rPr>
          <w:rFonts w:ascii="Calibri" w:hAnsi="Calibri"/>
          <w:noProof/>
          <w:sz w:val="22"/>
          <w:szCs w:val="22"/>
        </w:rPr>
        <w:t>Pretreatment and Storage</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_Toc511217476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64</w:t>
      </w:r>
      <w:r w:rsidRPr="000B2293">
        <w:rPr>
          <w:rFonts w:ascii="Calibri" w:hAnsi="Calibri"/>
          <w:noProof/>
          <w:sz w:val="22"/>
          <w:szCs w:val="22"/>
        </w:rPr>
        <w:fldChar w:fldCharType="end"/>
      </w:r>
    </w:p>
    <w:p w14:paraId="09015C96"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4.1</w:t>
      </w:r>
      <w:r w:rsidRPr="000B2293">
        <w:rPr>
          <w:rFonts w:ascii="Calibri" w:eastAsiaTheme="minorEastAsia" w:hAnsi="Calibri" w:cstheme="minorBidi"/>
          <w:sz w:val="22"/>
          <w:szCs w:val="22"/>
        </w:rPr>
        <w:tab/>
      </w:r>
      <w:r w:rsidRPr="000B2293">
        <w:rPr>
          <w:rFonts w:ascii="Calibri" w:hAnsi="Calibri"/>
          <w:sz w:val="22"/>
          <w:szCs w:val="22"/>
        </w:rPr>
        <w:t>Contamination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_Toc511217477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64</w:t>
      </w:r>
      <w:r w:rsidRPr="000B2293">
        <w:rPr>
          <w:rFonts w:ascii="Calibri" w:hAnsi="Calibri"/>
          <w:sz w:val="22"/>
          <w:szCs w:val="22"/>
        </w:rPr>
        <w:fldChar w:fldCharType="end"/>
      </w:r>
    </w:p>
    <w:p w14:paraId="14499CD1"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4.2</w:t>
      </w:r>
      <w:r w:rsidRPr="000B2293">
        <w:rPr>
          <w:rFonts w:ascii="Calibri" w:eastAsiaTheme="minorEastAsia" w:hAnsi="Calibri" w:cstheme="minorBidi"/>
          <w:sz w:val="22"/>
          <w:szCs w:val="22"/>
        </w:rPr>
        <w:tab/>
      </w:r>
      <w:r w:rsidRPr="000B2293">
        <w:rPr>
          <w:rFonts w:ascii="Calibri" w:hAnsi="Calibri"/>
          <w:sz w:val="22"/>
          <w:szCs w:val="22"/>
        </w:rPr>
        <w:t>Shellfish</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_Toc511217478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64</w:t>
      </w:r>
      <w:r w:rsidRPr="000B2293">
        <w:rPr>
          <w:rFonts w:ascii="Calibri" w:hAnsi="Calibri"/>
          <w:sz w:val="22"/>
          <w:szCs w:val="22"/>
        </w:rPr>
        <w:fldChar w:fldCharType="end"/>
      </w:r>
    </w:p>
    <w:p w14:paraId="6711CBD9"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4.2.1</w:t>
      </w:r>
      <w:r w:rsidRPr="000B2293">
        <w:rPr>
          <w:rFonts w:ascii="Calibri" w:eastAsiaTheme="minorEastAsia" w:hAnsi="Calibri" w:cstheme="minorBidi"/>
          <w:sz w:val="22"/>
          <w:szCs w:val="22"/>
        </w:rPr>
        <w:tab/>
      </w:r>
      <w:r w:rsidRPr="000B2293">
        <w:rPr>
          <w:rFonts w:ascii="Calibri" w:hAnsi="Calibri"/>
          <w:sz w:val="22"/>
          <w:szCs w:val="22"/>
        </w:rPr>
        <w:t>Depuration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_Toc511217479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64</w:t>
      </w:r>
      <w:r w:rsidRPr="000B2293">
        <w:rPr>
          <w:rFonts w:ascii="Calibri" w:hAnsi="Calibri"/>
          <w:sz w:val="22"/>
          <w:szCs w:val="22"/>
        </w:rPr>
        <w:fldChar w:fldCharType="end"/>
      </w:r>
    </w:p>
    <w:p w14:paraId="30C64070"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4.2.2</w:t>
      </w:r>
      <w:r w:rsidRPr="000B2293">
        <w:rPr>
          <w:rFonts w:ascii="Calibri" w:eastAsiaTheme="minorEastAsia" w:hAnsi="Calibri" w:cstheme="minorBidi"/>
          <w:sz w:val="22"/>
          <w:szCs w:val="22"/>
        </w:rPr>
        <w:tab/>
      </w:r>
      <w:r w:rsidRPr="000B2293">
        <w:rPr>
          <w:rFonts w:ascii="Calibri" w:hAnsi="Calibri"/>
          <w:sz w:val="22"/>
          <w:szCs w:val="22"/>
        </w:rPr>
        <w:t>Dissection and storage</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_Toc511217480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64</w:t>
      </w:r>
      <w:r w:rsidRPr="000B2293">
        <w:rPr>
          <w:rFonts w:ascii="Calibri" w:hAnsi="Calibri"/>
          <w:sz w:val="22"/>
          <w:szCs w:val="22"/>
        </w:rPr>
        <w:fldChar w:fldCharType="end"/>
      </w:r>
    </w:p>
    <w:p w14:paraId="40A2E526"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4.3</w:t>
      </w:r>
      <w:r w:rsidRPr="000B2293">
        <w:rPr>
          <w:rFonts w:ascii="Calibri" w:eastAsiaTheme="minorEastAsia" w:hAnsi="Calibri" w:cstheme="minorBidi"/>
          <w:sz w:val="22"/>
          <w:szCs w:val="22"/>
        </w:rPr>
        <w:tab/>
      </w:r>
      <w:r w:rsidRPr="000B2293">
        <w:rPr>
          <w:rFonts w:ascii="Calibri" w:hAnsi="Calibri"/>
          <w:sz w:val="22"/>
          <w:szCs w:val="22"/>
        </w:rPr>
        <w:t>Fish</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_Toc511217481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65</w:t>
      </w:r>
      <w:r w:rsidRPr="000B2293">
        <w:rPr>
          <w:rFonts w:ascii="Calibri" w:hAnsi="Calibri"/>
          <w:sz w:val="22"/>
          <w:szCs w:val="22"/>
        </w:rPr>
        <w:fldChar w:fldCharType="end"/>
      </w:r>
    </w:p>
    <w:p w14:paraId="443DC230"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4.3.1</w:t>
      </w:r>
      <w:r w:rsidRPr="000B2293">
        <w:rPr>
          <w:rFonts w:ascii="Calibri" w:eastAsiaTheme="minorEastAsia" w:hAnsi="Calibri" w:cstheme="minorBidi"/>
          <w:sz w:val="22"/>
          <w:szCs w:val="22"/>
        </w:rPr>
        <w:tab/>
      </w:r>
      <w:r w:rsidRPr="000B2293">
        <w:rPr>
          <w:rFonts w:ascii="Calibri" w:hAnsi="Calibri"/>
          <w:sz w:val="22"/>
          <w:szCs w:val="22"/>
        </w:rPr>
        <w:t>Dissection and storage</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_Toc511217482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65</w:t>
      </w:r>
      <w:r w:rsidRPr="000B2293">
        <w:rPr>
          <w:rFonts w:ascii="Calibri" w:hAnsi="Calibri"/>
          <w:sz w:val="22"/>
          <w:szCs w:val="22"/>
        </w:rPr>
        <w:fldChar w:fldCharType="end"/>
      </w:r>
    </w:p>
    <w:p w14:paraId="104F8E0C"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4.3.2</w:t>
      </w:r>
      <w:r w:rsidRPr="000B2293">
        <w:rPr>
          <w:rFonts w:ascii="Calibri" w:eastAsiaTheme="minorEastAsia" w:hAnsi="Calibri" w:cstheme="minorBidi"/>
          <w:sz w:val="22"/>
          <w:szCs w:val="22"/>
        </w:rPr>
        <w:tab/>
      </w:r>
      <w:r w:rsidRPr="000B2293">
        <w:rPr>
          <w:rFonts w:ascii="Calibri" w:hAnsi="Calibri"/>
          <w:sz w:val="22"/>
          <w:szCs w:val="22"/>
        </w:rPr>
        <w:t>Sub-sampling</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_Toc511217483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65</w:t>
      </w:r>
      <w:r w:rsidRPr="000B2293">
        <w:rPr>
          <w:rFonts w:ascii="Calibri" w:hAnsi="Calibri"/>
          <w:sz w:val="22"/>
          <w:szCs w:val="22"/>
        </w:rPr>
        <w:fldChar w:fldCharType="end"/>
      </w:r>
    </w:p>
    <w:p w14:paraId="57091755" w14:textId="77777777" w:rsidR="000B2293" w:rsidRPr="000B2293" w:rsidRDefault="000B2293">
      <w:pPr>
        <w:pStyle w:val="TOC1"/>
        <w:tabs>
          <w:tab w:val="left" w:pos="357"/>
        </w:tabs>
        <w:rPr>
          <w:rFonts w:ascii="Calibri" w:eastAsiaTheme="minorEastAsia" w:hAnsi="Calibri" w:cstheme="minorBidi"/>
          <w:b w:val="0"/>
          <w:noProof/>
          <w:sz w:val="22"/>
          <w:szCs w:val="22"/>
        </w:rPr>
      </w:pPr>
      <w:r w:rsidRPr="000B2293">
        <w:rPr>
          <w:rFonts w:ascii="Calibri" w:hAnsi="Calibri"/>
          <w:noProof/>
          <w:sz w:val="22"/>
          <w:szCs w:val="22"/>
        </w:rPr>
        <w:t>5</w:t>
      </w:r>
      <w:r w:rsidRPr="000B2293">
        <w:rPr>
          <w:rFonts w:ascii="Calibri" w:eastAsiaTheme="minorEastAsia" w:hAnsi="Calibri" w:cstheme="minorBidi"/>
          <w:b w:val="0"/>
          <w:noProof/>
          <w:sz w:val="22"/>
          <w:szCs w:val="22"/>
        </w:rPr>
        <w:tab/>
      </w:r>
      <w:r w:rsidRPr="000B2293">
        <w:rPr>
          <w:rFonts w:ascii="Calibri" w:hAnsi="Calibri"/>
          <w:noProof/>
          <w:sz w:val="22"/>
          <w:szCs w:val="22"/>
        </w:rPr>
        <w:t>Analysis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_Toc511217484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65</w:t>
      </w:r>
      <w:r w:rsidRPr="000B2293">
        <w:rPr>
          <w:rFonts w:ascii="Calibri" w:hAnsi="Calibri"/>
          <w:noProof/>
          <w:sz w:val="22"/>
          <w:szCs w:val="22"/>
        </w:rPr>
        <w:fldChar w:fldCharType="end"/>
      </w:r>
    </w:p>
    <w:p w14:paraId="12D101D5"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5.1</w:t>
      </w:r>
      <w:r w:rsidRPr="000B2293">
        <w:rPr>
          <w:rFonts w:ascii="Calibri" w:eastAsiaTheme="minorEastAsia" w:hAnsi="Calibri" w:cstheme="minorBidi"/>
          <w:sz w:val="22"/>
          <w:szCs w:val="22"/>
        </w:rPr>
        <w:tab/>
      </w:r>
      <w:r w:rsidRPr="000B2293">
        <w:rPr>
          <w:rFonts w:ascii="Calibri" w:hAnsi="Calibri"/>
          <w:sz w:val="22"/>
          <w:szCs w:val="22"/>
        </w:rPr>
        <w:t>Precautionary Measures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_Toc511217485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65</w:t>
      </w:r>
      <w:r w:rsidRPr="000B2293">
        <w:rPr>
          <w:rFonts w:ascii="Calibri" w:hAnsi="Calibri"/>
          <w:sz w:val="22"/>
          <w:szCs w:val="22"/>
        </w:rPr>
        <w:fldChar w:fldCharType="end"/>
      </w:r>
    </w:p>
    <w:p w14:paraId="773FF5B5"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5.2</w:t>
      </w:r>
      <w:r w:rsidRPr="000B2293">
        <w:rPr>
          <w:rFonts w:ascii="Calibri" w:eastAsiaTheme="minorEastAsia" w:hAnsi="Calibri" w:cstheme="minorBidi"/>
          <w:sz w:val="22"/>
          <w:szCs w:val="22"/>
        </w:rPr>
        <w:tab/>
      </w:r>
      <w:r w:rsidRPr="000B2293">
        <w:rPr>
          <w:rFonts w:ascii="Calibri" w:hAnsi="Calibri"/>
          <w:sz w:val="22"/>
          <w:szCs w:val="22"/>
        </w:rPr>
        <w:t>Solvent Purity and Blanks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_Toc511217486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66</w:t>
      </w:r>
      <w:r w:rsidRPr="000B2293">
        <w:rPr>
          <w:rFonts w:ascii="Calibri" w:hAnsi="Calibri"/>
          <w:sz w:val="22"/>
          <w:szCs w:val="22"/>
        </w:rPr>
        <w:fldChar w:fldCharType="end"/>
      </w:r>
    </w:p>
    <w:p w14:paraId="6BC21CD5"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5.3</w:t>
      </w:r>
      <w:r w:rsidRPr="000B2293">
        <w:rPr>
          <w:rFonts w:ascii="Calibri" w:eastAsiaTheme="minorEastAsia" w:hAnsi="Calibri" w:cstheme="minorBidi"/>
          <w:sz w:val="22"/>
          <w:szCs w:val="22"/>
        </w:rPr>
        <w:tab/>
      </w:r>
      <w:r w:rsidRPr="000B2293">
        <w:rPr>
          <w:rFonts w:ascii="Calibri" w:hAnsi="Calibri"/>
          <w:sz w:val="22"/>
          <w:szCs w:val="22"/>
        </w:rPr>
        <w:t>Preparation of materials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_Toc511217487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66</w:t>
      </w:r>
      <w:r w:rsidRPr="000B2293">
        <w:rPr>
          <w:rFonts w:ascii="Calibri" w:hAnsi="Calibri"/>
          <w:sz w:val="22"/>
          <w:szCs w:val="22"/>
        </w:rPr>
        <w:fldChar w:fldCharType="end"/>
      </w:r>
    </w:p>
    <w:p w14:paraId="10D90FCB"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5.4</w:t>
      </w:r>
      <w:r w:rsidRPr="000B2293">
        <w:rPr>
          <w:rFonts w:ascii="Calibri" w:eastAsiaTheme="minorEastAsia" w:hAnsi="Calibri" w:cstheme="minorBidi"/>
          <w:sz w:val="22"/>
          <w:szCs w:val="22"/>
        </w:rPr>
        <w:tab/>
      </w:r>
      <w:r w:rsidRPr="000B2293">
        <w:rPr>
          <w:rFonts w:ascii="Calibri" w:hAnsi="Calibri"/>
          <w:sz w:val="22"/>
          <w:szCs w:val="22"/>
        </w:rPr>
        <w:t>Lipid determination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_Toc511217488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66</w:t>
      </w:r>
      <w:r w:rsidRPr="000B2293">
        <w:rPr>
          <w:rFonts w:ascii="Calibri" w:hAnsi="Calibri"/>
          <w:sz w:val="22"/>
          <w:szCs w:val="22"/>
        </w:rPr>
        <w:fldChar w:fldCharType="end"/>
      </w:r>
    </w:p>
    <w:p w14:paraId="723F8E53"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5.5</w:t>
      </w:r>
      <w:r w:rsidRPr="000B2293">
        <w:rPr>
          <w:rFonts w:ascii="Calibri" w:eastAsiaTheme="minorEastAsia" w:hAnsi="Calibri" w:cstheme="minorBidi"/>
          <w:sz w:val="22"/>
          <w:szCs w:val="22"/>
        </w:rPr>
        <w:tab/>
      </w:r>
      <w:r w:rsidRPr="000B2293">
        <w:rPr>
          <w:rFonts w:ascii="Calibri" w:hAnsi="Calibri"/>
          <w:sz w:val="22"/>
          <w:szCs w:val="22"/>
        </w:rPr>
        <w:t>Dry weight Determination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_Toc511217489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66</w:t>
      </w:r>
      <w:r w:rsidRPr="000B2293">
        <w:rPr>
          <w:rFonts w:ascii="Calibri" w:hAnsi="Calibri"/>
          <w:sz w:val="22"/>
          <w:szCs w:val="22"/>
        </w:rPr>
        <w:fldChar w:fldCharType="end"/>
      </w:r>
    </w:p>
    <w:p w14:paraId="0B43ED1B"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5.6</w:t>
      </w:r>
      <w:r w:rsidRPr="000B2293">
        <w:rPr>
          <w:rFonts w:ascii="Calibri" w:eastAsiaTheme="minorEastAsia" w:hAnsi="Calibri" w:cstheme="minorBidi"/>
          <w:sz w:val="22"/>
          <w:szCs w:val="22"/>
        </w:rPr>
        <w:tab/>
      </w:r>
      <w:r w:rsidRPr="000B2293">
        <w:rPr>
          <w:rFonts w:ascii="Calibri" w:hAnsi="Calibri"/>
          <w:sz w:val="22"/>
          <w:szCs w:val="22"/>
        </w:rPr>
        <w:t>Extraction and clean-up</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_Toc511217490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66</w:t>
      </w:r>
      <w:r w:rsidRPr="000B2293">
        <w:rPr>
          <w:rFonts w:ascii="Calibri" w:hAnsi="Calibri"/>
          <w:sz w:val="22"/>
          <w:szCs w:val="22"/>
        </w:rPr>
        <w:fldChar w:fldCharType="end"/>
      </w:r>
    </w:p>
    <w:p w14:paraId="47EBEE50"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5.7</w:t>
      </w:r>
      <w:r w:rsidRPr="000B2293">
        <w:rPr>
          <w:rFonts w:ascii="Calibri" w:eastAsiaTheme="minorEastAsia" w:hAnsi="Calibri" w:cstheme="minorBidi"/>
          <w:sz w:val="22"/>
          <w:szCs w:val="22"/>
        </w:rPr>
        <w:tab/>
      </w:r>
      <w:r w:rsidRPr="000B2293">
        <w:rPr>
          <w:rFonts w:ascii="Calibri" w:hAnsi="Calibri"/>
          <w:sz w:val="22"/>
          <w:szCs w:val="22"/>
        </w:rPr>
        <w:t>Pre-concentration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_Toc511217491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67</w:t>
      </w:r>
      <w:r w:rsidRPr="000B2293">
        <w:rPr>
          <w:rFonts w:ascii="Calibri" w:hAnsi="Calibri"/>
          <w:sz w:val="22"/>
          <w:szCs w:val="22"/>
        </w:rPr>
        <w:fldChar w:fldCharType="end"/>
      </w:r>
    </w:p>
    <w:p w14:paraId="4122542B"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5.8</w:t>
      </w:r>
      <w:r w:rsidRPr="000B2293">
        <w:rPr>
          <w:rFonts w:ascii="Calibri" w:eastAsiaTheme="minorEastAsia" w:hAnsi="Calibri" w:cstheme="minorBidi"/>
          <w:sz w:val="22"/>
          <w:szCs w:val="22"/>
        </w:rPr>
        <w:tab/>
      </w:r>
      <w:r w:rsidRPr="000B2293">
        <w:rPr>
          <w:rFonts w:ascii="Calibri" w:hAnsi="Calibri"/>
          <w:sz w:val="22"/>
          <w:szCs w:val="22"/>
        </w:rPr>
        <w:t>Selection of PBDEs to be determined</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_Toc511217492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68</w:t>
      </w:r>
      <w:r w:rsidRPr="000B2293">
        <w:rPr>
          <w:rFonts w:ascii="Calibri" w:hAnsi="Calibri"/>
          <w:sz w:val="22"/>
          <w:szCs w:val="22"/>
        </w:rPr>
        <w:fldChar w:fldCharType="end"/>
      </w:r>
    </w:p>
    <w:p w14:paraId="5D03DF0B"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5.9</w:t>
      </w:r>
      <w:r w:rsidRPr="000B2293">
        <w:rPr>
          <w:rFonts w:ascii="Calibri" w:eastAsiaTheme="minorEastAsia" w:hAnsi="Calibri" w:cstheme="minorBidi"/>
          <w:sz w:val="22"/>
          <w:szCs w:val="22"/>
        </w:rPr>
        <w:tab/>
      </w:r>
      <w:r w:rsidRPr="000B2293">
        <w:rPr>
          <w:rFonts w:ascii="Calibri" w:hAnsi="Calibri"/>
          <w:sz w:val="22"/>
          <w:szCs w:val="22"/>
        </w:rPr>
        <w:t>Instrumental determination of PBDEs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_Toc511217493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68</w:t>
      </w:r>
      <w:r w:rsidRPr="000B2293">
        <w:rPr>
          <w:rFonts w:ascii="Calibri" w:hAnsi="Calibri"/>
          <w:sz w:val="22"/>
          <w:szCs w:val="22"/>
        </w:rPr>
        <w:fldChar w:fldCharType="end"/>
      </w:r>
    </w:p>
    <w:p w14:paraId="789098A3"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5.9.1</w:t>
      </w:r>
      <w:r w:rsidRPr="000B2293">
        <w:rPr>
          <w:rFonts w:ascii="Calibri" w:eastAsiaTheme="minorEastAsia" w:hAnsi="Calibri" w:cstheme="minorBidi"/>
          <w:sz w:val="22"/>
          <w:szCs w:val="22"/>
        </w:rPr>
        <w:tab/>
      </w:r>
      <w:r w:rsidRPr="000B2293">
        <w:rPr>
          <w:rFonts w:ascii="Calibri" w:hAnsi="Calibri"/>
          <w:sz w:val="22"/>
          <w:szCs w:val="22"/>
        </w:rPr>
        <w:t>Detection Methods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_Toc511217494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69</w:t>
      </w:r>
      <w:r w:rsidRPr="000B2293">
        <w:rPr>
          <w:rFonts w:ascii="Calibri" w:hAnsi="Calibri"/>
          <w:sz w:val="22"/>
          <w:szCs w:val="22"/>
        </w:rPr>
        <w:fldChar w:fldCharType="end"/>
      </w:r>
    </w:p>
    <w:p w14:paraId="5E3C97C7"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5.9.2</w:t>
      </w:r>
      <w:r w:rsidRPr="000B2293">
        <w:rPr>
          <w:rFonts w:ascii="Calibri" w:eastAsiaTheme="minorEastAsia" w:hAnsi="Calibri" w:cstheme="minorBidi"/>
          <w:sz w:val="22"/>
          <w:szCs w:val="22"/>
        </w:rPr>
        <w:tab/>
      </w:r>
      <w:r w:rsidRPr="000B2293">
        <w:rPr>
          <w:rFonts w:ascii="Calibri" w:hAnsi="Calibri"/>
          <w:sz w:val="22"/>
          <w:szCs w:val="22"/>
        </w:rPr>
        <w:t>GC-MS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_Toc511217495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69</w:t>
      </w:r>
      <w:r w:rsidRPr="000B2293">
        <w:rPr>
          <w:rFonts w:ascii="Calibri" w:hAnsi="Calibri"/>
          <w:sz w:val="22"/>
          <w:szCs w:val="22"/>
        </w:rPr>
        <w:fldChar w:fldCharType="end"/>
      </w:r>
    </w:p>
    <w:p w14:paraId="5597A327"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5.9.3</w:t>
      </w:r>
      <w:r w:rsidRPr="000B2293">
        <w:rPr>
          <w:rFonts w:ascii="Calibri" w:eastAsiaTheme="minorEastAsia" w:hAnsi="Calibri" w:cstheme="minorBidi"/>
          <w:sz w:val="22"/>
          <w:szCs w:val="22"/>
        </w:rPr>
        <w:tab/>
      </w:r>
      <w:r w:rsidRPr="000B2293">
        <w:rPr>
          <w:rFonts w:ascii="Calibri" w:hAnsi="Calibri"/>
          <w:sz w:val="22"/>
          <w:szCs w:val="22"/>
        </w:rPr>
        <w:t>Possible pitfalls and solutions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_Toc511217496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70</w:t>
      </w:r>
      <w:r w:rsidRPr="000B2293">
        <w:rPr>
          <w:rFonts w:ascii="Calibri" w:hAnsi="Calibri"/>
          <w:sz w:val="22"/>
          <w:szCs w:val="22"/>
        </w:rPr>
        <w:fldChar w:fldCharType="end"/>
      </w:r>
    </w:p>
    <w:p w14:paraId="355B04A8" w14:textId="77777777" w:rsidR="000B2293" w:rsidRPr="000B2293" w:rsidRDefault="000B2293">
      <w:pPr>
        <w:pStyle w:val="TOC1"/>
        <w:tabs>
          <w:tab w:val="left" w:pos="357"/>
        </w:tabs>
        <w:rPr>
          <w:rFonts w:ascii="Calibri" w:eastAsiaTheme="minorEastAsia" w:hAnsi="Calibri" w:cstheme="minorBidi"/>
          <w:b w:val="0"/>
          <w:noProof/>
          <w:sz w:val="22"/>
          <w:szCs w:val="22"/>
        </w:rPr>
      </w:pPr>
      <w:r w:rsidRPr="000B2293">
        <w:rPr>
          <w:rFonts w:ascii="Calibri" w:hAnsi="Calibri"/>
          <w:noProof/>
          <w:sz w:val="22"/>
          <w:szCs w:val="22"/>
        </w:rPr>
        <w:t>6</w:t>
      </w:r>
      <w:r w:rsidRPr="000B2293">
        <w:rPr>
          <w:rFonts w:ascii="Calibri" w:eastAsiaTheme="minorEastAsia" w:hAnsi="Calibri" w:cstheme="minorBidi"/>
          <w:b w:val="0"/>
          <w:noProof/>
          <w:sz w:val="22"/>
          <w:szCs w:val="22"/>
        </w:rPr>
        <w:tab/>
      </w:r>
      <w:r w:rsidRPr="000B2293">
        <w:rPr>
          <w:rFonts w:ascii="Calibri" w:hAnsi="Calibri"/>
          <w:noProof/>
          <w:sz w:val="22"/>
          <w:szCs w:val="22"/>
        </w:rPr>
        <w:t>Calibration and Quantification</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_Toc511217497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70</w:t>
      </w:r>
      <w:r w:rsidRPr="000B2293">
        <w:rPr>
          <w:rFonts w:ascii="Calibri" w:hAnsi="Calibri"/>
          <w:noProof/>
          <w:sz w:val="22"/>
          <w:szCs w:val="22"/>
        </w:rPr>
        <w:fldChar w:fldCharType="end"/>
      </w:r>
    </w:p>
    <w:p w14:paraId="7FCE73AC"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6.1</w:t>
      </w:r>
      <w:r w:rsidRPr="000B2293">
        <w:rPr>
          <w:rFonts w:ascii="Calibri" w:eastAsiaTheme="minorEastAsia" w:hAnsi="Calibri" w:cstheme="minorBidi"/>
          <w:sz w:val="22"/>
          <w:szCs w:val="22"/>
        </w:rPr>
        <w:tab/>
      </w:r>
      <w:r w:rsidRPr="000B2293">
        <w:rPr>
          <w:rFonts w:ascii="Calibri" w:hAnsi="Calibri"/>
          <w:sz w:val="22"/>
          <w:szCs w:val="22"/>
        </w:rPr>
        <w:t>Standards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_Toc511217498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70</w:t>
      </w:r>
      <w:r w:rsidRPr="000B2293">
        <w:rPr>
          <w:rFonts w:ascii="Calibri" w:hAnsi="Calibri"/>
          <w:sz w:val="22"/>
          <w:szCs w:val="22"/>
        </w:rPr>
        <w:fldChar w:fldCharType="end"/>
      </w:r>
    </w:p>
    <w:p w14:paraId="2E389B1A"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6.2</w:t>
      </w:r>
      <w:r w:rsidRPr="000B2293">
        <w:rPr>
          <w:rFonts w:ascii="Calibri" w:eastAsiaTheme="minorEastAsia" w:hAnsi="Calibri" w:cstheme="minorBidi"/>
          <w:sz w:val="22"/>
          <w:szCs w:val="22"/>
        </w:rPr>
        <w:tab/>
      </w:r>
      <w:r w:rsidRPr="000B2293">
        <w:rPr>
          <w:rFonts w:ascii="Calibri" w:hAnsi="Calibri"/>
          <w:sz w:val="22"/>
          <w:szCs w:val="22"/>
        </w:rPr>
        <w:t>Calibration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_Toc511217499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70</w:t>
      </w:r>
      <w:r w:rsidRPr="000B2293">
        <w:rPr>
          <w:rFonts w:ascii="Calibri" w:hAnsi="Calibri"/>
          <w:sz w:val="22"/>
          <w:szCs w:val="22"/>
        </w:rPr>
        <w:fldChar w:fldCharType="end"/>
      </w:r>
    </w:p>
    <w:p w14:paraId="4CA2F376" w14:textId="77777777" w:rsidR="000B2293" w:rsidRPr="000B2293" w:rsidRDefault="000B2293">
      <w:pPr>
        <w:pStyle w:val="TOC1"/>
        <w:tabs>
          <w:tab w:val="left" w:pos="357"/>
        </w:tabs>
        <w:rPr>
          <w:rFonts w:ascii="Calibri" w:eastAsiaTheme="minorEastAsia" w:hAnsi="Calibri" w:cstheme="minorBidi"/>
          <w:b w:val="0"/>
          <w:noProof/>
          <w:sz w:val="22"/>
          <w:szCs w:val="22"/>
        </w:rPr>
      </w:pPr>
      <w:r w:rsidRPr="000B2293">
        <w:rPr>
          <w:rFonts w:ascii="Calibri" w:hAnsi="Calibri"/>
          <w:noProof/>
          <w:sz w:val="22"/>
          <w:szCs w:val="22"/>
        </w:rPr>
        <w:t>7</w:t>
      </w:r>
      <w:r w:rsidRPr="000B2293">
        <w:rPr>
          <w:rFonts w:ascii="Calibri" w:eastAsiaTheme="minorEastAsia" w:hAnsi="Calibri" w:cstheme="minorBidi"/>
          <w:b w:val="0"/>
          <w:noProof/>
          <w:sz w:val="22"/>
          <w:szCs w:val="22"/>
        </w:rPr>
        <w:tab/>
      </w:r>
      <w:r w:rsidRPr="000B2293">
        <w:rPr>
          <w:rFonts w:ascii="Calibri" w:hAnsi="Calibri"/>
          <w:noProof/>
          <w:sz w:val="22"/>
          <w:szCs w:val="22"/>
        </w:rPr>
        <w:t>Analytical Quality Control</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_Toc511217500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71</w:t>
      </w:r>
      <w:r w:rsidRPr="000B2293">
        <w:rPr>
          <w:rFonts w:ascii="Calibri" w:hAnsi="Calibri"/>
          <w:noProof/>
          <w:sz w:val="22"/>
          <w:szCs w:val="22"/>
        </w:rPr>
        <w:fldChar w:fldCharType="end"/>
      </w:r>
    </w:p>
    <w:p w14:paraId="2262C67E" w14:textId="77777777" w:rsidR="000B2293" w:rsidRPr="000B2293" w:rsidRDefault="000B2293">
      <w:pPr>
        <w:pStyle w:val="TOC1"/>
        <w:tabs>
          <w:tab w:val="left" w:pos="357"/>
        </w:tabs>
        <w:rPr>
          <w:rFonts w:ascii="Calibri" w:eastAsiaTheme="minorEastAsia" w:hAnsi="Calibri" w:cstheme="minorBidi"/>
          <w:b w:val="0"/>
          <w:noProof/>
          <w:sz w:val="22"/>
          <w:szCs w:val="22"/>
        </w:rPr>
      </w:pPr>
      <w:r w:rsidRPr="000B2293">
        <w:rPr>
          <w:rFonts w:ascii="Calibri" w:hAnsi="Calibri"/>
          <w:noProof/>
          <w:sz w:val="22"/>
          <w:szCs w:val="22"/>
        </w:rPr>
        <w:t>8</w:t>
      </w:r>
      <w:r w:rsidRPr="000B2293">
        <w:rPr>
          <w:rFonts w:ascii="Calibri" w:eastAsiaTheme="minorEastAsia" w:hAnsi="Calibri" w:cstheme="minorBidi"/>
          <w:b w:val="0"/>
          <w:noProof/>
          <w:sz w:val="22"/>
          <w:szCs w:val="22"/>
        </w:rPr>
        <w:tab/>
      </w:r>
      <w:r w:rsidRPr="000B2293">
        <w:rPr>
          <w:rFonts w:ascii="Calibri" w:hAnsi="Calibri"/>
          <w:noProof/>
          <w:sz w:val="22"/>
          <w:szCs w:val="22"/>
        </w:rPr>
        <w:t>Data Reporting</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_Toc511217501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71</w:t>
      </w:r>
      <w:r w:rsidRPr="000B2293">
        <w:rPr>
          <w:rFonts w:ascii="Calibri" w:hAnsi="Calibri"/>
          <w:noProof/>
          <w:sz w:val="22"/>
          <w:szCs w:val="22"/>
        </w:rPr>
        <w:fldChar w:fldCharType="end"/>
      </w:r>
    </w:p>
    <w:p w14:paraId="42659455" w14:textId="77777777" w:rsidR="000B2293" w:rsidRPr="000B2293" w:rsidRDefault="000B2293">
      <w:pPr>
        <w:pStyle w:val="TOC1"/>
        <w:tabs>
          <w:tab w:val="left" w:pos="357"/>
        </w:tabs>
        <w:rPr>
          <w:rFonts w:ascii="Calibri" w:eastAsiaTheme="minorEastAsia" w:hAnsi="Calibri" w:cstheme="minorBidi"/>
          <w:b w:val="0"/>
          <w:noProof/>
          <w:sz w:val="22"/>
          <w:szCs w:val="22"/>
        </w:rPr>
      </w:pPr>
      <w:r w:rsidRPr="000B2293">
        <w:rPr>
          <w:rFonts w:ascii="Calibri" w:hAnsi="Calibri"/>
          <w:noProof/>
          <w:sz w:val="22"/>
          <w:szCs w:val="22"/>
        </w:rPr>
        <w:t>9</w:t>
      </w:r>
      <w:r w:rsidRPr="000B2293">
        <w:rPr>
          <w:rFonts w:ascii="Calibri" w:eastAsiaTheme="minorEastAsia" w:hAnsi="Calibri" w:cstheme="minorBidi"/>
          <w:b w:val="0"/>
          <w:noProof/>
          <w:sz w:val="22"/>
          <w:szCs w:val="22"/>
        </w:rPr>
        <w:tab/>
      </w:r>
      <w:r w:rsidRPr="000B2293">
        <w:rPr>
          <w:rFonts w:ascii="Calibri" w:hAnsi="Calibri"/>
          <w:noProof/>
          <w:sz w:val="22"/>
          <w:szCs w:val="22"/>
        </w:rPr>
        <w:t>References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_Toc511217502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72</w:t>
      </w:r>
      <w:r w:rsidRPr="000B2293">
        <w:rPr>
          <w:rFonts w:ascii="Calibri" w:hAnsi="Calibri"/>
          <w:noProof/>
          <w:sz w:val="22"/>
          <w:szCs w:val="22"/>
        </w:rPr>
        <w:fldChar w:fldCharType="end"/>
      </w:r>
    </w:p>
    <w:p w14:paraId="4DF8626F" w14:textId="77777777" w:rsidR="000B2293" w:rsidRPr="000B2293" w:rsidRDefault="000B2293">
      <w:pPr>
        <w:pStyle w:val="TOC1"/>
        <w:rPr>
          <w:rFonts w:ascii="Calibri" w:eastAsiaTheme="minorEastAsia" w:hAnsi="Calibri" w:cstheme="minorBidi"/>
          <w:b w:val="0"/>
          <w:noProof/>
          <w:sz w:val="22"/>
          <w:szCs w:val="22"/>
        </w:rPr>
      </w:pPr>
      <w:r w:rsidRPr="000B2293">
        <w:rPr>
          <w:rFonts w:ascii="Calibri" w:hAnsi="Calibri"/>
          <w:noProof/>
          <w:sz w:val="22"/>
          <w:szCs w:val="22"/>
        </w:rPr>
        <w:t>Technical Annex 5: Hexabromocyclododecane (HBCD) in biota</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_Toc511217503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73</w:t>
      </w:r>
      <w:r w:rsidRPr="000B2293">
        <w:rPr>
          <w:rFonts w:ascii="Calibri" w:hAnsi="Calibri"/>
          <w:noProof/>
          <w:sz w:val="22"/>
          <w:szCs w:val="22"/>
        </w:rPr>
        <w:fldChar w:fldCharType="end"/>
      </w:r>
    </w:p>
    <w:p w14:paraId="4CE52932" w14:textId="77777777" w:rsidR="000B2293" w:rsidRPr="000B2293" w:rsidRDefault="000B2293">
      <w:pPr>
        <w:pStyle w:val="TOC1"/>
        <w:tabs>
          <w:tab w:val="left" w:pos="357"/>
        </w:tabs>
        <w:rPr>
          <w:rFonts w:ascii="Calibri" w:eastAsiaTheme="minorEastAsia" w:hAnsi="Calibri" w:cstheme="minorBidi"/>
          <w:b w:val="0"/>
          <w:noProof/>
          <w:sz w:val="22"/>
          <w:szCs w:val="22"/>
        </w:rPr>
      </w:pPr>
      <w:r w:rsidRPr="000B2293">
        <w:rPr>
          <w:rFonts w:ascii="Calibri" w:hAnsi="Calibri"/>
          <w:noProof/>
          <w:sz w:val="22"/>
          <w:szCs w:val="22"/>
        </w:rPr>
        <w:t>1</w:t>
      </w:r>
      <w:r w:rsidRPr="000B2293">
        <w:rPr>
          <w:rFonts w:ascii="Calibri" w:eastAsiaTheme="minorEastAsia" w:hAnsi="Calibri" w:cstheme="minorBidi"/>
          <w:b w:val="0"/>
          <w:noProof/>
          <w:sz w:val="22"/>
          <w:szCs w:val="22"/>
        </w:rPr>
        <w:tab/>
      </w:r>
      <w:r w:rsidRPr="000B2293">
        <w:rPr>
          <w:rFonts w:ascii="Calibri" w:hAnsi="Calibri"/>
          <w:noProof/>
          <w:sz w:val="22"/>
          <w:szCs w:val="22"/>
        </w:rPr>
        <w:t>Introduction</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_Toc511217504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73</w:t>
      </w:r>
      <w:r w:rsidRPr="000B2293">
        <w:rPr>
          <w:rFonts w:ascii="Calibri" w:hAnsi="Calibri"/>
          <w:noProof/>
          <w:sz w:val="22"/>
          <w:szCs w:val="22"/>
        </w:rPr>
        <w:fldChar w:fldCharType="end"/>
      </w:r>
    </w:p>
    <w:p w14:paraId="0E6A3A16" w14:textId="77777777" w:rsidR="000B2293" w:rsidRPr="000B2293" w:rsidRDefault="000B2293">
      <w:pPr>
        <w:pStyle w:val="TOC1"/>
        <w:tabs>
          <w:tab w:val="left" w:pos="357"/>
        </w:tabs>
        <w:rPr>
          <w:rFonts w:ascii="Calibri" w:eastAsiaTheme="minorEastAsia" w:hAnsi="Calibri" w:cstheme="minorBidi"/>
          <w:b w:val="0"/>
          <w:noProof/>
          <w:sz w:val="22"/>
          <w:szCs w:val="22"/>
        </w:rPr>
      </w:pPr>
      <w:r w:rsidRPr="000B2293">
        <w:rPr>
          <w:rFonts w:ascii="Calibri" w:hAnsi="Calibri"/>
          <w:noProof/>
          <w:sz w:val="22"/>
          <w:szCs w:val="22"/>
        </w:rPr>
        <w:t>2</w:t>
      </w:r>
      <w:r w:rsidRPr="000B2293">
        <w:rPr>
          <w:rFonts w:ascii="Calibri" w:eastAsiaTheme="minorEastAsia" w:hAnsi="Calibri" w:cstheme="minorBidi"/>
          <w:b w:val="0"/>
          <w:noProof/>
          <w:sz w:val="22"/>
          <w:szCs w:val="22"/>
        </w:rPr>
        <w:tab/>
      </w:r>
      <w:r w:rsidRPr="000B2293">
        <w:rPr>
          <w:rFonts w:ascii="Calibri" w:hAnsi="Calibri"/>
          <w:noProof/>
          <w:sz w:val="22"/>
          <w:szCs w:val="22"/>
        </w:rPr>
        <w:t>Appropriate Species for Analysis of HBCD</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_Toc511217505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73</w:t>
      </w:r>
      <w:r w:rsidRPr="000B2293">
        <w:rPr>
          <w:rFonts w:ascii="Calibri" w:hAnsi="Calibri"/>
          <w:noProof/>
          <w:sz w:val="22"/>
          <w:szCs w:val="22"/>
        </w:rPr>
        <w:fldChar w:fldCharType="end"/>
      </w:r>
    </w:p>
    <w:p w14:paraId="1C430615" w14:textId="77777777" w:rsidR="000B2293" w:rsidRPr="000B2293" w:rsidRDefault="000B2293">
      <w:pPr>
        <w:pStyle w:val="TOC1"/>
        <w:tabs>
          <w:tab w:val="left" w:pos="357"/>
        </w:tabs>
        <w:rPr>
          <w:rFonts w:ascii="Calibri" w:eastAsiaTheme="minorEastAsia" w:hAnsi="Calibri" w:cstheme="minorBidi"/>
          <w:b w:val="0"/>
          <w:noProof/>
          <w:sz w:val="22"/>
          <w:szCs w:val="22"/>
        </w:rPr>
      </w:pPr>
      <w:r w:rsidRPr="000B2293">
        <w:rPr>
          <w:rFonts w:ascii="Calibri" w:hAnsi="Calibri"/>
          <w:noProof/>
          <w:sz w:val="22"/>
          <w:szCs w:val="22"/>
        </w:rPr>
        <w:t>3</w:t>
      </w:r>
      <w:r w:rsidRPr="000B2293">
        <w:rPr>
          <w:rFonts w:ascii="Calibri" w:eastAsiaTheme="minorEastAsia" w:hAnsi="Calibri" w:cstheme="minorBidi"/>
          <w:b w:val="0"/>
          <w:noProof/>
          <w:sz w:val="22"/>
          <w:szCs w:val="22"/>
        </w:rPr>
        <w:tab/>
      </w:r>
      <w:r w:rsidRPr="000B2293">
        <w:rPr>
          <w:rFonts w:ascii="Calibri" w:hAnsi="Calibri"/>
          <w:noProof/>
          <w:sz w:val="22"/>
          <w:szCs w:val="22"/>
        </w:rPr>
        <w:t>Transportation</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_Toc511217506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73</w:t>
      </w:r>
      <w:r w:rsidRPr="000B2293">
        <w:rPr>
          <w:rFonts w:ascii="Calibri" w:hAnsi="Calibri"/>
          <w:noProof/>
          <w:sz w:val="22"/>
          <w:szCs w:val="22"/>
        </w:rPr>
        <w:fldChar w:fldCharType="end"/>
      </w:r>
    </w:p>
    <w:p w14:paraId="524D0DEC" w14:textId="77777777" w:rsidR="000B2293" w:rsidRPr="000B2293" w:rsidRDefault="000B2293">
      <w:pPr>
        <w:pStyle w:val="TOC1"/>
        <w:tabs>
          <w:tab w:val="left" w:pos="357"/>
        </w:tabs>
        <w:rPr>
          <w:rFonts w:ascii="Calibri" w:eastAsiaTheme="minorEastAsia" w:hAnsi="Calibri" w:cstheme="minorBidi"/>
          <w:b w:val="0"/>
          <w:noProof/>
          <w:sz w:val="22"/>
          <w:szCs w:val="22"/>
        </w:rPr>
      </w:pPr>
      <w:r w:rsidRPr="000B2293">
        <w:rPr>
          <w:rFonts w:ascii="Calibri" w:hAnsi="Calibri"/>
          <w:noProof/>
          <w:sz w:val="22"/>
          <w:szCs w:val="22"/>
        </w:rPr>
        <w:t>4</w:t>
      </w:r>
      <w:r w:rsidRPr="000B2293">
        <w:rPr>
          <w:rFonts w:ascii="Calibri" w:eastAsiaTheme="minorEastAsia" w:hAnsi="Calibri" w:cstheme="minorBidi"/>
          <w:b w:val="0"/>
          <w:noProof/>
          <w:sz w:val="22"/>
          <w:szCs w:val="22"/>
        </w:rPr>
        <w:tab/>
      </w:r>
      <w:r w:rsidRPr="000B2293">
        <w:rPr>
          <w:rFonts w:ascii="Calibri" w:hAnsi="Calibri"/>
          <w:noProof/>
          <w:sz w:val="22"/>
          <w:szCs w:val="22"/>
        </w:rPr>
        <w:t>Pre-treatment and Storage</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_Toc511217507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73</w:t>
      </w:r>
      <w:r w:rsidRPr="000B2293">
        <w:rPr>
          <w:rFonts w:ascii="Calibri" w:hAnsi="Calibri"/>
          <w:noProof/>
          <w:sz w:val="22"/>
          <w:szCs w:val="22"/>
        </w:rPr>
        <w:fldChar w:fldCharType="end"/>
      </w:r>
    </w:p>
    <w:p w14:paraId="711BFCB6"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4.1</w:t>
      </w:r>
      <w:r w:rsidRPr="000B2293">
        <w:rPr>
          <w:rFonts w:ascii="Calibri" w:eastAsiaTheme="minorEastAsia" w:hAnsi="Calibri" w:cstheme="minorBidi"/>
          <w:sz w:val="22"/>
          <w:szCs w:val="22"/>
        </w:rPr>
        <w:tab/>
      </w:r>
      <w:r w:rsidRPr="000B2293">
        <w:rPr>
          <w:rFonts w:ascii="Calibri" w:hAnsi="Calibri"/>
          <w:sz w:val="22"/>
          <w:szCs w:val="22"/>
        </w:rPr>
        <w:t>Contamination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_Toc511217508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73</w:t>
      </w:r>
      <w:r w:rsidRPr="000B2293">
        <w:rPr>
          <w:rFonts w:ascii="Calibri" w:hAnsi="Calibri"/>
          <w:sz w:val="22"/>
          <w:szCs w:val="22"/>
        </w:rPr>
        <w:fldChar w:fldCharType="end"/>
      </w:r>
    </w:p>
    <w:p w14:paraId="59BAB41F"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4.2</w:t>
      </w:r>
      <w:r w:rsidRPr="000B2293">
        <w:rPr>
          <w:rFonts w:ascii="Calibri" w:eastAsiaTheme="minorEastAsia" w:hAnsi="Calibri" w:cstheme="minorBidi"/>
          <w:sz w:val="22"/>
          <w:szCs w:val="22"/>
        </w:rPr>
        <w:tab/>
      </w:r>
      <w:r w:rsidRPr="000B2293">
        <w:rPr>
          <w:rFonts w:ascii="Calibri" w:hAnsi="Calibri"/>
          <w:sz w:val="22"/>
          <w:szCs w:val="22"/>
        </w:rPr>
        <w:t>Shellfish</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_Toc511217509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74</w:t>
      </w:r>
      <w:r w:rsidRPr="000B2293">
        <w:rPr>
          <w:rFonts w:ascii="Calibri" w:hAnsi="Calibri"/>
          <w:sz w:val="22"/>
          <w:szCs w:val="22"/>
        </w:rPr>
        <w:fldChar w:fldCharType="end"/>
      </w:r>
    </w:p>
    <w:p w14:paraId="6A9CF994"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4.2.1</w:t>
      </w:r>
      <w:r w:rsidRPr="000B2293">
        <w:rPr>
          <w:rFonts w:ascii="Calibri" w:eastAsiaTheme="minorEastAsia" w:hAnsi="Calibri" w:cstheme="minorBidi"/>
          <w:sz w:val="22"/>
          <w:szCs w:val="22"/>
        </w:rPr>
        <w:tab/>
      </w:r>
      <w:r w:rsidRPr="000B2293">
        <w:rPr>
          <w:rFonts w:ascii="Calibri" w:hAnsi="Calibri"/>
          <w:sz w:val="22"/>
          <w:szCs w:val="22"/>
        </w:rPr>
        <w:t>Depuration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_Toc511217510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74</w:t>
      </w:r>
      <w:r w:rsidRPr="000B2293">
        <w:rPr>
          <w:rFonts w:ascii="Calibri" w:hAnsi="Calibri"/>
          <w:sz w:val="22"/>
          <w:szCs w:val="22"/>
        </w:rPr>
        <w:fldChar w:fldCharType="end"/>
      </w:r>
    </w:p>
    <w:p w14:paraId="231F8752"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4.2.2</w:t>
      </w:r>
      <w:r w:rsidRPr="000B2293">
        <w:rPr>
          <w:rFonts w:ascii="Calibri" w:eastAsiaTheme="minorEastAsia" w:hAnsi="Calibri" w:cstheme="minorBidi"/>
          <w:sz w:val="22"/>
          <w:szCs w:val="22"/>
        </w:rPr>
        <w:tab/>
      </w:r>
      <w:r w:rsidRPr="000B2293">
        <w:rPr>
          <w:rFonts w:ascii="Calibri" w:hAnsi="Calibri"/>
          <w:sz w:val="22"/>
          <w:szCs w:val="22"/>
        </w:rPr>
        <w:t>Dissection and storage</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_Toc511217511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74</w:t>
      </w:r>
      <w:r w:rsidRPr="000B2293">
        <w:rPr>
          <w:rFonts w:ascii="Calibri" w:hAnsi="Calibri"/>
          <w:sz w:val="22"/>
          <w:szCs w:val="22"/>
        </w:rPr>
        <w:fldChar w:fldCharType="end"/>
      </w:r>
    </w:p>
    <w:p w14:paraId="0B97257E"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4.3</w:t>
      </w:r>
      <w:r w:rsidRPr="000B2293">
        <w:rPr>
          <w:rFonts w:ascii="Calibri" w:eastAsiaTheme="minorEastAsia" w:hAnsi="Calibri" w:cstheme="minorBidi"/>
          <w:sz w:val="22"/>
          <w:szCs w:val="22"/>
        </w:rPr>
        <w:tab/>
      </w:r>
      <w:r w:rsidRPr="000B2293">
        <w:rPr>
          <w:rFonts w:ascii="Calibri" w:hAnsi="Calibri"/>
          <w:sz w:val="22"/>
          <w:szCs w:val="22"/>
        </w:rPr>
        <w:t>Fish</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_Toc511217512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74</w:t>
      </w:r>
      <w:r w:rsidRPr="000B2293">
        <w:rPr>
          <w:rFonts w:ascii="Calibri" w:hAnsi="Calibri"/>
          <w:sz w:val="22"/>
          <w:szCs w:val="22"/>
        </w:rPr>
        <w:fldChar w:fldCharType="end"/>
      </w:r>
    </w:p>
    <w:p w14:paraId="4085F7F0"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4.3.1</w:t>
      </w:r>
      <w:r w:rsidRPr="000B2293">
        <w:rPr>
          <w:rFonts w:ascii="Calibri" w:eastAsiaTheme="minorEastAsia" w:hAnsi="Calibri" w:cstheme="minorBidi"/>
          <w:sz w:val="22"/>
          <w:szCs w:val="22"/>
        </w:rPr>
        <w:tab/>
      </w:r>
      <w:r w:rsidRPr="000B2293">
        <w:rPr>
          <w:rFonts w:ascii="Calibri" w:hAnsi="Calibri"/>
          <w:sz w:val="22"/>
          <w:szCs w:val="22"/>
        </w:rPr>
        <w:t>Dissection and storage</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_Toc511217513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74</w:t>
      </w:r>
      <w:r w:rsidRPr="000B2293">
        <w:rPr>
          <w:rFonts w:ascii="Calibri" w:hAnsi="Calibri"/>
          <w:sz w:val="22"/>
          <w:szCs w:val="22"/>
        </w:rPr>
        <w:fldChar w:fldCharType="end"/>
      </w:r>
    </w:p>
    <w:p w14:paraId="6E858F9F"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4.3.2</w:t>
      </w:r>
      <w:r w:rsidRPr="000B2293">
        <w:rPr>
          <w:rFonts w:ascii="Calibri" w:eastAsiaTheme="minorEastAsia" w:hAnsi="Calibri" w:cstheme="minorBidi"/>
          <w:sz w:val="22"/>
          <w:szCs w:val="22"/>
        </w:rPr>
        <w:tab/>
      </w:r>
      <w:r w:rsidRPr="000B2293">
        <w:rPr>
          <w:rFonts w:ascii="Calibri" w:hAnsi="Calibri"/>
          <w:sz w:val="22"/>
          <w:szCs w:val="22"/>
        </w:rPr>
        <w:t>Subsampling</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_Toc511217514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75</w:t>
      </w:r>
      <w:r w:rsidRPr="000B2293">
        <w:rPr>
          <w:rFonts w:ascii="Calibri" w:hAnsi="Calibri"/>
          <w:sz w:val="22"/>
          <w:szCs w:val="22"/>
        </w:rPr>
        <w:fldChar w:fldCharType="end"/>
      </w:r>
    </w:p>
    <w:p w14:paraId="14E3B403" w14:textId="77777777" w:rsidR="000B2293" w:rsidRPr="000B2293" w:rsidRDefault="000B2293">
      <w:pPr>
        <w:pStyle w:val="TOC1"/>
        <w:tabs>
          <w:tab w:val="left" w:pos="357"/>
        </w:tabs>
        <w:rPr>
          <w:rFonts w:ascii="Calibri" w:eastAsiaTheme="minorEastAsia" w:hAnsi="Calibri" w:cstheme="minorBidi"/>
          <w:b w:val="0"/>
          <w:noProof/>
          <w:sz w:val="22"/>
          <w:szCs w:val="22"/>
        </w:rPr>
      </w:pPr>
      <w:r w:rsidRPr="000B2293">
        <w:rPr>
          <w:rFonts w:ascii="Calibri" w:hAnsi="Calibri"/>
          <w:noProof/>
          <w:sz w:val="22"/>
          <w:szCs w:val="22"/>
        </w:rPr>
        <w:t>5</w:t>
      </w:r>
      <w:r w:rsidRPr="000B2293">
        <w:rPr>
          <w:rFonts w:ascii="Calibri" w:eastAsiaTheme="minorEastAsia" w:hAnsi="Calibri" w:cstheme="minorBidi"/>
          <w:b w:val="0"/>
          <w:noProof/>
          <w:sz w:val="22"/>
          <w:szCs w:val="22"/>
        </w:rPr>
        <w:tab/>
      </w:r>
      <w:r w:rsidRPr="000B2293">
        <w:rPr>
          <w:rFonts w:ascii="Calibri" w:hAnsi="Calibri"/>
          <w:noProof/>
          <w:sz w:val="22"/>
          <w:szCs w:val="22"/>
        </w:rPr>
        <w:t>Analysis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_Toc511217515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75</w:t>
      </w:r>
      <w:r w:rsidRPr="000B2293">
        <w:rPr>
          <w:rFonts w:ascii="Calibri" w:hAnsi="Calibri"/>
          <w:noProof/>
          <w:sz w:val="22"/>
          <w:szCs w:val="22"/>
        </w:rPr>
        <w:fldChar w:fldCharType="end"/>
      </w:r>
    </w:p>
    <w:p w14:paraId="7E7D841E"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5.1</w:t>
      </w:r>
      <w:r w:rsidRPr="000B2293">
        <w:rPr>
          <w:rFonts w:ascii="Calibri" w:eastAsiaTheme="minorEastAsia" w:hAnsi="Calibri" w:cstheme="minorBidi"/>
          <w:sz w:val="22"/>
          <w:szCs w:val="22"/>
        </w:rPr>
        <w:tab/>
      </w:r>
      <w:r w:rsidRPr="000B2293">
        <w:rPr>
          <w:rFonts w:ascii="Calibri" w:hAnsi="Calibri"/>
          <w:sz w:val="22"/>
          <w:szCs w:val="22"/>
        </w:rPr>
        <w:t>Solvent Purity and Blanks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_Toc511217516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75</w:t>
      </w:r>
      <w:r w:rsidRPr="000B2293">
        <w:rPr>
          <w:rFonts w:ascii="Calibri" w:hAnsi="Calibri"/>
          <w:sz w:val="22"/>
          <w:szCs w:val="22"/>
        </w:rPr>
        <w:fldChar w:fldCharType="end"/>
      </w:r>
    </w:p>
    <w:p w14:paraId="30427979"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5.2</w:t>
      </w:r>
      <w:r w:rsidRPr="000B2293">
        <w:rPr>
          <w:rFonts w:ascii="Calibri" w:eastAsiaTheme="minorEastAsia" w:hAnsi="Calibri" w:cstheme="minorBidi"/>
          <w:sz w:val="22"/>
          <w:szCs w:val="22"/>
        </w:rPr>
        <w:tab/>
      </w:r>
      <w:r w:rsidRPr="000B2293">
        <w:rPr>
          <w:rFonts w:ascii="Calibri" w:hAnsi="Calibri"/>
          <w:sz w:val="22"/>
          <w:szCs w:val="22"/>
        </w:rPr>
        <w:t>Preparation of materials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_Toc511217517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75</w:t>
      </w:r>
      <w:r w:rsidRPr="000B2293">
        <w:rPr>
          <w:rFonts w:ascii="Calibri" w:hAnsi="Calibri"/>
          <w:sz w:val="22"/>
          <w:szCs w:val="22"/>
        </w:rPr>
        <w:fldChar w:fldCharType="end"/>
      </w:r>
    </w:p>
    <w:p w14:paraId="013AD321"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5.3</w:t>
      </w:r>
      <w:r w:rsidRPr="000B2293">
        <w:rPr>
          <w:rFonts w:ascii="Calibri" w:eastAsiaTheme="minorEastAsia" w:hAnsi="Calibri" w:cstheme="minorBidi"/>
          <w:sz w:val="22"/>
          <w:szCs w:val="22"/>
        </w:rPr>
        <w:tab/>
      </w:r>
      <w:r w:rsidRPr="000B2293">
        <w:rPr>
          <w:rFonts w:ascii="Calibri" w:hAnsi="Calibri"/>
          <w:sz w:val="22"/>
          <w:szCs w:val="22"/>
        </w:rPr>
        <w:t>Lipid determination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_Toc511217518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75</w:t>
      </w:r>
      <w:r w:rsidRPr="000B2293">
        <w:rPr>
          <w:rFonts w:ascii="Calibri" w:hAnsi="Calibri"/>
          <w:sz w:val="22"/>
          <w:szCs w:val="22"/>
        </w:rPr>
        <w:fldChar w:fldCharType="end"/>
      </w:r>
    </w:p>
    <w:p w14:paraId="48C246FE"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5.4</w:t>
      </w:r>
      <w:r w:rsidRPr="000B2293">
        <w:rPr>
          <w:rFonts w:ascii="Calibri" w:eastAsiaTheme="minorEastAsia" w:hAnsi="Calibri" w:cstheme="minorBidi"/>
          <w:sz w:val="22"/>
          <w:szCs w:val="22"/>
        </w:rPr>
        <w:tab/>
      </w:r>
      <w:r w:rsidRPr="000B2293">
        <w:rPr>
          <w:rFonts w:ascii="Calibri" w:hAnsi="Calibri"/>
          <w:sz w:val="22"/>
          <w:szCs w:val="22"/>
        </w:rPr>
        <w:t>Extraction and clean-up</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_Toc511217519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76</w:t>
      </w:r>
      <w:r w:rsidRPr="000B2293">
        <w:rPr>
          <w:rFonts w:ascii="Calibri" w:hAnsi="Calibri"/>
          <w:sz w:val="22"/>
          <w:szCs w:val="22"/>
        </w:rPr>
        <w:fldChar w:fldCharType="end"/>
      </w:r>
    </w:p>
    <w:p w14:paraId="602A6C58"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5.5</w:t>
      </w:r>
      <w:r w:rsidRPr="000B2293">
        <w:rPr>
          <w:rFonts w:ascii="Calibri" w:eastAsiaTheme="minorEastAsia" w:hAnsi="Calibri" w:cstheme="minorBidi"/>
          <w:sz w:val="22"/>
          <w:szCs w:val="22"/>
        </w:rPr>
        <w:tab/>
      </w:r>
      <w:r w:rsidRPr="000B2293">
        <w:rPr>
          <w:rFonts w:ascii="Calibri" w:hAnsi="Calibri"/>
          <w:sz w:val="22"/>
          <w:szCs w:val="22"/>
        </w:rPr>
        <w:t>Pre-concentration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_Toc511217520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76</w:t>
      </w:r>
      <w:r w:rsidRPr="000B2293">
        <w:rPr>
          <w:rFonts w:ascii="Calibri" w:hAnsi="Calibri"/>
          <w:sz w:val="22"/>
          <w:szCs w:val="22"/>
        </w:rPr>
        <w:fldChar w:fldCharType="end"/>
      </w:r>
    </w:p>
    <w:p w14:paraId="568B4AC1"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5.6</w:t>
      </w:r>
      <w:r w:rsidRPr="000B2293">
        <w:rPr>
          <w:rFonts w:ascii="Calibri" w:eastAsiaTheme="minorEastAsia" w:hAnsi="Calibri" w:cstheme="minorBidi"/>
          <w:sz w:val="22"/>
          <w:szCs w:val="22"/>
        </w:rPr>
        <w:tab/>
      </w:r>
      <w:r w:rsidRPr="000B2293">
        <w:rPr>
          <w:rFonts w:ascii="Calibri" w:hAnsi="Calibri"/>
          <w:sz w:val="22"/>
          <w:szCs w:val="22"/>
        </w:rPr>
        <w:t>Instrumental determination of HBCD</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_Toc511217521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76</w:t>
      </w:r>
      <w:r w:rsidRPr="000B2293">
        <w:rPr>
          <w:rFonts w:ascii="Calibri" w:hAnsi="Calibri"/>
          <w:sz w:val="22"/>
          <w:szCs w:val="22"/>
        </w:rPr>
        <w:fldChar w:fldCharType="end"/>
      </w:r>
    </w:p>
    <w:p w14:paraId="38BF9F56"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5.6.1</w:t>
      </w:r>
      <w:r w:rsidRPr="000B2293">
        <w:rPr>
          <w:rFonts w:ascii="Calibri" w:eastAsiaTheme="minorEastAsia" w:hAnsi="Calibri" w:cstheme="minorBidi"/>
          <w:sz w:val="22"/>
          <w:szCs w:val="22"/>
        </w:rPr>
        <w:tab/>
      </w:r>
      <w:r w:rsidRPr="000B2293">
        <w:rPr>
          <w:rFonts w:ascii="Calibri" w:hAnsi="Calibri"/>
          <w:sz w:val="22"/>
          <w:szCs w:val="22"/>
        </w:rPr>
        <w:t>GC-MS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_Toc511217522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77</w:t>
      </w:r>
      <w:r w:rsidRPr="000B2293">
        <w:rPr>
          <w:rFonts w:ascii="Calibri" w:hAnsi="Calibri"/>
          <w:sz w:val="22"/>
          <w:szCs w:val="22"/>
        </w:rPr>
        <w:fldChar w:fldCharType="end"/>
      </w:r>
    </w:p>
    <w:p w14:paraId="2A507C30"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5.6.2</w:t>
      </w:r>
      <w:r w:rsidRPr="000B2293">
        <w:rPr>
          <w:rFonts w:ascii="Calibri" w:eastAsiaTheme="minorEastAsia" w:hAnsi="Calibri" w:cstheme="minorBidi"/>
          <w:sz w:val="22"/>
          <w:szCs w:val="22"/>
        </w:rPr>
        <w:tab/>
      </w:r>
      <w:r w:rsidRPr="000B2293">
        <w:rPr>
          <w:rFonts w:ascii="Calibri" w:hAnsi="Calibri"/>
          <w:sz w:val="22"/>
          <w:szCs w:val="22"/>
        </w:rPr>
        <w:t>LC-MS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_Toc511217523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77</w:t>
      </w:r>
      <w:r w:rsidRPr="000B2293">
        <w:rPr>
          <w:rFonts w:ascii="Calibri" w:hAnsi="Calibri"/>
          <w:sz w:val="22"/>
          <w:szCs w:val="22"/>
        </w:rPr>
        <w:fldChar w:fldCharType="end"/>
      </w:r>
    </w:p>
    <w:p w14:paraId="6CB8FE06" w14:textId="77777777" w:rsidR="000B2293" w:rsidRPr="000B2293" w:rsidRDefault="000B2293">
      <w:pPr>
        <w:pStyle w:val="TOC1"/>
        <w:tabs>
          <w:tab w:val="left" w:pos="357"/>
        </w:tabs>
        <w:rPr>
          <w:rFonts w:ascii="Calibri" w:eastAsiaTheme="minorEastAsia" w:hAnsi="Calibri" w:cstheme="minorBidi"/>
          <w:b w:val="0"/>
          <w:noProof/>
          <w:sz w:val="22"/>
          <w:szCs w:val="22"/>
        </w:rPr>
      </w:pPr>
      <w:r w:rsidRPr="000B2293">
        <w:rPr>
          <w:rFonts w:ascii="Calibri" w:hAnsi="Calibri"/>
          <w:noProof/>
          <w:sz w:val="22"/>
          <w:szCs w:val="22"/>
        </w:rPr>
        <w:t>6</w:t>
      </w:r>
      <w:r w:rsidRPr="000B2293">
        <w:rPr>
          <w:rFonts w:ascii="Calibri" w:eastAsiaTheme="minorEastAsia" w:hAnsi="Calibri" w:cstheme="minorBidi"/>
          <w:b w:val="0"/>
          <w:noProof/>
          <w:sz w:val="22"/>
          <w:szCs w:val="22"/>
        </w:rPr>
        <w:tab/>
      </w:r>
      <w:r w:rsidRPr="000B2293">
        <w:rPr>
          <w:rFonts w:ascii="Calibri" w:hAnsi="Calibri"/>
          <w:noProof/>
          <w:sz w:val="22"/>
          <w:szCs w:val="22"/>
        </w:rPr>
        <w:t>Calibration and Quantification</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_Toc511217524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78</w:t>
      </w:r>
      <w:r w:rsidRPr="000B2293">
        <w:rPr>
          <w:rFonts w:ascii="Calibri" w:hAnsi="Calibri"/>
          <w:noProof/>
          <w:sz w:val="22"/>
          <w:szCs w:val="22"/>
        </w:rPr>
        <w:fldChar w:fldCharType="end"/>
      </w:r>
    </w:p>
    <w:p w14:paraId="0FF61C0D"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6.1</w:t>
      </w:r>
      <w:r w:rsidRPr="000B2293">
        <w:rPr>
          <w:rFonts w:ascii="Calibri" w:eastAsiaTheme="minorEastAsia" w:hAnsi="Calibri" w:cstheme="minorBidi"/>
          <w:sz w:val="22"/>
          <w:szCs w:val="22"/>
        </w:rPr>
        <w:tab/>
      </w:r>
      <w:r w:rsidRPr="000B2293">
        <w:rPr>
          <w:rFonts w:ascii="Calibri" w:hAnsi="Calibri"/>
          <w:sz w:val="22"/>
          <w:szCs w:val="22"/>
        </w:rPr>
        <w:t>Standards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_Toc511217525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78</w:t>
      </w:r>
      <w:r w:rsidRPr="000B2293">
        <w:rPr>
          <w:rFonts w:ascii="Calibri" w:hAnsi="Calibri"/>
          <w:sz w:val="22"/>
          <w:szCs w:val="22"/>
        </w:rPr>
        <w:fldChar w:fldCharType="end"/>
      </w:r>
    </w:p>
    <w:p w14:paraId="6F9ED98A"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6.2</w:t>
      </w:r>
      <w:r w:rsidRPr="000B2293">
        <w:rPr>
          <w:rFonts w:ascii="Calibri" w:eastAsiaTheme="minorEastAsia" w:hAnsi="Calibri" w:cstheme="minorBidi"/>
          <w:sz w:val="22"/>
          <w:szCs w:val="22"/>
        </w:rPr>
        <w:tab/>
      </w:r>
      <w:r w:rsidRPr="000B2293">
        <w:rPr>
          <w:rFonts w:ascii="Calibri" w:hAnsi="Calibri"/>
          <w:sz w:val="22"/>
          <w:szCs w:val="22"/>
        </w:rPr>
        <w:t>Calibration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_Toc511217526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78</w:t>
      </w:r>
      <w:r w:rsidRPr="000B2293">
        <w:rPr>
          <w:rFonts w:ascii="Calibri" w:hAnsi="Calibri"/>
          <w:sz w:val="22"/>
          <w:szCs w:val="22"/>
        </w:rPr>
        <w:fldChar w:fldCharType="end"/>
      </w:r>
    </w:p>
    <w:p w14:paraId="3C0C7387" w14:textId="77777777" w:rsidR="000B2293" w:rsidRPr="000B2293" w:rsidRDefault="000B2293">
      <w:pPr>
        <w:pStyle w:val="TOC1"/>
        <w:tabs>
          <w:tab w:val="left" w:pos="357"/>
        </w:tabs>
        <w:rPr>
          <w:rFonts w:ascii="Calibri" w:eastAsiaTheme="minorEastAsia" w:hAnsi="Calibri" w:cstheme="minorBidi"/>
          <w:b w:val="0"/>
          <w:noProof/>
          <w:sz w:val="22"/>
          <w:szCs w:val="22"/>
        </w:rPr>
      </w:pPr>
      <w:r w:rsidRPr="000B2293">
        <w:rPr>
          <w:rFonts w:ascii="Calibri" w:hAnsi="Calibri"/>
          <w:noProof/>
          <w:sz w:val="22"/>
          <w:szCs w:val="22"/>
        </w:rPr>
        <w:t>7</w:t>
      </w:r>
      <w:r w:rsidRPr="000B2293">
        <w:rPr>
          <w:rFonts w:ascii="Calibri" w:eastAsiaTheme="minorEastAsia" w:hAnsi="Calibri" w:cstheme="minorBidi"/>
          <w:b w:val="0"/>
          <w:noProof/>
          <w:sz w:val="22"/>
          <w:szCs w:val="22"/>
        </w:rPr>
        <w:tab/>
      </w:r>
      <w:r w:rsidRPr="000B2293">
        <w:rPr>
          <w:rFonts w:ascii="Calibri" w:hAnsi="Calibri"/>
          <w:noProof/>
          <w:sz w:val="22"/>
          <w:szCs w:val="22"/>
        </w:rPr>
        <w:t>Analytical Quality Control</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_Toc511217527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78</w:t>
      </w:r>
      <w:r w:rsidRPr="000B2293">
        <w:rPr>
          <w:rFonts w:ascii="Calibri" w:hAnsi="Calibri"/>
          <w:noProof/>
          <w:sz w:val="22"/>
          <w:szCs w:val="22"/>
        </w:rPr>
        <w:fldChar w:fldCharType="end"/>
      </w:r>
    </w:p>
    <w:p w14:paraId="44B8C734" w14:textId="77777777" w:rsidR="000B2293" w:rsidRPr="000B2293" w:rsidRDefault="000B2293">
      <w:pPr>
        <w:pStyle w:val="TOC1"/>
        <w:tabs>
          <w:tab w:val="left" w:pos="357"/>
        </w:tabs>
        <w:rPr>
          <w:rFonts w:ascii="Calibri" w:eastAsiaTheme="minorEastAsia" w:hAnsi="Calibri" w:cstheme="minorBidi"/>
          <w:b w:val="0"/>
          <w:noProof/>
          <w:sz w:val="22"/>
          <w:szCs w:val="22"/>
        </w:rPr>
      </w:pPr>
      <w:r w:rsidRPr="000B2293">
        <w:rPr>
          <w:rFonts w:ascii="Calibri" w:hAnsi="Calibri"/>
          <w:noProof/>
          <w:sz w:val="22"/>
          <w:szCs w:val="22"/>
        </w:rPr>
        <w:t>8</w:t>
      </w:r>
      <w:r w:rsidRPr="000B2293">
        <w:rPr>
          <w:rFonts w:ascii="Calibri" w:eastAsiaTheme="minorEastAsia" w:hAnsi="Calibri" w:cstheme="minorBidi"/>
          <w:b w:val="0"/>
          <w:noProof/>
          <w:sz w:val="22"/>
          <w:szCs w:val="22"/>
        </w:rPr>
        <w:tab/>
      </w:r>
      <w:r w:rsidRPr="000B2293">
        <w:rPr>
          <w:rFonts w:ascii="Calibri" w:hAnsi="Calibri"/>
          <w:noProof/>
          <w:sz w:val="22"/>
          <w:szCs w:val="22"/>
        </w:rPr>
        <w:t>Data Reporting</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_Toc511217528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79</w:t>
      </w:r>
      <w:r w:rsidRPr="000B2293">
        <w:rPr>
          <w:rFonts w:ascii="Calibri" w:hAnsi="Calibri"/>
          <w:noProof/>
          <w:sz w:val="22"/>
          <w:szCs w:val="22"/>
        </w:rPr>
        <w:fldChar w:fldCharType="end"/>
      </w:r>
    </w:p>
    <w:p w14:paraId="7FBEE277" w14:textId="77777777" w:rsidR="000B2293" w:rsidRPr="000B2293" w:rsidRDefault="000B2293">
      <w:pPr>
        <w:pStyle w:val="TOC1"/>
        <w:tabs>
          <w:tab w:val="left" w:pos="357"/>
        </w:tabs>
        <w:rPr>
          <w:rFonts w:ascii="Calibri" w:eastAsiaTheme="minorEastAsia" w:hAnsi="Calibri" w:cstheme="minorBidi"/>
          <w:b w:val="0"/>
          <w:noProof/>
          <w:sz w:val="22"/>
          <w:szCs w:val="22"/>
        </w:rPr>
      </w:pPr>
      <w:r w:rsidRPr="000B2293">
        <w:rPr>
          <w:rFonts w:ascii="Calibri" w:hAnsi="Calibri"/>
          <w:noProof/>
          <w:sz w:val="22"/>
          <w:szCs w:val="22"/>
        </w:rPr>
        <w:t>9</w:t>
      </w:r>
      <w:r w:rsidRPr="000B2293">
        <w:rPr>
          <w:rFonts w:ascii="Calibri" w:eastAsiaTheme="minorEastAsia" w:hAnsi="Calibri" w:cstheme="minorBidi"/>
          <w:b w:val="0"/>
          <w:noProof/>
          <w:sz w:val="22"/>
          <w:szCs w:val="22"/>
        </w:rPr>
        <w:tab/>
      </w:r>
      <w:r w:rsidRPr="000B2293">
        <w:rPr>
          <w:rFonts w:ascii="Calibri" w:hAnsi="Calibri"/>
          <w:noProof/>
          <w:sz w:val="22"/>
          <w:szCs w:val="22"/>
        </w:rPr>
        <w:t>References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_Toc511217529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79</w:t>
      </w:r>
      <w:r w:rsidRPr="000B2293">
        <w:rPr>
          <w:rFonts w:ascii="Calibri" w:hAnsi="Calibri"/>
          <w:noProof/>
          <w:sz w:val="22"/>
          <w:szCs w:val="22"/>
        </w:rPr>
        <w:fldChar w:fldCharType="end"/>
      </w:r>
    </w:p>
    <w:p w14:paraId="5902E17F" w14:textId="77777777" w:rsidR="000B2293" w:rsidRPr="000B2293" w:rsidRDefault="000B2293">
      <w:pPr>
        <w:pStyle w:val="TOC1"/>
        <w:rPr>
          <w:rFonts w:ascii="Calibri" w:eastAsiaTheme="minorEastAsia" w:hAnsi="Calibri" w:cstheme="minorBidi"/>
          <w:b w:val="0"/>
          <w:noProof/>
          <w:sz w:val="22"/>
          <w:szCs w:val="22"/>
        </w:rPr>
      </w:pPr>
      <w:r w:rsidRPr="000B2293">
        <w:rPr>
          <w:rFonts w:ascii="Calibri" w:hAnsi="Calibri"/>
          <w:noProof/>
          <w:sz w:val="22"/>
          <w:szCs w:val="22"/>
        </w:rPr>
        <w:t>Technical Annex 6: Perfluorinated compounds in biota</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_Toc511217530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80</w:t>
      </w:r>
      <w:r w:rsidRPr="000B2293">
        <w:rPr>
          <w:rFonts w:ascii="Calibri" w:hAnsi="Calibri"/>
          <w:noProof/>
          <w:sz w:val="22"/>
          <w:szCs w:val="22"/>
        </w:rPr>
        <w:fldChar w:fldCharType="end"/>
      </w:r>
    </w:p>
    <w:p w14:paraId="5E919F20"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1.</w:t>
      </w:r>
      <w:r w:rsidRPr="000B2293">
        <w:rPr>
          <w:rFonts w:ascii="Calibri" w:eastAsiaTheme="minorEastAsia" w:hAnsi="Calibri" w:cstheme="minorBidi"/>
          <w:b w:val="0"/>
          <w:noProof/>
          <w:sz w:val="22"/>
          <w:szCs w:val="22"/>
        </w:rPr>
        <w:tab/>
      </w:r>
      <w:r w:rsidRPr="000B2293">
        <w:rPr>
          <w:rFonts w:ascii="Calibri" w:hAnsi="Calibri"/>
          <w:noProof/>
          <w:sz w:val="22"/>
          <w:szCs w:val="22"/>
        </w:rPr>
        <w:t>Introduction</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_Toc511217531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80</w:t>
      </w:r>
      <w:r w:rsidRPr="000B2293">
        <w:rPr>
          <w:rFonts w:ascii="Calibri" w:hAnsi="Calibri"/>
          <w:noProof/>
          <w:sz w:val="22"/>
          <w:szCs w:val="22"/>
        </w:rPr>
        <w:fldChar w:fldCharType="end"/>
      </w:r>
    </w:p>
    <w:p w14:paraId="13926E3D" w14:textId="77777777" w:rsidR="000B2293" w:rsidRPr="000B2293" w:rsidRDefault="000B2293">
      <w:pPr>
        <w:pStyle w:val="TOC1"/>
        <w:tabs>
          <w:tab w:val="left" w:pos="357"/>
        </w:tabs>
        <w:rPr>
          <w:rFonts w:ascii="Calibri" w:eastAsiaTheme="minorEastAsia" w:hAnsi="Calibri" w:cstheme="minorBidi"/>
          <w:b w:val="0"/>
          <w:noProof/>
          <w:sz w:val="22"/>
          <w:szCs w:val="22"/>
        </w:rPr>
      </w:pPr>
      <w:r w:rsidRPr="000B2293">
        <w:rPr>
          <w:rFonts w:ascii="Calibri" w:hAnsi="Calibri"/>
          <w:noProof/>
          <w:sz w:val="22"/>
          <w:szCs w:val="22"/>
        </w:rPr>
        <w:t>2</w:t>
      </w:r>
      <w:r w:rsidRPr="000B2293">
        <w:rPr>
          <w:rFonts w:ascii="Calibri" w:eastAsiaTheme="minorEastAsia" w:hAnsi="Calibri" w:cstheme="minorBidi"/>
          <w:b w:val="0"/>
          <w:noProof/>
          <w:sz w:val="22"/>
          <w:szCs w:val="22"/>
        </w:rPr>
        <w:tab/>
      </w:r>
      <w:r w:rsidRPr="000B2293">
        <w:rPr>
          <w:rFonts w:ascii="Calibri" w:hAnsi="Calibri"/>
          <w:noProof/>
          <w:sz w:val="22"/>
          <w:szCs w:val="22"/>
        </w:rPr>
        <w:t>Analyses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_Toc511217532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80</w:t>
      </w:r>
      <w:r w:rsidRPr="000B2293">
        <w:rPr>
          <w:rFonts w:ascii="Calibri" w:hAnsi="Calibri"/>
          <w:noProof/>
          <w:sz w:val="22"/>
          <w:szCs w:val="22"/>
        </w:rPr>
        <w:fldChar w:fldCharType="end"/>
      </w:r>
    </w:p>
    <w:p w14:paraId="739BC4F1" w14:textId="77777777" w:rsidR="000B2293" w:rsidRPr="000B2293" w:rsidRDefault="000B2293">
      <w:pPr>
        <w:pStyle w:val="TOC1"/>
        <w:rPr>
          <w:rFonts w:ascii="Calibri" w:eastAsiaTheme="minorEastAsia" w:hAnsi="Calibri" w:cstheme="minorBidi"/>
          <w:b w:val="0"/>
          <w:noProof/>
          <w:sz w:val="22"/>
          <w:szCs w:val="22"/>
        </w:rPr>
      </w:pPr>
      <w:r w:rsidRPr="000B2293">
        <w:rPr>
          <w:rFonts w:ascii="Calibri" w:hAnsi="Calibri"/>
          <w:noProof/>
          <w:sz w:val="22"/>
          <w:szCs w:val="22"/>
        </w:rPr>
        <w:t>Perfluorobutane sulfonate</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_Toc511217533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81</w:t>
      </w:r>
      <w:r w:rsidRPr="000B2293">
        <w:rPr>
          <w:rFonts w:ascii="Calibri" w:hAnsi="Calibri"/>
          <w:noProof/>
          <w:sz w:val="22"/>
          <w:szCs w:val="22"/>
        </w:rPr>
        <w:fldChar w:fldCharType="end"/>
      </w:r>
    </w:p>
    <w:p w14:paraId="39DF46E4"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3.</w:t>
      </w:r>
      <w:r w:rsidRPr="000B2293">
        <w:rPr>
          <w:rFonts w:ascii="Calibri" w:eastAsiaTheme="minorEastAsia" w:hAnsi="Calibri" w:cstheme="minorBidi"/>
          <w:b w:val="0"/>
          <w:noProof/>
          <w:sz w:val="22"/>
          <w:szCs w:val="22"/>
        </w:rPr>
        <w:tab/>
      </w:r>
      <w:r w:rsidRPr="000B2293">
        <w:rPr>
          <w:rFonts w:ascii="Calibri" w:hAnsi="Calibri"/>
          <w:noProof/>
          <w:sz w:val="22"/>
          <w:szCs w:val="22"/>
        </w:rPr>
        <w:t>Species and tissue for analysis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_Toc511217534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82</w:t>
      </w:r>
      <w:r w:rsidRPr="000B2293">
        <w:rPr>
          <w:rFonts w:ascii="Calibri" w:hAnsi="Calibri"/>
          <w:noProof/>
          <w:sz w:val="22"/>
          <w:szCs w:val="22"/>
        </w:rPr>
        <w:fldChar w:fldCharType="end"/>
      </w:r>
    </w:p>
    <w:p w14:paraId="45AF5D8A"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4.</w:t>
      </w:r>
      <w:r w:rsidRPr="000B2293">
        <w:rPr>
          <w:rFonts w:ascii="Calibri" w:eastAsiaTheme="minorEastAsia" w:hAnsi="Calibri" w:cstheme="minorBidi"/>
          <w:b w:val="0"/>
          <w:noProof/>
          <w:sz w:val="22"/>
          <w:szCs w:val="22"/>
        </w:rPr>
        <w:tab/>
      </w:r>
      <w:r w:rsidRPr="000B2293">
        <w:rPr>
          <w:rFonts w:ascii="Calibri" w:hAnsi="Calibri"/>
          <w:noProof/>
          <w:sz w:val="22"/>
          <w:szCs w:val="22"/>
        </w:rPr>
        <w:t>Sampling, transportation and storage</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_Toc511217535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82</w:t>
      </w:r>
      <w:r w:rsidRPr="000B2293">
        <w:rPr>
          <w:rFonts w:ascii="Calibri" w:hAnsi="Calibri"/>
          <w:noProof/>
          <w:sz w:val="22"/>
          <w:szCs w:val="22"/>
        </w:rPr>
        <w:fldChar w:fldCharType="end"/>
      </w:r>
    </w:p>
    <w:p w14:paraId="73A44043"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5.</w:t>
      </w:r>
      <w:r w:rsidRPr="000B2293">
        <w:rPr>
          <w:rFonts w:ascii="Calibri" w:eastAsiaTheme="minorEastAsia" w:hAnsi="Calibri" w:cstheme="minorBidi"/>
          <w:b w:val="0"/>
          <w:noProof/>
          <w:sz w:val="22"/>
          <w:szCs w:val="22"/>
        </w:rPr>
        <w:tab/>
      </w:r>
      <w:r w:rsidRPr="000B2293">
        <w:rPr>
          <w:rFonts w:ascii="Calibri" w:hAnsi="Calibri"/>
          <w:noProof/>
          <w:sz w:val="22"/>
          <w:szCs w:val="22"/>
        </w:rPr>
        <w:t xml:space="preserve"> Sample preparation</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_Toc511217536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82</w:t>
      </w:r>
      <w:r w:rsidRPr="000B2293">
        <w:rPr>
          <w:rFonts w:ascii="Calibri" w:hAnsi="Calibri"/>
          <w:noProof/>
          <w:sz w:val="22"/>
          <w:szCs w:val="22"/>
        </w:rPr>
        <w:fldChar w:fldCharType="end"/>
      </w:r>
    </w:p>
    <w:p w14:paraId="7F422EF7"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5.1</w:t>
      </w:r>
      <w:r w:rsidRPr="000B2293">
        <w:rPr>
          <w:rFonts w:ascii="Calibri" w:eastAsiaTheme="minorEastAsia" w:hAnsi="Calibri" w:cstheme="minorBidi"/>
          <w:sz w:val="22"/>
          <w:szCs w:val="22"/>
        </w:rPr>
        <w:tab/>
      </w:r>
      <w:r w:rsidRPr="000B2293">
        <w:rPr>
          <w:rFonts w:ascii="Calibri" w:hAnsi="Calibri"/>
          <w:sz w:val="22"/>
          <w:szCs w:val="22"/>
        </w:rPr>
        <w:t>Homogenisation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_Toc511217537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82</w:t>
      </w:r>
      <w:r w:rsidRPr="000B2293">
        <w:rPr>
          <w:rFonts w:ascii="Calibri" w:hAnsi="Calibri"/>
          <w:sz w:val="22"/>
          <w:szCs w:val="22"/>
        </w:rPr>
        <w:fldChar w:fldCharType="end"/>
      </w:r>
    </w:p>
    <w:p w14:paraId="2910B7D6"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5.2</w:t>
      </w:r>
      <w:r w:rsidRPr="000B2293">
        <w:rPr>
          <w:rFonts w:ascii="Calibri" w:eastAsiaTheme="minorEastAsia" w:hAnsi="Calibri" w:cstheme="minorBidi"/>
          <w:sz w:val="22"/>
          <w:szCs w:val="22"/>
        </w:rPr>
        <w:tab/>
      </w:r>
      <w:r w:rsidRPr="000B2293">
        <w:rPr>
          <w:rFonts w:ascii="Calibri" w:hAnsi="Calibri"/>
          <w:sz w:val="22"/>
          <w:szCs w:val="22"/>
        </w:rPr>
        <w:t>Extraction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_Toc511217538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82</w:t>
      </w:r>
      <w:r w:rsidRPr="000B2293">
        <w:rPr>
          <w:rFonts w:ascii="Calibri" w:hAnsi="Calibri"/>
          <w:sz w:val="22"/>
          <w:szCs w:val="22"/>
        </w:rPr>
        <w:fldChar w:fldCharType="end"/>
      </w:r>
    </w:p>
    <w:p w14:paraId="01695B32"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5.3</w:t>
      </w:r>
      <w:r w:rsidRPr="000B2293">
        <w:rPr>
          <w:rFonts w:ascii="Calibri" w:eastAsiaTheme="minorEastAsia" w:hAnsi="Calibri" w:cstheme="minorBidi"/>
          <w:sz w:val="22"/>
          <w:szCs w:val="22"/>
        </w:rPr>
        <w:tab/>
      </w:r>
      <w:r w:rsidRPr="000B2293">
        <w:rPr>
          <w:rFonts w:ascii="Calibri" w:hAnsi="Calibri"/>
          <w:sz w:val="22"/>
          <w:szCs w:val="22"/>
        </w:rPr>
        <w:t>Clean-up</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_Toc511217539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83</w:t>
      </w:r>
      <w:r w:rsidRPr="000B2293">
        <w:rPr>
          <w:rFonts w:ascii="Calibri" w:hAnsi="Calibri"/>
          <w:sz w:val="22"/>
          <w:szCs w:val="22"/>
        </w:rPr>
        <w:fldChar w:fldCharType="end"/>
      </w:r>
    </w:p>
    <w:p w14:paraId="41DC4775"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6.</w:t>
      </w:r>
      <w:r w:rsidRPr="000B2293">
        <w:rPr>
          <w:rFonts w:ascii="Calibri" w:eastAsiaTheme="minorEastAsia" w:hAnsi="Calibri" w:cstheme="minorBidi"/>
          <w:b w:val="0"/>
          <w:noProof/>
          <w:sz w:val="22"/>
          <w:szCs w:val="22"/>
        </w:rPr>
        <w:tab/>
      </w:r>
      <w:r w:rsidRPr="000B2293">
        <w:rPr>
          <w:rFonts w:ascii="Calibri" w:hAnsi="Calibri"/>
          <w:noProof/>
          <w:sz w:val="22"/>
          <w:szCs w:val="22"/>
        </w:rPr>
        <w:t>Instrumental analysis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_Toc511217540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83</w:t>
      </w:r>
      <w:r w:rsidRPr="000B2293">
        <w:rPr>
          <w:rFonts w:ascii="Calibri" w:hAnsi="Calibri"/>
          <w:noProof/>
          <w:sz w:val="22"/>
          <w:szCs w:val="22"/>
        </w:rPr>
        <w:fldChar w:fldCharType="end"/>
      </w:r>
    </w:p>
    <w:p w14:paraId="3AAE397C"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6.1</w:t>
      </w:r>
      <w:r w:rsidRPr="000B2293">
        <w:rPr>
          <w:rFonts w:ascii="Calibri" w:eastAsiaTheme="minorEastAsia" w:hAnsi="Calibri" w:cstheme="minorBidi"/>
          <w:sz w:val="22"/>
          <w:szCs w:val="22"/>
        </w:rPr>
        <w:tab/>
      </w:r>
      <w:r w:rsidRPr="000B2293">
        <w:rPr>
          <w:rFonts w:ascii="Calibri" w:hAnsi="Calibri"/>
          <w:sz w:val="22"/>
          <w:szCs w:val="22"/>
        </w:rPr>
        <w:t>Liquid chromatography</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_Toc511217541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83</w:t>
      </w:r>
      <w:r w:rsidRPr="000B2293">
        <w:rPr>
          <w:rFonts w:ascii="Calibri" w:hAnsi="Calibri"/>
          <w:sz w:val="22"/>
          <w:szCs w:val="22"/>
        </w:rPr>
        <w:fldChar w:fldCharType="end"/>
      </w:r>
    </w:p>
    <w:p w14:paraId="48E01127"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6.2</w:t>
      </w:r>
      <w:r w:rsidRPr="000B2293">
        <w:rPr>
          <w:rFonts w:ascii="Calibri" w:eastAsiaTheme="minorEastAsia" w:hAnsi="Calibri" w:cstheme="minorBidi"/>
          <w:sz w:val="22"/>
          <w:szCs w:val="22"/>
        </w:rPr>
        <w:tab/>
      </w:r>
      <w:r w:rsidRPr="000B2293">
        <w:rPr>
          <w:rFonts w:ascii="Calibri" w:hAnsi="Calibri"/>
          <w:sz w:val="22"/>
          <w:szCs w:val="22"/>
        </w:rPr>
        <w:t>Detection methods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_Toc511217542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84</w:t>
      </w:r>
      <w:r w:rsidRPr="000B2293">
        <w:rPr>
          <w:rFonts w:ascii="Calibri" w:hAnsi="Calibri"/>
          <w:sz w:val="22"/>
          <w:szCs w:val="22"/>
        </w:rPr>
        <w:fldChar w:fldCharType="end"/>
      </w:r>
    </w:p>
    <w:p w14:paraId="56FEED78"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7.</w:t>
      </w:r>
      <w:r w:rsidRPr="000B2293">
        <w:rPr>
          <w:rFonts w:ascii="Calibri" w:eastAsiaTheme="minorEastAsia" w:hAnsi="Calibri" w:cstheme="minorBidi"/>
          <w:b w:val="0"/>
          <w:noProof/>
          <w:sz w:val="22"/>
          <w:szCs w:val="22"/>
        </w:rPr>
        <w:tab/>
      </w:r>
      <w:r w:rsidRPr="000B2293">
        <w:rPr>
          <w:rFonts w:ascii="Calibri" w:hAnsi="Calibri"/>
          <w:noProof/>
          <w:sz w:val="22"/>
          <w:szCs w:val="22"/>
        </w:rPr>
        <w:t>Calibration and quantification</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_Toc511217543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84</w:t>
      </w:r>
      <w:r w:rsidRPr="000B2293">
        <w:rPr>
          <w:rFonts w:ascii="Calibri" w:hAnsi="Calibri"/>
          <w:noProof/>
          <w:sz w:val="22"/>
          <w:szCs w:val="22"/>
        </w:rPr>
        <w:fldChar w:fldCharType="end"/>
      </w:r>
    </w:p>
    <w:p w14:paraId="0CE8E871"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7.1</w:t>
      </w:r>
      <w:r w:rsidRPr="000B2293">
        <w:rPr>
          <w:rFonts w:ascii="Calibri" w:eastAsiaTheme="minorEastAsia" w:hAnsi="Calibri" w:cstheme="minorBidi"/>
          <w:sz w:val="22"/>
          <w:szCs w:val="22"/>
        </w:rPr>
        <w:tab/>
      </w:r>
      <w:r w:rsidRPr="000B2293">
        <w:rPr>
          <w:rFonts w:ascii="Calibri" w:hAnsi="Calibri"/>
          <w:sz w:val="22"/>
          <w:szCs w:val="22"/>
        </w:rPr>
        <w:t>Standards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_Toc511217544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84</w:t>
      </w:r>
      <w:r w:rsidRPr="000B2293">
        <w:rPr>
          <w:rFonts w:ascii="Calibri" w:hAnsi="Calibri"/>
          <w:sz w:val="22"/>
          <w:szCs w:val="22"/>
        </w:rPr>
        <w:fldChar w:fldCharType="end"/>
      </w:r>
    </w:p>
    <w:p w14:paraId="5E29F457"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7.2</w:t>
      </w:r>
      <w:r w:rsidRPr="000B2293">
        <w:rPr>
          <w:rFonts w:ascii="Calibri" w:eastAsiaTheme="minorEastAsia" w:hAnsi="Calibri" w:cstheme="minorBidi"/>
          <w:sz w:val="22"/>
          <w:szCs w:val="22"/>
        </w:rPr>
        <w:tab/>
      </w:r>
      <w:r w:rsidRPr="000B2293">
        <w:rPr>
          <w:rFonts w:ascii="Calibri" w:hAnsi="Calibri"/>
          <w:sz w:val="22"/>
          <w:szCs w:val="22"/>
        </w:rPr>
        <w:t>Calibration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_Toc511217545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85</w:t>
      </w:r>
      <w:r w:rsidRPr="000B2293">
        <w:rPr>
          <w:rFonts w:ascii="Calibri" w:hAnsi="Calibri"/>
          <w:sz w:val="22"/>
          <w:szCs w:val="22"/>
        </w:rPr>
        <w:fldChar w:fldCharType="end"/>
      </w:r>
    </w:p>
    <w:p w14:paraId="0A8F9DC7"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7.3</w:t>
      </w:r>
      <w:r w:rsidRPr="000B2293">
        <w:rPr>
          <w:rFonts w:ascii="Calibri" w:eastAsiaTheme="minorEastAsia" w:hAnsi="Calibri" w:cstheme="minorBidi"/>
          <w:sz w:val="22"/>
          <w:szCs w:val="22"/>
        </w:rPr>
        <w:tab/>
      </w:r>
      <w:r w:rsidRPr="000B2293">
        <w:rPr>
          <w:rFonts w:ascii="Calibri" w:hAnsi="Calibri"/>
          <w:sz w:val="22"/>
          <w:szCs w:val="22"/>
        </w:rPr>
        <w:t>Quantification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_Toc511217546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85</w:t>
      </w:r>
      <w:r w:rsidRPr="000B2293">
        <w:rPr>
          <w:rFonts w:ascii="Calibri" w:hAnsi="Calibri"/>
          <w:sz w:val="22"/>
          <w:szCs w:val="22"/>
        </w:rPr>
        <w:fldChar w:fldCharType="end"/>
      </w:r>
    </w:p>
    <w:p w14:paraId="42A48B8C"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8.</w:t>
      </w:r>
      <w:r w:rsidRPr="000B2293">
        <w:rPr>
          <w:rFonts w:ascii="Calibri" w:eastAsiaTheme="minorEastAsia" w:hAnsi="Calibri" w:cstheme="minorBidi"/>
          <w:b w:val="0"/>
          <w:noProof/>
          <w:sz w:val="22"/>
          <w:szCs w:val="22"/>
        </w:rPr>
        <w:tab/>
      </w:r>
      <w:r w:rsidRPr="000B2293">
        <w:rPr>
          <w:rFonts w:ascii="Calibri" w:hAnsi="Calibri"/>
          <w:noProof/>
          <w:sz w:val="22"/>
          <w:szCs w:val="22"/>
        </w:rPr>
        <w:t>Quality Assurance and Quality Control</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_Toc511217547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85</w:t>
      </w:r>
      <w:r w:rsidRPr="000B2293">
        <w:rPr>
          <w:rFonts w:ascii="Calibri" w:hAnsi="Calibri"/>
          <w:noProof/>
          <w:sz w:val="22"/>
          <w:szCs w:val="22"/>
        </w:rPr>
        <w:fldChar w:fldCharType="end"/>
      </w:r>
    </w:p>
    <w:p w14:paraId="3D8A52CD"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9.</w:t>
      </w:r>
      <w:r w:rsidRPr="000B2293">
        <w:rPr>
          <w:rFonts w:ascii="Calibri" w:eastAsiaTheme="minorEastAsia" w:hAnsi="Calibri" w:cstheme="minorBidi"/>
          <w:b w:val="0"/>
          <w:noProof/>
          <w:sz w:val="22"/>
          <w:szCs w:val="22"/>
        </w:rPr>
        <w:tab/>
      </w:r>
      <w:r w:rsidRPr="000B2293">
        <w:rPr>
          <w:rFonts w:ascii="Calibri" w:hAnsi="Calibri"/>
          <w:noProof/>
          <w:sz w:val="22"/>
          <w:szCs w:val="22"/>
        </w:rPr>
        <w:t>Data reporting</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_Toc511217548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86</w:t>
      </w:r>
      <w:r w:rsidRPr="000B2293">
        <w:rPr>
          <w:rFonts w:ascii="Calibri" w:hAnsi="Calibri"/>
          <w:noProof/>
          <w:sz w:val="22"/>
          <w:szCs w:val="22"/>
        </w:rPr>
        <w:fldChar w:fldCharType="end"/>
      </w:r>
    </w:p>
    <w:p w14:paraId="7E974D3F"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10.</w:t>
      </w:r>
      <w:r w:rsidRPr="000B2293">
        <w:rPr>
          <w:rFonts w:ascii="Calibri" w:eastAsiaTheme="minorEastAsia" w:hAnsi="Calibri" w:cstheme="minorBidi"/>
          <w:b w:val="0"/>
          <w:noProof/>
          <w:sz w:val="22"/>
          <w:szCs w:val="22"/>
        </w:rPr>
        <w:tab/>
      </w:r>
      <w:r w:rsidRPr="000B2293">
        <w:rPr>
          <w:rFonts w:ascii="Calibri" w:hAnsi="Calibri"/>
          <w:noProof/>
          <w:sz w:val="22"/>
          <w:szCs w:val="22"/>
        </w:rPr>
        <w:t>References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_Toc511217549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86</w:t>
      </w:r>
      <w:r w:rsidRPr="000B2293">
        <w:rPr>
          <w:rFonts w:ascii="Calibri" w:hAnsi="Calibri"/>
          <w:noProof/>
          <w:sz w:val="22"/>
          <w:szCs w:val="22"/>
        </w:rPr>
        <w:fldChar w:fldCharType="end"/>
      </w:r>
    </w:p>
    <w:p w14:paraId="0D7B74BB" w14:textId="77777777" w:rsidR="000B2293" w:rsidRPr="000B2293" w:rsidRDefault="000B2293">
      <w:pPr>
        <w:pStyle w:val="TOC1"/>
        <w:rPr>
          <w:rFonts w:ascii="Calibri" w:eastAsiaTheme="minorEastAsia" w:hAnsi="Calibri" w:cstheme="minorBidi"/>
          <w:b w:val="0"/>
          <w:noProof/>
          <w:sz w:val="22"/>
          <w:szCs w:val="22"/>
        </w:rPr>
      </w:pPr>
      <w:r w:rsidRPr="000B2293">
        <w:rPr>
          <w:rFonts w:ascii="Calibri" w:hAnsi="Calibri"/>
          <w:noProof/>
          <w:sz w:val="22"/>
          <w:szCs w:val="22"/>
        </w:rPr>
        <w:t>Technical Annex 7: Organotin compounds in biota</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_Toc511217550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88</w:t>
      </w:r>
      <w:r w:rsidRPr="000B2293">
        <w:rPr>
          <w:rFonts w:ascii="Calibri" w:hAnsi="Calibri"/>
          <w:noProof/>
          <w:sz w:val="22"/>
          <w:szCs w:val="22"/>
        </w:rPr>
        <w:fldChar w:fldCharType="end"/>
      </w:r>
    </w:p>
    <w:p w14:paraId="5439F3BD"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1.</w:t>
      </w:r>
      <w:r w:rsidRPr="000B2293">
        <w:rPr>
          <w:rFonts w:ascii="Calibri" w:eastAsiaTheme="minorEastAsia" w:hAnsi="Calibri" w:cstheme="minorBidi"/>
          <w:b w:val="0"/>
          <w:noProof/>
          <w:sz w:val="22"/>
          <w:szCs w:val="22"/>
        </w:rPr>
        <w:tab/>
      </w:r>
      <w:r w:rsidRPr="000B2293">
        <w:rPr>
          <w:rFonts w:ascii="Calibri" w:hAnsi="Calibri"/>
          <w:noProof/>
          <w:sz w:val="22"/>
          <w:szCs w:val="22"/>
        </w:rPr>
        <w:t>Species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_Toc511217551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88</w:t>
      </w:r>
      <w:r w:rsidRPr="000B2293">
        <w:rPr>
          <w:rFonts w:ascii="Calibri" w:hAnsi="Calibri"/>
          <w:noProof/>
          <w:sz w:val="22"/>
          <w:szCs w:val="22"/>
        </w:rPr>
        <w:fldChar w:fldCharType="end"/>
      </w:r>
    </w:p>
    <w:p w14:paraId="4E487047"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2.</w:t>
      </w:r>
      <w:r w:rsidRPr="000B2293">
        <w:rPr>
          <w:rFonts w:ascii="Calibri" w:eastAsiaTheme="minorEastAsia" w:hAnsi="Calibri" w:cstheme="minorBidi"/>
          <w:b w:val="0"/>
          <w:noProof/>
          <w:sz w:val="22"/>
          <w:szCs w:val="22"/>
        </w:rPr>
        <w:tab/>
      </w:r>
      <w:r w:rsidRPr="000B2293">
        <w:rPr>
          <w:rFonts w:ascii="Calibri" w:hAnsi="Calibri"/>
          <w:noProof/>
          <w:sz w:val="22"/>
          <w:szCs w:val="22"/>
        </w:rPr>
        <w:t>Sampling</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_Toc511217552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88</w:t>
      </w:r>
      <w:r w:rsidRPr="000B2293">
        <w:rPr>
          <w:rFonts w:ascii="Calibri" w:hAnsi="Calibri"/>
          <w:noProof/>
          <w:sz w:val="22"/>
          <w:szCs w:val="22"/>
        </w:rPr>
        <w:fldChar w:fldCharType="end"/>
      </w:r>
    </w:p>
    <w:p w14:paraId="4C082CBC"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3.</w:t>
      </w:r>
      <w:r w:rsidRPr="000B2293">
        <w:rPr>
          <w:rFonts w:ascii="Calibri" w:eastAsiaTheme="minorEastAsia" w:hAnsi="Calibri" w:cstheme="minorBidi"/>
          <w:b w:val="0"/>
          <w:noProof/>
          <w:sz w:val="22"/>
          <w:szCs w:val="22"/>
        </w:rPr>
        <w:tab/>
      </w:r>
      <w:r w:rsidRPr="000B2293">
        <w:rPr>
          <w:rFonts w:ascii="Calibri" w:hAnsi="Calibri"/>
          <w:noProof/>
          <w:sz w:val="22"/>
          <w:szCs w:val="22"/>
        </w:rPr>
        <w:t>Transportation</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_Toc511217553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88</w:t>
      </w:r>
      <w:r w:rsidRPr="000B2293">
        <w:rPr>
          <w:rFonts w:ascii="Calibri" w:hAnsi="Calibri"/>
          <w:noProof/>
          <w:sz w:val="22"/>
          <w:szCs w:val="22"/>
        </w:rPr>
        <w:fldChar w:fldCharType="end"/>
      </w:r>
    </w:p>
    <w:p w14:paraId="70A8F313"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4.</w:t>
      </w:r>
      <w:r w:rsidRPr="000B2293">
        <w:rPr>
          <w:rFonts w:ascii="Calibri" w:eastAsiaTheme="minorEastAsia" w:hAnsi="Calibri" w:cstheme="minorBidi"/>
          <w:b w:val="0"/>
          <w:noProof/>
          <w:sz w:val="22"/>
          <w:szCs w:val="22"/>
        </w:rPr>
        <w:tab/>
      </w:r>
      <w:r w:rsidRPr="000B2293">
        <w:rPr>
          <w:rFonts w:ascii="Calibri" w:hAnsi="Calibri"/>
          <w:noProof/>
          <w:sz w:val="22"/>
          <w:szCs w:val="22"/>
        </w:rPr>
        <w:t>Pre-treatment and storage</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_Toc511217554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88</w:t>
      </w:r>
      <w:r w:rsidRPr="000B2293">
        <w:rPr>
          <w:rFonts w:ascii="Calibri" w:hAnsi="Calibri"/>
          <w:noProof/>
          <w:sz w:val="22"/>
          <w:szCs w:val="22"/>
        </w:rPr>
        <w:fldChar w:fldCharType="end"/>
      </w:r>
    </w:p>
    <w:p w14:paraId="1C820462"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4.1</w:t>
      </w:r>
      <w:r w:rsidRPr="000B2293">
        <w:rPr>
          <w:rFonts w:ascii="Calibri" w:eastAsiaTheme="minorEastAsia" w:hAnsi="Calibri" w:cstheme="minorBidi"/>
          <w:sz w:val="22"/>
          <w:szCs w:val="22"/>
        </w:rPr>
        <w:tab/>
      </w:r>
      <w:r w:rsidRPr="000B2293">
        <w:rPr>
          <w:rFonts w:ascii="Calibri" w:hAnsi="Calibri"/>
          <w:sz w:val="22"/>
          <w:szCs w:val="22"/>
        </w:rPr>
        <w:t>Contamination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_Toc511217555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88</w:t>
      </w:r>
      <w:r w:rsidRPr="000B2293">
        <w:rPr>
          <w:rFonts w:ascii="Calibri" w:hAnsi="Calibri"/>
          <w:sz w:val="22"/>
          <w:szCs w:val="22"/>
        </w:rPr>
        <w:fldChar w:fldCharType="end"/>
      </w:r>
    </w:p>
    <w:p w14:paraId="42EEED68"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4.2</w:t>
      </w:r>
      <w:r w:rsidRPr="000B2293">
        <w:rPr>
          <w:rFonts w:ascii="Calibri" w:eastAsiaTheme="minorEastAsia" w:hAnsi="Calibri" w:cstheme="minorBidi"/>
          <w:sz w:val="22"/>
          <w:szCs w:val="22"/>
        </w:rPr>
        <w:tab/>
      </w:r>
      <w:r w:rsidRPr="000B2293">
        <w:rPr>
          <w:rFonts w:ascii="Calibri" w:hAnsi="Calibri"/>
          <w:sz w:val="22"/>
          <w:szCs w:val="22"/>
        </w:rPr>
        <w:t>Depuration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_Toc511217556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89</w:t>
      </w:r>
      <w:r w:rsidRPr="000B2293">
        <w:rPr>
          <w:rFonts w:ascii="Calibri" w:hAnsi="Calibri"/>
          <w:sz w:val="22"/>
          <w:szCs w:val="22"/>
        </w:rPr>
        <w:fldChar w:fldCharType="end"/>
      </w:r>
    </w:p>
    <w:p w14:paraId="63168566"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4.3</w:t>
      </w:r>
      <w:r w:rsidRPr="000B2293">
        <w:rPr>
          <w:rFonts w:ascii="Calibri" w:eastAsiaTheme="minorEastAsia" w:hAnsi="Calibri" w:cstheme="minorBidi"/>
          <w:sz w:val="22"/>
          <w:szCs w:val="22"/>
        </w:rPr>
        <w:tab/>
      </w:r>
      <w:r w:rsidRPr="000B2293">
        <w:rPr>
          <w:rFonts w:ascii="Calibri" w:hAnsi="Calibri"/>
          <w:sz w:val="22"/>
          <w:szCs w:val="22"/>
        </w:rPr>
        <w:t>Opening of the shells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_Toc511217557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89</w:t>
      </w:r>
      <w:r w:rsidRPr="000B2293">
        <w:rPr>
          <w:rFonts w:ascii="Calibri" w:hAnsi="Calibri"/>
          <w:sz w:val="22"/>
          <w:szCs w:val="22"/>
        </w:rPr>
        <w:fldChar w:fldCharType="end"/>
      </w:r>
    </w:p>
    <w:p w14:paraId="720872FE"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4.4</w:t>
      </w:r>
      <w:r w:rsidRPr="000B2293">
        <w:rPr>
          <w:rFonts w:ascii="Calibri" w:eastAsiaTheme="minorEastAsia" w:hAnsi="Calibri" w:cstheme="minorBidi"/>
          <w:sz w:val="22"/>
          <w:szCs w:val="22"/>
        </w:rPr>
        <w:tab/>
      </w:r>
      <w:r w:rsidRPr="000B2293">
        <w:rPr>
          <w:rFonts w:ascii="Calibri" w:hAnsi="Calibri"/>
          <w:sz w:val="22"/>
          <w:szCs w:val="22"/>
        </w:rPr>
        <w:t>Dissection and storage</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_Toc511217558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89</w:t>
      </w:r>
      <w:r w:rsidRPr="000B2293">
        <w:rPr>
          <w:rFonts w:ascii="Calibri" w:hAnsi="Calibri"/>
          <w:sz w:val="22"/>
          <w:szCs w:val="22"/>
        </w:rPr>
        <w:fldChar w:fldCharType="end"/>
      </w:r>
    </w:p>
    <w:p w14:paraId="49306B6A"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5.</w:t>
      </w:r>
      <w:r w:rsidRPr="000B2293">
        <w:rPr>
          <w:rFonts w:ascii="Calibri" w:eastAsiaTheme="minorEastAsia" w:hAnsi="Calibri" w:cstheme="minorBidi"/>
          <w:b w:val="0"/>
          <w:noProof/>
          <w:sz w:val="22"/>
          <w:szCs w:val="22"/>
        </w:rPr>
        <w:tab/>
      </w:r>
      <w:r w:rsidRPr="000B2293">
        <w:rPr>
          <w:rFonts w:ascii="Calibri" w:hAnsi="Calibri"/>
          <w:noProof/>
          <w:sz w:val="22"/>
          <w:szCs w:val="22"/>
        </w:rPr>
        <w:t>Analysis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_Toc511217559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89</w:t>
      </w:r>
      <w:r w:rsidRPr="000B2293">
        <w:rPr>
          <w:rFonts w:ascii="Calibri" w:hAnsi="Calibri"/>
          <w:noProof/>
          <w:sz w:val="22"/>
          <w:szCs w:val="22"/>
        </w:rPr>
        <w:fldChar w:fldCharType="end"/>
      </w:r>
    </w:p>
    <w:p w14:paraId="6195A5FC"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5.1</w:t>
      </w:r>
      <w:r w:rsidRPr="000B2293">
        <w:rPr>
          <w:rFonts w:ascii="Calibri" w:eastAsiaTheme="minorEastAsia" w:hAnsi="Calibri" w:cstheme="minorBidi"/>
          <w:sz w:val="22"/>
          <w:szCs w:val="22"/>
        </w:rPr>
        <w:tab/>
      </w:r>
      <w:r w:rsidRPr="000B2293">
        <w:rPr>
          <w:rFonts w:ascii="Calibri" w:hAnsi="Calibri"/>
          <w:sz w:val="22"/>
          <w:szCs w:val="22"/>
        </w:rPr>
        <w:t>Preparation of materials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_Toc511217560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89</w:t>
      </w:r>
      <w:r w:rsidRPr="000B2293">
        <w:rPr>
          <w:rFonts w:ascii="Calibri" w:hAnsi="Calibri"/>
          <w:sz w:val="22"/>
          <w:szCs w:val="22"/>
        </w:rPr>
        <w:fldChar w:fldCharType="end"/>
      </w:r>
    </w:p>
    <w:p w14:paraId="450DA4A4" w14:textId="77777777" w:rsidR="000B2293" w:rsidRPr="000B2293" w:rsidRDefault="000B2293">
      <w:pPr>
        <w:pStyle w:val="TOC3"/>
        <w:tabs>
          <w:tab w:val="left" w:pos="1320"/>
        </w:tabs>
        <w:rPr>
          <w:rFonts w:ascii="Calibri" w:eastAsiaTheme="minorEastAsia" w:hAnsi="Calibri" w:cstheme="minorBidi"/>
          <w:sz w:val="22"/>
          <w:szCs w:val="22"/>
        </w:rPr>
      </w:pPr>
      <w:r w:rsidRPr="000B2293">
        <w:rPr>
          <w:rFonts w:ascii="Calibri" w:hAnsi="Calibri"/>
          <w:sz w:val="22"/>
          <w:szCs w:val="22"/>
        </w:rPr>
        <w:t>5.2</w:t>
      </w:r>
      <w:r w:rsidRPr="000B2293">
        <w:rPr>
          <w:rFonts w:ascii="Calibri" w:eastAsiaTheme="minorEastAsia" w:hAnsi="Calibri" w:cstheme="minorBidi"/>
          <w:sz w:val="22"/>
          <w:szCs w:val="22"/>
        </w:rPr>
        <w:tab/>
      </w:r>
      <w:r w:rsidRPr="000B2293">
        <w:rPr>
          <w:rFonts w:ascii="Calibri" w:hAnsi="Calibri"/>
          <w:sz w:val="22"/>
          <w:szCs w:val="22"/>
        </w:rPr>
        <w:t>Lipid determination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_Toc511217561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89</w:t>
      </w:r>
      <w:r w:rsidRPr="000B2293">
        <w:rPr>
          <w:rFonts w:ascii="Calibri" w:hAnsi="Calibri"/>
          <w:sz w:val="22"/>
          <w:szCs w:val="22"/>
        </w:rPr>
        <w:fldChar w:fldCharType="end"/>
      </w:r>
    </w:p>
    <w:p w14:paraId="3771F73A"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5.3</w:t>
      </w:r>
      <w:r w:rsidRPr="000B2293">
        <w:rPr>
          <w:rFonts w:ascii="Calibri" w:eastAsiaTheme="minorEastAsia" w:hAnsi="Calibri" w:cstheme="minorBidi"/>
          <w:sz w:val="22"/>
          <w:szCs w:val="22"/>
        </w:rPr>
        <w:tab/>
      </w:r>
      <w:r w:rsidRPr="000B2293">
        <w:rPr>
          <w:rFonts w:ascii="Calibri" w:hAnsi="Calibri"/>
          <w:sz w:val="22"/>
          <w:szCs w:val="22"/>
        </w:rPr>
        <w:t>Dry weight determination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_Toc511217562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90</w:t>
      </w:r>
      <w:r w:rsidRPr="000B2293">
        <w:rPr>
          <w:rFonts w:ascii="Calibri" w:hAnsi="Calibri"/>
          <w:sz w:val="22"/>
          <w:szCs w:val="22"/>
        </w:rPr>
        <w:fldChar w:fldCharType="end"/>
      </w:r>
    </w:p>
    <w:p w14:paraId="2A264922"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5.4</w:t>
      </w:r>
      <w:r w:rsidRPr="000B2293">
        <w:rPr>
          <w:rFonts w:ascii="Calibri" w:eastAsiaTheme="minorEastAsia" w:hAnsi="Calibri" w:cstheme="minorBidi"/>
          <w:sz w:val="22"/>
          <w:szCs w:val="22"/>
        </w:rPr>
        <w:tab/>
      </w:r>
      <w:r w:rsidRPr="000B2293">
        <w:rPr>
          <w:rFonts w:ascii="Calibri" w:hAnsi="Calibri"/>
          <w:sz w:val="22"/>
          <w:szCs w:val="22"/>
        </w:rPr>
        <w:t>Determination of organotins by gas chromatography</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_Toc511217563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90</w:t>
      </w:r>
      <w:r w:rsidRPr="000B2293">
        <w:rPr>
          <w:rFonts w:ascii="Calibri" w:hAnsi="Calibri"/>
          <w:sz w:val="22"/>
          <w:szCs w:val="22"/>
        </w:rPr>
        <w:fldChar w:fldCharType="end"/>
      </w:r>
    </w:p>
    <w:p w14:paraId="19D067C2"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5.4.1</w:t>
      </w:r>
      <w:r w:rsidRPr="000B2293">
        <w:rPr>
          <w:rFonts w:ascii="Calibri" w:eastAsiaTheme="minorEastAsia" w:hAnsi="Calibri" w:cstheme="minorBidi"/>
          <w:sz w:val="22"/>
          <w:szCs w:val="22"/>
        </w:rPr>
        <w:tab/>
      </w:r>
      <w:r w:rsidRPr="000B2293">
        <w:rPr>
          <w:rFonts w:ascii="Calibri" w:hAnsi="Calibri"/>
          <w:sz w:val="22"/>
          <w:szCs w:val="22"/>
        </w:rPr>
        <w:t>Calibration and preparation of calibrand solutions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_Toc511217564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90</w:t>
      </w:r>
      <w:r w:rsidRPr="000B2293">
        <w:rPr>
          <w:rFonts w:ascii="Calibri" w:hAnsi="Calibri"/>
          <w:sz w:val="22"/>
          <w:szCs w:val="22"/>
        </w:rPr>
        <w:fldChar w:fldCharType="end"/>
      </w:r>
    </w:p>
    <w:p w14:paraId="6B293F1D"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5.4.2</w:t>
      </w:r>
      <w:r w:rsidRPr="000B2293">
        <w:rPr>
          <w:rFonts w:ascii="Calibri" w:eastAsiaTheme="minorEastAsia" w:hAnsi="Calibri" w:cstheme="minorBidi"/>
          <w:sz w:val="22"/>
          <w:szCs w:val="22"/>
        </w:rPr>
        <w:tab/>
      </w:r>
      <w:r w:rsidRPr="000B2293">
        <w:rPr>
          <w:rFonts w:ascii="Calibri" w:hAnsi="Calibri"/>
          <w:sz w:val="22"/>
          <w:szCs w:val="22"/>
        </w:rPr>
        <w:t>Homogenisation and drying</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_Toc511217565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90</w:t>
      </w:r>
      <w:r w:rsidRPr="000B2293">
        <w:rPr>
          <w:rFonts w:ascii="Calibri" w:hAnsi="Calibri"/>
          <w:sz w:val="22"/>
          <w:szCs w:val="22"/>
        </w:rPr>
        <w:fldChar w:fldCharType="end"/>
      </w:r>
    </w:p>
    <w:p w14:paraId="286719DF"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5.4.3</w:t>
      </w:r>
      <w:r w:rsidRPr="000B2293">
        <w:rPr>
          <w:rFonts w:ascii="Calibri" w:eastAsiaTheme="minorEastAsia" w:hAnsi="Calibri" w:cstheme="minorBidi"/>
          <w:sz w:val="22"/>
          <w:szCs w:val="22"/>
        </w:rPr>
        <w:tab/>
      </w:r>
      <w:r w:rsidRPr="000B2293">
        <w:rPr>
          <w:rFonts w:ascii="Calibri" w:hAnsi="Calibri"/>
          <w:sz w:val="22"/>
          <w:szCs w:val="22"/>
        </w:rPr>
        <w:t>Extraction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_Toc511217566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91</w:t>
      </w:r>
      <w:r w:rsidRPr="000B2293">
        <w:rPr>
          <w:rFonts w:ascii="Calibri" w:hAnsi="Calibri"/>
          <w:sz w:val="22"/>
          <w:szCs w:val="22"/>
        </w:rPr>
        <w:fldChar w:fldCharType="end"/>
      </w:r>
    </w:p>
    <w:p w14:paraId="16584DDD"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5.4.4</w:t>
      </w:r>
      <w:r w:rsidRPr="000B2293">
        <w:rPr>
          <w:rFonts w:ascii="Calibri" w:eastAsiaTheme="minorEastAsia" w:hAnsi="Calibri" w:cstheme="minorBidi"/>
          <w:sz w:val="22"/>
          <w:szCs w:val="22"/>
        </w:rPr>
        <w:tab/>
      </w:r>
      <w:r w:rsidRPr="000B2293">
        <w:rPr>
          <w:rFonts w:ascii="Calibri" w:hAnsi="Calibri"/>
          <w:sz w:val="22"/>
          <w:szCs w:val="22"/>
        </w:rPr>
        <w:t>Derivatisation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_Toc511217567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91</w:t>
      </w:r>
      <w:r w:rsidRPr="000B2293">
        <w:rPr>
          <w:rFonts w:ascii="Calibri" w:hAnsi="Calibri"/>
          <w:sz w:val="22"/>
          <w:szCs w:val="22"/>
        </w:rPr>
        <w:fldChar w:fldCharType="end"/>
      </w:r>
    </w:p>
    <w:p w14:paraId="54AFE68F"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5.4.5</w:t>
      </w:r>
      <w:r w:rsidRPr="000B2293">
        <w:rPr>
          <w:rFonts w:ascii="Calibri" w:eastAsiaTheme="minorEastAsia" w:hAnsi="Calibri" w:cstheme="minorBidi"/>
          <w:sz w:val="22"/>
          <w:szCs w:val="22"/>
        </w:rPr>
        <w:tab/>
      </w:r>
      <w:r w:rsidRPr="000B2293">
        <w:rPr>
          <w:rFonts w:ascii="Calibri" w:hAnsi="Calibri"/>
          <w:sz w:val="22"/>
          <w:szCs w:val="22"/>
        </w:rPr>
        <w:t>Clean-up</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_Toc511217568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92</w:t>
      </w:r>
      <w:r w:rsidRPr="000B2293">
        <w:rPr>
          <w:rFonts w:ascii="Calibri" w:hAnsi="Calibri"/>
          <w:sz w:val="22"/>
          <w:szCs w:val="22"/>
        </w:rPr>
        <w:fldChar w:fldCharType="end"/>
      </w:r>
    </w:p>
    <w:p w14:paraId="7B2CDC87"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5.4.6</w:t>
      </w:r>
      <w:r w:rsidRPr="000B2293">
        <w:rPr>
          <w:rFonts w:ascii="Calibri" w:eastAsiaTheme="minorEastAsia" w:hAnsi="Calibri" w:cstheme="minorBidi"/>
          <w:sz w:val="22"/>
          <w:szCs w:val="22"/>
        </w:rPr>
        <w:tab/>
      </w:r>
      <w:r w:rsidRPr="000B2293">
        <w:rPr>
          <w:rFonts w:ascii="Calibri" w:hAnsi="Calibri"/>
          <w:sz w:val="22"/>
          <w:szCs w:val="22"/>
        </w:rPr>
        <w:t>Pre-concentration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_Toc511217569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92</w:t>
      </w:r>
      <w:r w:rsidRPr="000B2293">
        <w:rPr>
          <w:rFonts w:ascii="Calibri" w:hAnsi="Calibri"/>
          <w:sz w:val="22"/>
          <w:szCs w:val="22"/>
        </w:rPr>
        <w:fldChar w:fldCharType="end"/>
      </w:r>
    </w:p>
    <w:p w14:paraId="03152C6B"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5.5</w:t>
      </w:r>
      <w:r w:rsidRPr="000B2293">
        <w:rPr>
          <w:rFonts w:ascii="Calibri" w:eastAsiaTheme="minorEastAsia" w:hAnsi="Calibri" w:cstheme="minorBidi"/>
          <w:sz w:val="22"/>
          <w:szCs w:val="22"/>
        </w:rPr>
        <w:tab/>
      </w:r>
      <w:r w:rsidRPr="000B2293">
        <w:rPr>
          <w:rFonts w:ascii="Calibri" w:hAnsi="Calibri"/>
          <w:sz w:val="22"/>
          <w:szCs w:val="22"/>
        </w:rPr>
        <w:t>Instrumental determination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_Toc511217570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92</w:t>
      </w:r>
      <w:r w:rsidRPr="000B2293">
        <w:rPr>
          <w:rFonts w:ascii="Calibri" w:hAnsi="Calibri"/>
          <w:sz w:val="22"/>
          <w:szCs w:val="22"/>
        </w:rPr>
        <w:fldChar w:fldCharType="end"/>
      </w:r>
    </w:p>
    <w:p w14:paraId="5E55C4A2"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5.5.1</w:t>
      </w:r>
      <w:r w:rsidRPr="000B2293">
        <w:rPr>
          <w:rFonts w:ascii="Calibri" w:eastAsiaTheme="minorEastAsia" w:hAnsi="Calibri" w:cstheme="minorBidi"/>
          <w:sz w:val="22"/>
          <w:szCs w:val="22"/>
        </w:rPr>
        <w:tab/>
      </w:r>
      <w:r w:rsidRPr="000B2293">
        <w:rPr>
          <w:rFonts w:ascii="Calibri" w:hAnsi="Calibri"/>
          <w:sz w:val="22"/>
          <w:szCs w:val="22"/>
        </w:rPr>
        <w:t>Gas chromatography</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_Toc511217571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92</w:t>
      </w:r>
      <w:r w:rsidRPr="000B2293">
        <w:rPr>
          <w:rFonts w:ascii="Calibri" w:hAnsi="Calibri"/>
          <w:sz w:val="22"/>
          <w:szCs w:val="22"/>
        </w:rPr>
        <w:fldChar w:fldCharType="end"/>
      </w:r>
    </w:p>
    <w:p w14:paraId="1B656ACD"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5.5.2</w:t>
      </w:r>
      <w:r w:rsidRPr="000B2293">
        <w:rPr>
          <w:rFonts w:ascii="Calibri" w:eastAsiaTheme="minorEastAsia" w:hAnsi="Calibri" w:cstheme="minorBidi"/>
          <w:sz w:val="22"/>
          <w:szCs w:val="22"/>
        </w:rPr>
        <w:tab/>
      </w:r>
      <w:r w:rsidRPr="000B2293">
        <w:rPr>
          <w:rFonts w:ascii="Calibri" w:hAnsi="Calibri"/>
          <w:sz w:val="22"/>
          <w:szCs w:val="22"/>
        </w:rPr>
        <w:t>High Performance Liquid Chromatography</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_Toc511217572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92</w:t>
      </w:r>
      <w:r w:rsidRPr="000B2293">
        <w:rPr>
          <w:rFonts w:ascii="Calibri" w:hAnsi="Calibri"/>
          <w:sz w:val="22"/>
          <w:szCs w:val="22"/>
        </w:rPr>
        <w:fldChar w:fldCharType="end"/>
      </w:r>
    </w:p>
    <w:p w14:paraId="1CBEECD4"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rPr>
        <w:t>5.5.3</w:t>
      </w:r>
      <w:r w:rsidRPr="000B2293">
        <w:rPr>
          <w:rFonts w:ascii="Calibri" w:eastAsiaTheme="minorEastAsia" w:hAnsi="Calibri" w:cstheme="minorBidi"/>
          <w:sz w:val="22"/>
          <w:szCs w:val="22"/>
        </w:rPr>
        <w:tab/>
      </w:r>
      <w:r w:rsidRPr="000B2293">
        <w:rPr>
          <w:rFonts w:ascii="Calibri" w:hAnsi="Calibri"/>
          <w:sz w:val="22"/>
          <w:szCs w:val="22"/>
        </w:rPr>
        <w:t>Detection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_Toc511217573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93</w:t>
      </w:r>
      <w:r w:rsidRPr="000B2293">
        <w:rPr>
          <w:rFonts w:ascii="Calibri" w:hAnsi="Calibri"/>
          <w:sz w:val="22"/>
          <w:szCs w:val="22"/>
        </w:rPr>
        <w:fldChar w:fldCharType="end"/>
      </w:r>
    </w:p>
    <w:p w14:paraId="639036E3"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6.</w:t>
      </w:r>
      <w:r w:rsidRPr="000B2293">
        <w:rPr>
          <w:rFonts w:ascii="Calibri" w:eastAsiaTheme="minorEastAsia" w:hAnsi="Calibri" w:cstheme="minorBidi"/>
          <w:b w:val="0"/>
          <w:noProof/>
          <w:sz w:val="22"/>
          <w:szCs w:val="22"/>
        </w:rPr>
        <w:tab/>
      </w:r>
      <w:r w:rsidRPr="000B2293">
        <w:rPr>
          <w:rFonts w:ascii="Calibri" w:hAnsi="Calibri"/>
          <w:noProof/>
          <w:sz w:val="22"/>
          <w:szCs w:val="22"/>
        </w:rPr>
        <w:t>Quality assurance</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_Toc511217574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93</w:t>
      </w:r>
      <w:r w:rsidRPr="000B2293">
        <w:rPr>
          <w:rFonts w:ascii="Calibri" w:hAnsi="Calibri"/>
          <w:noProof/>
          <w:sz w:val="22"/>
          <w:szCs w:val="22"/>
        </w:rPr>
        <w:fldChar w:fldCharType="end"/>
      </w:r>
    </w:p>
    <w:p w14:paraId="2E96934F"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6.1</w:t>
      </w:r>
      <w:r w:rsidRPr="000B2293">
        <w:rPr>
          <w:rFonts w:ascii="Calibri" w:eastAsiaTheme="minorEastAsia" w:hAnsi="Calibri" w:cstheme="minorBidi"/>
          <w:sz w:val="22"/>
          <w:szCs w:val="22"/>
        </w:rPr>
        <w:tab/>
      </w:r>
      <w:r w:rsidRPr="000B2293">
        <w:rPr>
          <w:rFonts w:ascii="Calibri" w:hAnsi="Calibri"/>
          <w:sz w:val="22"/>
          <w:szCs w:val="22"/>
        </w:rPr>
        <w:t>System performance</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_Toc511217575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93</w:t>
      </w:r>
      <w:r w:rsidRPr="000B2293">
        <w:rPr>
          <w:rFonts w:ascii="Calibri" w:hAnsi="Calibri"/>
          <w:sz w:val="22"/>
          <w:szCs w:val="22"/>
        </w:rPr>
        <w:fldChar w:fldCharType="end"/>
      </w:r>
    </w:p>
    <w:p w14:paraId="619E064E"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6.2</w:t>
      </w:r>
      <w:r w:rsidRPr="000B2293">
        <w:rPr>
          <w:rFonts w:ascii="Calibri" w:eastAsiaTheme="minorEastAsia" w:hAnsi="Calibri" w:cstheme="minorBidi"/>
          <w:sz w:val="22"/>
          <w:szCs w:val="22"/>
        </w:rPr>
        <w:tab/>
      </w:r>
      <w:r w:rsidRPr="000B2293">
        <w:rPr>
          <w:rFonts w:ascii="Calibri" w:hAnsi="Calibri"/>
          <w:sz w:val="22"/>
          <w:szCs w:val="22"/>
        </w:rPr>
        <w:t>Recovery</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_Toc511217576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93</w:t>
      </w:r>
      <w:r w:rsidRPr="000B2293">
        <w:rPr>
          <w:rFonts w:ascii="Calibri" w:hAnsi="Calibri"/>
          <w:sz w:val="22"/>
          <w:szCs w:val="22"/>
        </w:rPr>
        <w:fldChar w:fldCharType="end"/>
      </w:r>
    </w:p>
    <w:p w14:paraId="0664B88E"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6.3</w:t>
      </w:r>
      <w:r w:rsidRPr="000B2293">
        <w:rPr>
          <w:rFonts w:ascii="Calibri" w:eastAsiaTheme="minorEastAsia" w:hAnsi="Calibri" w:cstheme="minorBidi"/>
          <w:sz w:val="22"/>
          <w:szCs w:val="22"/>
        </w:rPr>
        <w:tab/>
      </w:r>
      <w:r w:rsidRPr="000B2293">
        <w:rPr>
          <w:rFonts w:ascii="Calibri" w:hAnsi="Calibri"/>
          <w:sz w:val="22"/>
          <w:szCs w:val="22"/>
        </w:rPr>
        <w:t>Calibrand solutions and calibration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_Toc511217577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93</w:t>
      </w:r>
      <w:r w:rsidRPr="000B2293">
        <w:rPr>
          <w:rFonts w:ascii="Calibri" w:hAnsi="Calibri"/>
          <w:sz w:val="22"/>
          <w:szCs w:val="22"/>
        </w:rPr>
        <w:fldChar w:fldCharType="end"/>
      </w:r>
    </w:p>
    <w:p w14:paraId="6108C75F"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6.4</w:t>
      </w:r>
      <w:r w:rsidRPr="000B2293">
        <w:rPr>
          <w:rFonts w:ascii="Calibri" w:eastAsiaTheme="minorEastAsia" w:hAnsi="Calibri" w:cstheme="minorBidi"/>
          <w:sz w:val="22"/>
          <w:szCs w:val="22"/>
        </w:rPr>
        <w:tab/>
      </w:r>
      <w:r w:rsidRPr="000B2293">
        <w:rPr>
          <w:rFonts w:ascii="Calibri" w:hAnsi="Calibri"/>
          <w:sz w:val="22"/>
          <w:szCs w:val="22"/>
        </w:rPr>
        <w:t>Blanks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_Toc511217578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93</w:t>
      </w:r>
      <w:r w:rsidRPr="000B2293">
        <w:rPr>
          <w:rFonts w:ascii="Calibri" w:hAnsi="Calibri"/>
          <w:sz w:val="22"/>
          <w:szCs w:val="22"/>
        </w:rPr>
        <w:fldChar w:fldCharType="end"/>
      </w:r>
    </w:p>
    <w:p w14:paraId="28D572A9"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6.5</w:t>
      </w:r>
      <w:r w:rsidRPr="000B2293">
        <w:rPr>
          <w:rFonts w:ascii="Calibri" w:eastAsiaTheme="minorEastAsia" w:hAnsi="Calibri" w:cstheme="minorBidi"/>
          <w:sz w:val="22"/>
          <w:szCs w:val="22"/>
        </w:rPr>
        <w:tab/>
      </w:r>
      <w:r w:rsidRPr="000B2293">
        <w:rPr>
          <w:rFonts w:ascii="Calibri" w:hAnsi="Calibri"/>
          <w:sz w:val="22"/>
          <w:szCs w:val="22"/>
        </w:rPr>
        <w:t>Accuracy and precision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_Toc511217579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93</w:t>
      </w:r>
      <w:r w:rsidRPr="000B2293">
        <w:rPr>
          <w:rFonts w:ascii="Calibri" w:hAnsi="Calibri"/>
          <w:sz w:val="22"/>
          <w:szCs w:val="22"/>
        </w:rPr>
        <w:fldChar w:fldCharType="end"/>
      </w:r>
    </w:p>
    <w:p w14:paraId="1F9C8D7F"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6.6</w:t>
      </w:r>
      <w:r w:rsidRPr="000B2293">
        <w:rPr>
          <w:rFonts w:ascii="Calibri" w:eastAsiaTheme="minorEastAsia" w:hAnsi="Calibri" w:cstheme="minorBidi"/>
          <w:sz w:val="22"/>
          <w:szCs w:val="22"/>
        </w:rPr>
        <w:tab/>
      </w:r>
      <w:r w:rsidRPr="000B2293">
        <w:rPr>
          <w:rFonts w:ascii="Calibri" w:hAnsi="Calibri"/>
          <w:sz w:val="22"/>
          <w:szCs w:val="22"/>
        </w:rPr>
        <w:t>Data collection and transfer</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_Toc511217580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94</w:t>
      </w:r>
      <w:r w:rsidRPr="000B2293">
        <w:rPr>
          <w:rFonts w:ascii="Calibri" w:hAnsi="Calibri"/>
          <w:sz w:val="22"/>
          <w:szCs w:val="22"/>
        </w:rPr>
        <w:fldChar w:fldCharType="end"/>
      </w:r>
    </w:p>
    <w:p w14:paraId="53ECFB48"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7.</w:t>
      </w:r>
      <w:r w:rsidRPr="000B2293">
        <w:rPr>
          <w:rFonts w:ascii="Calibri" w:eastAsiaTheme="minorEastAsia" w:hAnsi="Calibri" w:cstheme="minorBidi"/>
          <w:b w:val="0"/>
          <w:noProof/>
          <w:sz w:val="22"/>
          <w:szCs w:val="22"/>
        </w:rPr>
        <w:tab/>
      </w:r>
      <w:r w:rsidRPr="000B2293">
        <w:rPr>
          <w:rFonts w:ascii="Calibri" w:hAnsi="Calibri"/>
          <w:noProof/>
          <w:sz w:val="22"/>
          <w:szCs w:val="22"/>
        </w:rPr>
        <w:t>Data recording and reporting parameters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_Toc511217581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94</w:t>
      </w:r>
      <w:r w:rsidRPr="000B2293">
        <w:rPr>
          <w:rFonts w:ascii="Calibri" w:hAnsi="Calibri"/>
          <w:noProof/>
          <w:sz w:val="22"/>
          <w:szCs w:val="22"/>
        </w:rPr>
        <w:fldChar w:fldCharType="end"/>
      </w:r>
    </w:p>
    <w:p w14:paraId="4570D132"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7.1</w:t>
      </w:r>
      <w:r w:rsidRPr="000B2293">
        <w:rPr>
          <w:rFonts w:ascii="Calibri" w:eastAsiaTheme="minorEastAsia" w:hAnsi="Calibri" w:cstheme="minorBidi"/>
          <w:sz w:val="22"/>
          <w:szCs w:val="22"/>
        </w:rPr>
        <w:tab/>
      </w:r>
      <w:r w:rsidRPr="000B2293">
        <w:rPr>
          <w:rFonts w:ascii="Calibri" w:hAnsi="Calibri"/>
          <w:sz w:val="22"/>
          <w:szCs w:val="22"/>
        </w:rPr>
        <w:t>Sampling and biological parameters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_Toc511217582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94</w:t>
      </w:r>
      <w:r w:rsidRPr="000B2293">
        <w:rPr>
          <w:rFonts w:ascii="Calibri" w:hAnsi="Calibri"/>
          <w:sz w:val="22"/>
          <w:szCs w:val="22"/>
        </w:rPr>
        <w:fldChar w:fldCharType="end"/>
      </w:r>
    </w:p>
    <w:p w14:paraId="1416556A"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7.2</w:t>
      </w:r>
      <w:r w:rsidRPr="000B2293">
        <w:rPr>
          <w:rFonts w:ascii="Calibri" w:eastAsiaTheme="minorEastAsia" w:hAnsi="Calibri" w:cstheme="minorBidi"/>
          <w:sz w:val="22"/>
          <w:szCs w:val="22"/>
        </w:rPr>
        <w:tab/>
      </w:r>
      <w:r w:rsidRPr="000B2293">
        <w:rPr>
          <w:rFonts w:ascii="Calibri" w:hAnsi="Calibri"/>
          <w:sz w:val="22"/>
          <w:szCs w:val="22"/>
        </w:rPr>
        <w:t>Analytical and quality assurance parameters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_Toc511217583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95</w:t>
      </w:r>
      <w:r w:rsidRPr="000B2293">
        <w:rPr>
          <w:rFonts w:ascii="Calibri" w:hAnsi="Calibri"/>
          <w:sz w:val="22"/>
          <w:szCs w:val="22"/>
        </w:rPr>
        <w:fldChar w:fldCharType="end"/>
      </w:r>
    </w:p>
    <w:p w14:paraId="37D78CB7"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7.3</w:t>
      </w:r>
      <w:r w:rsidRPr="000B2293">
        <w:rPr>
          <w:rFonts w:ascii="Calibri" w:eastAsiaTheme="minorEastAsia" w:hAnsi="Calibri" w:cstheme="minorBidi"/>
          <w:sz w:val="22"/>
          <w:szCs w:val="22"/>
        </w:rPr>
        <w:tab/>
      </w:r>
      <w:r w:rsidRPr="000B2293">
        <w:rPr>
          <w:rFonts w:ascii="Calibri" w:hAnsi="Calibri"/>
          <w:sz w:val="22"/>
          <w:szCs w:val="22"/>
        </w:rPr>
        <w:t>Lipids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_Toc511217584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95</w:t>
      </w:r>
      <w:r w:rsidRPr="000B2293">
        <w:rPr>
          <w:rFonts w:ascii="Calibri" w:hAnsi="Calibri"/>
          <w:sz w:val="22"/>
          <w:szCs w:val="22"/>
        </w:rPr>
        <w:fldChar w:fldCharType="end"/>
      </w:r>
    </w:p>
    <w:p w14:paraId="633E0DB6"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7.4</w:t>
      </w:r>
      <w:r w:rsidRPr="000B2293">
        <w:rPr>
          <w:rFonts w:ascii="Calibri" w:eastAsiaTheme="minorEastAsia" w:hAnsi="Calibri" w:cstheme="minorBidi"/>
          <w:sz w:val="22"/>
          <w:szCs w:val="22"/>
        </w:rPr>
        <w:tab/>
      </w:r>
      <w:r w:rsidRPr="000B2293">
        <w:rPr>
          <w:rFonts w:ascii="Calibri" w:hAnsi="Calibri"/>
          <w:sz w:val="22"/>
          <w:szCs w:val="22"/>
        </w:rPr>
        <w:t>Parameters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_Toc511217585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95</w:t>
      </w:r>
      <w:r w:rsidRPr="000B2293">
        <w:rPr>
          <w:rFonts w:ascii="Calibri" w:hAnsi="Calibri"/>
          <w:sz w:val="22"/>
          <w:szCs w:val="22"/>
        </w:rPr>
        <w:fldChar w:fldCharType="end"/>
      </w:r>
    </w:p>
    <w:p w14:paraId="5EA0F906"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8.</w:t>
      </w:r>
      <w:r w:rsidRPr="000B2293">
        <w:rPr>
          <w:rFonts w:ascii="Calibri" w:eastAsiaTheme="minorEastAsia" w:hAnsi="Calibri" w:cstheme="minorBidi"/>
          <w:b w:val="0"/>
          <w:noProof/>
          <w:sz w:val="22"/>
          <w:szCs w:val="22"/>
        </w:rPr>
        <w:tab/>
      </w:r>
      <w:r w:rsidRPr="000B2293">
        <w:rPr>
          <w:rFonts w:ascii="Calibri" w:hAnsi="Calibri"/>
          <w:noProof/>
          <w:sz w:val="22"/>
          <w:szCs w:val="22"/>
        </w:rPr>
        <w:t>References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_Toc511217586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95</w:t>
      </w:r>
      <w:r w:rsidRPr="000B2293">
        <w:rPr>
          <w:rFonts w:ascii="Calibri" w:hAnsi="Calibri"/>
          <w:noProof/>
          <w:sz w:val="22"/>
          <w:szCs w:val="22"/>
        </w:rPr>
        <w:fldChar w:fldCharType="end"/>
      </w:r>
    </w:p>
    <w:p w14:paraId="607E4953" w14:textId="77777777" w:rsidR="000B2293" w:rsidRPr="000B2293" w:rsidRDefault="000B2293">
      <w:pPr>
        <w:pStyle w:val="TOC1"/>
        <w:rPr>
          <w:rFonts w:ascii="Calibri" w:eastAsiaTheme="minorEastAsia" w:hAnsi="Calibri" w:cstheme="minorBidi"/>
          <w:b w:val="0"/>
          <w:noProof/>
          <w:sz w:val="22"/>
          <w:szCs w:val="22"/>
        </w:rPr>
      </w:pPr>
      <w:r w:rsidRPr="000B2293">
        <w:rPr>
          <w:rFonts w:ascii="Calibri" w:hAnsi="Calibri"/>
          <w:noProof/>
          <w:sz w:val="22"/>
          <w:szCs w:val="22"/>
        </w:rPr>
        <w:t>Technical Annex 8: Determination of chlorobiphenyls in biota</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_Toc511217587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97</w:t>
      </w:r>
      <w:r w:rsidRPr="000B2293">
        <w:rPr>
          <w:rFonts w:ascii="Calibri" w:hAnsi="Calibri"/>
          <w:noProof/>
          <w:sz w:val="22"/>
          <w:szCs w:val="22"/>
        </w:rPr>
        <w:fldChar w:fldCharType="end"/>
      </w:r>
    </w:p>
    <w:p w14:paraId="67CFCF70" w14:textId="77777777" w:rsidR="000B2293" w:rsidRPr="000B2293" w:rsidRDefault="000B2293">
      <w:pPr>
        <w:pStyle w:val="TOC1"/>
        <w:rPr>
          <w:rFonts w:ascii="Calibri" w:eastAsiaTheme="minorEastAsia" w:hAnsi="Calibri" w:cstheme="minorBidi"/>
          <w:b w:val="0"/>
          <w:noProof/>
          <w:sz w:val="22"/>
          <w:szCs w:val="22"/>
        </w:rPr>
      </w:pPr>
      <w:r w:rsidRPr="000B2293">
        <w:rPr>
          <w:rFonts w:ascii="Calibri" w:hAnsi="Calibri"/>
          <w:noProof/>
          <w:sz w:val="22"/>
          <w:szCs w:val="22"/>
          <w:lang w:eastAsia="en-US"/>
        </w:rPr>
        <w:t>Analytical Method</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_Toc511217588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97</w:t>
      </w:r>
      <w:r w:rsidRPr="000B2293">
        <w:rPr>
          <w:rFonts w:ascii="Calibri" w:hAnsi="Calibri"/>
          <w:noProof/>
          <w:sz w:val="22"/>
          <w:szCs w:val="22"/>
        </w:rPr>
        <w:fldChar w:fldCharType="end"/>
      </w:r>
    </w:p>
    <w:p w14:paraId="2A55F72C"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1.</w:t>
      </w:r>
      <w:r w:rsidRPr="000B2293">
        <w:rPr>
          <w:rFonts w:ascii="Calibri" w:eastAsiaTheme="minorEastAsia" w:hAnsi="Calibri" w:cstheme="minorBidi"/>
          <w:b w:val="0"/>
          <w:noProof/>
          <w:sz w:val="22"/>
          <w:szCs w:val="22"/>
        </w:rPr>
        <w:tab/>
      </w:r>
      <w:r w:rsidRPr="000B2293">
        <w:rPr>
          <w:rFonts w:ascii="Calibri" w:hAnsi="Calibri"/>
          <w:noProof/>
          <w:sz w:val="22"/>
          <w:szCs w:val="22"/>
        </w:rPr>
        <w:t>Introduction</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_Toc511217589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97</w:t>
      </w:r>
      <w:r w:rsidRPr="000B2293">
        <w:rPr>
          <w:rFonts w:ascii="Calibri" w:hAnsi="Calibri"/>
          <w:noProof/>
          <w:sz w:val="22"/>
          <w:szCs w:val="22"/>
        </w:rPr>
        <w:fldChar w:fldCharType="end"/>
      </w:r>
    </w:p>
    <w:p w14:paraId="3EF813A6"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2.</w:t>
      </w:r>
      <w:r w:rsidRPr="000B2293">
        <w:rPr>
          <w:rFonts w:ascii="Calibri" w:eastAsiaTheme="minorEastAsia" w:hAnsi="Calibri" w:cstheme="minorBidi"/>
          <w:b w:val="0"/>
          <w:noProof/>
          <w:sz w:val="22"/>
          <w:szCs w:val="22"/>
        </w:rPr>
        <w:tab/>
      </w:r>
      <w:r w:rsidRPr="000B2293">
        <w:rPr>
          <w:rFonts w:ascii="Calibri" w:hAnsi="Calibri"/>
          <w:noProof/>
          <w:sz w:val="22"/>
          <w:szCs w:val="22"/>
        </w:rPr>
        <w:t>Analysis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_Toc511217590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97</w:t>
      </w:r>
      <w:r w:rsidRPr="000B2293">
        <w:rPr>
          <w:rFonts w:ascii="Calibri" w:hAnsi="Calibri"/>
          <w:noProof/>
          <w:sz w:val="22"/>
          <w:szCs w:val="22"/>
        </w:rPr>
        <w:fldChar w:fldCharType="end"/>
      </w:r>
    </w:p>
    <w:p w14:paraId="4E1697C7" w14:textId="77777777" w:rsidR="000B2293" w:rsidRPr="000B2293" w:rsidRDefault="000B2293">
      <w:pPr>
        <w:pStyle w:val="TOC2"/>
        <w:tabs>
          <w:tab w:val="left" w:pos="1100"/>
        </w:tabs>
        <w:rPr>
          <w:rFonts w:ascii="Calibri" w:eastAsiaTheme="minorEastAsia" w:hAnsi="Calibri" w:cstheme="minorBidi"/>
          <w:sz w:val="22"/>
          <w:szCs w:val="22"/>
        </w:rPr>
      </w:pPr>
      <w:r w:rsidRPr="000B2293">
        <w:rPr>
          <w:rFonts w:ascii="Calibri" w:hAnsi="Calibri"/>
          <w:sz w:val="22"/>
          <w:szCs w:val="22"/>
        </w:rPr>
        <w:t xml:space="preserve">2.1. </w:t>
      </w:r>
      <w:r w:rsidRPr="000B2293">
        <w:rPr>
          <w:rFonts w:ascii="Calibri" w:eastAsiaTheme="minorEastAsia" w:hAnsi="Calibri" w:cstheme="minorBidi"/>
          <w:sz w:val="22"/>
          <w:szCs w:val="22"/>
        </w:rPr>
        <w:tab/>
      </w:r>
      <w:r w:rsidRPr="000B2293">
        <w:rPr>
          <w:rFonts w:ascii="Calibri" w:hAnsi="Calibri"/>
          <w:sz w:val="22"/>
          <w:szCs w:val="22"/>
        </w:rPr>
        <w:t>Precautionary measures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_Toc511217591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97</w:t>
      </w:r>
      <w:r w:rsidRPr="000B2293">
        <w:rPr>
          <w:rFonts w:ascii="Calibri" w:hAnsi="Calibri"/>
          <w:sz w:val="22"/>
          <w:szCs w:val="22"/>
        </w:rPr>
        <w:fldChar w:fldCharType="end"/>
      </w:r>
    </w:p>
    <w:p w14:paraId="53C98A47"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2.2</w:t>
      </w:r>
      <w:r w:rsidRPr="000B2293">
        <w:rPr>
          <w:rFonts w:ascii="Calibri" w:eastAsiaTheme="minorEastAsia" w:hAnsi="Calibri" w:cstheme="minorBidi"/>
          <w:sz w:val="22"/>
          <w:szCs w:val="22"/>
        </w:rPr>
        <w:tab/>
      </w:r>
      <w:r w:rsidRPr="000B2293">
        <w:rPr>
          <w:rFonts w:ascii="Calibri" w:hAnsi="Calibri"/>
          <w:sz w:val="22"/>
          <w:szCs w:val="22"/>
        </w:rPr>
        <w:t>Lipid determination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_Toc511217592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98</w:t>
      </w:r>
      <w:r w:rsidRPr="000B2293">
        <w:rPr>
          <w:rFonts w:ascii="Calibri" w:hAnsi="Calibri"/>
          <w:sz w:val="22"/>
          <w:szCs w:val="22"/>
        </w:rPr>
        <w:fldChar w:fldCharType="end"/>
      </w:r>
    </w:p>
    <w:p w14:paraId="75CAAF97" w14:textId="77777777" w:rsidR="000B2293" w:rsidRPr="000B2293" w:rsidRDefault="000B2293">
      <w:pPr>
        <w:pStyle w:val="TOC2"/>
        <w:tabs>
          <w:tab w:val="left" w:pos="1100"/>
        </w:tabs>
        <w:rPr>
          <w:rFonts w:ascii="Calibri" w:eastAsiaTheme="minorEastAsia" w:hAnsi="Calibri" w:cstheme="minorBidi"/>
          <w:sz w:val="22"/>
          <w:szCs w:val="22"/>
        </w:rPr>
      </w:pPr>
      <w:r w:rsidRPr="000B2293">
        <w:rPr>
          <w:rFonts w:ascii="Calibri" w:hAnsi="Calibri"/>
          <w:sz w:val="22"/>
          <w:szCs w:val="22"/>
        </w:rPr>
        <w:t>2.3.</w:t>
      </w:r>
      <w:r w:rsidRPr="000B2293">
        <w:rPr>
          <w:rFonts w:ascii="Calibri" w:eastAsiaTheme="minorEastAsia" w:hAnsi="Calibri" w:cstheme="minorBidi"/>
          <w:sz w:val="22"/>
          <w:szCs w:val="22"/>
        </w:rPr>
        <w:tab/>
      </w:r>
      <w:r w:rsidRPr="000B2293">
        <w:rPr>
          <w:rFonts w:ascii="Calibri" w:hAnsi="Calibri"/>
          <w:sz w:val="22"/>
          <w:szCs w:val="22"/>
        </w:rPr>
        <w:t>Dry weight determination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_Toc511217593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98</w:t>
      </w:r>
      <w:r w:rsidRPr="000B2293">
        <w:rPr>
          <w:rFonts w:ascii="Calibri" w:hAnsi="Calibri"/>
          <w:sz w:val="22"/>
          <w:szCs w:val="22"/>
        </w:rPr>
        <w:fldChar w:fldCharType="end"/>
      </w:r>
    </w:p>
    <w:p w14:paraId="7BBF1FF9" w14:textId="77777777" w:rsidR="000B2293" w:rsidRPr="000B2293" w:rsidRDefault="000B2293">
      <w:pPr>
        <w:pStyle w:val="TOC2"/>
        <w:tabs>
          <w:tab w:val="left" w:pos="1100"/>
        </w:tabs>
        <w:rPr>
          <w:rFonts w:ascii="Calibri" w:eastAsiaTheme="minorEastAsia" w:hAnsi="Calibri" w:cstheme="minorBidi"/>
          <w:sz w:val="22"/>
          <w:szCs w:val="22"/>
        </w:rPr>
      </w:pPr>
      <w:r w:rsidRPr="000B2293">
        <w:rPr>
          <w:rFonts w:ascii="Calibri" w:hAnsi="Calibri"/>
          <w:sz w:val="22"/>
          <w:szCs w:val="22"/>
        </w:rPr>
        <w:t>2.4.</w:t>
      </w:r>
      <w:r w:rsidRPr="000B2293">
        <w:rPr>
          <w:rFonts w:ascii="Calibri" w:eastAsiaTheme="minorEastAsia" w:hAnsi="Calibri" w:cstheme="minorBidi"/>
          <w:sz w:val="22"/>
          <w:szCs w:val="22"/>
        </w:rPr>
        <w:tab/>
      </w:r>
      <w:r w:rsidRPr="000B2293">
        <w:rPr>
          <w:rFonts w:ascii="Calibri" w:hAnsi="Calibri"/>
          <w:sz w:val="22"/>
          <w:szCs w:val="22"/>
        </w:rPr>
        <w:t>Homogenisation and drying</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_Toc511217594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98</w:t>
      </w:r>
      <w:r w:rsidRPr="000B2293">
        <w:rPr>
          <w:rFonts w:ascii="Calibri" w:hAnsi="Calibri"/>
          <w:sz w:val="22"/>
          <w:szCs w:val="22"/>
        </w:rPr>
        <w:fldChar w:fldCharType="end"/>
      </w:r>
    </w:p>
    <w:p w14:paraId="6E3A97DA" w14:textId="77777777" w:rsidR="000B2293" w:rsidRPr="000B2293" w:rsidRDefault="000B2293">
      <w:pPr>
        <w:pStyle w:val="TOC2"/>
        <w:tabs>
          <w:tab w:val="left" w:pos="1100"/>
        </w:tabs>
        <w:rPr>
          <w:rFonts w:ascii="Calibri" w:eastAsiaTheme="minorEastAsia" w:hAnsi="Calibri" w:cstheme="minorBidi"/>
          <w:sz w:val="22"/>
          <w:szCs w:val="22"/>
        </w:rPr>
      </w:pPr>
      <w:r w:rsidRPr="000B2293">
        <w:rPr>
          <w:rFonts w:ascii="Calibri" w:hAnsi="Calibri"/>
          <w:sz w:val="22"/>
          <w:szCs w:val="22"/>
        </w:rPr>
        <w:t>2.5.</w:t>
      </w:r>
      <w:r w:rsidRPr="000B2293">
        <w:rPr>
          <w:rFonts w:ascii="Calibri" w:eastAsiaTheme="minorEastAsia" w:hAnsi="Calibri" w:cstheme="minorBidi"/>
          <w:sz w:val="22"/>
          <w:szCs w:val="22"/>
        </w:rPr>
        <w:tab/>
      </w:r>
      <w:r w:rsidRPr="000B2293">
        <w:rPr>
          <w:rFonts w:ascii="Calibri" w:hAnsi="Calibri"/>
          <w:sz w:val="22"/>
          <w:szCs w:val="22"/>
        </w:rPr>
        <w:t>Extraction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_Toc511217595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98</w:t>
      </w:r>
      <w:r w:rsidRPr="000B2293">
        <w:rPr>
          <w:rFonts w:ascii="Calibri" w:hAnsi="Calibri"/>
          <w:sz w:val="22"/>
          <w:szCs w:val="22"/>
        </w:rPr>
        <w:fldChar w:fldCharType="end"/>
      </w:r>
    </w:p>
    <w:p w14:paraId="58E084E6"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2.6</w:t>
      </w:r>
      <w:r w:rsidRPr="000B2293">
        <w:rPr>
          <w:rFonts w:ascii="Calibri" w:eastAsiaTheme="minorEastAsia" w:hAnsi="Calibri" w:cstheme="minorBidi"/>
          <w:sz w:val="22"/>
          <w:szCs w:val="22"/>
        </w:rPr>
        <w:tab/>
      </w:r>
      <w:r w:rsidRPr="000B2293">
        <w:rPr>
          <w:rFonts w:ascii="Calibri" w:hAnsi="Calibri"/>
          <w:sz w:val="22"/>
          <w:szCs w:val="22"/>
        </w:rPr>
        <w:t>Clean-up</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_Toc511217596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99</w:t>
      </w:r>
      <w:r w:rsidRPr="000B2293">
        <w:rPr>
          <w:rFonts w:ascii="Calibri" w:hAnsi="Calibri"/>
          <w:sz w:val="22"/>
          <w:szCs w:val="22"/>
        </w:rPr>
        <w:fldChar w:fldCharType="end"/>
      </w:r>
    </w:p>
    <w:p w14:paraId="38574B64"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2.7</w:t>
      </w:r>
      <w:r w:rsidRPr="000B2293">
        <w:rPr>
          <w:rFonts w:ascii="Calibri" w:eastAsiaTheme="minorEastAsia" w:hAnsi="Calibri" w:cstheme="minorBidi"/>
          <w:sz w:val="22"/>
          <w:szCs w:val="22"/>
        </w:rPr>
        <w:tab/>
      </w:r>
      <w:r w:rsidRPr="000B2293">
        <w:rPr>
          <w:rFonts w:ascii="Calibri" w:hAnsi="Calibri"/>
          <w:sz w:val="22"/>
          <w:szCs w:val="22"/>
        </w:rPr>
        <w:t>Pre-concentration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_Toc511217597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101</w:t>
      </w:r>
      <w:r w:rsidRPr="000B2293">
        <w:rPr>
          <w:rFonts w:ascii="Calibri" w:hAnsi="Calibri"/>
          <w:sz w:val="22"/>
          <w:szCs w:val="22"/>
        </w:rPr>
        <w:fldChar w:fldCharType="end"/>
      </w:r>
    </w:p>
    <w:p w14:paraId="07F3FB05"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2.8</w:t>
      </w:r>
      <w:r w:rsidRPr="000B2293">
        <w:rPr>
          <w:rFonts w:ascii="Calibri" w:eastAsiaTheme="minorEastAsia" w:hAnsi="Calibri" w:cstheme="minorBidi"/>
          <w:sz w:val="22"/>
          <w:szCs w:val="22"/>
        </w:rPr>
        <w:tab/>
      </w:r>
      <w:r w:rsidRPr="000B2293">
        <w:rPr>
          <w:rFonts w:ascii="Calibri" w:hAnsi="Calibri"/>
          <w:sz w:val="22"/>
          <w:szCs w:val="22"/>
        </w:rPr>
        <w:t>Calibration and preparation of calibrant solutions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_Toc511217598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101</w:t>
      </w:r>
      <w:r w:rsidRPr="000B2293">
        <w:rPr>
          <w:rFonts w:ascii="Calibri" w:hAnsi="Calibri"/>
          <w:sz w:val="22"/>
          <w:szCs w:val="22"/>
        </w:rPr>
        <w:fldChar w:fldCharType="end"/>
      </w:r>
    </w:p>
    <w:p w14:paraId="35F1B16E"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2.9</w:t>
      </w:r>
      <w:r w:rsidRPr="000B2293">
        <w:rPr>
          <w:rFonts w:ascii="Calibri" w:eastAsiaTheme="minorEastAsia" w:hAnsi="Calibri" w:cstheme="minorBidi"/>
          <w:sz w:val="22"/>
          <w:szCs w:val="22"/>
        </w:rPr>
        <w:tab/>
      </w:r>
      <w:r w:rsidRPr="000B2293">
        <w:rPr>
          <w:rFonts w:ascii="Calibri" w:hAnsi="Calibri"/>
          <w:sz w:val="22"/>
          <w:szCs w:val="22"/>
        </w:rPr>
        <w:t>Instrumental determination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_Toc511217599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101</w:t>
      </w:r>
      <w:r w:rsidRPr="000B2293">
        <w:rPr>
          <w:rFonts w:ascii="Calibri" w:hAnsi="Calibri"/>
          <w:sz w:val="22"/>
          <w:szCs w:val="22"/>
        </w:rPr>
        <w:fldChar w:fldCharType="end"/>
      </w:r>
    </w:p>
    <w:p w14:paraId="14308ECC"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lang w:eastAsia="en-US"/>
        </w:rPr>
        <w:t>2.9.1</w:t>
      </w:r>
      <w:r w:rsidRPr="000B2293">
        <w:rPr>
          <w:rFonts w:ascii="Calibri" w:eastAsiaTheme="minorEastAsia" w:hAnsi="Calibri" w:cstheme="minorBidi"/>
          <w:sz w:val="22"/>
          <w:szCs w:val="22"/>
        </w:rPr>
        <w:tab/>
      </w:r>
      <w:r w:rsidRPr="000B2293">
        <w:rPr>
          <w:rFonts w:ascii="Calibri" w:hAnsi="Calibri"/>
          <w:sz w:val="22"/>
          <w:szCs w:val="22"/>
          <w:lang w:eastAsia="en-US"/>
        </w:rPr>
        <w:t>Injection techniques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_Toc511217600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102</w:t>
      </w:r>
      <w:r w:rsidRPr="000B2293">
        <w:rPr>
          <w:rFonts w:ascii="Calibri" w:hAnsi="Calibri"/>
          <w:sz w:val="22"/>
          <w:szCs w:val="22"/>
        </w:rPr>
        <w:fldChar w:fldCharType="end"/>
      </w:r>
    </w:p>
    <w:p w14:paraId="25E2E6AD"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lang w:eastAsia="en-US"/>
        </w:rPr>
        <w:t>2.9.2</w:t>
      </w:r>
      <w:r w:rsidRPr="000B2293">
        <w:rPr>
          <w:rFonts w:ascii="Calibri" w:eastAsiaTheme="minorEastAsia" w:hAnsi="Calibri" w:cstheme="minorBidi"/>
          <w:sz w:val="22"/>
          <w:szCs w:val="22"/>
        </w:rPr>
        <w:tab/>
      </w:r>
      <w:r w:rsidRPr="000B2293">
        <w:rPr>
          <w:rFonts w:ascii="Calibri" w:hAnsi="Calibri"/>
          <w:sz w:val="22"/>
          <w:szCs w:val="22"/>
          <w:lang w:eastAsia="en-US"/>
        </w:rPr>
        <w:t>Carrier gas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_Toc511217601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102</w:t>
      </w:r>
      <w:r w:rsidRPr="000B2293">
        <w:rPr>
          <w:rFonts w:ascii="Calibri" w:hAnsi="Calibri"/>
          <w:sz w:val="22"/>
          <w:szCs w:val="22"/>
        </w:rPr>
        <w:fldChar w:fldCharType="end"/>
      </w:r>
    </w:p>
    <w:p w14:paraId="0CB84807"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lang w:eastAsia="en-US"/>
        </w:rPr>
        <w:t>2.9.3</w:t>
      </w:r>
      <w:r w:rsidRPr="000B2293">
        <w:rPr>
          <w:rFonts w:ascii="Calibri" w:eastAsiaTheme="minorEastAsia" w:hAnsi="Calibri" w:cstheme="minorBidi"/>
          <w:sz w:val="22"/>
          <w:szCs w:val="22"/>
        </w:rPr>
        <w:tab/>
      </w:r>
      <w:r w:rsidRPr="000B2293">
        <w:rPr>
          <w:rFonts w:ascii="Calibri" w:hAnsi="Calibri"/>
          <w:sz w:val="22"/>
          <w:szCs w:val="22"/>
          <w:lang w:eastAsia="en-US"/>
        </w:rPr>
        <w:t>Columns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_Toc511217602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102</w:t>
      </w:r>
      <w:r w:rsidRPr="000B2293">
        <w:rPr>
          <w:rFonts w:ascii="Calibri" w:hAnsi="Calibri"/>
          <w:sz w:val="22"/>
          <w:szCs w:val="22"/>
        </w:rPr>
        <w:fldChar w:fldCharType="end"/>
      </w:r>
    </w:p>
    <w:p w14:paraId="14AFEB78"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lang w:eastAsia="en-US"/>
        </w:rPr>
        <w:t>2.9.4</w:t>
      </w:r>
      <w:r w:rsidRPr="000B2293">
        <w:rPr>
          <w:rFonts w:ascii="Calibri" w:eastAsiaTheme="minorEastAsia" w:hAnsi="Calibri" w:cstheme="minorBidi"/>
          <w:sz w:val="22"/>
          <w:szCs w:val="22"/>
        </w:rPr>
        <w:tab/>
      </w:r>
      <w:r w:rsidRPr="000B2293">
        <w:rPr>
          <w:rFonts w:ascii="Calibri" w:hAnsi="Calibri"/>
          <w:sz w:val="22"/>
          <w:szCs w:val="22"/>
          <w:lang w:eastAsia="en-US"/>
        </w:rPr>
        <w:t>Detection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_Toc511217603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102</w:t>
      </w:r>
      <w:r w:rsidRPr="000B2293">
        <w:rPr>
          <w:rFonts w:ascii="Calibri" w:hAnsi="Calibri"/>
          <w:sz w:val="22"/>
          <w:szCs w:val="22"/>
        </w:rPr>
        <w:fldChar w:fldCharType="end"/>
      </w:r>
    </w:p>
    <w:p w14:paraId="3BE9138A" w14:textId="77777777" w:rsidR="000B2293" w:rsidRPr="000B2293" w:rsidRDefault="000B2293">
      <w:pPr>
        <w:pStyle w:val="TOC3"/>
        <w:tabs>
          <w:tab w:val="left" w:pos="1540"/>
        </w:tabs>
        <w:rPr>
          <w:rFonts w:ascii="Calibri" w:eastAsiaTheme="minorEastAsia" w:hAnsi="Calibri" w:cstheme="minorBidi"/>
          <w:sz w:val="22"/>
          <w:szCs w:val="22"/>
        </w:rPr>
      </w:pPr>
      <w:r w:rsidRPr="000B2293">
        <w:rPr>
          <w:rFonts w:ascii="Calibri" w:hAnsi="Calibri"/>
          <w:sz w:val="22"/>
          <w:szCs w:val="22"/>
          <w:lang w:eastAsia="en-US"/>
        </w:rPr>
        <w:t>2.9.5</w:t>
      </w:r>
      <w:r w:rsidRPr="000B2293">
        <w:rPr>
          <w:rFonts w:ascii="Calibri" w:eastAsiaTheme="minorEastAsia" w:hAnsi="Calibri" w:cstheme="minorBidi"/>
          <w:sz w:val="22"/>
          <w:szCs w:val="22"/>
        </w:rPr>
        <w:tab/>
      </w:r>
      <w:r w:rsidRPr="000B2293">
        <w:rPr>
          <w:rFonts w:ascii="Calibri" w:hAnsi="Calibri"/>
          <w:sz w:val="22"/>
          <w:szCs w:val="22"/>
          <w:lang w:eastAsia="en-US"/>
        </w:rPr>
        <w:t>Separation, identification and quantification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_Toc511217604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105</w:t>
      </w:r>
      <w:r w:rsidRPr="000B2293">
        <w:rPr>
          <w:rFonts w:ascii="Calibri" w:hAnsi="Calibri"/>
          <w:sz w:val="22"/>
          <w:szCs w:val="22"/>
        </w:rPr>
        <w:fldChar w:fldCharType="end"/>
      </w:r>
    </w:p>
    <w:p w14:paraId="779F70C4" w14:textId="77777777" w:rsidR="000B2293" w:rsidRPr="000B2293" w:rsidRDefault="000B2293">
      <w:pPr>
        <w:pStyle w:val="TOC1"/>
        <w:tabs>
          <w:tab w:val="left" w:pos="357"/>
        </w:tabs>
        <w:rPr>
          <w:rFonts w:ascii="Calibri" w:eastAsiaTheme="minorEastAsia" w:hAnsi="Calibri" w:cstheme="minorBidi"/>
          <w:b w:val="0"/>
          <w:noProof/>
          <w:sz w:val="22"/>
          <w:szCs w:val="22"/>
        </w:rPr>
      </w:pPr>
      <w:r w:rsidRPr="000B2293">
        <w:rPr>
          <w:rFonts w:ascii="Calibri" w:hAnsi="Calibri"/>
          <w:noProof/>
          <w:sz w:val="22"/>
          <w:szCs w:val="22"/>
        </w:rPr>
        <w:t>3</w:t>
      </w:r>
      <w:r w:rsidRPr="000B2293">
        <w:rPr>
          <w:rFonts w:ascii="Calibri" w:eastAsiaTheme="minorEastAsia" w:hAnsi="Calibri" w:cstheme="minorBidi"/>
          <w:b w:val="0"/>
          <w:noProof/>
          <w:sz w:val="22"/>
          <w:szCs w:val="22"/>
        </w:rPr>
        <w:tab/>
      </w:r>
      <w:r w:rsidRPr="000B2293">
        <w:rPr>
          <w:rFonts w:ascii="Calibri" w:hAnsi="Calibri"/>
          <w:noProof/>
          <w:sz w:val="22"/>
          <w:szCs w:val="22"/>
        </w:rPr>
        <w:t>Quality assurance</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_Toc511217605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106</w:t>
      </w:r>
      <w:r w:rsidRPr="000B2293">
        <w:rPr>
          <w:rFonts w:ascii="Calibri" w:hAnsi="Calibri"/>
          <w:noProof/>
          <w:sz w:val="22"/>
          <w:szCs w:val="22"/>
        </w:rPr>
        <w:fldChar w:fldCharType="end"/>
      </w:r>
    </w:p>
    <w:p w14:paraId="3AB61507"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3.1</w:t>
      </w:r>
      <w:r w:rsidRPr="000B2293">
        <w:rPr>
          <w:rFonts w:ascii="Calibri" w:eastAsiaTheme="minorEastAsia" w:hAnsi="Calibri" w:cstheme="minorBidi"/>
          <w:sz w:val="22"/>
          <w:szCs w:val="22"/>
        </w:rPr>
        <w:tab/>
      </w:r>
      <w:r w:rsidRPr="000B2293">
        <w:rPr>
          <w:rFonts w:ascii="Calibri" w:hAnsi="Calibri"/>
          <w:sz w:val="22"/>
          <w:szCs w:val="22"/>
        </w:rPr>
        <w:t>System performance</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_Toc511217606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106</w:t>
      </w:r>
      <w:r w:rsidRPr="000B2293">
        <w:rPr>
          <w:rFonts w:ascii="Calibri" w:hAnsi="Calibri"/>
          <w:sz w:val="22"/>
          <w:szCs w:val="22"/>
        </w:rPr>
        <w:fldChar w:fldCharType="end"/>
      </w:r>
    </w:p>
    <w:p w14:paraId="765170C0"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3.2</w:t>
      </w:r>
      <w:r w:rsidRPr="000B2293">
        <w:rPr>
          <w:rFonts w:ascii="Calibri" w:eastAsiaTheme="minorEastAsia" w:hAnsi="Calibri" w:cstheme="minorBidi"/>
          <w:sz w:val="22"/>
          <w:szCs w:val="22"/>
        </w:rPr>
        <w:tab/>
      </w:r>
      <w:r w:rsidRPr="000B2293">
        <w:rPr>
          <w:rFonts w:ascii="Calibri" w:hAnsi="Calibri"/>
          <w:sz w:val="22"/>
          <w:szCs w:val="22"/>
        </w:rPr>
        <w:t>Recovery</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_Toc511217607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106</w:t>
      </w:r>
      <w:r w:rsidRPr="000B2293">
        <w:rPr>
          <w:rFonts w:ascii="Calibri" w:hAnsi="Calibri"/>
          <w:sz w:val="22"/>
          <w:szCs w:val="22"/>
        </w:rPr>
        <w:fldChar w:fldCharType="end"/>
      </w:r>
    </w:p>
    <w:p w14:paraId="2D5F7355"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3.3</w:t>
      </w:r>
      <w:r w:rsidRPr="000B2293">
        <w:rPr>
          <w:rFonts w:ascii="Calibri" w:eastAsiaTheme="minorEastAsia" w:hAnsi="Calibri" w:cstheme="minorBidi"/>
          <w:sz w:val="22"/>
          <w:szCs w:val="22"/>
        </w:rPr>
        <w:tab/>
      </w:r>
      <w:r w:rsidRPr="000B2293">
        <w:rPr>
          <w:rFonts w:ascii="Calibri" w:hAnsi="Calibri"/>
          <w:sz w:val="22"/>
          <w:szCs w:val="22"/>
        </w:rPr>
        <w:t>Blanks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_Toc511217608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106</w:t>
      </w:r>
      <w:r w:rsidRPr="000B2293">
        <w:rPr>
          <w:rFonts w:ascii="Calibri" w:hAnsi="Calibri"/>
          <w:sz w:val="22"/>
          <w:szCs w:val="22"/>
        </w:rPr>
        <w:fldChar w:fldCharType="end"/>
      </w:r>
    </w:p>
    <w:p w14:paraId="41D847D7"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3.4</w:t>
      </w:r>
      <w:r w:rsidRPr="000B2293">
        <w:rPr>
          <w:rFonts w:ascii="Calibri" w:eastAsiaTheme="minorEastAsia" w:hAnsi="Calibri" w:cstheme="minorBidi"/>
          <w:sz w:val="22"/>
          <w:szCs w:val="22"/>
        </w:rPr>
        <w:tab/>
      </w:r>
      <w:r w:rsidRPr="000B2293">
        <w:rPr>
          <w:rFonts w:ascii="Calibri" w:hAnsi="Calibri"/>
          <w:sz w:val="22"/>
          <w:szCs w:val="22"/>
        </w:rPr>
        <w:t>Accuracy and precision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_Toc511217609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106</w:t>
      </w:r>
      <w:r w:rsidRPr="000B2293">
        <w:rPr>
          <w:rFonts w:ascii="Calibri" w:hAnsi="Calibri"/>
          <w:sz w:val="22"/>
          <w:szCs w:val="22"/>
        </w:rPr>
        <w:fldChar w:fldCharType="end"/>
      </w:r>
    </w:p>
    <w:p w14:paraId="2148D348"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3.5</w:t>
      </w:r>
      <w:r w:rsidRPr="000B2293">
        <w:rPr>
          <w:rFonts w:ascii="Calibri" w:eastAsiaTheme="minorEastAsia" w:hAnsi="Calibri" w:cstheme="minorBidi"/>
          <w:sz w:val="22"/>
          <w:szCs w:val="22"/>
        </w:rPr>
        <w:tab/>
      </w:r>
      <w:r w:rsidRPr="000B2293">
        <w:rPr>
          <w:rFonts w:ascii="Calibri" w:hAnsi="Calibri"/>
          <w:sz w:val="22"/>
          <w:szCs w:val="22"/>
        </w:rPr>
        <w:t>Data collection and reporting</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_Toc511217610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107</w:t>
      </w:r>
      <w:r w:rsidRPr="000B2293">
        <w:rPr>
          <w:rFonts w:ascii="Calibri" w:hAnsi="Calibri"/>
          <w:sz w:val="22"/>
          <w:szCs w:val="22"/>
        </w:rPr>
        <w:fldChar w:fldCharType="end"/>
      </w:r>
    </w:p>
    <w:p w14:paraId="01DE3246"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4.</w:t>
      </w:r>
      <w:r w:rsidRPr="000B2293">
        <w:rPr>
          <w:rFonts w:ascii="Calibri" w:eastAsiaTheme="minorEastAsia" w:hAnsi="Calibri" w:cstheme="minorBidi"/>
          <w:b w:val="0"/>
          <w:noProof/>
          <w:sz w:val="22"/>
          <w:szCs w:val="22"/>
        </w:rPr>
        <w:tab/>
      </w:r>
      <w:r w:rsidRPr="000B2293">
        <w:rPr>
          <w:rFonts w:ascii="Calibri" w:hAnsi="Calibri"/>
          <w:noProof/>
          <w:sz w:val="22"/>
          <w:szCs w:val="22"/>
        </w:rPr>
        <w:t>References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_Toc511217611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107</w:t>
      </w:r>
      <w:r w:rsidRPr="000B2293">
        <w:rPr>
          <w:rFonts w:ascii="Calibri" w:hAnsi="Calibri"/>
          <w:noProof/>
          <w:sz w:val="22"/>
          <w:szCs w:val="22"/>
        </w:rPr>
        <w:fldChar w:fldCharType="end"/>
      </w:r>
    </w:p>
    <w:p w14:paraId="443B54FC" w14:textId="77777777" w:rsidR="000B2293" w:rsidRPr="000B2293" w:rsidRDefault="000B2293">
      <w:pPr>
        <w:pStyle w:val="TOC1"/>
        <w:rPr>
          <w:rFonts w:ascii="Calibri" w:eastAsiaTheme="minorEastAsia" w:hAnsi="Calibri" w:cstheme="minorBidi"/>
          <w:b w:val="0"/>
          <w:noProof/>
          <w:sz w:val="22"/>
          <w:szCs w:val="22"/>
        </w:rPr>
      </w:pPr>
      <w:r w:rsidRPr="000B2293">
        <w:rPr>
          <w:rFonts w:ascii="Calibri" w:hAnsi="Calibri"/>
          <w:noProof/>
          <w:sz w:val="22"/>
          <w:szCs w:val="22"/>
        </w:rPr>
        <w:t>Technical Annex 9: Analysis of dioxins, furans and dioxin-like PCBs in biota (revised in 2010/2011)</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_Toc511217612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110</w:t>
      </w:r>
      <w:r w:rsidRPr="000B2293">
        <w:rPr>
          <w:rFonts w:ascii="Calibri" w:hAnsi="Calibri"/>
          <w:noProof/>
          <w:sz w:val="22"/>
          <w:szCs w:val="22"/>
        </w:rPr>
        <w:fldChar w:fldCharType="end"/>
      </w:r>
    </w:p>
    <w:p w14:paraId="3338322C"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1.</w:t>
      </w:r>
      <w:r w:rsidRPr="000B2293">
        <w:rPr>
          <w:rFonts w:ascii="Calibri" w:eastAsiaTheme="minorEastAsia" w:hAnsi="Calibri" w:cstheme="minorBidi"/>
          <w:b w:val="0"/>
          <w:noProof/>
          <w:sz w:val="22"/>
          <w:szCs w:val="22"/>
        </w:rPr>
        <w:tab/>
      </w:r>
      <w:r w:rsidRPr="000B2293">
        <w:rPr>
          <w:rFonts w:ascii="Calibri" w:hAnsi="Calibri"/>
          <w:noProof/>
          <w:sz w:val="22"/>
          <w:szCs w:val="22"/>
        </w:rPr>
        <w:t>Introduction</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_Toc511217613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110</w:t>
      </w:r>
      <w:r w:rsidRPr="000B2293">
        <w:rPr>
          <w:rFonts w:ascii="Calibri" w:hAnsi="Calibri"/>
          <w:noProof/>
          <w:sz w:val="22"/>
          <w:szCs w:val="22"/>
        </w:rPr>
        <w:fldChar w:fldCharType="end"/>
      </w:r>
    </w:p>
    <w:p w14:paraId="0DE99EAD"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2.</w:t>
      </w:r>
      <w:r w:rsidRPr="000B2293">
        <w:rPr>
          <w:rFonts w:ascii="Calibri" w:eastAsiaTheme="minorEastAsia" w:hAnsi="Calibri" w:cstheme="minorBidi"/>
          <w:b w:val="0"/>
          <w:noProof/>
          <w:sz w:val="22"/>
          <w:szCs w:val="22"/>
        </w:rPr>
        <w:tab/>
      </w:r>
      <w:r w:rsidRPr="000B2293">
        <w:rPr>
          <w:rFonts w:ascii="Calibri" w:hAnsi="Calibri"/>
          <w:noProof/>
          <w:sz w:val="22"/>
          <w:szCs w:val="22"/>
        </w:rPr>
        <w:t>Analytes and Toxicity Equivalent Factors (TEFs)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_Toc511217614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111</w:t>
      </w:r>
      <w:r w:rsidRPr="000B2293">
        <w:rPr>
          <w:rFonts w:ascii="Calibri" w:hAnsi="Calibri"/>
          <w:noProof/>
          <w:sz w:val="22"/>
          <w:szCs w:val="22"/>
        </w:rPr>
        <w:fldChar w:fldCharType="end"/>
      </w:r>
    </w:p>
    <w:p w14:paraId="5678FA69"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3.</w:t>
      </w:r>
      <w:r w:rsidRPr="000B2293">
        <w:rPr>
          <w:rFonts w:ascii="Calibri" w:eastAsiaTheme="minorEastAsia" w:hAnsi="Calibri" w:cstheme="minorBidi"/>
          <w:b w:val="0"/>
          <w:noProof/>
          <w:sz w:val="22"/>
          <w:szCs w:val="22"/>
        </w:rPr>
        <w:tab/>
      </w:r>
      <w:r w:rsidRPr="000B2293">
        <w:rPr>
          <w:rFonts w:ascii="Calibri" w:hAnsi="Calibri"/>
          <w:noProof/>
          <w:sz w:val="22"/>
          <w:szCs w:val="22"/>
        </w:rPr>
        <w:t>Biota samples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_Toc511217615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113</w:t>
      </w:r>
      <w:r w:rsidRPr="000B2293">
        <w:rPr>
          <w:rFonts w:ascii="Calibri" w:hAnsi="Calibri"/>
          <w:noProof/>
          <w:sz w:val="22"/>
          <w:szCs w:val="22"/>
        </w:rPr>
        <w:fldChar w:fldCharType="end"/>
      </w:r>
    </w:p>
    <w:p w14:paraId="7A2B6462"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 xml:space="preserve">4. </w:t>
      </w:r>
      <w:r w:rsidRPr="000B2293">
        <w:rPr>
          <w:rFonts w:ascii="Calibri" w:eastAsiaTheme="minorEastAsia" w:hAnsi="Calibri" w:cstheme="minorBidi"/>
          <w:b w:val="0"/>
          <w:noProof/>
          <w:sz w:val="22"/>
          <w:szCs w:val="22"/>
        </w:rPr>
        <w:tab/>
      </w:r>
      <w:r w:rsidRPr="000B2293">
        <w:rPr>
          <w:rFonts w:ascii="Calibri" w:hAnsi="Calibri"/>
          <w:noProof/>
          <w:sz w:val="22"/>
          <w:szCs w:val="22"/>
        </w:rPr>
        <w:t>Analytical methods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_Toc511217616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114</w:t>
      </w:r>
      <w:r w:rsidRPr="000B2293">
        <w:rPr>
          <w:rFonts w:ascii="Calibri" w:hAnsi="Calibri"/>
          <w:noProof/>
          <w:sz w:val="22"/>
          <w:szCs w:val="22"/>
        </w:rPr>
        <w:fldChar w:fldCharType="end"/>
      </w:r>
    </w:p>
    <w:p w14:paraId="6DB7066D"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4.1</w:t>
      </w:r>
      <w:r w:rsidRPr="000B2293">
        <w:rPr>
          <w:rFonts w:ascii="Calibri" w:eastAsiaTheme="minorEastAsia" w:hAnsi="Calibri" w:cstheme="minorBidi"/>
          <w:sz w:val="22"/>
          <w:szCs w:val="22"/>
        </w:rPr>
        <w:tab/>
      </w:r>
      <w:r w:rsidRPr="000B2293">
        <w:rPr>
          <w:rFonts w:ascii="Calibri" w:hAnsi="Calibri"/>
          <w:sz w:val="22"/>
          <w:szCs w:val="22"/>
        </w:rPr>
        <w:t>Preparatory steps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_Toc511217617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114</w:t>
      </w:r>
      <w:r w:rsidRPr="000B2293">
        <w:rPr>
          <w:rFonts w:ascii="Calibri" w:hAnsi="Calibri"/>
          <w:sz w:val="22"/>
          <w:szCs w:val="22"/>
        </w:rPr>
        <w:fldChar w:fldCharType="end"/>
      </w:r>
    </w:p>
    <w:p w14:paraId="217E62FC"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4.2</w:t>
      </w:r>
      <w:r w:rsidRPr="000B2293">
        <w:rPr>
          <w:rFonts w:ascii="Calibri" w:eastAsiaTheme="minorEastAsia" w:hAnsi="Calibri" w:cstheme="minorBidi"/>
          <w:sz w:val="22"/>
          <w:szCs w:val="22"/>
        </w:rPr>
        <w:tab/>
      </w:r>
      <w:r w:rsidRPr="000B2293">
        <w:rPr>
          <w:rFonts w:ascii="Calibri" w:hAnsi="Calibri"/>
          <w:sz w:val="22"/>
          <w:szCs w:val="22"/>
        </w:rPr>
        <w:t>Lipid determination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_Toc511217618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116</w:t>
      </w:r>
      <w:r w:rsidRPr="000B2293">
        <w:rPr>
          <w:rFonts w:ascii="Calibri" w:hAnsi="Calibri"/>
          <w:sz w:val="22"/>
          <w:szCs w:val="22"/>
        </w:rPr>
        <w:fldChar w:fldCharType="end"/>
      </w:r>
    </w:p>
    <w:p w14:paraId="08A819DE"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4.3</w:t>
      </w:r>
      <w:r w:rsidRPr="000B2293">
        <w:rPr>
          <w:rFonts w:ascii="Calibri" w:eastAsiaTheme="minorEastAsia" w:hAnsi="Calibri" w:cstheme="minorBidi"/>
          <w:sz w:val="22"/>
          <w:szCs w:val="22"/>
        </w:rPr>
        <w:tab/>
      </w:r>
      <w:r w:rsidRPr="000B2293">
        <w:rPr>
          <w:rFonts w:ascii="Calibri" w:hAnsi="Calibri"/>
          <w:sz w:val="22"/>
          <w:szCs w:val="22"/>
        </w:rPr>
        <w:t>Extraction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_Toc511217619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116</w:t>
      </w:r>
      <w:r w:rsidRPr="000B2293">
        <w:rPr>
          <w:rFonts w:ascii="Calibri" w:hAnsi="Calibri"/>
          <w:sz w:val="22"/>
          <w:szCs w:val="22"/>
        </w:rPr>
        <w:fldChar w:fldCharType="end"/>
      </w:r>
    </w:p>
    <w:p w14:paraId="33F51598"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4.4</w:t>
      </w:r>
      <w:r w:rsidRPr="000B2293">
        <w:rPr>
          <w:rFonts w:ascii="Calibri" w:eastAsiaTheme="minorEastAsia" w:hAnsi="Calibri" w:cstheme="minorBidi"/>
          <w:sz w:val="22"/>
          <w:szCs w:val="22"/>
        </w:rPr>
        <w:tab/>
      </w:r>
      <w:r w:rsidRPr="000B2293">
        <w:rPr>
          <w:rFonts w:ascii="Calibri" w:hAnsi="Calibri"/>
          <w:sz w:val="22"/>
          <w:szCs w:val="22"/>
        </w:rPr>
        <w:t>Clean-up</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_Toc511217620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116</w:t>
      </w:r>
      <w:r w:rsidRPr="000B2293">
        <w:rPr>
          <w:rFonts w:ascii="Calibri" w:hAnsi="Calibri"/>
          <w:sz w:val="22"/>
          <w:szCs w:val="22"/>
        </w:rPr>
        <w:fldChar w:fldCharType="end"/>
      </w:r>
    </w:p>
    <w:p w14:paraId="5C4A27AE"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4.5</w:t>
      </w:r>
      <w:r w:rsidRPr="000B2293">
        <w:rPr>
          <w:rFonts w:ascii="Calibri" w:eastAsiaTheme="minorEastAsia" w:hAnsi="Calibri" w:cstheme="minorBidi"/>
          <w:sz w:val="22"/>
          <w:szCs w:val="22"/>
        </w:rPr>
        <w:tab/>
      </w:r>
      <w:r w:rsidRPr="000B2293">
        <w:rPr>
          <w:rFonts w:ascii="Calibri" w:hAnsi="Calibri"/>
          <w:sz w:val="22"/>
          <w:szCs w:val="22"/>
        </w:rPr>
        <w:t>Concentration and syringe standards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_Toc511217621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117</w:t>
      </w:r>
      <w:r w:rsidRPr="000B2293">
        <w:rPr>
          <w:rFonts w:ascii="Calibri" w:hAnsi="Calibri"/>
          <w:sz w:val="22"/>
          <w:szCs w:val="22"/>
        </w:rPr>
        <w:fldChar w:fldCharType="end"/>
      </w:r>
    </w:p>
    <w:p w14:paraId="23E138A5"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5.</w:t>
      </w:r>
      <w:r w:rsidRPr="000B2293">
        <w:rPr>
          <w:rFonts w:ascii="Calibri" w:eastAsiaTheme="minorEastAsia" w:hAnsi="Calibri" w:cstheme="minorBidi"/>
          <w:b w:val="0"/>
          <w:noProof/>
          <w:sz w:val="22"/>
          <w:szCs w:val="22"/>
        </w:rPr>
        <w:tab/>
      </w:r>
      <w:r w:rsidRPr="000B2293">
        <w:rPr>
          <w:rFonts w:ascii="Calibri" w:hAnsi="Calibri"/>
          <w:noProof/>
          <w:sz w:val="22"/>
          <w:szCs w:val="22"/>
        </w:rPr>
        <w:t>Instrumental analysis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_Toc511217622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117</w:t>
      </w:r>
      <w:r w:rsidRPr="000B2293">
        <w:rPr>
          <w:rFonts w:ascii="Calibri" w:hAnsi="Calibri"/>
          <w:noProof/>
          <w:sz w:val="22"/>
          <w:szCs w:val="22"/>
        </w:rPr>
        <w:fldChar w:fldCharType="end"/>
      </w:r>
    </w:p>
    <w:p w14:paraId="1246E424" w14:textId="77777777" w:rsidR="000B2293" w:rsidRPr="000B2293" w:rsidRDefault="000B2293">
      <w:pPr>
        <w:pStyle w:val="TOC2"/>
        <w:rPr>
          <w:rFonts w:ascii="Calibri" w:eastAsiaTheme="minorEastAsia" w:hAnsi="Calibri" w:cstheme="minorBidi"/>
          <w:sz w:val="22"/>
          <w:szCs w:val="22"/>
        </w:rPr>
      </w:pPr>
      <w:r w:rsidRPr="000B2293">
        <w:rPr>
          <w:rFonts w:ascii="Calibri" w:hAnsi="Calibri"/>
          <w:sz w:val="22"/>
          <w:szCs w:val="22"/>
        </w:rPr>
        <w:t>5.1 GC-analysis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_Toc511217623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118</w:t>
      </w:r>
      <w:r w:rsidRPr="000B2293">
        <w:rPr>
          <w:rFonts w:ascii="Calibri" w:hAnsi="Calibri"/>
          <w:sz w:val="22"/>
          <w:szCs w:val="22"/>
        </w:rPr>
        <w:fldChar w:fldCharType="end"/>
      </w:r>
    </w:p>
    <w:p w14:paraId="44AAF685"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5.2</w:t>
      </w:r>
      <w:r w:rsidRPr="000B2293">
        <w:rPr>
          <w:rFonts w:ascii="Calibri" w:eastAsiaTheme="minorEastAsia" w:hAnsi="Calibri" w:cstheme="minorBidi"/>
          <w:sz w:val="22"/>
          <w:szCs w:val="22"/>
        </w:rPr>
        <w:tab/>
      </w:r>
      <w:r w:rsidRPr="000B2293">
        <w:rPr>
          <w:rFonts w:ascii="Calibri" w:hAnsi="Calibri"/>
          <w:sz w:val="22"/>
          <w:szCs w:val="22"/>
        </w:rPr>
        <w:t>Compound identification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_Toc511217624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118</w:t>
      </w:r>
      <w:r w:rsidRPr="000B2293">
        <w:rPr>
          <w:rFonts w:ascii="Calibri" w:hAnsi="Calibri"/>
          <w:sz w:val="22"/>
          <w:szCs w:val="22"/>
        </w:rPr>
        <w:fldChar w:fldCharType="end"/>
      </w:r>
    </w:p>
    <w:p w14:paraId="6DC0240E"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5.3</w:t>
      </w:r>
      <w:r w:rsidRPr="000B2293">
        <w:rPr>
          <w:rFonts w:ascii="Calibri" w:eastAsiaTheme="minorEastAsia" w:hAnsi="Calibri" w:cstheme="minorBidi"/>
          <w:sz w:val="22"/>
          <w:szCs w:val="22"/>
        </w:rPr>
        <w:tab/>
      </w:r>
      <w:r w:rsidRPr="000B2293">
        <w:rPr>
          <w:rFonts w:ascii="Calibri" w:hAnsi="Calibri"/>
          <w:sz w:val="22"/>
          <w:szCs w:val="22"/>
        </w:rPr>
        <w:t>Compound quantification</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_Toc511217625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119</w:t>
      </w:r>
      <w:r w:rsidRPr="000B2293">
        <w:rPr>
          <w:rFonts w:ascii="Calibri" w:hAnsi="Calibri"/>
          <w:sz w:val="22"/>
          <w:szCs w:val="22"/>
        </w:rPr>
        <w:fldChar w:fldCharType="end"/>
      </w:r>
    </w:p>
    <w:p w14:paraId="7F3421D2" w14:textId="77777777" w:rsidR="000B2293" w:rsidRPr="000B2293" w:rsidRDefault="000B2293">
      <w:pPr>
        <w:pStyle w:val="TOC2"/>
        <w:tabs>
          <w:tab w:val="left" w:pos="880"/>
        </w:tabs>
        <w:rPr>
          <w:rFonts w:ascii="Calibri" w:eastAsiaTheme="minorEastAsia" w:hAnsi="Calibri" w:cstheme="minorBidi"/>
          <w:sz w:val="22"/>
          <w:szCs w:val="22"/>
        </w:rPr>
      </w:pPr>
      <w:r w:rsidRPr="000B2293">
        <w:rPr>
          <w:rFonts w:ascii="Calibri" w:hAnsi="Calibri"/>
          <w:sz w:val="22"/>
          <w:szCs w:val="22"/>
        </w:rPr>
        <w:t>5.4</w:t>
      </w:r>
      <w:r w:rsidRPr="000B2293">
        <w:rPr>
          <w:rFonts w:ascii="Calibri" w:eastAsiaTheme="minorEastAsia" w:hAnsi="Calibri" w:cstheme="minorBidi"/>
          <w:sz w:val="22"/>
          <w:szCs w:val="22"/>
        </w:rPr>
        <w:tab/>
      </w:r>
      <w:r w:rsidRPr="000B2293">
        <w:rPr>
          <w:rFonts w:ascii="Calibri" w:hAnsi="Calibri"/>
          <w:sz w:val="22"/>
          <w:szCs w:val="22"/>
        </w:rPr>
        <w:t>HRGC/LRMS</w:t>
      </w:r>
      <w:r w:rsidRPr="000B2293">
        <w:rPr>
          <w:rFonts w:ascii="Calibri" w:hAnsi="Calibri"/>
          <w:sz w:val="22"/>
          <w:szCs w:val="22"/>
        </w:rPr>
        <w:tab/>
      </w:r>
      <w:r w:rsidRPr="000B2293">
        <w:rPr>
          <w:rFonts w:ascii="Calibri" w:hAnsi="Calibri"/>
          <w:sz w:val="22"/>
          <w:szCs w:val="22"/>
        </w:rPr>
        <w:fldChar w:fldCharType="begin"/>
      </w:r>
      <w:r w:rsidRPr="000B2293">
        <w:rPr>
          <w:rFonts w:ascii="Calibri" w:hAnsi="Calibri"/>
          <w:sz w:val="22"/>
          <w:szCs w:val="22"/>
        </w:rPr>
        <w:instrText xml:space="preserve"> PAGEREF _Toc511217626 \h </w:instrText>
      </w:r>
      <w:r w:rsidRPr="000B2293">
        <w:rPr>
          <w:rFonts w:ascii="Calibri" w:hAnsi="Calibri"/>
          <w:sz w:val="22"/>
          <w:szCs w:val="22"/>
        </w:rPr>
      </w:r>
      <w:r w:rsidRPr="000B2293">
        <w:rPr>
          <w:rFonts w:ascii="Calibri" w:hAnsi="Calibri"/>
          <w:sz w:val="22"/>
          <w:szCs w:val="22"/>
        </w:rPr>
        <w:fldChar w:fldCharType="separate"/>
      </w:r>
      <w:r>
        <w:rPr>
          <w:rFonts w:ascii="Calibri" w:hAnsi="Calibri"/>
          <w:sz w:val="22"/>
          <w:szCs w:val="22"/>
        </w:rPr>
        <w:t>120</w:t>
      </w:r>
      <w:r w:rsidRPr="000B2293">
        <w:rPr>
          <w:rFonts w:ascii="Calibri" w:hAnsi="Calibri"/>
          <w:sz w:val="22"/>
          <w:szCs w:val="22"/>
        </w:rPr>
        <w:fldChar w:fldCharType="end"/>
      </w:r>
    </w:p>
    <w:p w14:paraId="0E027558" w14:textId="77777777" w:rsidR="000B2293" w:rsidRPr="000B2293" w:rsidRDefault="000B2293">
      <w:pPr>
        <w:pStyle w:val="TOC1"/>
        <w:tabs>
          <w:tab w:val="left" w:pos="357"/>
        </w:tabs>
        <w:rPr>
          <w:rFonts w:ascii="Calibri" w:eastAsiaTheme="minorEastAsia" w:hAnsi="Calibri" w:cstheme="minorBidi"/>
          <w:b w:val="0"/>
          <w:noProof/>
          <w:sz w:val="22"/>
          <w:szCs w:val="22"/>
        </w:rPr>
      </w:pPr>
      <w:r w:rsidRPr="000B2293">
        <w:rPr>
          <w:rFonts w:ascii="Calibri" w:hAnsi="Calibri"/>
          <w:noProof/>
          <w:sz w:val="22"/>
          <w:szCs w:val="22"/>
        </w:rPr>
        <w:t>6</w:t>
      </w:r>
      <w:r w:rsidRPr="000B2293">
        <w:rPr>
          <w:rFonts w:ascii="Calibri" w:eastAsiaTheme="minorEastAsia" w:hAnsi="Calibri" w:cstheme="minorBidi"/>
          <w:b w:val="0"/>
          <w:noProof/>
          <w:sz w:val="22"/>
          <w:szCs w:val="22"/>
        </w:rPr>
        <w:tab/>
      </w:r>
      <w:r w:rsidRPr="000B2293">
        <w:rPr>
          <w:rFonts w:ascii="Calibri" w:hAnsi="Calibri"/>
          <w:noProof/>
          <w:sz w:val="22"/>
          <w:szCs w:val="22"/>
        </w:rPr>
        <w:t>Quality Assurance and Quality Control</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_Toc511217627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121</w:t>
      </w:r>
      <w:r w:rsidRPr="000B2293">
        <w:rPr>
          <w:rFonts w:ascii="Calibri" w:hAnsi="Calibri"/>
          <w:noProof/>
          <w:sz w:val="22"/>
          <w:szCs w:val="22"/>
        </w:rPr>
        <w:fldChar w:fldCharType="end"/>
      </w:r>
    </w:p>
    <w:p w14:paraId="0F5C74C8" w14:textId="77777777" w:rsidR="000B2293" w:rsidRPr="000B2293" w:rsidRDefault="000B2293">
      <w:pPr>
        <w:pStyle w:val="TOC1"/>
        <w:tabs>
          <w:tab w:val="left" w:pos="357"/>
        </w:tabs>
        <w:rPr>
          <w:rFonts w:ascii="Calibri" w:eastAsiaTheme="minorEastAsia" w:hAnsi="Calibri" w:cstheme="minorBidi"/>
          <w:b w:val="0"/>
          <w:noProof/>
          <w:sz w:val="22"/>
          <w:szCs w:val="22"/>
        </w:rPr>
      </w:pPr>
      <w:r w:rsidRPr="000B2293">
        <w:rPr>
          <w:rFonts w:ascii="Calibri" w:hAnsi="Calibri"/>
          <w:noProof/>
          <w:sz w:val="22"/>
          <w:szCs w:val="22"/>
        </w:rPr>
        <w:t>7</w:t>
      </w:r>
      <w:r w:rsidRPr="000B2293">
        <w:rPr>
          <w:rFonts w:ascii="Calibri" w:eastAsiaTheme="minorEastAsia" w:hAnsi="Calibri" w:cstheme="minorBidi"/>
          <w:b w:val="0"/>
          <w:noProof/>
          <w:sz w:val="22"/>
          <w:szCs w:val="22"/>
        </w:rPr>
        <w:tab/>
      </w:r>
      <w:r w:rsidRPr="000B2293">
        <w:rPr>
          <w:rFonts w:ascii="Calibri" w:hAnsi="Calibri"/>
          <w:noProof/>
          <w:sz w:val="22"/>
          <w:szCs w:val="22"/>
        </w:rPr>
        <w:t>Screening methods based on bioassays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_Toc511217628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122</w:t>
      </w:r>
      <w:r w:rsidRPr="000B2293">
        <w:rPr>
          <w:rFonts w:ascii="Calibri" w:hAnsi="Calibri"/>
          <w:noProof/>
          <w:sz w:val="22"/>
          <w:szCs w:val="22"/>
        </w:rPr>
        <w:fldChar w:fldCharType="end"/>
      </w:r>
    </w:p>
    <w:p w14:paraId="68F8DEE4" w14:textId="77777777" w:rsidR="000B2293" w:rsidRPr="000B2293" w:rsidRDefault="000B2293">
      <w:pPr>
        <w:pStyle w:val="TOC1"/>
        <w:tabs>
          <w:tab w:val="left" w:pos="357"/>
        </w:tabs>
        <w:rPr>
          <w:rFonts w:ascii="Calibri" w:eastAsiaTheme="minorEastAsia" w:hAnsi="Calibri" w:cstheme="minorBidi"/>
          <w:b w:val="0"/>
          <w:noProof/>
          <w:sz w:val="22"/>
          <w:szCs w:val="22"/>
        </w:rPr>
      </w:pPr>
      <w:r w:rsidRPr="000B2293">
        <w:rPr>
          <w:rFonts w:ascii="Calibri" w:hAnsi="Calibri"/>
          <w:noProof/>
          <w:sz w:val="22"/>
          <w:szCs w:val="22"/>
        </w:rPr>
        <w:t>8</w:t>
      </w:r>
      <w:r w:rsidRPr="000B2293">
        <w:rPr>
          <w:rFonts w:ascii="Calibri" w:eastAsiaTheme="minorEastAsia" w:hAnsi="Calibri" w:cstheme="minorBidi"/>
          <w:b w:val="0"/>
          <w:noProof/>
          <w:sz w:val="22"/>
          <w:szCs w:val="22"/>
        </w:rPr>
        <w:tab/>
      </w:r>
      <w:r w:rsidRPr="000B2293">
        <w:rPr>
          <w:rFonts w:ascii="Calibri" w:hAnsi="Calibri"/>
          <w:noProof/>
          <w:sz w:val="22"/>
          <w:szCs w:val="22"/>
        </w:rPr>
        <w:t>Safety</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_Toc511217629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123</w:t>
      </w:r>
      <w:r w:rsidRPr="000B2293">
        <w:rPr>
          <w:rFonts w:ascii="Calibri" w:hAnsi="Calibri"/>
          <w:noProof/>
          <w:sz w:val="22"/>
          <w:szCs w:val="22"/>
        </w:rPr>
        <w:fldChar w:fldCharType="end"/>
      </w:r>
    </w:p>
    <w:p w14:paraId="2E8BC08C" w14:textId="77777777" w:rsidR="000B2293" w:rsidRPr="000B2293" w:rsidRDefault="000B2293">
      <w:pPr>
        <w:pStyle w:val="TOC1"/>
        <w:tabs>
          <w:tab w:val="left" w:pos="357"/>
        </w:tabs>
        <w:rPr>
          <w:rFonts w:ascii="Calibri" w:eastAsiaTheme="minorEastAsia" w:hAnsi="Calibri" w:cstheme="minorBidi"/>
          <w:b w:val="0"/>
          <w:noProof/>
          <w:sz w:val="22"/>
          <w:szCs w:val="22"/>
        </w:rPr>
      </w:pPr>
      <w:r w:rsidRPr="000B2293">
        <w:rPr>
          <w:rFonts w:ascii="Calibri" w:hAnsi="Calibri"/>
          <w:noProof/>
          <w:sz w:val="22"/>
          <w:szCs w:val="22"/>
        </w:rPr>
        <w:t>9</w:t>
      </w:r>
      <w:r w:rsidRPr="000B2293">
        <w:rPr>
          <w:rFonts w:ascii="Calibri" w:eastAsiaTheme="minorEastAsia" w:hAnsi="Calibri" w:cstheme="minorBidi"/>
          <w:b w:val="0"/>
          <w:noProof/>
          <w:sz w:val="22"/>
          <w:szCs w:val="22"/>
        </w:rPr>
        <w:tab/>
      </w:r>
      <w:r w:rsidRPr="000B2293">
        <w:rPr>
          <w:rFonts w:ascii="Calibri" w:hAnsi="Calibri"/>
          <w:noProof/>
          <w:sz w:val="22"/>
          <w:szCs w:val="22"/>
        </w:rPr>
        <w:t>Data reporting</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_Toc511217630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123</w:t>
      </w:r>
      <w:r w:rsidRPr="000B2293">
        <w:rPr>
          <w:rFonts w:ascii="Calibri" w:hAnsi="Calibri"/>
          <w:noProof/>
          <w:sz w:val="22"/>
          <w:szCs w:val="22"/>
        </w:rPr>
        <w:fldChar w:fldCharType="end"/>
      </w:r>
    </w:p>
    <w:p w14:paraId="42668E08" w14:textId="77777777" w:rsidR="000B2293" w:rsidRPr="000B2293" w:rsidRDefault="000B2293">
      <w:pPr>
        <w:pStyle w:val="TOC1"/>
        <w:tabs>
          <w:tab w:val="left" w:pos="714"/>
        </w:tabs>
        <w:rPr>
          <w:rFonts w:ascii="Calibri" w:eastAsiaTheme="minorEastAsia" w:hAnsi="Calibri" w:cstheme="minorBidi"/>
          <w:b w:val="0"/>
          <w:noProof/>
          <w:sz w:val="22"/>
          <w:szCs w:val="22"/>
        </w:rPr>
      </w:pPr>
      <w:r w:rsidRPr="000B2293">
        <w:rPr>
          <w:rFonts w:ascii="Calibri" w:hAnsi="Calibri"/>
          <w:noProof/>
          <w:sz w:val="22"/>
          <w:szCs w:val="22"/>
        </w:rPr>
        <w:t>10</w:t>
      </w:r>
      <w:r w:rsidRPr="000B2293">
        <w:rPr>
          <w:rFonts w:ascii="Calibri" w:eastAsiaTheme="minorEastAsia" w:hAnsi="Calibri" w:cstheme="minorBidi"/>
          <w:b w:val="0"/>
          <w:noProof/>
          <w:sz w:val="22"/>
          <w:szCs w:val="22"/>
        </w:rPr>
        <w:tab/>
      </w:r>
      <w:r w:rsidRPr="000B2293">
        <w:rPr>
          <w:rFonts w:ascii="Calibri" w:hAnsi="Calibri"/>
          <w:noProof/>
          <w:sz w:val="22"/>
          <w:szCs w:val="22"/>
        </w:rPr>
        <w:t>References</w:t>
      </w:r>
      <w:r w:rsidRPr="000B2293">
        <w:rPr>
          <w:rFonts w:ascii="Calibri" w:hAnsi="Calibri"/>
          <w:noProof/>
          <w:sz w:val="22"/>
          <w:szCs w:val="22"/>
        </w:rPr>
        <w:tab/>
      </w:r>
      <w:r w:rsidRPr="000B2293">
        <w:rPr>
          <w:rFonts w:ascii="Calibri" w:hAnsi="Calibri"/>
          <w:noProof/>
          <w:sz w:val="22"/>
          <w:szCs w:val="22"/>
        </w:rPr>
        <w:fldChar w:fldCharType="begin"/>
      </w:r>
      <w:r w:rsidRPr="000B2293">
        <w:rPr>
          <w:rFonts w:ascii="Calibri" w:hAnsi="Calibri"/>
          <w:noProof/>
          <w:sz w:val="22"/>
          <w:szCs w:val="22"/>
        </w:rPr>
        <w:instrText xml:space="preserve"> PAGEREF _Toc511217631 \h </w:instrText>
      </w:r>
      <w:r w:rsidRPr="000B2293">
        <w:rPr>
          <w:rFonts w:ascii="Calibri" w:hAnsi="Calibri"/>
          <w:noProof/>
          <w:sz w:val="22"/>
          <w:szCs w:val="22"/>
        </w:rPr>
      </w:r>
      <w:r w:rsidRPr="000B2293">
        <w:rPr>
          <w:rFonts w:ascii="Calibri" w:hAnsi="Calibri"/>
          <w:noProof/>
          <w:sz w:val="22"/>
          <w:szCs w:val="22"/>
        </w:rPr>
        <w:fldChar w:fldCharType="separate"/>
      </w:r>
      <w:r>
        <w:rPr>
          <w:rFonts w:ascii="Calibri" w:hAnsi="Calibri"/>
          <w:noProof/>
          <w:sz w:val="22"/>
          <w:szCs w:val="22"/>
        </w:rPr>
        <w:t>123</w:t>
      </w:r>
      <w:r w:rsidRPr="000B2293">
        <w:rPr>
          <w:rFonts w:ascii="Calibri" w:hAnsi="Calibri"/>
          <w:noProof/>
          <w:sz w:val="22"/>
          <w:szCs w:val="22"/>
        </w:rPr>
        <w:fldChar w:fldCharType="end"/>
      </w:r>
    </w:p>
    <w:p w14:paraId="724DBF1D" w14:textId="77777777" w:rsidR="00FC360C" w:rsidRPr="00F63BAF" w:rsidRDefault="00FC360C" w:rsidP="00FC360C">
      <w:r w:rsidRPr="000B2293">
        <w:rPr>
          <w:szCs w:val="22"/>
        </w:rPr>
        <w:fldChar w:fldCharType="end"/>
      </w:r>
    </w:p>
    <w:p w14:paraId="2BA9A137" w14:textId="77777777" w:rsidR="00FC360C" w:rsidRPr="00F63BAF" w:rsidRDefault="00FC360C" w:rsidP="00FC360C"/>
    <w:p w14:paraId="259A8131" w14:textId="77777777" w:rsidR="00FC360C" w:rsidRPr="00F63BAF" w:rsidRDefault="00FC360C" w:rsidP="00FC360C">
      <w:pPr>
        <w:sectPr w:rsidR="00FC360C" w:rsidRPr="00F63BAF" w:rsidSect="002F237A">
          <w:footerReference w:type="even" r:id="rId10"/>
          <w:footerReference w:type="default" r:id="rId11"/>
          <w:footerReference w:type="first" r:id="rId12"/>
          <w:pgSz w:w="11907" w:h="16840" w:code="9"/>
          <w:pgMar w:top="1418" w:right="1275" w:bottom="1418" w:left="1418" w:header="567" w:footer="567" w:gutter="0"/>
          <w:cols w:space="720"/>
          <w:titlePg/>
        </w:sectPr>
      </w:pPr>
    </w:p>
    <w:p w14:paraId="335AEFD8" w14:textId="422CD696" w:rsidR="00FC360C" w:rsidRPr="00F63BAF" w:rsidRDefault="007D149A" w:rsidP="002F237A">
      <w:pPr>
        <w:pStyle w:val="Title"/>
      </w:pPr>
      <w:bookmarkStart w:id="22" w:name="_Toc511217336"/>
      <w:bookmarkStart w:id="23" w:name="_Toc65047572"/>
      <w:bookmarkStart w:id="24" w:name="_Toc65047913"/>
      <w:r>
        <w:t>CEMP</w:t>
      </w:r>
      <w:r w:rsidR="00FC360C" w:rsidRPr="00F63BAF">
        <w:t xml:space="preserve"> Guidelines for Monitoring Contaminants in </w:t>
      </w:r>
      <w:r w:rsidR="000B2293" w:rsidRPr="00F63BAF">
        <w:t xml:space="preserve">Biota </w:t>
      </w:r>
      <w:r w:rsidR="00FC360C" w:rsidRPr="00F63BAF">
        <w:br/>
      </w:r>
      <w:r w:rsidR="00FC360C" w:rsidRPr="00F63BAF">
        <w:rPr>
          <w:sz w:val="28"/>
          <w:szCs w:val="28"/>
        </w:rPr>
        <w:t>(Agreement 1999-02, revised 201</w:t>
      </w:r>
      <w:r w:rsidR="00FB0229">
        <w:rPr>
          <w:sz w:val="28"/>
          <w:szCs w:val="28"/>
        </w:rPr>
        <w:t>8</w:t>
      </w:r>
      <w:r w:rsidR="00FC360C" w:rsidRPr="00F63BAF">
        <w:rPr>
          <w:sz w:val="28"/>
          <w:szCs w:val="28"/>
        </w:rPr>
        <w:t>)</w:t>
      </w:r>
      <w:bookmarkEnd w:id="22"/>
    </w:p>
    <w:p w14:paraId="42B01067" w14:textId="77777777" w:rsidR="00FC360C" w:rsidRPr="00F63BAF" w:rsidRDefault="00FC360C" w:rsidP="002F237A">
      <w:pPr>
        <w:pStyle w:val="Heading1"/>
      </w:pPr>
      <w:bookmarkStart w:id="25" w:name="_Toc511217337"/>
      <w:r w:rsidRPr="00F63BAF">
        <w:t>1.</w:t>
      </w:r>
      <w:r w:rsidRPr="00F63BAF">
        <w:tab/>
        <w:t>Introduction</w:t>
      </w:r>
      <w:bookmarkEnd w:id="25"/>
    </w:p>
    <w:p w14:paraId="77721E93" w14:textId="77777777" w:rsidR="00FC360C" w:rsidRPr="00F63BAF" w:rsidRDefault="00FC360C" w:rsidP="00FC360C">
      <w:pPr>
        <w:spacing w:after="140"/>
        <w:rPr>
          <w:rFonts w:cs="Arial"/>
        </w:rPr>
      </w:pPr>
      <w:r w:rsidRPr="00F63BAF">
        <w:rPr>
          <w:rFonts w:cs="Arial"/>
        </w:rPr>
        <w:t>1.</w:t>
      </w:r>
      <w:r w:rsidRPr="00F63BAF">
        <w:rPr>
          <w:rFonts w:cs="Arial"/>
        </w:rPr>
        <w:tab/>
        <w:t>These guidelines concern the sampling and analysis of contaminants in fish, shellfish and seabird eggs. They are suitable for hazardous substances: trace metals and organic compounds including chlorinated compounds (such as chlorobiphenyls, DDT and metabolites, HCH isomers, HCB and dieldrin), parent and alkylated PAHs, brominated flame retardants such as polybrominated diphenyl ethers (PBDEs) and hexabromocyclododecane (HBCD), perfluorinated compounds (PFCs), organotin compounds (TBT and its breakdown products), dioxins, furans and dioxin-like PCBs</w:t>
      </w:r>
      <w:r w:rsidRPr="00F63BAF">
        <w:rPr>
          <w:rFonts w:cs="Arial"/>
          <w:i/>
          <w:iCs/>
        </w:rPr>
        <w:t xml:space="preserve">. </w:t>
      </w:r>
      <w:r w:rsidRPr="00F63BAF">
        <w:rPr>
          <w:rFonts w:cs="Arial"/>
        </w:rPr>
        <w:t>Technical details relating to sampling, analysis, QA and reporting are given in Technical Annexes 1 and 3-9 (organic contaminants) and Technical Annex 2 (metals).</w:t>
      </w:r>
    </w:p>
    <w:p w14:paraId="700BE177" w14:textId="77777777" w:rsidR="00FC360C" w:rsidRPr="00F63BAF" w:rsidRDefault="00FC360C" w:rsidP="002F237A">
      <w:pPr>
        <w:pStyle w:val="Heading1"/>
      </w:pPr>
      <w:bookmarkStart w:id="26" w:name="_Toc240875548"/>
      <w:bookmarkStart w:id="27" w:name="_Toc511217338"/>
      <w:r w:rsidRPr="00F63BAF">
        <w:t>2.</w:t>
      </w:r>
      <w:r w:rsidRPr="00F63BAF">
        <w:tab/>
        <w:t>Purposes</w:t>
      </w:r>
      <w:bookmarkEnd w:id="26"/>
      <w:bookmarkEnd w:id="27"/>
    </w:p>
    <w:p w14:paraId="12D57A02" w14:textId="77777777" w:rsidR="00FC360C" w:rsidRPr="00F63BAF" w:rsidRDefault="00FC360C" w:rsidP="00FC360C">
      <w:pPr>
        <w:spacing w:after="140"/>
        <w:rPr>
          <w:rFonts w:cs="Arial"/>
        </w:rPr>
      </w:pPr>
      <w:r w:rsidRPr="00F63BAF">
        <w:rPr>
          <w:rFonts w:cs="Arial"/>
        </w:rPr>
        <w:t>2.</w:t>
      </w:r>
      <w:r w:rsidRPr="00F63BAF">
        <w:rPr>
          <w:rFonts w:cs="Arial"/>
        </w:rPr>
        <w:tab/>
      </w:r>
      <w:proofErr w:type="gramStart"/>
      <w:r w:rsidRPr="00F63BAF">
        <w:rPr>
          <w:rFonts w:cs="Arial"/>
        </w:rPr>
        <w:t>Monitoring</w:t>
      </w:r>
      <w:proofErr w:type="gramEnd"/>
      <w:r w:rsidRPr="00F63BAF">
        <w:rPr>
          <w:rFonts w:cs="Arial"/>
        </w:rPr>
        <w:t xml:space="preserve"> of contaminants in marine biota in the North-east Atlantic Ocean is performed within the framework of OSPAR as the regional convention for the protection of the marine environment of this area. The objectives of monitoring and assessment are described in the Joint Assessment and Monitoring Programme (JAMP) under the Hazardous Substances Strategy, providing the basis for the monitoring programme of chemicals for priority action, and hazardous substances in general, and addressing the following issues (see JAMP Theme H):</w:t>
      </w:r>
    </w:p>
    <w:p w14:paraId="22B6683C" w14:textId="77777777" w:rsidR="00FC360C" w:rsidRPr="00F63BAF" w:rsidRDefault="00FC360C" w:rsidP="00FC360C">
      <w:pPr>
        <w:numPr>
          <w:ilvl w:val="0"/>
          <w:numId w:val="38"/>
        </w:numPr>
        <w:tabs>
          <w:tab w:val="clear" w:pos="567"/>
          <w:tab w:val="clear" w:pos="1134"/>
          <w:tab w:val="clear" w:pos="1701"/>
          <w:tab w:val="clear" w:pos="2268"/>
          <w:tab w:val="num" w:pos="720"/>
          <w:tab w:val="left" w:pos="1418"/>
        </w:tabs>
        <w:spacing w:after="200" w:line="276" w:lineRule="exact"/>
        <w:ind w:left="720"/>
        <w:rPr>
          <w:rFonts w:eastAsia="Calibri" w:cs="Arial"/>
          <w:lang w:eastAsia="en-US"/>
        </w:rPr>
      </w:pPr>
      <w:r w:rsidRPr="00F63BAF">
        <w:rPr>
          <w:rFonts w:eastAsia="Calibri" w:cs="Arial"/>
          <w:lang w:eastAsia="en-US"/>
        </w:rPr>
        <w:t>What are the concentrations of hazardous substances in the marine environment? Are those hazardous substances monitored at, or approaching, background levels for naturally occurring substances and close to zero for man-made substances? How are the concentrations changing over time? Are the concentrations of either individual substances or mixture of substances such that they are not giving rise to pollution effects?</w:t>
      </w:r>
    </w:p>
    <w:p w14:paraId="4AC9808A" w14:textId="77777777" w:rsidR="00FC360C" w:rsidRPr="00F63BAF" w:rsidRDefault="00FC360C" w:rsidP="00FC360C">
      <w:pPr>
        <w:numPr>
          <w:ilvl w:val="0"/>
          <w:numId w:val="38"/>
        </w:numPr>
        <w:tabs>
          <w:tab w:val="clear" w:pos="567"/>
          <w:tab w:val="clear" w:pos="1134"/>
          <w:tab w:val="clear" w:pos="1701"/>
          <w:tab w:val="clear" w:pos="2268"/>
          <w:tab w:val="num" w:pos="720"/>
          <w:tab w:val="left" w:pos="1418"/>
        </w:tabs>
        <w:spacing w:after="200" w:line="276" w:lineRule="exact"/>
        <w:ind w:left="720"/>
        <w:rPr>
          <w:rFonts w:eastAsia="Calibri" w:cs="Arial"/>
          <w:lang w:eastAsia="en-US"/>
        </w:rPr>
      </w:pPr>
      <w:r w:rsidRPr="00F63BAF">
        <w:rPr>
          <w:rFonts w:eastAsia="Calibri" w:cs="Arial"/>
          <w:lang w:eastAsia="en-US"/>
        </w:rPr>
        <w:t>What are the sources, what are the levels of discharges, emissions and losses and what are the pathways to the marine environment for individual OSPAR chemicals for priority action and other hazardous substances listed by e.g. the Stockholm Convention and the MSFD? Are the discharges, emissions and losses from sources of these substances to the marine environment continuously decreasing, and are they moving towards the target of cessation?</w:t>
      </w:r>
    </w:p>
    <w:p w14:paraId="2F55178F" w14:textId="77777777" w:rsidR="00FC360C" w:rsidRPr="00F63BAF" w:rsidRDefault="00FC360C" w:rsidP="00FC360C">
      <w:pPr>
        <w:tabs>
          <w:tab w:val="left" w:pos="720"/>
        </w:tabs>
        <w:autoSpaceDE w:val="0"/>
        <w:autoSpaceDN w:val="0"/>
        <w:adjustRightInd w:val="0"/>
        <w:spacing w:line="276" w:lineRule="exact"/>
        <w:rPr>
          <w:rFonts w:eastAsia="Calibri" w:cs="Arial"/>
          <w:lang w:eastAsia="en-US"/>
        </w:rPr>
      </w:pPr>
      <w:r w:rsidRPr="00F63BAF">
        <w:rPr>
          <w:rFonts w:eastAsia="Calibri" w:cs="Arial"/>
          <w:lang w:eastAsia="en-US"/>
        </w:rPr>
        <w:t>3.</w:t>
      </w:r>
      <w:r w:rsidRPr="00F63BAF">
        <w:rPr>
          <w:rFonts w:eastAsia="Calibri" w:cs="Arial"/>
          <w:lang w:eastAsia="en-US"/>
        </w:rPr>
        <w:tab/>
        <w:t xml:space="preserve">The existing level of marine contamination in different parts of the convention area can be assessed by spatial distribution monitoring. Monitoring contaminant concentrations in fish, shellfish and seabird eggs can be used to indicate large-scale regional differences in contamination. </w:t>
      </w:r>
    </w:p>
    <w:p w14:paraId="6E75923A" w14:textId="77777777" w:rsidR="00FC360C" w:rsidRPr="00F63BAF" w:rsidRDefault="00FC360C" w:rsidP="00FC360C">
      <w:pPr>
        <w:tabs>
          <w:tab w:val="left" w:pos="720"/>
        </w:tabs>
        <w:autoSpaceDE w:val="0"/>
        <w:autoSpaceDN w:val="0"/>
        <w:adjustRightInd w:val="0"/>
        <w:spacing w:before="120" w:line="276" w:lineRule="exact"/>
        <w:rPr>
          <w:rFonts w:eastAsia="Calibri" w:cs="Arial"/>
          <w:bCs/>
          <w:lang w:eastAsia="de-DE"/>
        </w:rPr>
      </w:pPr>
      <w:r w:rsidRPr="00F63BAF">
        <w:rPr>
          <w:rFonts w:eastAsia="Calibri" w:cs="Arial"/>
          <w:lang w:eastAsia="en-US"/>
        </w:rPr>
        <w:t>4.</w:t>
      </w:r>
      <w:r w:rsidRPr="00F63BAF">
        <w:rPr>
          <w:rFonts w:eastAsia="Calibri" w:cs="Arial"/>
          <w:lang w:eastAsia="en-US"/>
        </w:rPr>
        <w:tab/>
        <w:t xml:space="preserve">The measured levels can be compared to background or close to background reference conditions as well as to levels describing the thresholds above which negative effects on living resources and marine life are expected. OSPAR monitoring can assist member states of the European Union to </w:t>
      </w:r>
      <w:r w:rsidR="005D6562" w:rsidRPr="00F63BAF">
        <w:rPr>
          <w:rFonts w:eastAsia="Calibri" w:cs="Arial"/>
          <w:lang w:eastAsia="en-US"/>
        </w:rPr>
        <w:t>fulfil</w:t>
      </w:r>
      <w:r w:rsidRPr="00F63BAF">
        <w:rPr>
          <w:rFonts w:eastAsia="Calibri" w:cs="Arial"/>
          <w:lang w:eastAsia="en-US"/>
        </w:rPr>
        <w:t xml:space="preserve"> their obligations under relevant EU-directives, namely the Marine Strategy Framework Directive (MSFD, 2008/56/EC) and the Water Framework Directive (WFD, 2000/60/EC) and related directives like the WFD daughter directive </w:t>
      </w:r>
      <w:r w:rsidRPr="00F63BAF">
        <w:rPr>
          <w:rFonts w:eastAsia="Calibri" w:cs="Arial"/>
          <w:bCs/>
          <w:lang w:eastAsia="de-DE"/>
        </w:rPr>
        <w:t xml:space="preserve">on Environmental Quality Standards in the field of water policy (2008/105/EC), to assess whether certain regions or sub-regions, have reached or failed to reach Good Environmental Status. </w:t>
      </w:r>
    </w:p>
    <w:p w14:paraId="2F77ADA3" w14:textId="77777777" w:rsidR="00FC360C" w:rsidRPr="00F63BAF" w:rsidRDefault="00FC360C" w:rsidP="00FC360C">
      <w:pPr>
        <w:tabs>
          <w:tab w:val="left" w:pos="720"/>
        </w:tabs>
        <w:spacing w:before="120" w:after="140"/>
        <w:rPr>
          <w:rFonts w:cs="Arial"/>
        </w:rPr>
      </w:pPr>
      <w:r w:rsidRPr="00F63BAF">
        <w:rPr>
          <w:rFonts w:cs="Arial"/>
        </w:rPr>
        <w:t>5.</w:t>
      </w:r>
      <w:r w:rsidRPr="00F63BAF">
        <w:rPr>
          <w:rFonts w:cs="Arial"/>
        </w:rPr>
        <w:tab/>
        <w:t>The effectiveness of measures taken for the reduction of marine contamination can be assessed by performing trend monitoring. Changes in contaminant inputs are reflected in the concentrations of contaminants in biota over time. The statistical assessment of a trend over a longer period also supplies a more reliable assessment for the status within a certain period or the last measured year and therefore also for the assessment of the actual status, as the within and between year variability is thereby taken into account.</w:t>
      </w:r>
    </w:p>
    <w:p w14:paraId="1D4D15B7" w14:textId="77777777" w:rsidR="00FC360C" w:rsidRPr="00F63BAF" w:rsidRDefault="00FC360C" w:rsidP="00FC360C">
      <w:pPr>
        <w:tabs>
          <w:tab w:val="left" w:pos="720"/>
        </w:tabs>
        <w:autoSpaceDE w:val="0"/>
        <w:autoSpaceDN w:val="0"/>
        <w:adjustRightInd w:val="0"/>
        <w:spacing w:line="276" w:lineRule="exact"/>
        <w:rPr>
          <w:rFonts w:cs="Arial"/>
        </w:rPr>
      </w:pPr>
      <w:r w:rsidRPr="00F63BAF">
        <w:rPr>
          <w:rFonts w:cs="Arial"/>
        </w:rPr>
        <w:t>6.</w:t>
      </w:r>
      <w:r w:rsidRPr="00F63BAF">
        <w:rPr>
          <w:rFonts w:cs="Arial"/>
        </w:rPr>
        <w:tab/>
        <w:t>An integrated approach is needed to assess harm to living resources and marine life. The role of chemical measurements in integrated chemical and biological effects monitoring programmes is:</w:t>
      </w:r>
    </w:p>
    <w:p w14:paraId="3146DC9B" w14:textId="77777777" w:rsidR="00FC360C" w:rsidRPr="00F63BAF" w:rsidRDefault="00FC360C" w:rsidP="00FC360C">
      <w:pPr>
        <w:tabs>
          <w:tab w:val="left" w:pos="720"/>
        </w:tabs>
        <w:spacing w:after="140"/>
        <w:ind w:left="708"/>
        <w:rPr>
          <w:rFonts w:cs="Arial"/>
        </w:rPr>
      </w:pPr>
      <w:proofErr w:type="gramStart"/>
      <w:r w:rsidRPr="00F63BAF">
        <w:rPr>
          <w:rFonts w:cs="Arial"/>
        </w:rPr>
        <w:t>i</w:t>
      </w:r>
      <w:proofErr w:type="gramEnd"/>
      <w:r w:rsidRPr="00F63BAF">
        <w:rPr>
          <w:rFonts w:cs="Arial"/>
        </w:rPr>
        <w:t>.</w:t>
      </w:r>
      <w:r w:rsidRPr="00F63BAF">
        <w:rPr>
          <w:rFonts w:cs="Arial"/>
        </w:rPr>
        <w:tab/>
        <w:t xml:space="preserve">to identify sites where contaminant-specific biological effects programmes should be applied; </w:t>
      </w:r>
    </w:p>
    <w:p w14:paraId="0689F8F5" w14:textId="77777777" w:rsidR="00FC360C" w:rsidRPr="00F63BAF" w:rsidRDefault="00FC360C" w:rsidP="00FC360C">
      <w:pPr>
        <w:tabs>
          <w:tab w:val="left" w:pos="720"/>
        </w:tabs>
        <w:spacing w:after="140"/>
        <w:ind w:left="708"/>
        <w:rPr>
          <w:rFonts w:cs="Arial"/>
        </w:rPr>
      </w:pPr>
      <w:r w:rsidRPr="00F63BAF">
        <w:rPr>
          <w:rFonts w:cs="Arial"/>
        </w:rPr>
        <w:t>ii.</w:t>
      </w:r>
      <w:r w:rsidRPr="00F63BAF">
        <w:rPr>
          <w:rFonts w:cs="Arial"/>
        </w:rPr>
        <w:tab/>
      </w:r>
      <w:proofErr w:type="gramStart"/>
      <w:r w:rsidRPr="00F63BAF">
        <w:rPr>
          <w:rFonts w:cs="Arial"/>
        </w:rPr>
        <w:t>to</w:t>
      </w:r>
      <w:proofErr w:type="gramEnd"/>
      <w:r w:rsidRPr="00F63BAF">
        <w:rPr>
          <w:rFonts w:cs="Arial"/>
        </w:rPr>
        <w:t xml:space="preserve"> investigate the chemical cause of observed biological effects;</w:t>
      </w:r>
    </w:p>
    <w:p w14:paraId="76208FE4" w14:textId="77777777" w:rsidR="00FC360C" w:rsidRPr="00F63BAF" w:rsidRDefault="00FC360C" w:rsidP="005D6562">
      <w:pPr>
        <w:tabs>
          <w:tab w:val="left" w:pos="720"/>
        </w:tabs>
        <w:spacing w:after="140"/>
        <w:ind w:left="1134" w:hanging="414"/>
        <w:rPr>
          <w:rFonts w:cs="Arial"/>
        </w:rPr>
      </w:pPr>
      <w:r w:rsidRPr="00F63BAF">
        <w:rPr>
          <w:rFonts w:cs="Arial"/>
        </w:rPr>
        <w:t>iii.</w:t>
      </w:r>
      <w:r w:rsidRPr="00F63BAF">
        <w:rPr>
          <w:rFonts w:cs="Arial"/>
        </w:rPr>
        <w:tab/>
        <w:t>How to improve and extend OSPAR’s monitoring framew</w:t>
      </w:r>
      <w:r w:rsidR="005D6562">
        <w:rPr>
          <w:rFonts w:cs="Arial"/>
        </w:rPr>
        <w:t xml:space="preserve">ork and better link it with the </w:t>
      </w:r>
      <w:r w:rsidRPr="00F63BAF">
        <w:rPr>
          <w:rFonts w:cs="Arial"/>
        </w:rPr>
        <w:t>understanding of biological effects and ecological impacts of individual substances and the cumulative impacts of mixtures of substances.</w:t>
      </w:r>
    </w:p>
    <w:p w14:paraId="5A3D0334" w14:textId="77777777" w:rsidR="00FC360C" w:rsidRPr="00F63BAF" w:rsidRDefault="00FC360C" w:rsidP="002F237A">
      <w:pPr>
        <w:pStyle w:val="Heading1"/>
      </w:pPr>
      <w:bookmarkStart w:id="28" w:name="_Toc240875549"/>
      <w:bookmarkStart w:id="29" w:name="_Toc511217339"/>
      <w:r w:rsidRPr="00F63BAF">
        <w:t>3.</w:t>
      </w:r>
      <w:r w:rsidRPr="00F63BAF">
        <w:tab/>
        <w:t>Quantitative objectives</w:t>
      </w:r>
      <w:bookmarkEnd w:id="28"/>
      <w:bookmarkEnd w:id="29"/>
    </w:p>
    <w:p w14:paraId="71B0D8F3" w14:textId="77777777" w:rsidR="00FC360C" w:rsidRPr="00F63BAF" w:rsidRDefault="00FC360C" w:rsidP="002F237A">
      <w:pPr>
        <w:pStyle w:val="Heading2"/>
        <w:rPr>
          <w:lang w:val="en-GB"/>
        </w:rPr>
      </w:pPr>
      <w:bookmarkStart w:id="30" w:name="_Toc240875550"/>
      <w:bookmarkStart w:id="31" w:name="_Toc511217340"/>
      <w:r w:rsidRPr="00F63BAF">
        <w:rPr>
          <w:lang w:val="en-GB"/>
        </w:rPr>
        <w:t>3.1</w:t>
      </w:r>
      <w:r w:rsidRPr="00F63BAF">
        <w:rPr>
          <w:lang w:val="en-GB"/>
        </w:rPr>
        <w:tab/>
        <w:t>Temporal trends</w:t>
      </w:r>
      <w:bookmarkEnd w:id="30"/>
      <w:bookmarkEnd w:id="31"/>
    </w:p>
    <w:p w14:paraId="287FD42C" w14:textId="77777777" w:rsidR="00FC360C" w:rsidRPr="00F63BAF" w:rsidRDefault="00FC360C" w:rsidP="00FC360C">
      <w:pPr>
        <w:tabs>
          <w:tab w:val="left" w:pos="720"/>
        </w:tabs>
        <w:spacing w:after="140"/>
        <w:rPr>
          <w:rFonts w:cs="Arial"/>
        </w:rPr>
      </w:pPr>
      <w:r w:rsidRPr="00F63BAF">
        <w:rPr>
          <w:rFonts w:cs="Arial"/>
        </w:rPr>
        <w:t>7.</w:t>
      </w:r>
      <w:r w:rsidRPr="00F63BAF">
        <w:rPr>
          <w:rFonts w:cs="Arial"/>
        </w:rPr>
        <w:tab/>
        <w:t>Before starting to interpret results from statistical time series analyses it is essential to know with what power temporal changes in concentration could be detected (</w:t>
      </w:r>
      <w:r w:rsidRPr="00F63BAF">
        <w:rPr>
          <w:rFonts w:cs="Arial"/>
          <w:i/>
        </w:rPr>
        <w:t>i.e.</w:t>
      </w:r>
      <w:r w:rsidRPr="00F63BAF">
        <w:rPr>
          <w:rFonts w:cs="Arial"/>
        </w:rPr>
        <w:t xml:space="preserve"> the chances of revealing true trends in concentration within the matrices investigated). When no trend is found, it is essential to know whether this indicates a stable situation or that the sampling strategy is too poor to detect even major changes in the contaminant load to the environment. One approach for solving this problem would be to estimate the power of the time series based on the ‘random’ between-year variation. Alternatively the lowest detectable trend could be estimated at a fixed power to represent the sensitiveness of the time series. It should be stressed that the power estimate must be interpreted with great caution. A matrix showing a very high power is not necessarily a good matrix for monitoring. If the matrix analysed does not respond to the environmental changes being monitored, the between-year variation would probably be low and consequently the power high. Another problem is that a single outlier could ruin an estimate of the between-year variation. Bearing these difficulties in mind, and as an example for the purpose of trend monitoring, the quantified objective could be stated, including the following information: </w:t>
      </w:r>
    </w:p>
    <w:p w14:paraId="4AFB530E" w14:textId="77777777" w:rsidR="00FC360C" w:rsidRPr="00F63BAF" w:rsidRDefault="00FC360C" w:rsidP="00FC360C">
      <w:pPr>
        <w:numPr>
          <w:ilvl w:val="0"/>
          <w:numId w:val="20"/>
        </w:numPr>
        <w:tabs>
          <w:tab w:val="clear" w:pos="567"/>
          <w:tab w:val="clear" w:pos="1134"/>
          <w:tab w:val="clear" w:pos="1701"/>
          <w:tab w:val="clear" w:pos="2268"/>
          <w:tab w:val="left" w:pos="357"/>
          <w:tab w:val="left" w:pos="1418"/>
        </w:tabs>
        <w:spacing w:after="140"/>
        <w:rPr>
          <w:rFonts w:cs="Arial"/>
        </w:rPr>
      </w:pPr>
      <w:r w:rsidRPr="00F63BAF">
        <w:rPr>
          <w:rFonts w:cs="Arial"/>
        </w:rPr>
        <w:t>the annual change which the programme should be able to detect</w:t>
      </w:r>
    </w:p>
    <w:p w14:paraId="26AE2D55" w14:textId="77777777" w:rsidR="00FC360C" w:rsidRPr="00F63BAF" w:rsidRDefault="00FC360C" w:rsidP="00FC360C">
      <w:pPr>
        <w:numPr>
          <w:ilvl w:val="0"/>
          <w:numId w:val="20"/>
        </w:numPr>
        <w:tabs>
          <w:tab w:val="clear" w:pos="567"/>
          <w:tab w:val="clear" w:pos="1134"/>
          <w:tab w:val="clear" w:pos="1701"/>
          <w:tab w:val="clear" w:pos="2268"/>
          <w:tab w:val="left" w:pos="357"/>
          <w:tab w:val="left" w:pos="1418"/>
        </w:tabs>
        <w:spacing w:after="140"/>
        <w:rPr>
          <w:rFonts w:cs="Arial"/>
        </w:rPr>
      </w:pPr>
      <w:r w:rsidRPr="00F63BAF">
        <w:rPr>
          <w:rFonts w:cs="Arial"/>
        </w:rPr>
        <w:t xml:space="preserve">the time period </w:t>
      </w:r>
    </w:p>
    <w:p w14:paraId="030DE947" w14:textId="77777777" w:rsidR="00FC360C" w:rsidRPr="00F63BAF" w:rsidRDefault="00FC360C" w:rsidP="00FC360C">
      <w:pPr>
        <w:numPr>
          <w:ilvl w:val="0"/>
          <w:numId w:val="20"/>
        </w:numPr>
        <w:tabs>
          <w:tab w:val="clear" w:pos="567"/>
          <w:tab w:val="clear" w:pos="1134"/>
          <w:tab w:val="clear" w:pos="1701"/>
          <w:tab w:val="clear" w:pos="2268"/>
          <w:tab w:val="left" w:pos="357"/>
          <w:tab w:val="left" w:pos="1418"/>
        </w:tabs>
        <w:spacing w:after="140"/>
        <w:rPr>
          <w:rFonts w:cs="Arial"/>
        </w:rPr>
      </w:pPr>
      <w:proofErr w:type="gramStart"/>
      <w:r w:rsidRPr="00F63BAF">
        <w:rPr>
          <w:rFonts w:cs="Arial"/>
        </w:rPr>
        <w:t>the</w:t>
      </w:r>
      <w:proofErr w:type="gramEnd"/>
      <w:r w:rsidRPr="00F63BAF">
        <w:rPr>
          <w:rFonts w:cs="Arial"/>
        </w:rPr>
        <w:t xml:space="preserve"> power at a set significance level (</w:t>
      </w:r>
      <w:r w:rsidRPr="00F63BAF">
        <w:rPr>
          <w:rFonts w:cs="Arial"/>
        </w:rPr>
        <w:sym w:font="Symbol" w:char="F061"/>
      </w:r>
      <w:r w:rsidRPr="00F63BAF">
        <w:rPr>
          <w:rFonts w:cs="Arial"/>
        </w:rPr>
        <w:t>) with a one-sided test.</w:t>
      </w:r>
    </w:p>
    <w:p w14:paraId="47BB02A3" w14:textId="77777777" w:rsidR="00FC360C" w:rsidRPr="00F63BAF" w:rsidRDefault="00FC360C" w:rsidP="00FC360C">
      <w:pPr>
        <w:spacing w:after="140"/>
        <w:rPr>
          <w:rFonts w:cs="Arial"/>
        </w:rPr>
      </w:pPr>
      <w:r w:rsidRPr="00F63BAF">
        <w:rPr>
          <w:rFonts w:cs="Arial"/>
        </w:rPr>
        <w:t>A typical example which has been used previously is the ability to detect an annual change of 5% within a period of 10 years at a power of 90% at a significance level (</w:t>
      </w:r>
      <w:r w:rsidRPr="00F63BAF">
        <w:rPr>
          <w:rFonts w:cs="Arial"/>
        </w:rPr>
        <w:sym w:font="Symbol" w:char="F061"/>
      </w:r>
      <w:r w:rsidRPr="00F63BAF">
        <w:rPr>
          <w:rFonts w:cs="Arial"/>
        </w:rPr>
        <w:t>) of 5% with a one-sided test. For many areas, however, due to the decline of contaminant concentrations which has been observed this approach is no longer realistic, so that the annual change to be detected should be lower and the time period longer, e.g. a 2% fall over a time period of 30 years.</w:t>
      </w:r>
    </w:p>
    <w:p w14:paraId="6C6109BF" w14:textId="77777777" w:rsidR="00FC360C" w:rsidRPr="00F63BAF" w:rsidRDefault="00FC360C" w:rsidP="00FC360C">
      <w:pPr>
        <w:tabs>
          <w:tab w:val="left" w:pos="720"/>
        </w:tabs>
        <w:spacing w:after="140"/>
        <w:rPr>
          <w:rFonts w:cs="Arial"/>
        </w:rPr>
      </w:pPr>
      <w:r w:rsidRPr="00F63BAF">
        <w:rPr>
          <w:rFonts w:cs="Arial"/>
        </w:rPr>
        <w:t>8.</w:t>
      </w:r>
      <w:r w:rsidRPr="00F63BAF">
        <w:rPr>
          <w:rFonts w:cs="Arial"/>
        </w:rPr>
        <w:tab/>
        <w:t>The necessary or possible power of a monitoring programme will vary with the purpose of the investigation and with the contaminant, matrix and area being investigated. It is thus not possible to give fixed values for all situations. It is the duty of the programme manager to specify the size of the changes the monitoring programme is expected to identify and at what power, or for the programme executor to estimate what it is possible to achieve. It is, however, essential that the quantitative objectives are determined before any monitoring programme is started.</w:t>
      </w:r>
    </w:p>
    <w:p w14:paraId="61BFCFC2" w14:textId="77777777" w:rsidR="00FC360C" w:rsidRPr="00F63BAF" w:rsidRDefault="00FC360C" w:rsidP="00FC360C">
      <w:pPr>
        <w:spacing w:after="140"/>
        <w:rPr>
          <w:rFonts w:cs="Arial"/>
        </w:rPr>
      </w:pPr>
      <w:r w:rsidRPr="00F63BAF">
        <w:rPr>
          <w:rFonts w:cs="Arial"/>
        </w:rPr>
        <w:t>9.</w:t>
      </w:r>
      <w:r w:rsidRPr="00F63BAF">
        <w:rPr>
          <w:rFonts w:cs="Arial"/>
        </w:rPr>
        <w:tab/>
        <w:t>Due to the decrease of concentrations of many substances in the last two decades, for certain substances and areas it is not any longer possible to detect significant changes which can be associated with a trend. Monitoring is serving in this case for the assessment of status and to detect any deterioration. Depending on the magnitude of natural variability, it may also be possible to reduce the monitoring effort and to change from annual sampling to longer intervals without loss of relevant information.</w:t>
      </w:r>
    </w:p>
    <w:p w14:paraId="16922A8F" w14:textId="77777777" w:rsidR="00FC360C" w:rsidRPr="00F63BAF" w:rsidRDefault="00FC360C" w:rsidP="002F237A">
      <w:pPr>
        <w:pStyle w:val="Heading2"/>
        <w:rPr>
          <w:lang w:val="en-GB"/>
        </w:rPr>
      </w:pPr>
      <w:bookmarkStart w:id="32" w:name="_Toc240875551"/>
      <w:bookmarkStart w:id="33" w:name="_Toc511217341"/>
      <w:r w:rsidRPr="00F63BAF">
        <w:rPr>
          <w:lang w:val="en-GB"/>
        </w:rPr>
        <w:t>3.2</w:t>
      </w:r>
      <w:r w:rsidRPr="00F63BAF">
        <w:rPr>
          <w:lang w:val="en-GB"/>
        </w:rPr>
        <w:tab/>
        <w:t>Spatial distribution</w:t>
      </w:r>
      <w:bookmarkEnd w:id="32"/>
      <w:bookmarkEnd w:id="33"/>
    </w:p>
    <w:p w14:paraId="007764B4" w14:textId="77777777" w:rsidR="00FC360C" w:rsidRPr="00F63BAF" w:rsidRDefault="00FC360C" w:rsidP="00FC360C">
      <w:pPr>
        <w:spacing w:after="140"/>
        <w:rPr>
          <w:rFonts w:cs="Arial"/>
        </w:rPr>
      </w:pPr>
      <w:r w:rsidRPr="00F63BAF">
        <w:rPr>
          <w:rFonts w:cs="Arial"/>
        </w:rPr>
        <w:t>10.</w:t>
      </w:r>
      <w:r w:rsidRPr="00F63BAF">
        <w:rPr>
          <w:rFonts w:cs="Arial"/>
        </w:rPr>
        <w:tab/>
        <w:t>A spatial distribution monitoring programme should enable Contracting Parties to determine the representativeness of their monitoring stations with regard to spatial variability in contaminant concentrations. This would include a definition of the monitoring area and some understanding of the randomness of the monitoring programme. It can also deliver information useful to distinguish between areas of different character and to define water bodies or areas which should be assessed separately. The purpose and quantitative objectives could be expressed as follows, for example:</w:t>
      </w:r>
    </w:p>
    <w:p w14:paraId="7F5EFC11" w14:textId="77777777" w:rsidR="00FC360C" w:rsidRPr="00F63BAF" w:rsidRDefault="00FC360C" w:rsidP="00FC360C">
      <w:pPr>
        <w:numPr>
          <w:ilvl w:val="0"/>
          <w:numId w:val="40"/>
        </w:numPr>
        <w:tabs>
          <w:tab w:val="clear" w:pos="567"/>
          <w:tab w:val="clear" w:pos="1701"/>
          <w:tab w:val="clear" w:pos="2268"/>
        </w:tabs>
        <w:spacing w:after="140"/>
        <w:ind w:left="1134" w:hanging="567"/>
        <w:rPr>
          <w:rFonts w:cs="Arial"/>
        </w:rPr>
      </w:pPr>
      <w:r w:rsidRPr="00F63BAF">
        <w:rPr>
          <w:rFonts w:cs="Arial"/>
        </w:rPr>
        <w:t>Purpose: to identify whether an area has elevated contaminant concentrations, possibly due to anthropogenic inputs.</w:t>
      </w:r>
    </w:p>
    <w:p w14:paraId="79F91E98" w14:textId="77777777" w:rsidR="00FC360C" w:rsidRPr="00F63BAF" w:rsidRDefault="00FC360C" w:rsidP="00FC360C">
      <w:pPr>
        <w:numPr>
          <w:ilvl w:val="0"/>
          <w:numId w:val="40"/>
        </w:numPr>
        <w:tabs>
          <w:tab w:val="clear" w:pos="567"/>
          <w:tab w:val="clear" w:pos="1701"/>
          <w:tab w:val="clear" w:pos="2268"/>
        </w:tabs>
        <w:spacing w:after="140"/>
        <w:ind w:left="1134" w:hanging="567"/>
        <w:rPr>
          <w:rFonts w:cs="Arial"/>
        </w:rPr>
      </w:pPr>
      <w:r w:rsidRPr="00F63BAF">
        <w:rPr>
          <w:rFonts w:cs="Arial"/>
        </w:rPr>
        <w:t xml:space="preserve">Quantitative Objective: to detect a difference of 10 </w:t>
      </w:r>
      <w:r w:rsidRPr="00F63BAF">
        <w:rPr>
          <w:rFonts w:cs="Arial"/>
        </w:rPr>
        <w:sym w:font="Symbol" w:char="F06D"/>
      </w:r>
      <w:r w:rsidRPr="00F63BAF">
        <w:rPr>
          <w:rFonts w:cs="Arial"/>
        </w:rPr>
        <w:t>g/kg between the average contaminant concentrations in area A and the average contaminant concentrations in control area B with a power of 90%.</w:t>
      </w:r>
    </w:p>
    <w:p w14:paraId="6517B3B7" w14:textId="77777777" w:rsidR="00FC360C" w:rsidRPr="00F63BAF" w:rsidRDefault="00FC360C" w:rsidP="00FC360C">
      <w:pPr>
        <w:spacing w:after="140"/>
        <w:rPr>
          <w:rFonts w:cs="Arial"/>
        </w:rPr>
      </w:pPr>
      <w:proofErr w:type="gramStart"/>
      <w:r w:rsidRPr="00F63BAF">
        <w:rPr>
          <w:rFonts w:cs="Arial"/>
        </w:rPr>
        <w:t>or</w:t>
      </w:r>
      <w:proofErr w:type="gramEnd"/>
    </w:p>
    <w:p w14:paraId="59564F1E" w14:textId="77777777" w:rsidR="00FC360C" w:rsidRPr="00F63BAF" w:rsidRDefault="00FC360C" w:rsidP="00FC360C">
      <w:pPr>
        <w:numPr>
          <w:ilvl w:val="0"/>
          <w:numId w:val="39"/>
        </w:numPr>
        <w:tabs>
          <w:tab w:val="clear" w:pos="567"/>
          <w:tab w:val="clear" w:pos="1701"/>
          <w:tab w:val="clear" w:pos="2268"/>
          <w:tab w:val="left" w:pos="357"/>
        </w:tabs>
        <w:spacing w:after="140"/>
        <w:ind w:left="1134" w:hanging="567"/>
        <w:rPr>
          <w:rFonts w:cs="Arial"/>
        </w:rPr>
      </w:pPr>
      <w:r w:rsidRPr="00F63BAF">
        <w:rPr>
          <w:rFonts w:cs="Arial"/>
        </w:rPr>
        <w:t>Purpose: to map the spatial distribution of contaminants.</w:t>
      </w:r>
    </w:p>
    <w:p w14:paraId="5F26115B" w14:textId="77777777" w:rsidR="00FC360C" w:rsidRPr="00F63BAF" w:rsidRDefault="00FC360C" w:rsidP="00FC360C">
      <w:pPr>
        <w:numPr>
          <w:ilvl w:val="0"/>
          <w:numId w:val="39"/>
        </w:numPr>
        <w:tabs>
          <w:tab w:val="clear" w:pos="567"/>
          <w:tab w:val="clear" w:pos="1701"/>
          <w:tab w:val="clear" w:pos="2268"/>
          <w:tab w:val="left" w:pos="357"/>
        </w:tabs>
        <w:spacing w:after="140"/>
        <w:ind w:left="1134" w:hanging="567"/>
        <w:rPr>
          <w:rFonts w:cs="Arial"/>
        </w:rPr>
      </w:pPr>
      <w:r w:rsidRPr="00F63BAF">
        <w:rPr>
          <w:rFonts w:cs="Arial"/>
        </w:rPr>
        <w:t>Quantitative Objective: for the precision of an interpolated point on the map to be at worst 10%.</w:t>
      </w:r>
    </w:p>
    <w:p w14:paraId="5274B9A2" w14:textId="77777777" w:rsidR="00FC360C" w:rsidRPr="00F63BAF" w:rsidRDefault="00FC360C" w:rsidP="00FC360C">
      <w:pPr>
        <w:spacing w:after="140"/>
        <w:rPr>
          <w:rFonts w:cs="Arial"/>
        </w:rPr>
      </w:pPr>
      <w:proofErr w:type="gramStart"/>
      <w:r w:rsidRPr="00F63BAF">
        <w:rPr>
          <w:rFonts w:cs="Arial"/>
        </w:rPr>
        <w:t>or</w:t>
      </w:r>
      <w:proofErr w:type="gramEnd"/>
    </w:p>
    <w:p w14:paraId="63025311" w14:textId="77777777" w:rsidR="00FC360C" w:rsidRPr="00F63BAF" w:rsidRDefault="00FC360C" w:rsidP="00FC360C">
      <w:pPr>
        <w:numPr>
          <w:ilvl w:val="0"/>
          <w:numId w:val="39"/>
        </w:numPr>
        <w:tabs>
          <w:tab w:val="clear" w:pos="567"/>
          <w:tab w:val="clear" w:pos="1701"/>
          <w:tab w:val="clear" w:pos="2268"/>
          <w:tab w:val="left" w:pos="357"/>
        </w:tabs>
        <w:spacing w:after="140"/>
        <w:ind w:left="1134" w:hanging="567"/>
        <w:rPr>
          <w:rFonts w:cs="Arial"/>
        </w:rPr>
      </w:pPr>
      <w:r w:rsidRPr="00F63BAF">
        <w:rPr>
          <w:rFonts w:cs="Arial"/>
        </w:rPr>
        <w:t>Purpose: to locate “hot spots”.</w:t>
      </w:r>
    </w:p>
    <w:p w14:paraId="6B399D7F" w14:textId="77777777" w:rsidR="00FC360C" w:rsidRPr="00F63BAF" w:rsidRDefault="00FC360C" w:rsidP="00FC360C">
      <w:pPr>
        <w:numPr>
          <w:ilvl w:val="0"/>
          <w:numId w:val="39"/>
        </w:numPr>
        <w:tabs>
          <w:tab w:val="clear" w:pos="567"/>
          <w:tab w:val="clear" w:pos="1701"/>
          <w:tab w:val="clear" w:pos="2268"/>
          <w:tab w:val="left" w:pos="357"/>
        </w:tabs>
        <w:spacing w:after="140"/>
        <w:ind w:left="1134" w:hanging="567"/>
        <w:rPr>
          <w:rFonts w:cs="Arial"/>
        </w:rPr>
      </w:pPr>
      <w:r w:rsidRPr="00F63BAF">
        <w:rPr>
          <w:rFonts w:cs="Arial"/>
        </w:rPr>
        <w:t xml:space="preserve">Quantitative Objective: for the probability of missing a </w:t>
      </w:r>
      <w:r w:rsidR="00B33CCD">
        <w:rPr>
          <w:rFonts w:cs="Arial"/>
        </w:rPr>
        <w:t>circular “hot spot” of radius 0.</w:t>
      </w:r>
      <w:r w:rsidRPr="00F63BAF">
        <w:rPr>
          <w:rFonts w:cs="Arial"/>
        </w:rPr>
        <w:t>5 km to be no greater than 5%.</w:t>
      </w:r>
    </w:p>
    <w:p w14:paraId="1C5C07AD" w14:textId="77777777" w:rsidR="00FC360C" w:rsidRPr="00F63BAF" w:rsidRDefault="00FC360C" w:rsidP="00FC360C">
      <w:pPr>
        <w:spacing w:after="140"/>
        <w:rPr>
          <w:rFonts w:cs="Arial"/>
        </w:rPr>
      </w:pPr>
      <w:r w:rsidRPr="00F63BAF">
        <w:rPr>
          <w:rFonts w:cs="Arial"/>
        </w:rPr>
        <w:t>11.</w:t>
      </w:r>
      <w:r w:rsidRPr="00F63BAF">
        <w:rPr>
          <w:rFonts w:cs="Arial"/>
        </w:rPr>
        <w:tab/>
        <w:t xml:space="preserve">For more detailed information about statistical analyses of monitoring data see Nicholson </w:t>
      </w:r>
      <w:r w:rsidRPr="00F63BAF">
        <w:rPr>
          <w:rFonts w:cs="Arial"/>
          <w:i/>
        </w:rPr>
        <w:t>et al</w:t>
      </w:r>
      <w:r w:rsidRPr="00F63BAF">
        <w:rPr>
          <w:rFonts w:cs="Arial"/>
        </w:rPr>
        <w:t>., (1997).</w:t>
      </w:r>
    </w:p>
    <w:p w14:paraId="119F391D" w14:textId="77777777" w:rsidR="00FC360C" w:rsidRPr="00F63BAF" w:rsidRDefault="00FC360C" w:rsidP="00FC360C">
      <w:pPr>
        <w:spacing w:after="140"/>
        <w:rPr>
          <w:rFonts w:cs="Arial"/>
        </w:rPr>
      </w:pPr>
      <w:r w:rsidRPr="00F63BAF">
        <w:rPr>
          <w:rFonts w:cs="Arial"/>
        </w:rPr>
        <w:t>12.</w:t>
      </w:r>
      <w:r w:rsidRPr="00F63BAF">
        <w:rPr>
          <w:rFonts w:cs="Arial"/>
        </w:rPr>
        <w:tab/>
        <w:t>Spatial distribution monitoring is supplying relevant information for assessing different water bodies and areas both for the purposes of the EU-MSFD and the EU-WFD. Following the sampling and analytical techniques as described in this guideline and its technical annexes will assist in avoiding significantly deviating monitoring results for neighbouring regions with comparable conditions, which consequently affects the assessment of the (good) environmental status.</w:t>
      </w:r>
    </w:p>
    <w:p w14:paraId="245EC908" w14:textId="77777777" w:rsidR="00FC360C" w:rsidRPr="00F63BAF" w:rsidRDefault="00FC360C" w:rsidP="002F237A">
      <w:pPr>
        <w:pStyle w:val="Heading2"/>
        <w:rPr>
          <w:lang w:val="en-GB"/>
        </w:rPr>
      </w:pPr>
      <w:bookmarkStart w:id="34" w:name="_Toc511217342"/>
      <w:bookmarkStart w:id="35" w:name="_Toc240875552"/>
      <w:r w:rsidRPr="00F63BAF">
        <w:rPr>
          <w:lang w:val="en-GB"/>
        </w:rPr>
        <w:t xml:space="preserve">3.3 </w:t>
      </w:r>
      <w:r w:rsidRPr="00F63BAF">
        <w:rPr>
          <w:lang w:val="en-GB"/>
        </w:rPr>
        <w:tab/>
        <w:t>Qualitative objectives</w:t>
      </w:r>
      <w:bookmarkEnd w:id="34"/>
    </w:p>
    <w:p w14:paraId="6352F3EC" w14:textId="47018827" w:rsidR="00FC360C" w:rsidRPr="00F63BAF" w:rsidRDefault="00FC360C" w:rsidP="00FC360C">
      <w:pPr>
        <w:spacing w:after="140"/>
        <w:rPr>
          <w:rFonts w:cs="Arial"/>
        </w:rPr>
      </w:pPr>
      <w:r w:rsidRPr="00F63BAF">
        <w:rPr>
          <w:rFonts w:cs="Arial"/>
        </w:rPr>
        <w:t>13.</w:t>
      </w:r>
      <w:r w:rsidRPr="00F63BAF">
        <w:rPr>
          <w:rFonts w:cs="Arial"/>
        </w:rPr>
        <w:tab/>
        <w:t>The quantitative results will be used to perform the assessment of the status of the marine environment with regard to hazardous substances. Further information on the assessment procedure, the classification schemes and the threshold values used for distinguishing between the different classes from e.g. unacceptable to excellent or Good Environmental Status (WFD, MSFD) being achieved or not, can be found in the relevant OSPAR agreements and EC Directives and Decisions.</w:t>
      </w:r>
    </w:p>
    <w:p w14:paraId="00649189" w14:textId="77777777" w:rsidR="00FC360C" w:rsidRPr="00F63BAF" w:rsidRDefault="00FC360C" w:rsidP="002F237A">
      <w:pPr>
        <w:pStyle w:val="Heading1"/>
      </w:pPr>
      <w:bookmarkStart w:id="36" w:name="_Toc511217343"/>
      <w:r w:rsidRPr="00F63BAF">
        <w:t>4.</w:t>
      </w:r>
      <w:r w:rsidRPr="00F63BAF">
        <w:tab/>
        <w:t>Sampling strategy</w:t>
      </w:r>
      <w:bookmarkEnd w:id="35"/>
      <w:bookmarkEnd w:id="36"/>
    </w:p>
    <w:p w14:paraId="2D2FDE5B" w14:textId="77777777" w:rsidR="00FC360C" w:rsidRPr="00F63BAF" w:rsidRDefault="00FC360C" w:rsidP="002F237A">
      <w:pPr>
        <w:pStyle w:val="Heading2"/>
        <w:rPr>
          <w:lang w:val="en-GB"/>
        </w:rPr>
      </w:pPr>
      <w:bookmarkStart w:id="37" w:name="_Toc240875553"/>
      <w:bookmarkStart w:id="38" w:name="_Toc511217344"/>
      <w:r w:rsidRPr="00F63BAF">
        <w:rPr>
          <w:lang w:val="en-GB"/>
        </w:rPr>
        <w:t>4.1</w:t>
      </w:r>
      <w:r w:rsidRPr="00F63BAF">
        <w:rPr>
          <w:lang w:val="en-GB"/>
        </w:rPr>
        <w:tab/>
        <w:t>General</w:t>
      </w:r>
      <w:bookmarkEnd w:id="37"/>
      <w:bookmarkEnd w:id="38"/>
    </w:p>
    <w:p w14:paraId="20721BA2" w14:textId="77777777" w:rsidR="00FC360C" w:rsidRPr="00F63BAF" w:rsidRDefault="00FC360C" w:rsidP="00FC360C">
      <w:pPr>
        <w:spacing w:after="140" w:line="276" w:lineRule="exact"/>
        <w:rPr>
          <w:rFonts w:cs="Arial"/>
        </w:rPr>
      </w:pPr>
      <w:r w:rsidRPr="00F63BAF">
        <w:rPr>
          <w:rFonts w:cs="Arial"/>
        </w:rPr>
        <w:t>14.</w:t>
      </w:r>
      <w:r w:rsidRPr="00F63BAF">
        <w:rPr>
          <w:rFonts w:cs="Arial"/>
        </w:rPr>
        <w:tab/>
        <w:t>The sampling strategy should take into account the specific objectives of the monitoring programme, including the quantitative objectives. Natural variability between the samples should be reduced by an appropriate sampling design and the performance of the analytical procedures (</w:t>
      </w:r>
      <w:r w:rsidRPr="00F63BAF">
        <w:rPr>
          <w:rFonts w:cs="Arial"/>
          <w:i/>
        </w:rPr>
        <w:t>i.e.</w:t>
      </w:r>
      <w:r w:rsidRPr="00F63BAF">
        <w:rPr>
          <w:rFonts w:cs="Arial"/>
        </w:rPr>
        <w:t xml:space="preserve"> the accuracy and precision) must be adequate to meet the objectives. A preliminary/exploratory sampling programme will provide useful information prior to designing the final programme. Statistical procedures must be taken into account to estimate the number of samples and sampling sites required to achieve a satisfactory level of confidence. More guidance on this topic is given by Gilbert (1987).</w:t>
      </w:r>
    </w:p>
    <w:p w14:paraId="549ADE28" w14:textId="77777777" w:rsidR="00FC360C" w:rsidRPr="00F63BAF" w:rsidRDefault="00FC360C" w:rsidP="00FC360C">
      <w:pPr>
        <w:spacing w:after="140" w:line="276" w:lineRule="exact"/>
        <w:rPr>
          <w:rFonts w:cs="Arial"/>
        </w:rPr>
      </w:pPr>
      <w:r w:rsidRPr="00F63BAF">
        <w:rPr>
          <w:rFonts w:cs="Arial"/>
        </w:rPr>
        <w:t>15.</w:t>
      </w:r>
      <w:r w:rsidRPr="00F63BAF">
        <w:rPr>
          <w:rFonts w:cs="Arial"/>
        </w:rPr>
        <w:tab/>
        <w:t>In more exploratory studies, data may be statistically analysed in several ways for several purposes. However there should still be a clear understanding of what must be measured from what population and how the samples are to be selected. The sampling strategy is an intrinsic component of the data, and may limit their use and interpretation. Quantitative objectives for a selected primary purpose should also be established for exploratory studies.</w:t>
      </w:r>
    </w:p>
    <w:p w14:paraId="5449893C" w14:textId="77777777" w:rsidR="00FC360C" w:rsidRPr="00F63BAF" w:rsidRDefault="00FC360C" w:rsidP="00FC360C">
      <w:pPr>
        <w:spacing w:after="140" w:line="276" w:lineRule="exact"/>
        <w:rPr>
          <w:rFonts w:cs="Arial"/>
        </w:rPr>
      </w:pPr>
      <w:r w:rsidRPr="00F63BAF">
        <w:rPr>
          <w:rFonts w:cs="Arial"/>
        </w:rPr>
        <w:t>16.</w:t>
      </w:r>
      <w:r w:rsidRPr="00F63BAF">
        <w:rPr>
          <w:rFonts w:cs="Arial"/>
        </w:rPr>
        <w:tab/>
        <w:t>When conducting an integrated chemical and biological effects sampling programme, the purpose of the chemical measurements is both to be assessed against limit values and to aid the interpretation of the biological effects measurements in terms of identifying the chemical causes of the biological effects and establishing concentration responses. In such cases, the sampling strategies used should comply with those in the biological effects monitoring guidelines and the monitoring guidelines for the relevant chemical determinands. The analytical methods used should be as specified in the relevant chemical guidelines.</w:t>
      </w:r>
    </w:p>
    <w:p w14:paraId="2422A16F" w14:textId="77777777" w:rsidR="00FC360C" w:rsidRPr="00F63BAF" w:rsidRDefault="00FC360C" w:rsidP="00FC360C">
      <w:pPr>
        <w:autoSpaceDE w:val="0"/>
        <w:autoSpaceDN w:val="0"/>
        <w:adjustRightInd w:val="0"/>
        <w:spacing w:line="276" w:lineRule="exact"/>
        <w:rPr>
          <w:rFonts w:eastAsia="Calibri" w:cs="Arial"/>
          <w:lang w:eastAsia="en-US"/>
        </w:rPr>
      </w:pPr>
      <w:r w:rsidRPr="00F63BAF">
        <w:rPr>
          <w:rFonts w:eastAsia="Calibri" w:cs="Arial"/>
          <w:lang w:eastAsia="en-US"/>
        </w:rPr>
        <w:t>17.</w:t>
      </w:r>
      <w:r w:rsidRPr="00F63BAF">
        <w:rPr>
          <w:rFonts w:eastAsia="Calibri" w:cs="Arial"/>
          <w:lang w:eastAsia="en-US"/>
        </w:rPr>
        <w:tab/>
        <w:t>With regard to the choice of monitoring parameters, the sampling strategy should cover the demands of as many purposes as poss</w:t>
      </w:r>
      <w:r w:rsidR="00E9567F">
        <w:rPr>
          <w:rFonts w:eastAsia="Calibri" w:cs="Arial"/>
          <w:lang w:eastAsia="en-US"/>
        </w:rPr>
        <w:t>ible for both OSPAR and the EU-</w:t>
      </w:r>
      <w:r w:rsidRPr="00F63BAF">
        <w:rPr>
          <w:rFonts w:eastAsia="Calibri" w:cs="Arial"/>
          <w:lang w:eastAsia="en-US"/>
        </w:rPr>
        <w:t>MFSD, and in particular the compounds determined should address the indicators under descriptor 8 of the MSFD, the species and tissues and, where possible, the selection of sampling sites in coastal areas should also meet the requirements of th</w:t>
      </w:r>
      <w:r w:rsidR="002F237A" w:rsidRPr="00F63BAF">
        <w:rPr>
          <w:rFonts w:eastAsia="Calibri" w:cs="Arial"/>
          <w:lang w:eastAsia="en-US"/>
        </w:rPr>
        <w:t>e EU Water Framework Directive.</w:t>
      </w:r>
    </w:p>
    <w:p w14:paraId="5F97E29C" w14:textId="77777777" w:rsidR="00FC360C" w:rsidRPr="00F63BAF" w:rsidRDefault="00FC360C" w:rsidP="002F237A">
      <w:pPr>
        <w:pStyle w:val="Heading3"/>
      </w:pPr>
      <w:bookmarkStart w:id="39" w:name="_Toc511217345"/>
      <w:r w:rsidRPr="00F63BAF">
        <w:t>4.1.1</w:t>
      </w:r>
      <w:r w:rsidRPr="00F63BAF">
        <w:tab/>
        <w:t>Species</w:t>
      </w:r>
      <w:bookmarkEnd w:id="39"/>
    </w:p>
    <w:p w14:paraId="60DD58DB" w14:textId="77777777" w:rsidR="00FC360C" w:rsidRPr="00F63BAF" w:rsidRDefault="00FC360C" w:rsidP="00FC360C">
      <w:pPr>
        <w:spacing w:after="40"/>
        <w:rPr>
          <w:rFonts w:cs="Arial"/>
        </w:rPr>
      </w:pPr>
      <w:r w:rsidRPr="00F63BAF">
        <w:rPr>
          <w:rFonts w:cs="Arial"/>
        </w:rPr>
        <w:t>18.</w:t>
      </w:r>
      <w:r w:rsidRPr="00F63BAF">
        <w:rPr>
          <w:rFonts w:cs="Arial"/>
        </w:rPr>
        <w:tab/>
        <w:t>Prior to monitoring, it is important to be clear about:</w:t>
      </w:r>
    </w:p>
    <w:p w14:paraId="26A6AFC3" w14:textId="77777777" w:rsidR="00FC360C" w:rsidRPr="00F63BAF" w:rsidRDefault="00FC360C" w:rsidP="00FC360C">
      <w:pPr>
        <w:numPr>
          <w:ilvl w:val="0"/>
          <w:numId w:val="20"/>
        </w:numPr>
        <w:tabs>
          <w:tab w:val="clear" w:pos="567"/>
          <w:tab w:val="clear" w:pos="1134"/>
          <w:tab w:val="clear" w:pos="1701"/>
          <w:tab w:val="clear" w:pos="2268"/>
          <w:tab w:val="left" w:pos="357"/>
          <w:tab w:val="left" w:pos="1418"/>
        </w:tabs>
        <w:spacing w:after="40"/>
        <w:rPr>
          <w:rFonts w:cs="Arial"/>
        </w:rPr>
      </w:pPr>
      <w:r w:rsidRPr="00F63BAF">
        <w:rPr>
          <w:rFonts w:cs="Arial"/>
        </w:rPr>
        <w:t>the target population (e.g. cod from a specified length</w:t>
      </w:r>
      <w:r w:rsidRPr="00F63BAF">
        <w:rPr>
          <w:rFonts w:cs="Arial"/>
        </w:rPr>
        <w:noBreakHyphen/>
        <w:t>range caught in a specified area at a specified time);</w:t>
      </w:r>
    </w:p>
    <w:p w14:paraId="63B19C63" w14:textId="77777777" w:rsidR="00FC360C" w:rsidRPr="00F63BAF" w:rsidRDefault="00FC360C" w:rsidP="00FC360C">
      <w:pPr>
        <w:numPr>
          <w:ilvl w:val="0"/>
          <w:numId w:val="20"/>
        </w:numPr>
        <w:tabs>
          <w:tab w:val="clear" w:pos="567"/>
          <w:tab w:val="clear" w:pos="1134"/>
          <w:tab w:val="clear" w:pos="1701"/>
          <w:tab w:val="clear" w:pos="2268"/>
          <w:tab w:val="left" w:pos="357"/>
          <w:tab w:val="left" w:pos="1418"/>
        </w:tabs>
        <w:spacing w:after="40"/>
        <w:rPr>
          <w:rFonts w:cs="Arial"/>
        </w:rPr>
      </w:pPr>
      <w:r w:rsidRPr="00F63BAF">
        <w:rPr>
          <w:rFonts w:cs="Arial"/>
        </w:rPr>
        <w:t>the sampled population, if this differs from the target population (e.g. if fishing is restricted within particular areas);</w:t>
      </w:r>
    </w:p>
    <w:p w14:paraId="2FC965EC" w14:textId="77777777" w:rsidR="00FC360C" w:rsidRPr="00F63BAF" w:rsidRDefault="00FC360C" w:rsidP="00FC360C">
      <w:pPr>
        <w:numPr>
          <w:ilvl w:val="0"/>
          <w:numId w:val="20"/>
        </w:numPr>
        <w:tabs>
          <w:tab w:val="clear" w:pos="567"/>
          <w:tab w:val="clear" w:pos="1134"/>
          <w:tab w:val="clear" w:pos="1701"/>
          <w:tab w:val="clear" w:pos="2268"/>
          <w:tab w:val="left" w:pos="357"/>
          <w:tab w:val="left" w:pos="1418"/>
        </w:tabs>
        <w:spacing w:after="40"/>
        <w:rPr>
          <w:rFonts w:cs="Arial"/>
        </w:rPr>
      </w:pPr>
      <w:r w:rsidRPr="00F63BAF">
        <w:rPr>
          <w:rFonts w:cs="Arial"/>
        </w:rPr>
        <w:t>the sampling unit (e.g. an individual fish or pooled samples);</w:t>
      </w:r>
    </w:p>
    <w:p w14:paraId="5C57CE0C" w14:textId="77777777" w:rsidR="00FC360C" w:rsidRPr="00F63BAF" w:rsidRDefault="00FC360C" w:rsidP="00FC360C">
      <w:pPr>
        <w:numPr>
          <w:ilvl w:val="0"/>
          <w:numId w:val="20"/>
        </w:numPr>
        <w:tabs>
          <w:tab w:val="clear" w:pos="567"/>
          <w:tab w:val="clear" w:pos="1134"/>
          <w:tab w:val="clear" w:pos="1701"/>
          <w:tab w:val="clear" w:pos="2268"/>
          <w:tab w:val="left" w:pos="357"/>
          <w:tab w:val="left" w:pos="1418"/>
        </w:tabs>
        <w:spacing w:after="40"/>
        <w:rPr>
          <w:rFonts w:cs="Arial"/>
        </w:rPr>
      </w:pPr>
      <w:proofErr w:type="gramStart"/>
      <w:r w:rsidRPr="00F63BAF">
        <w:rPr>
          <w:rFonts w:cs="Arial"/>
        </w:rPr>
        <w:t>the</w:t>
      </w:r>
      <w:proofErr w:type="gramEnd"/>
      <w:r w:rsidRPr="00F63BAF">
        <w:rPr>
          <w:rFonts w:cs="Arial"/>
        </w:rPr>
        <w:t xml:space="preserve"> observed variable (e.g. mercury concentration on a wet weight basis in a subsample of tissue from individual fish muscle).</w:t>
      </w:r>
    </w:p>
    <w:p w14:paraId="2F888EDB" w14:textId="77777777" w:rsidR="00FC360C" w:rsidRPr="00F63BAF" w:rsidRDefault="00FC360C" w:rsidP="00FC360C">
      <w:pPr>
        <w:spacing w:after="40"/>
        <w:rPr>
          <w:rFonts w:cs="Arial"/>
        </w:rPr>
      </w:pPr>
      <w:r w:rsidRPr="00F63BAF">
        <w:rPr>
          <w:rFonts w:cs="Arial"/>
        </w:rPr>
        <w:t>19.</w:t>
      </w:r>
      <w:r w:rsidRPr="00F63BAF">
        <w:rPr>
          <w:rFonts w:cs="Arial"/>
        </w:rPr>
        <w:tab/>
        <w:t>When selecting the species to be monitored for chemical contaminants, some basic prerequisites should be considered. Where possible the organisms should:</w:t>
      </w:r>
    </w:p>
    <w:p w14:paraId="24DD4200" w14:textId="77777777" w:rsidR="00FC360C" w:rsidRPr="00F63BAF" w:rsidRDefault="00FC360C" w:rsidP="00FC360C">
      <w:pPr>
        <w:numPr>
          <w:ilvl w:val="0"/>
          <w:numId w:val="20"/>
        </w:numPr>
        <w:tabs>
          <w:tab w:val="clear" w:pos="567"/>
          <w:tab w:val="clear" w:pos="1134"/>
          <w:tab w:val="clear" w:pos="1701"/>
          <w:tab w:val="clear" w:pos="2268"/>
          <w:tab w:val="left" w:pos="357"/>
          <w:tab w:val="left" w:pos="1418"/>
        </w:tabs>
        <w:spacing w:after="40"/>
        <w:rPr>
          <w:rFonts w:cs="Arial"/>
        </w:rPr>
      </w:pPr>
      <w:r w:rsidRPr="00F63BAF">
        <w:rPr>
          <w:rFonts w:cs="Arial"/>
        </w:rPr>
        <w:t>reflect changes in the concentration of contaminants in the surrounding environment;</w:t>
      </w:r>
    </w:p>
    <w:p w14:paraId="5739B6B1" w14:textId="77777777" w:rsidR="00FC360C" w:rsidRPr="00F63BAF" w:rsidRDefault="00FC360C" w:rsidP="00FC360C">
      <w:pPr>
        <w:numPr>
          <w:ilvl w:val="0"/>
          <w:numId w:val="20"/>
        </w:numPr>
        <w:tabs>
          <w:tab w:val="clear" w:pos="567"/>
          <w:tab w:val="clear" w:pos="1134"/>
          <w:tab w:val="clear" w:pos="1701"/>
          <w:tab w:val="clear" w:pos="2268"/>
          <w:tab w:val="left" w:pos="357"/>
          <w:tab w:val="left" w:pos="1418"/>
        </w:tabs>
        <w:spacing w:after="40"/>
        <w:rPr>
          <w:rFonts w:cs="Arial"/>
        </w:rPr>
      </w:pPr>
      <w:r w:rsidRPr="00F63BAF">
        <w:rPr>
          <w:rFonts w:cs="Arial"/>
        </w:rPr>
        <w:t>for a given species, have similar bioconcentration factors throughout the Maritime Area;</w:t>
      </w:r>
    </w:p>
    <w:p w14:paraId="5C228315" w14:textId="77777777" w:rsidR="00FC360C" w:rsidRPr="00F63BAF" w:rsidRDefault="00FC360C" w:rsidP="00FC360C">
      <w:pPr>
        <w:numPr>
          <w:ilvl w:val="0"/>
          <w:numId w:val="20"/>
        </w:numPr>
        <w:tabs>
          <w:tab w:val="clear" w:pos="567"/>
          <w:tab w:val="clear" w:pos="1134"/>
          <w:tab w:val="clear" w:pos="1701"/>
          <w:tab w:val="clear" w:pos="2268"/>
          <w:tab w:val="left" w:pos="357"/>
          <w:tab w:val="left" w:pos="1418"/>
        </w:tabs>
        <w:spacing w:after="40"/>
        <w:rPr>
          <w:rFonts w:cs="Arial"/>
        </w:rPr>
      </w:pPr>
      <w:r w:rsidRPr="00F63BAF">
        <w:rPr>
          <w:rFonts w:cs="Arial"/>
        </w:rPr>
        <w:t>accumulate the contaminant without being seriously affected by the concentrations encountered in the marine environment;</w:t>
      </w:r>
    </w:p>
    <w:p w14:paraId="330BB437" w14:textId="77777777" w:rsidR="00FC360C" w:rsidRPr="00F63BAF" w:rsidRDefault="00FC360C" w:rsidP="00FC360C">
      <w:pPr>
        <w:numPr>
          <w:ilvl w:val="0"/>
          <w:numId w:val="20"/>
        </w:numPr>
        <w:tabs>
          <w:tab w:val="clear" w:pos="567"/>
          <w:tab w:val="clear" w:pos="1134"/>
          <w:tab w:val="clear" w:pos="1701"/>
          <w:tab w:val="clear" w:pos="2268"/>
          <w:tab w:val="left" w:pos="357"/>
          <w:tab w:val="left" w:pos="1418"/>
        </w:tabs>
        <w:spacing w:after="40"/>
        <w:rPr>
          <w:rFonts w:cs="Arial"/>
        </w:rPr>
      </w:pPr>
      <w:r w:rsidRPr="00F63BAF">
        <w:rPr>
          <w:rFonts w:cs="Arial"/>
        </w:rPr>
        <w:t>be representative of the study area;</w:t>
      </w:r>
    </w:p>
    <w:p w14:paraId="630D77EC" w14:textId="77777777" w:rsidR="00FC360C" w:rsidRPr="00F63BAF" w:rsidRDefault="00FC360C" w:rsidP="00FC360C">
      <w:pPr>
        <w:numPr>
          <w:ilvl w:val="0"/>
          <w:numId w:val="20"/>
        </w:numPr>
        <w:tabs>
          <w:tab w:val="clear" w:pos="567"/>
          <w:tab w:val="clear" w:pos="1134"/>
          <w:tab w:val="clear" w:pos="1701"/>
          <w:tab w:val="clear" w:pos="2268"/>
          <w:tab w:val="left" w:pos="357"/>
          <w:tab w:val="left" w:pos="1418"/>
        </w:tabs>
        <w:spacing w:after="40"/>
        <w:rPr>
          <w:rFonts w:cs="Arial"/>
        </w:rPr>
      </w:pPr>
      <w:r w:rsidRPr="00F63BAF">
        <w:rPr>
          <w:rFonts w:cs="Arial"/>
        </w:rPr>
        <w:t>be abundant throughout the study area;</w:t>
      </w:r>
    </w:p>
    <w:p w14:paraId="16BE7FB0" w14:textId="77777777" w:rsidR="00FC360C" w:rsidRPr="00F63BAF" w:rsidRDefault="00FC360C" w:rsidP="00FC360C">
      <w:pPr>
        <w:numPr>
          <w:ilvl w:val="0"/>
          <w:numId w:val="20"/>
        </w:numPr>
        <w:tabs>
          <w:tab w:val="clear" w:pos="567"/>
          <w:tab w:val="clear" w:pos="1134"/>
          <w:tab w:val="clear" w:pos="1701"/>
          <w:tab w:val="clear" w:pos="2268"/>
          <w:tab w:val="left" w:pos="357"/>
          <w:tab w:val="left" w:pos="1418"/>
        </w:tabs>
        <w:spacing w:after="40"/>
        <w:rPr>
          <w:rFonts w:cs="Arial"/>
        </w:rPr>
      </w:pPr>
      <w:r w:rsidRPr="00F63BAF">
        <w:rPr>
          <w:rFonts w:cs="Arial"/>
        </w:rPr>
        <w:t>be of reasonable size, giving adequate amounts of tissue for chemical, biochemical and physiological analyses; restrictions to this may occur on different preconditions for performing the different tests and analytical methods;</w:t>
      </w:r>
    </w:p>
    <w:p w14:paraId="25354C72" w14:textId="77777777" w:rsidR="00FC360C" w:rsidRPr="00F63BAF" w:rsidRDefault="00FC360C" w:rsidP="00FC360C">
      <w:pPr>
        <w:tabs>
          <w:tab w:val="left" w:pos="426"/>
        </w:tabs>
        <w:spacing w:after="40"/>
        <w:rPr>
          <w:rFonts w:cs="Arial"/>
        </w:rPr>
      </w:pPr>
      <w:proofErr w:type="gramStart"/>
      <w:r w:rsidRPr="00F63BAF">
        <w:rPr>
          <w:rFonts w:cs="Arial"/>
        </w:rPr>
        <w:t>in</w:t>
      </w:r>
      <w:proofErr w:type="gramEnd"/>
      <w:r w:rsidRPr="00F63BAF">
        <w:rPr>
          <w:rFonts w:cs="Arial"/>
        </w:rPr>
        <w:t xml:space="preserve"> particular for shellfish and for investigations exceeding the demands of “routine” monitoring:</w:t>
      </w:r>
    </w:p>
    <w:p w14:paraId="08C26C29" w14:textId="77777777" w:rsidR="00FC360C" w:rsidRPr="00F63BAF" w:rsidRDefault="00FC360C" w:rsidP="00FC360C">
      <w:pPr>
        <w:numPr>
          <w:ilvl w:val="0"/>
          <w:numId w:val="20"/>
        </w:numPr>
        <w:tabs>
          <w:tab w:val="clear" w:pos="567"/>
          <w:tab w:val="clear" w:pos="1134"/>
          <w:tab w:val="clear" w:pos="1701"/>
          <w:tab w:val="clear" w:pos="2268"/>
          <w:tab w:val="left" w:pos="357"/>
          <w:tab w:val="left" w:pos="1418"/>
        </w:tabs>
        <w:spacing w:after="40"/>
        <w:rPr>
          <w:rFonts w:cs="Arial"/>
        </w:rPr>
      </w:pPr>
      <w:r w:rsidRPr="00F63BAF">
        <w:rPr>
          <w:rFonts w:cs="Arial"/>
        </w:rPr>
        <w:t>be easy to sample and hardy enough to survive in the laboratory, thus allowing:</w:t>
      </w:r>
    </w:p>
    <w:p w14:paraId="25BC23F5" w14:textId="77777777" w:rsidR="00FC360C" w:rsidRPr="00F63BAF" w:rsidRDefault="00FC360C" w:rsidP="00FC360C">
      <w:pPr>
        <w:spacing w:after="40"/>
        <w:ind w:left="1185"/>
        <w:rPr>
          <w:rFonts w:cs="Arial"/>
        </w:rPr>
      </w:pPr>
      <w:r w:rsidRPr="00F63BAF">
        <w:rPr>
          <w:rFonts w:cs="Arial"/>
        </w:rPr>
        <w:t>-</w:t>
      </w:r>
      <w:r w:rsidRPr="00F63BAF">
        <w:rPr>
          <w:rFonts w:cs="Arial"/>
        </w:rPr>
        <w:tab/>
      </w:r>
      <w:proofErr w:type="gramStart"/>
      <w:r w:rsidRPr="00F63BAF">
        <w:rPr>
          <w:rFonts w:cs="Arial"/>
        </w:rPr>
        <w:t>defecation</w:t>
      </w:r>
      <w:proofErr w:type="gramEnd"/>
      <w:r w:rsidRPr="00F63BAF">
        <w:rPr>
          <w:rFonts w:cs="Arial"/>
        </w:rPr>
        <w:t xml:space="preserve"> before analysis (if desired);</w:t>
      </w:r>
    </w:p>
    <w:p w14:paraId="3DBC3749" w14:textId="77777777" w:rsidR="00FC360C" w:rsidRPr="00F63BAF" w:rsidRDefault="00FC360C" w:rsidP="00FC360C">
      <w:pPr>
        <w:spacing w:after="40"/>
        <w:ind w:left="1185"/>
        <w:rPr>
          <w:rFonts w:cs="Arial"/>
        </w:rPr>
      </w:pPr>
      <w:r w:rsidRPr="00F63BAF">
        <w:rPr>
          <w:rFonts w:cs="Arial"/>
        </w:rPr>
        <w:t>-</w:t>
      </w:r>
      <w:r w:rsidRPr="00F63BAF">
        <w:rPr>
          <w:rFonts w:cs="Arial"/>
        </w:rPr>
        <w:tab/>
      </w:r>
      <w:proofErr w:type="gramStart"/>
      <w:r w:rsidRPr="00F63BAF">
        <w:rPr>
          <w:rFonts w:cs="Arial"/>
        </w:rPr>
        <w:t>laboratory</w:t>
      </w:r>
      <w:proofErr w:type="gramEnd"/>
      <w:r w:rsidRPr="00F63BAF">
        <w:rPr>
          <w:rFonts w:cs="Arial"/>
        </w:rPr>
        <w:t xml:space="preserve"> studies of contaminant uptake;</w:t>
      </w:r>
    </w:p>
    <w:p w14:paraId="78A1B7B8" w14:textId="77777777" w:rsidR="00FC360C" w:rsidRPr="00F63BAF" w:rsidRDefault="00FC360C" w:rsidP="00FC360C">
      <w:pPr>
        <w:spacing w:after="40"/>
        <w:ind w:left="1185"/>
        <w:rPr>
          <w:rFonts w:cs="Arial"/>
        </w:rPr>
      </w:pPr>
      <w:proofErr w:type="gramStart"/>
      <w:r w:rsidRPr="00F63BAF">
        <w:rPr>
          <w:rFonts w:cs="Arial"/>
        </w:rPr>
        <w:t>-</w:t>
      </w:r>
      <w:r w:rsidRPr="00F63BAF">
        <w:rPr>
          <w:rFonts w:cs="Arial"/>
        </w:rPr>
        <w:tab/>
        <w:t>studies verifying biological field observations.</w:t>
      </w:r>
      <w:proofErr w:type="gramEnd"/>
    </w:p>
    <w:p w14:paraId="6F1203A1" w14:textId="77777777" w:rsidR="00FC360C" w:rsidRPr="00F63BAF" w:rsidRDefault="00FC360C" w:rsidP="002F237A">
      <w:pPr>
        <w:pStyle w:val="Heading2"/>
        <w:rPr>
          <w:lang w:val="en-GB"/>
        </w:rPr>
      </w:pPr>
      <w:bookmarkStart w:id="40" w:name="_Toc240875554"/>
      <w:bookmarkStart w:id="41" w:name="_Toc511217346"/>
      <w:r w:rsidRPr="00F63BAF">
        <w:rPr>
          <w:lang w:val="en-GB"/>
        </w:rPr>
        <w:t>4.2</w:t>
      </w:r>
      <w:r w:rsidRPr="00F63BAF">
        <w:rPr>
          <w:lang w:val="en-GB"/>
        </w:rPr>
        <w:tab/>
        <w:t>Sampling strategy for temporal trend monitoring</w:t>
      </w:r>
      <w:bookmarkEnd w:id="40"/>
      <w:bookmarkEnd w:id="41"/>
    </w:p>
    <w:p w14:paraId="21222602" w14:textId="77777777" w:rsidR="00FC360C" w:rsidRPr="00F63BAF" w:rsidRDefault="00FC360C" w:rsidP="002F237A">
      <w:pPr>
        <w:pStyle w:val="Heading3"/>
      </w:pPr>
      <w:bookmarkStart w:id="42" w:name="_Toc511217347"/>
      <w:r w:rsidRPr="00F63BAF">
        <w:t>4.2.1</w:t>
      </w:r>
      <w:r w:rsidRPr="00F63BAF">
        <w:tab/>
        <w:t>Species and sampling</w:t>
      </w:r>
      <w:bookmarkEnd w:id="42"/>
    </w:p>
    <w:p w14:paraId="3618F192" w14:textId="77777777" w:rsidR="00FC360C" w:rsidRPr="00F63BAF" w:rsidRDefault="00FC360C" w:rsidP="00FC360C">
      <w:pPr>
        <w:tabs>
          <w:tab w:val="left" w:pos="709"/>
        </w:tabs>
        <w:spacing w:after="140"/>
        <w:rPr>
          <w:rFonts w:cs="Arial"/>
        </w:rPr>
      </w:pPr>
      <w:r w:rsidRPr="00F63BAF">
        <w:rPr>
          <w:rFonts w:cs="Arial"/>
        </w:rPr>
        <w:t>20.</w:t>
      </w:r>
      <w:r w:rsidRPr="00F63BAF">
        <w:rPr>
          <w:rFonts w:cs="Arial"/>
        </w:rPr>
        <w:tab/>
        <w:t>The species of interest can only be selected in the light of information on the fish and shellfish stock and on the seabird population composition and migration pattern.</w:t>
      </w:r>
    </w:p>
    <w:p w14:paraId="75F83585" w14:textId="77777777" w:rsidR="00FC360C" w:rsidRPr="00F63BAF" w:rsidRDefault="00FC360C" w:rsidP="00FC360C">
      <w:pPr>
        <w:tabs>
          <w:tab w:val="left" w:pos="709"/>
        </w:tabs>
        <w:spacing w:after="140"/>
        <w:rPr>
          <w:rFonts w:cs="Arial"/>
        </w:rPr>
      </w:pPr>
      <w:r w:rsidRPr="00F63BAF">
        <w:rPr>
          <w:rFonts w:cs="Arial"/>
        </w:rPr>
        <w:t>21.</w:t>
      </w:r>
      <w:r w:rsidRPr="00F63BAF">
        <w:rPr>
          <w:rFonts w:cs="Arial"/>
        </w:rPr>
        <w:tab/>
        <w:t xml:space="preserve">For fish and shellfish, sampling to minimise natural variability is the preferred strategy, see table 1. Length-stratified sampling may be maintained where it has been successfully applied in the past. Recommendations for species, </w:t>
      </w:r>
      <w:proofErr w:type="gramStart"/>
      <w:r w:rsidRPr="00F63BAF">
        <w:rPr>
          <w:rFonts w:cs="Arial"/>
        </w:rPr>
        <w:t>size etc. are</w:t>
      </w:r>
      <w:proofErr w:type="gramEnd"/>
      <w:r w:rsidRPr="00F63BAF">
        <w:rPr>
          <w:rFonts w:cs="Arial"/>
        </w:rPr>
        <w:t xml:space="preserve"> given in Table 2. Where conditions have changed such that length stratified sampling cannot be sustained any longer, or the indicator species has to be changed due to changing abundance, it will be appropriate to sample with a view to minimising natural variability within the sample.</w:t>
      </w:r>
    </w:p>
    <w:p w14:paraId="4E2A1418" w14:textId="77777777" w:rsidR="00FC360C" w:rsidRPr="00F63BAF" w:rsidRDefault="00FC360C" w:rsidP="00FC360C">
      <w:pPr>
        <w:tabs>
          <w:tab w:val="left" w:pos="709"/>
        </w:tabs>
        <w:spacing w:after="140"/>
        <w:rPr>
          <w:rFonts w:cs="Arial"/>
        </w:rPr>
      </w:pPr>
      <w:r w:rsidRPr="00F63BAF">
        <w:rPr>
          <w:rFonts w:cs="Arial"/>
        </w:rPr>
        <w:t>For shellfish, a sample should be collected with the number of individuals large enough to be divided into at least 3 equal pools with each pool consisting of at least 20 animals and enough soft tissue for all analyses. The length of the individuals collected should to the extent possible, be constant from year to year at each station, or should at least fall within a very narrow range, e.g. within 5 mm. To reflect recent levels of contamination, young individuals should be chosen. In selecting the sample, care should be taken that it is representative of the population and that it can be obtained annually. Recommendations for sampling to minimise natural variability are given in Table 1. If a Contracting Party decides to change its sampling strategy, data from the old and new programmes should not be compared without first checking the compatibility of the two approaches. More detailed information about length-stratified sampling and sampling to minimise natural variability is given in Technical Annexes 1 and 2 (Agreement 1999-2).</w:t>
      </w:r>
    </w:p>
    <w:p w14:paraId="3F51C266" w14:textId="77777777" w:rsidR="00FC360C" w:rsidRPr="00F63BAF" w:rsidRDefault="00FC360C" w:rsidP="002F237A">
      <w:pPr>
        <w:tabs>
          <w:tab w:val="clear" w:pos="567"/>
          <w:tab w:val="clear" w:pos="1134"/>
          <w:tab w:val="clear" w:pos="1701"/>
          <w:tab w:val="clear" w:pos="2268"/>
          <w:tab w:val="left" w:pos="357"/>
          <w:tab w:val="left" w:pos="1418"/>
        </w:tabs>
        <w:spacing w:before="60" w:after="60"/>
        <w:rPr>
          <w:rFonts w:cs="Arial"/>
          <w:szCs w:val="22"/>
        </w:rPr>
      </w:pPr>
      <w:r w:rsidRPr="00F63BAF">
        <w:rPr>
          <w:rFonts w:cs="Arial"/>
          <w:szCs w:val="22"/>
        </w:rPr>
        <w:br w:type="page"/>
      </w:r>
      <w:r w:rsidRPr="00F63BAF">
        <w:rPr>
          <w:rFonts w:cs="Arial"/>
          <w:b/>
          <w:szCs w:val="22"/>
        </w:rPr>
        <w:t>Table 1</w:t>
      </w:r>
      <w:r w:rsidRPr="00F63BAF">
        <w:rPr>
          <w:rFonts w:cs="Arial"/>
          <w:szCs w:val="22"/>
        </w:rPr>
        <w:t>:</w:t>
      </w:r>
      <w:r w:rsidRPr="00F63BAF">
        <w:rPr>
          <w:rFonts w:cs="Arial"/>
          <w:i/>
          <w:szCs w:val="22"/>
        </w:rPr>
        <w:t xml:space="preserve"> </w:t>
      </w:r>
      <w:r w:rsidRPr="00F63BAF">
        <w:rPr>
          <w:rFonts w:cs="Arial"/>
          <w:szCs w:val="22"/>
        </w:rPr>
        <w:t>Sampling to minimise natural variability</w:t>
      </w:r>
    </w:p>
    <w:tbl>
      <w:tblPr>
        <w:tblW w:w="5000" w:type="pct"/>
        <w:tblLook w:val="0000" w:firstRow="0" w:lastRow="0" w:firstColumn="0" w:lastColumn="0" w:noHBand="0" w:noVBand="0"/>
      </w:tblPr>
      <w:tblGrid>
        <w:gridCol w:w="2165"/>
        <w:gridCol w:w="1098"/>
        <w:gridCol w:w="1703"/>
        <w:gridCol w:w="1181"/>
        <w:gridCol w:w="1510"/>
        <w:gridCol w:w="2198"/>
      </w:tblGrid>
      <w:tr w:rsidR="00FC360C" w:rsidRPr="00F63BAF" w14:paraId="4BBFA264" w14:textId="77777777" w:rsidTr="002F237A">
        <w:trPr>
          <w:tblHeader/>
        </w:trPr>
        <w:tc>
          <w:tcPr>
            <w:tcW w:w="1099" w:type="pct"/>
            <w:tcBorders>
              <w:top w:val="single" w:sz="6" w:space="0" w:color="auto"/>
              <w:left w:val="single" w:sz="6" w:space="0" w:color="auto"/>
              <w:bottom w:val="single" w:sz="6" w:space="0" w:color="auto"/>
              <w:right w:val="single" w:sz="6" w:space="0" w:color="auto"/>
            </w:tcBorders>
          </w:tcPr>
          <w:p w14:paraId="3E9B8930" w14:textId="77777777" w:rsidR="00FC360C" w:rsidRPr="00F63BAF" w:rsidRDefault="00FC360C" w:rsidP="002F237A">
            <w:pPr>
              <w:tabs>
                <w:tab w:val="left" w:pos="284"/>
              </w:tabs>
              <w:spacing w:before="20" w:after="20"/>
              <w:rPr>
                <w:rFonts w:eastAsia="Calibri" w:cs="Arial"/>
                <w:b/>
                <w:lang w:eastAsia="en-US"/>
              </w:rPr>
            </w:pPr>
            <w:r w:rsidRPr="00F63BAF">
              <w:rPr>
                <w:rFonts w:eastAsia="Calibri" w:cs="Arial"/>
                <w:b/>
                <w:lang w:eastAsia="en-US"/>
              </w:rPr>
              <w:t>Species</w:t>
            </w:r>
          </w:p>
        </w:tc>
        <w:tc>
          <w:tcPr>
            <w:tcW w:w="557" w:type="pct"/>
            <w:tcBorders>
              <w:top w:val="single" w:sz="6" w:space="0" w:color="auto"/>
              <w:left w:val="nil"/>
              <w:bottom w:val="single" w:sz="6" w:space="0" w:color="auto"/>
            </w:tcBorders>
          </w:tcPr>
          <w:p w14:paraId="6FEAD0E0" w14:textId="77777777" w:rsidR="00FC360C" w:rsidRPr="00F63BAF" w:rsidRDefault="00FC360C" w:rsidP="002F237A">
            <w:pPr>
              <w:tabs>
                <w:tab w:val="left" w:pos="284"/>
              </w:tabs>
              <w:spacing w:before="20" w:after="20"/>
              <w:jc w:val="center"/>
              <w:rPr>
                <w:rFonts w:eastAsia="Calibri" w:cs="Arial"/>
                <w:b/>
                <w:lang w:eastAsia="en-US"/>
              </w:rPr>
            </w:pPr>
            <w:r w:rsidRPr="00F63BAF">
              <w:rPr>
                <w:rFonts w:eastAsia="Calibri" w:cs="Arial"/>
                <w:b/>
                <w:lang w:eastAsia="en-US"/>
              </w:rPr>
              <w:t>Number</w:t>
            </w:r>
          </w:p>
        </w:tc>
        <w:tc>
          <w:tcPr>
            <w:tcW w:w="864" w:type="pct"/>
            <w:tcBorders>
              <w:top w:val="single" w:sz="6" w:space="0" w:color="auto"/>
              <w:bottom w:val="single" w:sz="6" w:space="0" w:color="auto"/>
            </w:tcBorders>
          </w:tcPr>
          <w:p w14:paraId="1E5C046F" w14:textId="77777777" w:rsidR="00FC360C" w:rsidRPr="00F63BAF" w:rsidRDefault="00FC360C" w:rsidP="002F237A">
            <w:pPr>
              <w:tabs>
                <w:tab w:val="left" w:pos="284"/>
              </w:tabs>
              <w:spacing w:before="20" w:after="20"/>
              <w:jc w:val="center"/>
              <w:rPr>
                <w:rFonts w:eastAsia="Calibri" w:cs="Arial"/>
                <w:b/>
                <w:lang w:eastAsia="en-US"/>
              </w:rPr>
            </w:pPr>
            <w:r w:rsidRPr="00F63BAF">
              <w:rPr>
                <w:rFonts w:eastAsia="Calibri" w:cs="Arial"/>
                <w:b/>
                <w:lang w:eastAsia="en-US"/>
              </w:rPr>
              <w:t>Size</w:t>
            </w:r>
            <w:r w:rsidRPr="00F63BAF">
              <w:rPr>
                <w:rFonts w:eastAsia="Calibri" w:cs="Arial"/>
                <w:vertAlign w:val="superscript"/>
                <w:lang w:eastAsia="en-US"/>
              </w:rPr>
              <w:footnoteReference w:id="2"/>
            </w:r>
          </w:p>
        </w:tc>
        <w:tc>
          <w:tcPr>
            <w:tcW w:w="599" w:type="pct"/>
            <w:tcBorders>
              <w:top w:val="single" w:sz="6" w:space="0" w:color="auto"/>
              <w:bottom w:val="single" w:sz="6" w:space="0" w:color="auto"/>
            </w:tcBorders>
          </w:tcPr>
          <w:p w14:paraId="4B22CEE5" w14:textId="77777777" w:rsidR="00FC360C" w:rsidRPr="00F63BAF" w:rsidRDefault="00FC360C" w:rsidP="002F237A">
            <w:pPr>
              <w:tabs>
                <w:tab w:val="left" w:pos="284"/>
              </w:tabs>
              <w:spacing w:before="20" w:after="20"/>
              <w:jc w:val="center"/>
              <w:rPr>
                <w:rFonts w:eastAsia="Calibri" w:cs="Arial"/>
                <w:b/>
                <w:lang w:eastAsia="en-US"/>
              </w:rPr>
            </w:pPr>
            <w:r w:rsidRPr="00F63BAF">
              <w:rPr>
                <w:rFonts w:eastAsia="Calibri" w:cs="Arial"/>
                <w:b/>
                <w:lang w:eastAsia="en-US"/>
              </w:rPr>
              <w:t>Age</w:t>
            </w:r>
          </w:p>
        </w:tc>
        <w:tc>
          <w:tcPr>
            <w:tcW w:w="766" w:type="pct"/>
            <w:tcBorders>
              <w:top w:val="single" w:sz="6" w:space="0" w:color="auto"/>
              <w:bottom w:val="single" w:sz="6" w:space="0" w:color="auto"/>
            </w:tcBorders>
          </w:tcPr>
          <w:p w14:paraId="1168065A" w14:textId="77777777" w:rsidR="00FC360C" w:rsidRPr="00F63BAF" w:rsidRDefault="00FC360C" w:rsidP="002F237A">
            <w:pPr>
              <w:tabs>
                <w:tab w:val="left" w:pos="284"/>
              </w:tabs>
              <w:spacing w:before="20" w:after="20"/>
              <w:jc w:val="center"/>
              <w:rPr>
                <w:rFonts w:eastAsia="Calibri" w:cs="Arial"/>
                <w:b/>
                <w:lang w:eastAsia="en-US"/>
              </w:rPr>
            </w:pPr>
            <w:r w:rsidRPr="00F63BAF">
              <w:rPr>
                <w:rFonts w:eastAsia="Calibri" w:cs="Arial"/>
                <w:b/>
                <w:lang w:eastAsia="en-US"/>
              </w:rPr>
              <w:t>Sex</w:t>
            </w:r>
            <w:r w:rsidRPr="00F63BAF">
              <w:rPr>
                <w:rFonts w:eastAsia="Calibri" w:cs="Arial"/>
                <w:vertAlign w:val="superscript"/>
                <w:lang w:eastAsia="en-US"/>
              </w:rPr>
              <w:footnoteReference w:id="3"/>
            </w:r>
          </w:p>
        </w:tc>
        <w:tc>
          <w:tcPr>
            <w:tcW w:w="1115" w:type="pct"/>
            <w:tcBorders>
              <w:top w:val="single" w:sz="6" w:space="0" w:color="auto"/>
              <w:bottom w:val="single" w:sz="6" w:space="0" w:color="auto"/>
              <w:right w:val="single" w:sz="6" w:space="0" w:color="auto"/>
            </w:tcBorders>
          </w:tcPr>
          <w:p w14:paraId="5EC87865" w14:textId="77777777" w:rsidR="00FC360C" w:rsidRPr="00F63BAF" w:rsidRDefault="00FC360C" w:rsidP="002F237A">
            <w:pPr>
              <w:tabs>
                <w:tab w:val="left" w:pos="284"/>
              </w:tabs>
              <w:spacing w:before="20" w:after="20"/>
              <w:jc w:val="center"/>
              <w:rPr>
                <w:rFonts w:eastAsia="Calibri" w:cs="Arial"/>
                <w:b/>
                <w:lang w:eastAsia="en-US"/>
              </w:rPr>
            </w:pPr>
            <w:r w:rsidRPr="00F63BAF">
              <w:rPr>
                <w:rFonts w:eastAsia="Calibri" w:cs="Arial"/>
                <w:b/>
                <w:lang w:eastAsia="en-US"/>
              </w:rPr>
              <w:t>Tissue</w:t>
            </w:r>
          </w:p>
        </w:tc>
      </w:tr>
      <w:tr w:rsidR="00FC360C" w:rsidRPr="00F63BAF" w14:paraId="79D42B47" w14:textId="77777777" w:rsidTr="002F237A">
        <w:tc>
          <w:tcPr>
            <w:tcW w:w="1099" w:type="pct"/>
            <w:tcBorders>
              <w:left w:val="single" w:sz="6" w:space="0" w:color="auto"/>
              <w:right w:val="single" w:sz="6" w:space="0" w:color="auto"/>
            </w:tcBorders>
          </w:tcPr>
          <w:p w14:paraId="11C5BF28" w14:textId="77777777" w:rsidR="00FC360C" w:rsidRPr="00F63BAF" w:rsidRDefault="00FC360C" w:rsidP="002F237A">
            <w:pPr>
              <w:keepNext/>
              <w:spacing w:before="20" w:after="20"/>
              <w:outlineLvl w:val="1"/>
              <w:rPr>
                <w:rFonts w:cs="Arial"/>
                <w:b/>
                <w:color w:val="16288E"/>
              </w:rPr>
            </w:pPr>
            <w:r w:rsidRPr="00F63BAF">
              <w:rPr>
                <w:rFonts w:cs="Arial"/>
                <w:b/>
              </w:rPr>
              <w:t>S</w:t>
            </w:r>
            <w:r w:rsidRPr="00F63BAF">
              <w:rPr>
                <w:rFonts w:eastAsia="Calibri" w:cs="Arial"/>
                <w:b/>
                <w:lang w:eastAsia="en-US"/>
              </w:rPr>
              <w:t>hellfish</w:t>
            </w:r>
          </w:p>
        </w:tc>
        <w:tc>
          <w:tcPr>
            <w:tcW w:w="557" w:type="pct"/>
            <w:tcBorders>
              <w:left w:val="nil"/>
            </w:tcBorders>
          </w:tcPr>
          <w:p w14:paraId="6A43196D" w14:textId="77777777" w:rsidR="00FC360C" w:rsidRPr="00F63BAF" w:rsidRDefault="00FC360C" w:rsidP="002F237A">
            <w:pPr>
              <w:tabs>
                <w:tab w:val="left" w:pos="284"/>
              </w:tabs>
              <w:spacing w:before="20" w:after="20"/>
              <w:jc w:val="center"/>
              <w:rPr>
                <w:rFonts w:eastAsia="Calibri" w:cs="Arial"/>
                <w:b/>
                <w:lang w:eastAsia="en-US"/>
              </w:rPr>
            </w:pPr>
          </w:p>
        </w:tc>
        <w:tc>
          <w:tcPr>
            <w:tcW w:w="864" w:type="pct"/>
          </w:tcPr>
          <w:p w14:paraId="2B3357C5" w14:textId="77777777" w:rsidR="00FC360C" w:rsidRPr="00F63BAF" w:rsidRDefault="00FC360C" w:rsidP="002F237A">
            <w:pPr>
              <w:tabs>
                <w:tab w:val="left" w:pos="284"/>
              </w:tabs>
              <w:spacing w:before="20" w:after="20"/>
              <w:jc w:val="center"/>
              <w:rPr>
                <w:rFonts w:eastAsia="Calibri" w:cs="Arial"/>
                <w:b/>
                <w:lang w:eastAsia="en-US"/>
              </w:rPr>
            </w:pPr>
          </w:p>
        </w:tc>
        <w:tc>
          <w:tcPr>
            <w:tcW w:w="599" w:type="pct"/>
          </w:tcPr>
          <w:p w14:paraId="6BBAECFE" w14:textId="77777777" w:rsidR="00FC360C" w:rsidRPr="00F63BAF" w:rsidRDefault="00FC360C" w:rsidP="002F237A">
            <w:pPr>
              <w:tabs>
                <w:tab w:val="left" w:pos="284"/>
              </w:tabs>
              <w:spacing w:before="20" w:after="20"/>
              <w:jc w:val="center"/>
              <w:rPr>
                <w:rFonts w:eastAsia="Calibri" w:cs="Arial"/>
                <w:b/>
                <w:lang w:eastAsia="en-US"/>
              </w:rPr>
            </w:pPr>
          </w:p>
        </w:tc>
        <w:tc>
          <w:tcPr>
            <w:tcW w:w="766" w:type="pct"/>
          </w:tcPr>
          <w:p w14:paraId="7D22B099" w14:textId="77777777" w:rsidR="00FC360C" w:rsidRPr="00F63BAF" w:rsidRDefault="00FC360C" w:rsidP="002F237A">
            <w:pPr>
              <w:tabs>
                <w:tab w:val="left" w:pos="284"/>
              </w:tabs>
              <w:spacing w:before="20" w:after="20"/>
              <w:jc w:val="center"/>
              <w:rPr>
                <w:rFonts w:eastAsia="Calibri" w:cs="Arial"/>
                <w:b/>
                <w:lang w:eastAsia="en-US"/>
              </w:rPr>
            </w:pPr>
          </w:p>
        </w:tc>
        <w:tc>
          <w:tcPr>
            <w:tcW w:w="1115" w:type="pct"/>
            <w:tcBorders>
              <w:right w:val="single" w:sz="6" w:space="0" w:color="auto"/>
            </w:tcBorders>
          </w:tcPr>
          <w:p w14:paraId="36DDE62D" w14:textId="77777777" w:rsidR="00FC360C" w:rsidRPr="00F63BAF" w:rsidRDefault="00FC360C" w:rsidP="002F237A">
            <w:pPr>
              <w:tabs>
                <w:tab w:val="left" w:pos="284"/>
              </w:tabs>
              <w:spacing w:before="20" w:after="20"/>
              <w:rPr>
                <w:rFonts w:eastAsia="Calibri" w:cs="Arial"/>
                <w:b/>
                <w:lang w:eastAsia="en-US"/>
              </w:rPr>
            </w:pPr>
          </w:p>
        </w:tc>
      </w:tr>
      <w:tr w:rsidR="00FC360C" w:rsidRPr="00F63BAF" w14:paraId="191693EE" w14:textId="77777777" w:rsidTr="002F237A">
        <w:tc>
          <w:tcPr>
            <w:tcW w:w="1099" w:type="pct"/>
            <w:tcBorders>
              <w:left w:val="single" w:sz="6" w:space="0" w:color="auto"/>
              <w:right w:val="single" w:sz="6" w:space="0" w:color="auto"/>
            </w:tcBorders>
          </w:tcPr>
          <w:p w14:paraId="5B8D4850" w14:textId="77777777" w:rsidR="00FC360C" w:rsidRPr="00F63BAF" w:rsidRDefault="00FC360C" w:rsidP="002F237A">
            <w:pPr>
              <w:tabs>
                <w:tab w:val="left" w:pos="284"/>
              </w:tabs>
              <w:spacing w:before="20" w:after="20" w:line="240" w:lineRule="auto"/>
              <w:rPr>
                <w:rFonts w:eastAsia="Calibri" w:cs="Arial"/>
                <w:b/>
                <w:sz w:val="17"/>
                <w:szCs w:val="17"/>
                <w:lang w:eastAsia="en-US"/>
              </w:rPr>
            </w:pPr>
            <w:r w:rsidRPr="00F63BAF">
              <w:rPr>
                <w:rFonts w:eastAsia="Calibri" w:cs="Arial"/>
                <w:sz w:val="17"/>
                <w:szCs w:val="17"/>
                <w:lang w:eastAsia="en-US"/>
              </w:rPr>
              <w:t>Mussel</w:t>
            </w:r>
          </w:p>
        </w:tc>
        <w:tc>
          <w:tcPr>
            <w:tcW w:w="557" w:type="pct"/>
            <w:tcBorders>
              <w:left w:val="nil"/>
            </w:tcBorders>
          </w:tcPr>
          <w:p w14:paraId="561C1946"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864" w:type="pct"/>
          </w:tcPr>
          <w:p w14:paraId="0F028812"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599" w:type="pct"/>
          </w:tcPr>
          <w:p w14:paraId="6F2AD4C1"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766" w:type="pct"/>
          </w:tcPr>
          <w:p w14:paraId="5930F57C"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w:t>
            </w:r>
          </w:p>
        </w:tc>
        <w:tc>
          <w:tcPr>
            <w:tcW w:w="1115" w:type="pct"/>
            <w:tcBorders>
              <w:right w:val="single" w:sz="6" w:space="0" w:color="auto"/>
            </w:tcBorders>
          </w:tcPr>
          <w:p w14:paraId="46467C2D"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r>
      <w:tr w:rsidR="00FC360C" w:rsidRPr="00F63BAF" w14:paraId="0D2CE109" w14:textId="77777777" w:rsidTr="002F237A">
        <w:tc>
          <w:tcPr>
            <w:tcW w:w="1099" w:type="pct"/>
            <w:tcBorders>
              <w:left w:val="single" w:sz="6" w:space="0" w:color="auto"/>
              <w:right w:val="single" w:sz="6" w:space="0" w:color="auto"/>
            </w:tcBorders>
          </w:tcPr>
          <w:p w14:paraId="1235D32D" w14:textId="77777777" w:rsidR="00FC360C" w:rsidRPr="00F63BAF" w:rsidRDefault="00FC360C" w:rsidP="002F237A">
            <w:pPr>
              <w:spacing w:before="20" w:after="20" w:line="240" w:lineRule="auto"/>
              <w:ind w:left="142"/>
              <w:rPr>
                <w:rFonts w:eastAsia="Calibri" w:cs="Arial"/>
                <w:sz w:val="17"/>
                <w:szCs w:val="17"/>
                <w:lang w:eastAsia="en-US"/>
              </w:rPr>
            </w:pPr>
            <w:r w:rsidRPr="00F63BAF">
              <w:rPr>
                <w:rFonts w:eastAsia="Calibri" w:cs="Arial"/>
                <w:i/>
                <w:sz w:val="17"/>
                <w:szCs w:val="17"/>
                <w:lang w:eastAsia="en-US"/>
              </w:rPr>
              <w:t xml:space="preserve">Mytilus edulis </w:t>
            </w:r>
            <w:r w:rsidRPr="00F63BAF">
              <w:rPr>
                <w:rFonts w:eastAsia="Calibri" w:cs="Arial"/>
                <w:sz w:val="17"/>
                <w:szCs w:val="17"/>
                <w:lang w:eastAsia="en-US"/>
              </w:rPr>
              <w:t xml:space="preserve">or </w:t>
            </w:r>
            <w:r w:rsidRPr="00F63BAF">
              <w:rPr>
                <w:rFonts w:eastAsia="Calibri" w:cs="Arial"/>
                <w:i/>
                <w:sz w:val="17"/>
                <w:szCs w:val="17"/>
                <w:lang w:eastAsia="en-US"/>
              </w:rPr>
              <w:br/>
              <w:t>M. galloprovincialis</w:t>
            </w:r>
          </w:p>
        </w:tc>
        <w:tc>
          <w:tcPr>
            <w:tcW w:w="557" w:type="pct"/>
            <w:tcBorders>
              <w:left w:val="nil"/>
            </w:tcBorders>
          </w:tcPr>
          <w:p w14:paraId="35F3244A"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3 pools of 20</w:t>
            </w:r>
          </w:p>
        </w:tc>
        <w:tc>
          <w:tcPr>
            <w:tcW w:w="864" w:type="pct"/>
          </w:tcPr>
          <w:p w14:paraId="4BC3F489"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Narrow length range</w:t>
            </w:r>
          </w:p>
        </w:tc>
        <w:tc>
          <w:tcPr>
            <w:tcW w:w="599" w:type="pct"/>
          </w:tcPr>
          <w:p w14:paraId="37891AD0"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1-2 years</w:t>
            </w:r>
          </w:p>
        </w:tc>
        <w:tc>
          <w:tcPr>
            <w:tcW w:w="766" w:type="pct"/>
          </w:tcPr>
          <w:p w14:paraId="21D67EBF"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115" w:type="pct"/>
            <w:tcBorders>
              <w:right w:val="single" w:sz="6" w:space="0" w:color="auto"/>
            </w:tcBorders>
          </w:tcPr>
          <w:p w14:paraId="3CC92F6B"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Whole soft body</w:t>
            </w:r>
          </w:p>
        </w:tc>
      </w:tr>
      <w:tr w:rsidR="00FC360C" w:rsidRPr="00F63BAF" w14:paraId="6292D04C" w14:textId="77777777" w:rsidTr="002F237A">
        <w:tc>
          <w:tcPr>
            <w:tcW w:w="1099" w:type="pct"/>
            <w:tcBorders>
              <w:left w:val="single" w:sz="6" w:space="0" w:color="auto"/>
              <w:right w:val="single" w:sz="6" w:space="0" w:color="auto"/>
            </w:tcBorders>
          </w:tcPr>
          <w:p w14:paraId="0DC1BC7D" w14:textId="77777777" w:rsidR="00FC360C" w:rsidRPr="00F63BAF" w:rsidRDefault="00FC360C" w:rsidP="002F237A">
            <w:pPr>
              <w:tabs>
                <w:tab w:val="left" w:pos="284"/>
              </w:tabs>
              <w:spacing w:before="20" w:after="20" w:line="240" w:lineRule="auto"/>
              <w:rPr>
                <w:rFonts w:eastAsia="Calibri" w:cs="Arial"/>
                <w:i/>
                <w:sz w:val="17"/>
                <w:szCs w:val="17"/>
                <w:lang w:eastAsia="en-US"/>
              </w:rPr>
            </w:pPr>
            <w:r w:rsidRPr="00F63BAF">
              <w:rPr>
                <w:rFonts w:eastAsia="Calibri" w:cs="Arial"/>
                <w:sz w:val="17"/>
                <w:szCs w:val="17"/>
                <w:lang w:eastAsia="en-US"/>
              </w:rPr>
              <w:t>Pacific oyster</w:t>
            </w:r>
          </w:p>
        </w:tc>
        <w:tc>
          <w:tcPr>
            <w:tcW w:w="557" w:type="pct"/>
            <w:tcBorders>
              <w:left w:val="nil"/>
            </w:tcBorders>
          </w:tcPr>
          <w:p w14:paraId="5C68ACF3"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864" w:type="pct"/>
          </w:tcPr>
          <w:p w14:paraId="36BFC031"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599" w:type="pct"/>
          </w:tcPr>
          <w:p w14:paraId="753CF070"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766" w:type="pct"/>
          </w:tcPr>
          <w:p w14:paraId="3DE0F452"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115" w:type="pct"/>
            <w:tcBorders>
              <w:right w:val="single" w:sz="6" w:space="0" w:color="auto"/>
            </w:tcBorders>
          </w:tcPr>
          <w:p w14:paraId="7A09BC89" w14:textId="77777777" w:rsidR="00FC360C" w:rsidRPr="00F63BAF" w:rsidRDefault="00FC360C" w:rsidP="002F237A">
            <w:pPr>
              <w:tabs>
                <w:tab w:val="left" w:pos="284"/>
              </w:tabs>
              <w:spacing w:before="20" w:after="20" w:line="240" w:lineRule="auto"/>
              <w:rPr>
                <w:rFonts w:eastAsia="Calibri" w:cs="Arial"/>
                <w:sz w:val="17"/>
                <w:szCs w:val="17"/>
                <w:lang w:eastAsia="en-US"/>
              </w:rPr>
            </w:pPr>
          </w:p>
        </w:tc>
      </w:tr>
      <w:tr w:rsidR="00FC360C" w:rsidRPr="00F63BAF" w14:paraId="350ECF0F" w14:textId="77777777" w:rsidTr="002F237A">
        <w:tc>
          <w:tcPr>
            <w:tcW w:w="1099" w:type="pct"/>
            <w:tcBorders>
              <w:left w:val="single" w:sz="6" w:space="0" w:color="auto"/>
              <w:right w:val="single" w:sz="6" w:space="0" w:color="auto"/>
            </w:tcBorders>
          </w:tcPr>
          <w:p w14:paraId="354DEF9E" w14:textId="77777777" w:rsidR="00FC360C" w:rsidRPr="00F63BAF" w:rsidRDefault="00FC360C" w:rsidP="002F237A">
            <w:pPr>
              <w:spacing w:before="20" w:after="20" w:line="240" w:lineRule="auto"/>
              <w:ind w:left="142"/>
              <w:rPr>
                <w:rFonts w:eastAsia="Calibri" w:cs="Arial"/>
                <w:i/>
                <w:sz w:val="17"/>
                <w:szCs w:val="17"/>
                <w:lang w:eastAsia="en-US"/>
              </w:rPr>
            </w:pPr>
            <w:r w:rsidRPr="00F63BAF">
              <w:rPr>
                <w:rFonts w:eastAsia="Calibri" w:cs="Arial"/>
                <w:i/>
                <w:sz w:val="17"/>
                <w:szCs w:val="17"/>
                <w:lang w:eastAsia="en-US"/>
              </w:rPr>
              <w:t>Crassostrea gigas</w:t>
            </w:r>
          </w:p>
        </w:tc>
        <w:tc>
          <w:tcPr>
            <w:tcW w:w="557" w:type="pct"/>
            <w:tcBorders>
              <w:left w:val="nil"/>
            </w:tcBorders>
          </w:tcPr>
          <w:p w14:paraId="09EE4B7B"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864" w:type="pct"/>
          </w:tcPr>
          <w:p w14:paraId="15D26150"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Narrow length range</w:t>
            </w:r>
          </w:p>
        </w:tc>
        <w:tc>
          <w:tcPr>
            <w:tcW w:w="599" w:type="pct"/>
          </w:tcPr>
          <w:p w14:paraId="42EBF34F"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2 years</w:t>
            </w:r>
          </w:p>
        </w:tc>
        <w:tc>
          <w:tcPr>
            <w:tcW w:w="766" w:type="pct"/>
          </w:tcPr>
          <w:p w14:paraId="70E1EED8"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w:t>
            </w:r>
          </w:p>
        </w:tc>
        <w:tc>
          <w:tcPr>
            <w:tcW w:w="1115" w:type="pct"/>
            <w:tcBorders>
              <w:right w:val="single" w:sz="6" w:space="0" w:color="auto"/>
            </w:tcBorders>
          </w:tcPr>
          <w:p w14:paraId="2694C9CF"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Whole soft body</w:t>
            </w:r>
          </w:p>
        </w:tc>
      </w:tr>
      <w:tr w:rsidR="00FC360C" w:rsidRPr="00F63BAF" w14:paraId="5262D5C2" w14:textId="77777777" w:rsidTr="002F237A">
        <w:tc>
          <w:tcPr>
            <w:tcW w:w="1099" w:type="pct"/>
            <w:tcBorders>
              <w:top w:val="single" w:sz="6" w:space="0" w:color="auto"/>
              <w:left w:val="single" w:sz="6" w:space="0" w:color="auto"/>
              <w:right w:val="single" w:sz="6" w:space="0" w:color="auto"/>
            </w:tcBorders>
          </w:tcPr>
          <w:p w14:paraId="142A4985" w14:textId="77777777" w:rsidR="00FC360C" w:rsidRPr="00F63BAF" w:rsidRDefault="00FC360C" w:rsidP="002F237A">
            <w:pPr>
              <w:tabs>
                <w:tab w:val="left" w:pos="284"/>
              </w:tabs>
              <w:spacing w:before="20" w:after="20"/>
              <w:rPr>
                <w:rFonts w:eastAsia="Calibri" w:cs="Arial"/>
                <w:i/>
                <w:lang w:eastAsia="en-US"/>
              </w:rPr>
            </w:pPr>
            <w:r w:rsidRPr="00F63BAF">
              <w:rPr>
                <w:rFonts w:eastAsia="Calibri" w:cs="Arial"/>
                <w:b/>
                <w:lang w:eastAsia="en-US"/>
              </w:rPr>
              <w:t>Flatfish</w:t>
            </w:r>
          </w:p>
        </w:tc>
        <w:tc>
          <w:tcPr>
            <w:tcW w:w="557" w:type="pct"/>
            <w:tcBorders>
              <w:top w:val="single" w:sz="6" w:space="0" w:color="auto"/>
              <w:left w:val="nil"/>
            </w:tcBorders>
          </w:tcPr>
          <w:p w14:paraId="35532957" w14:textId="77777777" w:rsidR="00FC360C" w:rsidRPr="00F63BAF" w:rsidRDefault="00FC360C" w:rsidP="002F237A">
            <w:pPr>
              <w:tabs>
                <w:tab w:val="left" w:pos="284"/>
              </w:tabs>
              <w:spacing w:before="20" w:after="20"/>
              <w:jc w:val="center"/>
              <w:rPr>
                <w:rFonts w:eastAsia="Calibri" w:cs="Arial"/>
                <w:lang w:eastAsia="en-US"/>
              </w:rPr>
            </w:pPr>
          </w:p>
        </w:tc>
        <w:tc>
          <w:tcPr>
            <w:tcW w:w="864" w:type="pct"/>
            <w:tcBorders>
              <w:top w:val="single" w:sz="6" w:space="0" w:color="auto"/>
            </w:tcBorders>
          </w:tcPr>
          <w:p w14:paraId="5265C705" w14:textId="77777777" w:rsidR="00FC360C" w:rsidRPr="00F63BAF" w:rsidRDefault="00FC360C" w:rsidP="002F237A">
            <w:pPr>
              <w:tabs>
                <w:tab w:val="left" w:pos="284"/>
              </w:tabs>
              <w:spacing w:before="20" w:after="20"/>
              <w:jc w:val="center"/>
              <w:rPr>
                <w:rFonts w:eastAsia="Calibri" w:cs="Arial"/>
                <w:lang w:eastAsia="en-US"/>
              </w:rPr>
            </w:pPr>
          </w:p>
        </w:tc>
        <w:tc>
          <w:tcPr>
            <w:tcW w:w="599" w:type="pct"/>
            <w:tcBorders>
              <w:top w:val="single" w:sz="6" w:space="0" w:color="auto"/>
            </w:tcBorders>
          </w:tcPr>
          <w:p w14:paraId="2590F18C" w14:textId="77777777" w:rsidR="00FC360C" w:rsidRPr="00F63BAF" w:rsidRDefault="00FC360C" w:rsidP="002F237A">
            <w:pPr>
              <w:tabs>
                <w:tab w:val="left" w:pos="284"/>
              </w:tabs>
              <w:spacing w:before="20" w:after="20"/>
              <w:jc w:val="center"/>
              <w:rPr>
                <w:rFonts w:eastAsia="Calibri" w:cs="Arial"/>
                <w:lang w:eastAsia="en-US"/>
              </w:rPr>
            </w:pPr>
          </w:p>
        </w:tc>
        <w:tc>
          <w:tcPr>
            <w:tcW w:w="766" w:type="pct"/>
            <w:tcBorders>
              <w:top w:val="single" w:sz="6" w:space="0" w:color="auto"/>
            </w:tcBorders>
          </w:tcPr>
          <w:p w14:paraId="448F3C76" w14:textId="77777777" w:rsidR="00FC360C" w:rsidRPr="00F63BAF" w:rsidRDefault="00FC360C" w:rsidP="002F237A">
            <w:pPr>
              <w:tabs>
                <w:tab w:val="left" w:pos="284"/>
              </w:tabs>
              <w:spacing w:before="20" w:after="20"/>
              <w:jc w:val="center"/>
              <w:rPr>
                <w:rFonts w:eastAsia="Calibri" w:cs="Arial"/>
                <w:lang w:eastAsia="en-US"/>
              </w:rPr>
            </w:pPr>
          </w:p>
        </w:tc>
        <w:tc>
          <w:tcPr>
            <w:tcW w:w="1115" w:type="pct"/>
            <w:tcBorders>
              <w:top w:val="single" w:sz="6" w:space="0" w:color="auto"/>
              <w:right w:val="single" w:sz="6" w:space="0" w:color="auto"/>
            </w:tcBorders>
          </w:tcPr>
          <w:p w14:paraId="460F41F9" w14:textId="77777777" w:rsidR="00FC360C" w:rsidRPr="00F63BAF" w:rsidRDefault="00FC360C" w:rsidP="002F237A">
            <w:pPr>
              <w:tabs>
                <w:tab w:val="left" w:pos="284"/>
              </w:tabs>
              <w:spacing w:before="20" w:after="20"/>
              <w:rPr>
                <w:rFonts w:eastAsia="Calibri" w:cs="Arial"/>
                <w:lang w:eastAsia="en-US"/>
              </w:rPr>
            </w:pPr>
          </w:p>
        </w:tc>
      </w:tr>
      <w:tr w:rsidR="00FC360C" w:rsidRPr="00F63BAF" w14:paraId="005C58CE" w14:textId="77777777" w:rsidTr="002F237A">
        <w:tc>
          <w:tcPr>
            <w:tcW w:w="1099" w:type="pct"/>
            <w:tcBorders>
              <w:left w:val="single" w:sz="6" w:space="0" w:color="auto"/>
              <w:right w:val="single" w:sz="6" w:space="0" w:color="auto"/>
            </w:tcBorders>
          </w:tcPr>
          <w:p w14:paraId="34AF4753" w14:textId="77777777" w:rsidR="00FC360C" w:rsidRPr="00F63BAF" w:rsidRDefault="00FC360C" w:rsidP="002F237A">
            <w:pPr>
              <w:tabs>
                <w:tab w:val="left" w:pos="284"/>
              </w:tabs>
              <w:spacing w:before="20" w:after="20" w:line="240" w:lineRule="auto"/>
              <w:rPr>
                <w:rFonts w:eastAsia="Calibri" w:cs="Arial"/>
                <w:b/>
                <w:sz w:val="17"/>
                <w:szCs w:val="17"/>
                <w:lang w:eastAsia="en-US"/>
              </w:rPr>
            </w:pPr>
            <w:r w:rsidRPr="00F63BAF">
              <w:rPr>
                <w:rFonts w:eastAsia="Calibri" w:cs="Arial"/>
                <w:sz w:val="17"/>
                <w:szCs w:val="17"/>
                <w:lang w:eastAsia="en-US"/>
              </w:rPr>
              <w:t>Dab</w:t>
            </w:r>
          </w:p>
        </w:tc>
        <w:tc>
          <w:tcPr>
            <w:tcW w:w="557" w:type="pct"/>
            <w:tcBorders>
              <w:left w:val="nil"/>
            </w:tcBorders>
          </w:tcPr>
          <w:p w14:paraId="434FF872"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864" w:type="pct"/>
          </w:tcPr>
          <w:p w14:paraId="6DFAF737"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599" w:type="pct"/>
          </w:tcPr>
          <w:p w14:paraId="4FEAF5F6"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766" w:type="pct"/>
          </w:tcPr>
          <w:p w14:paraId="03EAB750"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115" w:type="pct"/>
            <w:tcBorders>
              <w:right w:val="single" w:sz="6" w:space="0" w:color="auto"/>
            </w:tcBorders>
          </w:tcPr>
          <w:p w14:paraId="5E871C7A" w14:textId="77777777" w:rsidR="00FC360C" w:rsidRPr="00F63BAF" w:rsidRDefault="00FC360C" w:rsidP="002F237A">
            <w:pPr>
              <w:tabs>
                <w:tab w:val="left" w:pos="284"/>
              </w:tabs>
              <w:spacing w:before="20" w:after="20" w:line="240" w:lineRule="auto"/>
              <w:rPr>
                <w:rFonts w:eastAsia="Calibri" w:cs="Arial"/>
                <w:sz w:val="17"/>
                <w:szCs w:val="17"/>
                <w:lang w:eastAsia="en-US"/>
              </w:rPr>
            </w:pPr>
          </w:p>
        </w:tc>
      </w:tr>
      <w:tr w:rsidR="00FC360C" w:rsidRPr="00F63BAF" w14:paraId="3431D656" w14:textId="77777777" w:rsidTr="002F237A">
        <w:tc>
          <w:tcPr>
            <w:tcW w:w="1099" w:type="pct"/>
            <w:tcBorders>
              <w:left w:val="single" w:sz="6" w:space="0" w:color="auto"/>
              <w:right w:val="single" w:sz="6" w:space="0" w:color="auto"/>
            </w:tcBorders>
          </w:tcPr>
          <w:p w14:paraId="71C77A33" w14:textId="77777777" w:rsidR="00FC360C" w:rsidRPr="00F63BAF" w:rsidRDefault="00FC360C" w:rsidP="002F237A">
            <w:pPr>
              <w:spacing w:before="20" w:line="240" w:lineRule="auto"/>
              <w:ind w:left="142"/>
              <w:rPr>
                <w:rFonts w:eastAsia="Calibri" w:cs="Arial"/>
                <w:b/>
                <w:sz w:val="17"/>
                <w:szCs w:val="17"/>
                <w:lang w:eastAsia="en-US"/>
              </w:rPr>
            </w:pPr>
            <w:r w:rsidRPr="00F63BAF">
              <w:rPr>
                <w:rFonts w:eastAsia="Calibri" w:cs="Arial"/>
                <w:i/>
                <w:sz w:val="17"/>
                <w:szCs w:val="17"/>
                <w:lang w:eastAsia="en-US"/>
              </w:rPr>
              <w:t>Limanda limanda</w:t>
            </w:r>
          </w:p>
        </w:tc>
        <w:tc>
          <w:tcPr>
            <w:tcW w:w="557" w:type="pct"/>
            <w:tcBorders>
              <w:left w:val="nil"/>
            </w:tcBorders>
          </w:tcPr>
          <w:p w14:paraId="0CA7EC8B"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At least 12</w:t>
            </w:r>
          </w:p>
        </w:tc>
        <w:tc>
          <w:tcPr>
            <w:tcW w:w="864" w:type="pct"/>
          </w:tcPr>
          <w:p w14:paraId="212A55A8"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Narrow length range</w:t>
            </w:r>
          </w:p>
        </w:tc>
        <w:tc>
          <w:tcPr>
            <w:tcW w:w="599" w:type="pct"/>
          </w:tcPr>
          <w:p w14:paraId="7024DA9B"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1-3 years</w:t>
            </w:r>
          </w:p>
        </w:tc>
        <w:tc>
          <w:tcPr>
            <w:tcW w:w="766" w:type="pct"/>
          </w:tcPr>
          <w:p w14:paraId="50E35E93"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Single sex, females*</w:t>
            </w:r>
          </w:p>
        </w:tc>
        <w:tc>
          <w:tcPr>
            <w:tcW w:w="1115" w:type="pct"/>
            <w:tcBorders>
              <w:right w:val="single" w:sz="6" w:space="0" w:color="auto"/>
            </w:tcBorders>
          </w:tcPr>
          <w:p w14:paraId="3DB00764"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Muscle for Hg.</w:t>
            </w:r>
          </w:p>
          <w:p w14:paraId="251866F0"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Liver for all other determinands</w:t>
            </w:r>
          </w:p>
        </w:tc>
      </w:tr>
      <w:tr w:rsidR="00FC360C" w:rsidRPr="00F63BAF" w14:paraId="2BE11E45" w14:textId="77777777" w:rsidTr="002F237A">
        <w:tc>
          <w:tcPr>
            <w:tcW w:w="1099" w:type="pct"/>
            <w:tcBorders>
              <w:left w:val="single" w:sz="6" w:space="0" w:color="auto"/>
              <w:right w:val="single" w:sz="6" w:space="0" w:color="auto"/>
            </w:tcBorders>
          </w:tcPr>
          <w:p w14:paraId="76F87037" w14:textId="77777777" w:rsidR="00FC360C" w:rsidRPr="00F63BAF" w:rsidRDefault="00FC360C" w:rsidP="002F237A">
            <w:pPr>
              <w:tabs>
                <w:tab w:val="left" w:pos="284"/>
              </w:tabs>
              <w:spacing w:before="20" w:after="20" w:line="240" w:lineRule="auto"/>
              <w:rPr>
                <w:rFonts w:eastAsia="Calibri" w:cs="Arial"/>
                <w:b/>
                <w:sz w:val="17"/>
                <w:szCs w:val="17"/>
                <w:lang w:eastAsia="en-US"/>
              </w:rPr>
            </w:pPr>
            <w:r w:rsidRPr="00F63BAF">
              <w:rPr>
                <w:rFonts w:eastAsia="Calibri" w:cs="Arial"/>
                <w:sz w:val="17"/>
                <w:szCs w:val="17"/>
                <w:lang w:eastAsia="en-US"/>
              </w:rPr>
              <w:t>Flounder</w:t>
            </w:r>
          </w:p>
        </w:tc>
        <w:tc>
          <w:tcPr>
            <w:tcW w:w="557" w:type="pct"/>
            <w:tcBorders>
              <w:left w:val="nil"/>
            </w:tcBorders>
          </w:tcPr>
          <w:p w14:paraId="33F5D90E"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864" w:type="pct"/>
          </w:tcPr>
          <w:p w14:paraId="7994B74A"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599" w:type="pct"/>
          </w:tcPr>
          <w:p w14:paraId="59487D7B"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766" w:type="pct"/>
          </w:tcPr>
          <w:p w14:paraId="4D02AB3A"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115" w:type="pct"/>
            <w:tcBorders>
              <w:right w:val="single" w:sz="6" w:space="0" w:color="auto"/>
            </w:tcBorders>
          </w:tcPr>
          <w:p w14:paraId="7A6FBE36" w14:textId="77777777" w:rsidR="00FC360C" w:rsidRPr="00F63BAF" w:rsidRDefault="00FC360C" w:rsidP="002F237A">
            <w:pPr>
              <w:tabs>
                <w:tab w:val="left" w:pos="284"/>
              </w:tabs>
              <w:spacing w:before="20" w:after="20" w:line="240" w:lineRule="auto"/>
              <w:rPr>
                <w:rFonts w:eastAsia="Calibri" w:cs="Arial"/>
                <w:sz w:val="17"/>
                <w:szCs w:val="17"/>
                <w:lang w:eastAsia="en-US"/>
              </w:rPr>
            </w:pPr>
          </w:p>
        </w:tc>
      </w:tr>
      <w:tr w:rsidR="00FC360C" w:rsidRPr="00F63BAF" w14:paraId="2AF3ECC7" w14:textId="77777777" w:rsidTr="002F237A">
        <w:tc>
          <w:tcPr>
            <w:tcW w:w="1099" w:type="pct"/>
            <w:tcBorders>
              <w:left w:val="single" w:sz="6" w:space="0" w:color="auto"/>
              <w:right w:val="single" w:sz="6" w:space="0" w:color="auto"/>
            </w:tcBorders>
          </w:tcPr>
          <w:p w14:paraId="76531242" w14:textId="77777777" w:rsidR="00FC360C" w:rsidRPr="00F63BAF" w:rsidRDefault="00FC360C" w:rsidP="002F237A">
            <w:pPr>
              <w:spacing w:before="20" w:line="240" w:lineRule="auto"/>
              <w:ind w:left="142"/>
              <w:rPr>
                <w:rFonts w:eastAsia="Calibri" w:cs="Arial"/>
                <w:b/>
                <w:sz w:val="17"/>
                <w:szCs w:val="17"/>
                <w:lang w:eastAsia="en-US"/>
              </w:rPr>
            </w:pPr>
            <w:r w:rsidRPr="00F63BAF">
              <w:rPr>
                <w:rFonts w:eastAsia="Calibri" w:cs="Arial"/>
                <w:i/>
                <w:sz w:val="17"/>
                <w:szCs w:val="17"/>
                <w:lang w:eastAsia="en-US"/>
              </w:rPr>
              <w:t>Platichthys flesus</w:t>
            </w:r>
          </w:p>
        </w:tc>
        <w:tc>
          <w:tcPr>
            <w:tcW w:w="557" w:type="pct"/>
            <w:tcBorders>
              <w:left w:val="nil"/>
            </w:tcBorders>
          </w:tcPr>
          <w:p w14:paraId="6BF05BF8"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At least 12</w:t>
            </w:r>
          </w:p>
        </w:tc>
        <w:tc>
          <w:tcPr>
            <w:tcW w:w="864" w:type="pct"/>
          </w:tcPr>
          <w:p w14:paraId="7F052BCE"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Narrow length range</w:t>
            </w:r>
          </w:p>
        </w:tc>
        <w:tc>
          <w:tcPr>
            <w:tcW w:w="599" w:type="pct"/>
          </w:tcPr>
          <w:p w14:paraId="046E81A4"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1-3 years</w:t>
            </w:r>
          </w:p>
        </w:tc>
        <w:tc>
          <w:tcPr>
            <w:tcW w:w="766" w:type="pct"/>
          </w:tcPr>
          <w:p w14:paraId="1E70112D"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Single sex, females*</w:t>
            </w:r>
          </w:p>
        </w:tc>
        <w:tc>
          <w:tcPr>
            <w:tcW w:w="1115" w:type="pct"/>
            <w:tcBorders>
              <w:right w:val="single" w:sz="6" w:space="0" w:color="auto"/>
            </w:tcBorders>
          </w:tcPr>
          <w:p w14:paraId="4C4F9F59"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Muscle for Hg.</w:t>
            </w:r>
          </w:p>
          <w:p w14:paraId="25A0F56C"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Liver for all other determinands</w:t>
            </w:r>
          </w:p>
        </w:tc>
      </w:tr>
      <w:tr w:rsidR="00FC360C" w:rsidRPr="00F63BAF" w14:paraId="086E438E" w14:textId="77777777" w:rsidTr="002F237A">
        <w:tc>
          <w:tcPr>
            <w:tcW w:w="1099" w:type="pct"/>
            <w:tcBorders>
              <w:left w:val="single" w:sz="6" w:space="0" w:color="auto"/>
              <w:right w:val="single" w:sz="6" w:space="0" w:color="auto"/>
            </w:tcBorders>
          </w:tcPr>
          <w:p w14:paraId="6ACF5F23" w14:textId="77777777" w:rsidR="00FC360C" w:rsidRPr="00F63BAF" w:rsidRDefault="00FC360C" w:rsidP="002F237A">
            <w:pPr>
              <w:tabs>
                <w:tab w:val="left" w:pos="284"/>
              </w:tabs>
              <w:spacing w:before="20" w:after="20" w:line="240" w:lineRule="auto"/>
              <w:rPr>
                <w:rFonts w:eastAsia="Calibri" w:cs="Arial"/>
                <w:i/>
                <w:sz w:val="17"/>
                <w:szCs w:val="17"/>
                <w:lang w:eastAsia="en-US"/>
              </w:rPr>
            </w:pPr>
            <w:r w:rsidRPr="00F63BAF">
              <w:rPr>
                <w:rFonts w:eastAsia="Calibri" w:cs="Arial"/>
                <w:sz w:val="17"/>
                <w:szCs w:val="17"/>
                <w:lang w:eastAsia="en-US"/>
              </w:rPr>
              <w:t>Plaice</w:t>
            </w:r>
          </w:p>
        </w:tc>
        <w:tc>
          <w:tcPr>
            <w:tcW w:w="557" w:type="pct"/>
            <w:tcBorders>
              <w:left w:val="nil"/>
            </w:tcBorders>
          </w:tcPr>
          <w:p w14:paraId="3081C18B"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864" w:type="pct"/>
          </w:tcPr>
          <w:p w14:paraId="7CEAC6D6"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599" w:type="pct"/>
          </w:tcPr>
          <w:p w14:paraId="55DAFBAC"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766" w:type="pct"/>
          </w:tcPr>
          <w:p w14:paraId="4CF5E01B"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115" w:type="pct"/>
            <w:tcBorders>
              <w:right w:val="single" w:sz="6" w:space="0" w:color="auto"/>
            </w:tcBorders>
          </w:tcPr>
          <w:p w14:paraId="0FA357DC" w14:textId="77777777" w:rsidR="00FC360C" w:rsidRPr="00F63BAF" w:rsidRDefault="00FC360C" w:rsidP="002F237A">
            <w:pPr>
              <w:tabs>
                <w:tab w:val="left" w:pos="284"/>
              </w:tabs>
              <w:spacing w:before="20" w:after="20" w:line="240" w:lineRule="auto"/>
              <w:rPr>
                <w:rFonts w:eastAsia="Calibri" w:cs="Arial"/>
                <w:sz w:val="17"/>
                <w:szCs w:val="17"/>
                <w:lang w:eastAsia="en-US"/>
              </w:rPr>
            </w:pPr>
          </w:p>
        </w:tc>
      </w:tr>
      <w:tr w:rsidR="00FC360C" w:rsidRPr="00F63BAF" w14:paraId="6E09B859" w14:textId="77777777" w:rsidTr="002F237A">
        <w:tc>
          <w:tcPr>
            <w:tcW w:w="1099" w:type="pct"/>
            <w:tcBorders>
              <w:left w:val="single" w:sz="6" w:space="0" w:color="auto"/>
              <w:bottom w:val="single" w:sz="6" w:space="0" w:color="auto"/>
              <w:right w:val="single" w:sz="6" w:space="0" w:color="auto"/>
            </w:tcBorders>
          </w:tcPr>
          <w:p w14:paraId="09224DA5" w14:textId="77777777" w:rsidR="00FC360C" w:rsidRPr="00F63BAF" w:rsidRDefault="00FC360C" w:rsidP="002F237A">
            <w:pPr>
              <w:spacing w:before="20" w:line="240" w:lineRule="auto"/>
              <w:ind w:left="142"/>
              <w:rPr>
                <w:rFonts w:eastAsia="Calibri" w:cs="Arial"/>
                <w:i/>
                <w:sz w:val="17"/>
                <w:szCs w:val="17"/>
                <w:lang w:eastAsia="en-US"/>
              </w:rPr>
            </w:pPr>
            <w:r w:rsidRPr="00F63BAF">
              <w:rPr>
                <w:rFonts w:eastAsia="Calibri" w:cs="Arial"/>
                <w:i/>
                <w:sz w:val="17"/>
                <w:szCs w:val="17"/>
                <w:lang w:eastAsia="en-US"/>
              </w:rPr>
              <w:t>Pleuronectes platessa</w:t>
            </w:r>
          </w:p>
        </w:tc>
        <w:tc>
          <w:tcPr>
            <w:tcW w:w="557" w:type="pct"/>
            <w:tcBorders>
              <w:left w:val="nil"/>
              <w:bottom w:val="single" w:sz="6" w:space="0" w:color="auto"/>
            </w:tcBorders>
          </w:tcPr>
          <w:p w14:paraId="0409691E"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At least 12</w:t>
            </w:r>
          </w:p>
        </w:tc>
        <w:tc>
          <w:tcPr>
            <w:tcW w:w="864" w:type="pct"/>
            <w:tcBorders>
              <w:bottom w:val="single" w:sz="6" w:space="0" w:color="auto"/>
            </w:tcBorders>
          </w:tcPr>
          <w:p w14:paraId="781263E2"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Narrow length range</w:t>
            </w:r>
          </w:p>
        </w:tc>
        <w:tc>
          <w:tcPr>
            <w:tcW w:w="599" w:type="pct"/>
            <w:tcBorders>
              <w:bottom w:val="single" w:sz="6" w:space="0" w:color="auto"/>
            </w:tcBorders>
          </w:tcPr>
          <w:p w14:paraId="748ED9F2"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1-3 years</w:t>
            </w:r>
          </w:p>
        </w:tc>
        <w:tc>
          <w:tcPr>
            <w:tcW w:w="766" w:type="pct"/>
            <w:tcBorders>
              <w:bottom w:val="single" w:sz="6" w:space="0" w:color="auto"/>
            </w:tcBorders>
          </w:tcPr>
          <w:p w14:paraId="274C1B11"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Single sex, females*</w:t>
            </w:r>
          </w:p>
        </w:tc>
        <w:tc>
          <w:tcPr>
            <w:tcW w:w="1115" w:type="pct"/>
            <w:tcBorders>
              <w:bottom w:val="single" w:sz="6" w:space="0" w:color="auto"/>
              <w:right w:val="single" w:sz="6" w:space="0" w:color="auto"/>
            </w:tcBorders>
          </w:tcPr>
          <w:p w14:paraId="2DB72249"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Muscle for Hg.</w:t>
            </w:r>
          </w:p>
          <w:p w14:paraId="65AB0C74"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Liver for all other determinands</w:t>
            </w:r>
          </w:p>
        </w:tc>
      </w:tr>
      <w:tr w:rsidR="00FC360C" w:rsidRPr="00F63BAF" w14:paraId="42606E97" w14:textId="77777777" w:rsidTr="002F237A">
        <w:tc>
          <w:tcPr>
            <w:tcW w:w="1099" w:type="pct"/>
            <w:tcBorders>
              <w:left w:val="single" w:sz="6" w:space="0" w:color="auto"/>
              <w:right w:val="single" w:sz="6" w:space="0" w:color="auto"/>
            </w:tcBorders>
          </w:tcPr>
          <w:p w14:paraId="05F211FE" w14:textId="77777777" w:rsidR="00FC360C" w:rsidRPr="00F63BAF" w:rsidRDefault="00FC360C" w:rsidP="002F237A">
            <w:pPr>
              <w:tabs>
                <w:tab w:val="left" w:pos="284"/>
              </w:tabs>
              <w:spacing w:before="20" w:after="20" w:line="240" w:lineRule="auto"/>
              <w:rPr>
                <w:rFonts w:eastAsia="Calibri" w:cs="Arial"/>
                <w:i/>
                <w:lang w:eastAsia="en-US"/>
              </w:rPr>
            </w:pPr>
            <w:r w:rsidRPr="00F63BAF">
              <w:rPr>
                <w:rFonts w:eastAsia="Calibri" w:cs="Arial"/>
                <w:b/>
                <w:lang w:eastAsia="en-US"/>
              </w:rPr>
              <w:t>Roundfish</w:t>
            </w:r>
          </w:p>
        </w:tc>
        <w:tc>
          <w:tcPr>
            <w:tcW w:w="557" w:type="pct"/>
            <w:tcBorders>
              <w:left w:val="nil"/>
            </w:tcBorders>
          </w:tcPr>
          <w:p w14:paraId="32A8E0DE" w14:textId="77777777" w:rsidR="00FC360C" w:rsidRPr="00F63BAF" w:rsidRDefault="00FC360C" w:rsidP="002F237A">
            <w:pPr>
              <w:tabs>
                <w:tab w:val="left" w:pos="284"/>
              </w:tabs>
              <w:spacing w:before="20" w:after="20" w:line="240" w:lineRule="auto"/>
              <w:jc w:val="center"/>
              <w:rPr>
                <w:rFonts w:eastAsia="Calibri" w:cs="Arial"/>
                <w:lang w:eastAsia="en-US"/>
              </w:rPr>
            </w:pPr>
          </w:p>
        </w:tc>
        <w:tc>
          <w:tcPr>
            <w:tcW w:w="864" w:type="pct"/>
          </w:tcPr>
          <w:p w14:paraId="13C762D8" w14:textId="77777777" w:rsidR="00FC360C" w:rsidRPr="00F63BAF" w:rsidRDefault="00FC360C" w:rsidP="002F237A">
            <w:pPr>
              <w:tabs>
                <w:tab w:val="left" w:pos="284"/>
              </w:tabs>
              <w:spacing w:before="20" w:after="20" w:line="240" w:lineRule="auto"/>
              <w:jc w:val="center"/>
              <w:rPr>
                <w:rFonts w:eastAsia="Calibri" w:cs="Arial"/>
                <w:lang w:eastAsia="en-US"/>
              </w:rPr>
            </w:pPr>
          </w:p>
        </w:tc>
        <w:tc>
          <w:tcPr>
            <w:tcW w:w="599" w:type="pct"/>
          </w:tcPr>
          <w:p w14:paraId="6327A2CD" w14:textId="77777777" w:rsidR="00FC360C" w:rsidRPr="00F63BAF" w:rsidRDefault="00FC360C" w:rsidP="002F237A">
            <w:pPr>
              <w:tabs>
                <w:tab w:val="left" w:pos="284"/>
              </w:tabs>
              <w:spacing w:before="20" w:after="20" w:line="240" w:lineRule="auto"/>
              <w:jc w:val="center"/>
              <w:rPr>
                <w:rFonts w:eastAsia="Calibri" w:cs="Arial"/>
                <w:lang w:eastAsia="en-US"/>
              </w:rPr>
            </w:pPr>
          </w:p>
        </w:tc>
        <w:tc>
          <w:tcPr>
            <w:tcW w:w="766" w:type="pct"/>
          </w:tcPr>
          <w:p w14:paraId="029D845E" w14:textId="77777777" w:rsidR="00FC360C" w:rsidRPr="00F63BAF" w:rsidRDefault="00FC360C" w:rsidP="002F237A">
            <w:pPr>
              <w:tabs>
                <w:tab w:val="left" w:pos="284"/>
              </w:tabs>
              <w:spacing w:before="20" w:after="20" w:line="240" w:lineRule="auto"/>
              <w:jc w:val="center"/>
              <w:rPr>
                <w:rFonts w:eastAsia="Calibri" w:cs="Arial"/>
                <w:lang w:eastAsia="en-US"/>
              </w:rPr>
            </w:pPr>
          </w:p>
        </w:tc>
        <w:tc>
          <w:tcPr>
            <w:tcW w:w="1115" w:type="pct"/>
            <w:tcBorders>
              <w:right w:val="single" w:sz="6" w:space="0" w:color="auto"/>
            </w:tcBorders>
          </w:tcPr>
          <w:p w14:paraId="6FEBC138" w14:textId="77777777" w:rsidR="00FC360C" w:rsidRPr="00F63BAF" w:rsidRDefault="00FC360C" w:rsidP="002F237A">
            <w:pPr>
              <w:tabs>
                <w:tab w:val="left" w:pos="284"/>
              </w:tabs>
              <w:spacing w:before="20" w:after="20" w:line="240" w:lineRule="auto"/>
              <w:rPr>
                <w:rFonts w:eastAsia="Calibri" w:cs="Arial"/>
                <w:lang w:eastAsia="en-US"/>
              </w:rPr>
            </w:pPr>
          </w:p>
        </w:tc>
      </w:tr>
      <w:tr w:rsidR="00FC360C" w:rsidRPr="00F63BAF" w14:paraId="2C4E4BEB" w14:textId="77777777" w:rsidTr="002F237A">
        <w:tc>
          <w:tcPr>
            <w:tcW w:w="1099" w:type="pct"/>
            <w:tcBorders>
              <w:left w:val="single" w:sz="6" w:space="0" w:color="auto"/>
              <w:right w:val="single" w:sz="6" w:space="0" w:color="auto"/>
            </w:tcBorders>
          </w:tcPr>
          <w:p w14:paraId="087F8155" w14:textId="77777777" w:rsidR="00FC360C" w:rsidRPr="00F63BAF" w:rsidRDefault="00FC360C" w:rsidP="002F237A">
            <w:pPr>
              <w:tabs>
                <w:tab w:val="left" w:pos="284"/>
              </w:tabs>
              <w:spacing w:before="20" w:after="20" w:line="240" w:lineRule="auto"/>
              <w:rPr>
                <w:rFonts w:eastAsia="Calibri" w:cs="Arial"/>
                <w:b/>
                <w:sz w:val="17"/>
                <w:szCs w:val="17"/>
                <w:lang w:eastAsia="en-US"/>
              </w:rPr>
            </w:pPr>
            <w:r w:rsidRPr="00F63BAF">
              <w:rPr>
                <w:rFonts w:eastAsia="Calibri" w:cs="Arial"/>
                <w:sz w:val="17"/>
                <w:szCs w:val="17"/>
                <w:lang w:eastAsia="en-US"/>
              </w:rPr>
              <w:t>Cod</w:t>
            </w:r>
          </w:p>
        </w:tc>
        <w:tc>
          <w:tcPr>
            <w:tcW w:w="557" w:type="pct"/>
            <w:tcBorders>
              <w:left w:val="nil"/>
            </w:tcBorders>
          </w:tcPr>
          <w:p w14:paraId="1E9151A1"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864" w:type="pct"/>
          </w:tcPr>
          <w:p w14:paraId="47F5465C"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599" w:type="pct"/>
          </w:tcPr>
          <w:p w14:paraId="27990C18"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766" w:type="pct"/>
          </w:tcPr>
          <w:p w14:paraId="3571B1F0"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115" w:type="pct"/>
            <w:tcBorders>
              <w:right w:val="single" w:sz="6" w:space="0" w:color="auto"/>
            </w:tcBorders>
          </w:tcPr>
          <w:p w14:paraId="65C40706" w14:textId="77777777" w:rsidR="00FC360C" w:rsidRPr="00F63BAF" w:rsidRDefault="00FC360C" w:rsidP="002F237A">
            <w:pPr>
              <w:tabs>
                <w:tab w:val="left" w:pos="284"/>
              </w:tabs>
              <w:spacing w:before="20" w:after="20" w:line="240" w:lineRule="auto"/>
              <w:rPr>
                <w:rFonts w:eastAsia="Calibri" w:cs="Arial"/>
                <w:sz w:val="17"/>
                <w:szCs w:val="17"/>
                <w:lang w:eastAsia="en-US"/>
              </w:rPr>
            </w:pPr>
          </w:p>
        </w:tc>
      </w:tr>
      <w:tr w:rsidR="00FC360C" w:rsidRPr="00F63BAF" w14:paraId="0B38C3ED" w14:textId="77777777" w:rsidTr="002F237A">
        <w:tc>
          <w:tcPr>
            <w:tcW w:w="1099" w:type="pct"/>
            <w:tcBorders>
              <w:left w:val="single" w:sz="6" w:space="0" w:color="auto"/>
              <w:right w:val="single" w:sz="6" w:space="0" w:color="auto"/>
            </w:tcBorders>
          </w:tcPr>
          <w:p w14:paraId="52C34EEF" w14:textId="77777777" w:rsidR="00FC360C" w:rsidRPr="00F63BAF" w:rsidRDefault="00FC360C" w:rsidP="002F237A">
            <w:pPr>
              <w:spacing w:before="20" w:line="240" w:lineRule="auto"/>
              <w:ind w:left="142"/>
              <w:rPr>
                <w:rFonts w:eastAsia="Calibri" w:cs="Arial"/>
                <w:i/>
                <w:sz w:val="17"/>
                <w:szCs w:val="17"/>
                <w:lang w:eastAsia="en-US"/>
              </w:rPr>
            </w:pPr>
            <w:r w:rsidRPr="00F63BAF">
              <w:rPr>
                <w:rFonts w:eastAsia="Calibri" w:cs="Arial"/>
                <w:i/>
                <w:sz w:val="17"/>
                <w:szCs w:val="17"/>
                <w:lang w:eastAsia="en-US"/>
              </w:rPr>
              <w:t>Gadus morhua</w:t>
            </w:r>
          </w:p>
        </w:tc>
        <w:tc>
          <w:tcPr>
            <w:tcW w:w="557" w:type="pct"/>
            <w:tcBorders>
              <w:left w:val="nil"/>
            </w:tcBorders>
          </w:tcPr>
          <w:p w14:paraId="29B81B7D"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At least 12</w:t>
            </w:r>
          </w:p>
        </w:tc>
        <w:tc>
          <w:tcPr>
            <w:tcW w:w="864" w:type="pct"/>
          </w:tcPr>
          <w:p w14:paraId="17035D22"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Narrow length range</w:t>
            </w:r>
          </w:p>
        </w:tc>
        <w:tc>
          <w:tcPr>
            <w:tcW w:w="599" w:type="pct"/>
          </w:tcPr>
          <w:p w14:paraId="7718A934"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Preferably 1-3years**</w:t>
            </w:r>
          </w:p>
        </w:tc>
        <w:tc>
          <w:tcPr>
            <w:tcW w:w="766" w:type="pct"/>
          </w:tcPr>
          <w:p w14:paraId="08203784" w14:textId="77777777" w:rsidR="00FC360C" w:rsidRPr="00F63BAF" w:rsidRDefault="00FC360C" w:rsidP="002F237A">
            <w:pPr>
              <w:tabs>
                <w:tab w:val="left" w:pos="284"/>
              </w:tabs>
              <w:spacing w:before="20" w:line="240" w:lineRule="auto"/>
              <w:jc w:val="center"/>
              <w:rPr>
                <w:rFonts w:eastAsia="Calibri" w:cs="Arial"/>
                <w:sz w:val="17"/>
                <w:szCs w:val="17"/>
                <w:lang w:eastAsia="en-US"/>
              </w:rPr>
            </w:pPr>
          </w:p>
        </w:tc>
        <w:tc>
          <w:tcPr>
            <w:tcW w:w="1115" w:type="pct"/>
            <w:tcBorders>
              <w:right w:val="single" w:sz="6" w:space="0" w:color="auto"/>
            </w:tcBorders>
          </w:tcPr>
          <w:p w14:paraId="56FE6DBC"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Muscle for Hg.</w:t>
            </w:r>
          </w:p>
          <w:p w14:paraId="79C4BAA2"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Liver for all other determinands</w:t>
            </w:r>
          </w:p>
        </w:tc>
      </w:tr>
      <w:tr w:rsidR="00FC360C" w:rsidRPr="00F63BAF" w14:paraId="61659164" w14:textId="77777777" w:rsidTr="002F237A">
        <w:tc>
          <w:tcPr>
            <w:tcW w:w="1099" w:type="pct"/>
            <w:tcBorders>
              <w:left w:val="single" w:sz="6" w:space="0" w:color="auto"/>
              <w:right w:val="single" w:sz="6" w:space="0" w:color="auto"/>
            </w:tcBorders>
          </w:tcPr>
          <w:p w14:paraId="1BC1244E" w14:textId="77777777" w:rsidR="00FC360C" w:rsidRPr="00F63BAF" w:rsidRDefault="00FC360C" w:rsidP="002F237A">
            <w:pPr>
              <w:tabs>
                <w:tab w:val="left" w:pos="284"/>
              </w:tabs>
              <w:spacing w:before="20" w:after="20" w:line="240" w:lineRule="auto"/>
              <w:rPr>
                <w:rFonts w:eastAsia="Calibri" w:cs="Arial"/>
                <w:i/>
                <w:sz w:val="17"/>
                <w:szCs w:val="17"/>
                <w:lang w:eastAsia="en-US"/>
              </w:rPr>
            </w:pPr>
            <w:r w:rsidRPr="00F63BAF">
              <w:rPr>
                <w:rFonts w:eastAsia="Calibri" w:cs="Arial"/>
                <w:sz w:val="17"/>
                <w:szCs w:val="17"/>
                <w:lang w:eastAsia="en-US"/>
              </w:rPr>
              <w:t>Whiting</w:t>
            </w:r>
          </w:p>
        </w:tc>
        <w:tc>
          <w:tcPr>
            <w:tcW w:w="557" w:type="pct"/>
            <w:tcBorders>
              <w:left w:val="nil"/>
            </w:tcBorders>
          </w:tcPr>
          <w:p w14:paraId="5B9A8991"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864" w:type="pct"/>
          </w:tcPr>
          <w:p w14:paraId="529C7995"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599" w:type="pct"/>
          </w:tcPr>
          <w:p w14:paraId="57F13746"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766" w:type="pct"/>
          </w:tcPr>
          <w:p w14:paraId="5BE252B8"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115" w:type="pct"/>
            <w:tcBorders>
              <w:right w:val="single" w:sz="6" w:space="0" w:color="auto"/>
            </w:tcBorders>
          </w:tcPr>
          <w:p w14:paraId="148C31F7" w14:textId="77777777" w:rsidR="00FC360C" w:rsidRPr="00F63BAF" w:rsidRDefault="00FC360C" w:rsidP="002F237A">
            <w:pPr>
              <w:tabs>
                <w:tab w:val="left" w:pos="284"/>
              </w:tabs>
              <w:spacing w:before="20" w:after="20" w:line="240" w:lineRule="auto"/>
              <w:rPr>
                <w:rFonts w:eastAsia="Calibri" w:cs="Arial"/>
                <w:sz w:val="17"/>
                <w:szCs w:val="17"/>
                <w:lang w:eastAsia="en-US"/>
              </w:rPr>
            </w:pPr>
          </w:p>
        </w:tc>
      </w:tr>
      <w:tr w:rsidR="00FC360C" w:rsidRPr="00F63BAF" w14:paraId="4D52EE3A" w14:textId="77777777" w:rsidTr="002F237A">
        <w:tc>
          <w:tcPr>
            <w:tcW w:w="1099" w:type="pct"/>
            <w:tcBorders>
              <w:left w:val="single" w:sz="6" w:space="0" w:color="auto"/>
              <w:right w:val="single" w:sz="6" w:space="0" w:color="auto"/>
            </w:tcBorders>
          </w:tcPr>
          <w:p w14:paraId="1087A02B" w14:textId="77777777" w:rsidR="00FC360C" w:rsidRPr="00F63BAF" w:rsidRDefault="00FC360C" w:rsidP="002F237A">
            <w:pPr>
              <w:spacing w:before="20" w:line="240" w:lineRule="auto"/>
              <w:ind w:left="142"/>
              <w:rPr>
                <w:rFonts w:eastAsia="Calibri" w:cs="Arial"/>
                <w:i/>
                <w:sz w:val="17"/>
                <w:szCs w:val="17"/>
                <w:lang w:eastAsia="en-US"/>
              </w:rPr>
            </w:pPr>
            <w:r w:rsidRPr="00F63BAF">
              <w:rPr>
                <w:rFonts w:eastAsia="Calibri" w:cs="Arial"/>
                <w:i/>
                <w:sz w:val="17"/>
                <w:szCs w:val="17"/>
                <w:lang w:eastAsia="en-US"/>
              </w:rPr>
              <w:t>Merlangius merlangus</w:t>
            </w:r>
          </w:p>
          <w:p w14:paraId="3E18483F" w14:textId="77777777" w:rsidR="00FC360C" w:rsidRPr="00F63BAF" w:rsidRDefault="00FC360C" w:rsidP="002F237A">
            <w:pPr>
              <w:spacing w:before="20" w:line="240" w:lineRule="auto"/>
              <w:ind w:left="284"/>
              <w:rPr>
                <w:rFonts w:eastAsia="Calibri" w:cs="Arial"/>
                <w:b/>
                <w:sz w:val="17"/>
                <w:szCs w:val="17"/>
                <w:lang w:eastAsia="en-US"/>
              </w:rPr>
            </w:pPr>
          </w:p>
        </w:tc>
        <w:tc>
          <w:tcPr>
            <w:tcW w:w="557" w:type="pct"/>
            <w:tcBorders>
              <w:left w:val="nil"/>
            </w:tcBorders>
          </w:tcPr>
          <w:p w14:paraId="44985C52"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At least 12</w:t>
            </w:r>
          </w:p>
        </w:tc>
        <w:tc>
          <w:tcPr>
            <w:tcW w:w="864" w:type="pct"/>
          </w:tcPr>
          <w:p w14:paraId="241AA1EA"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Narrow length range</w:t>
            </w:r>
          </w:p>
        </w:tc>
        <w:tc>
          <w:tcPr>
            <w:tcW w:w="599" w:type="pct"/>
          </w:tcPr>
          <w:p w14:paraId="2CC2459B"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2-3 years</w:t>
            </w:r>
          </w:p>
        </w:tc>
        <w:tc>
          <w:tcPr>
            <w:tcW w:w="766" w:type="pct"/>
          </w:tcPr>
          <w:p w14:paraId="33F51C9B"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Single sex, preferably females</w:t>
            </w:r>
          </w:p>
        </w:tc>
        <w:tc>
          <w:tcPr>
            <w:tcW w:w="1115" w:type="pct"/>
            <w:tcBorders>
              <w:right w:val="single" w:sz="6" w:space="0" w:color="auto"/>
            </w:tcBorders>
          </w:tcPr>
          <w:p w14:paraId="5D574338"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Muscle for Hg.</w:t>
            </w:r>
          </w:p>
          <w:p w14:paraId="77BA9E2C"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Liver for all other determinands</w:t>
            </w:r>
          </w:p>
        </w:tc>
      </w:tr>
      <w:tr w:rsidR="00FC360C" w:rsidRPr="00F63BAF" w14:paraId="52908E28" w14:textId="77777777" w:rsidTr="002F237A">
        <w:tc>
          <w:tcPr>
            <w:tcW w:w="1099" w:type="pct"/>
            <w:tcBorders>
              <w:left w:val="single" w:sz="6" w:space="0" w:color="auto"/>
              <w:right w:val="single" w:sz="6" w:space="0" w:color="auto"/>
            </w:tcBorders>
          </w:tcPr>
          <w:p w14:paraId="018A04CF" w14:textId="77777777" w:rsidR="00FC360C" w:rsidRPr="00F63BAF" w:rsidRDefault="00FC360C" w:rsidP="002F237A">
            <w:pPr>
              <w:spacing w:before="20" w:after="20" w:line="240" w:lineRule="auto"/>
              <w:rPr>
                <w:rFonts w:eastAsia="Calibri" w:cs="Arial"/>
                <w:i/>
                <w:sz w:val="17"/>
                <w:szCs w:val="17"/>
                <w:lang w:eastAsia="en-US"/>
              </w:rPr>
            </w:pPr>
            <w:r w:rsidRPr="00F63BAF">
              <w:rPr>
                <w:rFonts w:eastAsia="Calibri" w:cs="Arial"/>
                <w:sz w:val="17"/>
                <w:szCs w:val="17"/>
                <w:lang w:eastAsia="en-US"/>
              </w:rPr>
              <w:t>Hake</w:t>
            </w:r>
          </w:p>
        </w:tc>
        <w:tc>
          <w:tcPr>
            <w:tcW w:w="557" w:type="pct"/>
            <w:tcBorders>
              <w:left w:val="nil"/>
            </w:tcBorders>
          </w:tcPr>
          <w:p w14:paraId="26E73598"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864" w:type="pct"/>
          </w:tcPr>
          <w:p w14:paraId="0EFFCB22"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599" w:type="pct"/>
          </w:tcPr>
          <w:p w14:paraId="06209E33"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766" w:type="pct"/>
          </w:tcPr>
          <w:p w14:paraId="2C61C742"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115" w:type="pct"/>
            <w:tcBorders>
              <w:right w:val="single" w:sz="6" w:space="0" w:color="auto"/>
            </w:tcBorders>
          </w:tcPr>
          <w:p w14:paraId="3E25FE10"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r>
      <w:tr w:rsidR="00FC360C" w:rsidRPr="00F63BAF" w14:paraId="2E7A72F8" w14:textId="77777777" w:rsidTr="002F237A">
        <w:tc>
          <w:tcPr>
            <w:tcW w:w="1099" w:type="pct"/>
            <w:tcBorders>
              <w:left w:val="single" w:sz="6" w:space="0" w:color="auto"/>
              <w:right w:val="single" w:sz="6" w:space="0" w:color="auto"/>
            </w:tcBorders>
          </w:tcPr>
          <w:p w14:paraId="0EAA6AB4" w14:textId="77777777" w:rsidR="00FC360C" w:rsidRPr="00F63BAF" w:rsidRDefault="00FC360C" w:rsidP="002F237A">
            <w:pPr>
              <w:spacing w:before="20" w:line="240" w:lineRule="auto"/>
              <w:ind w:left="142"/>
              <w:rPr>
                <w:rFonts w:eastAsia="Calibri" w:cs="Arial"/>
                <w:i/>
                <w:sz w:val="17"/>
                <w:szCs w:val="17"/>
                <w:lang w:eastAsia="en-US"/>
              </w:rPr>
            </w:pPr>
            <w:r w:rsidRPr="00F63BAF">
              <w:rPr>
                <w:rFonts w:eastAsia="Calibri" w:cs="Arial"/>
                <w:i/>
                <w:sz w:val="17"/>
                <w:szCs w:val="17"/>
                <w:lang w:eastAsia="en-US"/>
              </w:rPr>
              <w:t>Merluccius merluccius</w:t>
            </w:r>
          </w:p>
        </w:tc>
        <w:tc>
          <w:tcPr>
            <w:tcW w:w="557" w:type="pct"/>
            <w:tcBorders>
              <w:left w:val="nil"/>
            </w:tcBorders>
          </w:tcPr>
          <w:p w14:paraId="3ACC2A85"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At least 12</w:t>
            </w:r>
          </w:p>
        </w:tc>
        <w:tc>
          <w:tcPr>
            <w:tcW w:w="864" w:type="pct"/>
          </w:tcPr>
          <w:p w14:paraId="458813D2"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Narrow length range</w:t>
            </w:r>
          </w:p>
        </w:tc>
        <w:tc>
          <w:tcPr>
            <w:tcW w:w="599" w:type="pct"/>
          </w:tcPr>
          <w:p w14:paraId="106D4186"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2-3 years</w:t>
            </w:r>
          </w:p>
        </w:tc>
        <w:tc>
          <w:tcPr>
            <w:tcW w:w="766" w:type="pct"/>
          </w:tcPr>
          <w:p w14:paraId="4A776A2D"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Single sex, preferably females</w:t>
            </w:r>
          </w:p>
        </w:tc>
        <w:tc>
          <w:tcPr>
            <w:tcW w:w="1115" w:type="pct"/>
            <w:tcBorders>
              <w:right w:val="single" w:sz="6" w:space="0" w:color="auto"/>
            </w:tcBorders>
          </w:tcPr>
          <w:p w14:paraId="62311889"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Muscle for Hg.</w:t>
            </w:r>
          </w:p>
          <w:p w14:paraId="108737F5"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Liver for all other determinands</w:t>
            </w:r>
          </w:p>
        </w:tc>
      </w:tr>
      <w:tr w:rsidR="00FC360C" w:rsidRPr="00F63BAF" w14:paraId="26D6CB66" w14:textId="77777777" w:rsidTr="002F237A">
        <w:tc>
          <w:tcPr>
            <w:tcW w:w="1099" w:type="pct"/>
            <w:tcBorders>
              <w:left w:val="single" w:sz="6" w:space="0" w:color="auto"/>
              <w:right w:val="single" w:sz="6" w:space="0" w:color="auto"/>
            </w:tcBorders>
          </w:tcPr>
          <w:p w14:paraId="2A995A14" w14:textId="77777777" w:rsidR="00FC360C" w:rsidRPr="00F63BAF" w:rsidRDefault="00FC360C" w:rsidP="002F237A">
            <w:pPr>
              <w:spacing w:before="20" w:after="20" w:line="240" w:lineRule="auto"/>
              <w:rPr>
                <w:rFonts w:eastAsia="Calibri" w:cs="Arial"/>
                <w:i/>
                <w:sz w:val="17"/>
                <w:szCs w:val="17"/>
                <w:lang w:eastAsia="en-US"/>
              </w:rPr>
            </w:pPr>
            <w:r w:rsidRPr="00F63BAF">
              <w:rPr>
                <w:rFonts w:eastAsia="Calibri" w:cs="Arial"/>
                <w:sz w:val="17"/>
                <w:szCs w:val="17"/>
                <w:lang w:eastAsia="en-US"/>
              </w:rPr>
              <w:t>Herring</w:t>
            </w:r>
          </w:p>
        </w:tc>
        <w:tc>
          <w:tcPr>
            <w:tcW w:w="557" w:type="pct"/>
            <w:tcBorders>
              <w:left w:val="nil"/>
            </w:tcBorders>
          </w:tcPr>
          <w:p w14:paraId="58217DC4"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864" w:type="pct"/>
          </w:tcPr>
          <w:p w14:paraId="17E2B381"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599" w:type="pct"/>
          </w:tcPr>
          <w:p w14:paraId="6F0D1388"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766" w:type="pct"/>
          </w:tcPr>
          <w:p w14:paraId="63B34709"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115" w:type="pct"/>
            <w:tcBorders>
              <w:right w:val="single" w:sz="6" w:space="0" w:color="auto"/>
            </w:tcBorders>
          </w:tcPr>
          <w:p w14:paraId="6FB8FD35" w14:textId="77777777" w:rsidR="00FC360C" w:rsidRPr="00F63BAF" w:rsidRDefault="00FC360C" w:rsidP="002F237A">
            <w:pPr>
              <w:tabs>
                <w:tab w:val="left" w:pos="284"/>
              </w:tabs>
              <w:spacing w:before="20" w:after="20" w:line="240" w:lineRule="auto"/>
              <w:rPr>
                <w:rFonts w:eastAsia="Calibri" w:cs="Arial"/>
                <w:sz w:val="17"/>
                <w:szCs w:val="17"/>
                <w:lang w:eastAsia="en-US"/>
              </w:rPr>
            </w:pPr>
          </w:p>
        </w:tc>
      </w:tr>
      <w:tr w:rsidR="00FC360C" w:rsidRPr="00F63BAF" w14:paraId="3658DAE0" w14:textId="77777777" w:rsidTr="002F237A">
        <w:tc>
          <w:tcPr>
            <w:tcW w:w="1099" w:type="pct"/>
            <w:tcBorders>
              <w:left w:val="single" w:sz="6" w:space="0" w:color="auto"/>
              <w:right w:val="single" w:sz="6" w:space="0" w:color="auto"/>
            </w:tcBorders>
          </w:tcPr>
          <w:p w14:paraId="1945C653" w14:textId="77777777" w:rsidR="00FC360C" w:rsidRPr="00F63BAF" w:rsidRDefault="00FC360C" w:rsidP="002F237A">
            <w:pPr>
              <w:spacing w:before="20" w:line="240" w:lineRule="auto"/>
              <w:ind w:left="142"/>
              <w:rPr>
                <w:rFonts w:eastAsia="Calibri" w:cs="Arial"/>
                <w:i/>
                <w:sz w:val="17"/>
                <w:szCs w:val="17"/>
                <w:lang w:eastAsia="en-US"/>
              </w:rPr>
            </w:pPr>
            <w:r w:rsidRPr="00F63BAF">
              <w:rPr>
                <w:rFonts w:eastAsia="Calibri" w:cs="Arial"/>
                <w:i/>
                <w:sz w:val="17"/>
                <w:szCs w:val="17"/>
                <w:lang w:eastAsia="en-US"/>
              </w:rPr>
              <w:t>Clupea harengus</w:t>
            </w:r>
          </w:p>
        </w:tc>
        <w:tc>
          <w:tcPr>
            <w:tcW w:w="557" w:type="pct"/>
            <w:tcBorders>
              <w:left w:val="nil"/>
            </w:tcBorders>
          </w:tcPr>
          <w:p w14:paraId="24D60F75"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At least 12</w:t>
            </w:r>
          </w:p>
        </w:tc>
        <w:tc>
          <w:tcPr>
            <w:tcW w:w="864" w:type="pct"/>
          </w:tcPr>
          <w:p w14:paraId="431BC2E9"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Narrow length range</w:t>
            </w:r>
          </w:p>
        </w:tc>
        <w:tc>
          <w:tcPr>
            <w:tcW w:w="599" w:type="pct"/>
          </w:tcPr>
          <w:p w14:paraId="1B114275"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1-2 years</w:t>
            </w:r>
          </w:p>
        </w:tc>
        <w:tc>
          <w:tcPr>
            <w:tcW w:w="766" w:type="pct"/>
          </w:tcPr>
          <w:p w14:paraId="002F45DE" w14:textId="77777777" w:rsidR="00FC360C" w:rsidRPr="00F63BAF" w:rsidRDefault="00FC360C" w:rsidP="002F237A">
            <w:pPr>
              <w:tabs>
                <w:tab w:val="left" w:pos="284"/>
              </w:tabs>
              <w:spacing w:before="20" w:line="240" w:lineRule="auto"/>
              <w:jc w:val="center"/>
              <w:rPr>
                <w:rFonts w:eastAsia="Calibri" w:cs="Arial"/>
                <w:sz w:val="17"/>
                <w:szCs w:val="17"/>
                <w:lang w:eastAsia="en-US"/>
              </w:rPr>
            </w:pPr>
          </w:p>
        </w:tc>
        <w:tc>
          <w:tcPr>
            <w:tcW w:w="1115" w:type="pct"/>
            <w:tcBorders>
              <w:right w:val="single" w:sz="6" w:space="0" w:color="auto"/>
            </w:tcBorders>
          </w:tcPr>
          <w:p w14:paraId="30981471"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 xml:space="preserve">Muscle for organic contaminants and Hg. </w:t>
            </w:r>
          </w:p>
          <w:p w14:paraId="5554EEC5"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Liver for other trace metals.</w:t>
            </w:r>
          </w:p>
        </w:tc>
      </w:tr>
      <w:tr w:rsidR="00FC360C" w:rsidRPr="00F63BAF" w14:paraId="7FFF8E9E" w14:textId="77777777" w:rsidTr="002F237A">
        <w:trPr>
          <w:cantSplit/>
        </w:trPr>
        <w:tc>
          <w:tcPr>
            <w:tcW w:w="1099" w:type="pct"/>
            <w:tcBorders>
              <w:left w:val="single" w:sz="6" w:space="0" w:color="auto"/>
              <w:right w:val="single" w:sz="6" w:space="0" w:color="auto"/>
            </w:tcBorders>
          </w:tcPr>
          <w:p w14:paraId="09D19F04" w14:textId="77777777" w:rsidR="00FC360C" w:rsidRPr="00F63BAF" w:rsidRDefault="00FC360C" w:rsidP="002F237A">
            <w:pPr>
              <w:spacing w:before="20" w:after="20" w:line="240" w:lineRule="auto"/>
              <w:rPr>
                <w:rFonts w:eastAsia="Calibri" w:cs="Arial"/>
                <w:i/>
                <w:sz w:val="17"/>
                <w:szCs w:val="17"/>
                <w:lang w:eastAsia="en-US"/>
              </w:rPr>
            </w:pPr>
            <w:r w:rsidRPr="00F63BAF">
              <w:rPr>
                <w:rFonts w:eastAsia="Calibri" w:cs="Arial"/>
                <w:sz w:val="17"/>
                <w:szCs w:val="17"/>
                <w:lang w:eastAsia="en-US"/>
              </w:rPr>
              <w:t>Eel pout</w:t>
            </w:r>
          </w:p>
        </w:tc>
        <w:tc>
          <w:tcPr>
            <w:tcW w:w="557" w:type="pct"/>
            <w:tcBorders>
              <w:left w:val="nil"/>
            </w:tcBorders>
          </w:tcPr>
          <w:p w14:paraId="49CE158C"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864" w:type="pct"/>
          </w:tcPr>
          <w:p w14:paraId="021D8570"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599" w:type="pct"/>
          </w:tcPr>
          <w:p w14:paraId="4194CA8A"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766" w:type="pct"/>
          </w:tcPr>
          <w:p w14:paraId="042AFA76"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115" w:type="pct"/>
            <w:tcBorders>
              <w:right w:val="single" w:sz="6" w:space="0" w:color="auto"/>
            </w:tcBorders>
          </w:tcPr>
          <w:p w14:paraId="7FD741AD" w14:textId="77777777" w:rsidR="00FC360C" w:rsidRPr="00F63BAF" w:rsidRDefault="00FC360C" w:rsidP="002F237A">
            <w:pPr>
              <w:tabs>
                <w:tab w:val="left" w:pos="284"/>
              </w:tabs>
              <w:spacing w:before="20" w:after="20" w:line="240" w:lineRule="auto"/>
              <w:rPr>
                <w:rFonts w:eastAsia="Calibri" w:cs="Arial"/>
                <w:sz w:val="17"/>
                <w:szCs w:val="17"/>
                <w:lang w:eastAsia="en-US"/>
              </w:rPr>
            </w:pPr>
          </w:p>
        </w:tc>
      </w:tr>
      <w:tr w:rsidR="00FC360C" w:rsidRPr="00F63BAF" w14:paraId="64FAF04A" w14:textId="77777777" w:rsidTr="002F237A">
        <w:tblPrEx>
          <w:tblCellMar>
            <w:left w:w="107" w:type="dxa"/>
            <w:right w:w="107" w:type="dxa"/>
          </w:tblCellMar>
        </w:tblPrEx>
        <w:trPr>
          <w:cantSplit/>
        </w:trPr>
        <w:tc>
          <w:tcPr>
            <w:tcW w:w="1099" w:type="pct"/>
            <w:tcBorders>
              <w:left w:val="single" w:sz="6" w:space="0" w:color="auto"/>
              <w:right w:val="single" w:sz="6" w:space="0" w:color="auto"/>
            </w:tcBorders>
          </w:tcPr>
          <w:p w14:paraId="0A0F3E82" w14:textId="77777777" w:rsidR="00FC360C" w:rsidRPr="00F63BAF" w:rsidRDefault="00FC360C" w:rsidP="002F237A">
            <w:pPr>
              <w:spacing w:before="20" w:after="20" w:line="240" w:lineRule="auto"/>
              <w:ind w:left="142"/>
              <w:rPr>
                <w:rFonts w:eastAsia="Calibri" w:cs="Arial"/>
                <w:i/>
                <w:sz w:val="17"/>
                <w:szCs w:val="17"/>
                <w:lang w:eastAsia="en-US"/>
              </w:rPr>
            </w:pPr>
            <w:r w:rsidRPr="00F63BAF">
              <w:rPr>
                <w:rFonts w:eastAsia="Calibri" w:cs="Arial"/>
                <w:i/>
                <w:sz w:val="17"/>
                <w:szCs w:val="17"/>
                <w:lang w:eastAsia="en-US"/>
              </w:rPr>
              <w:t>Zoarces viviparus</w:t>
            </w:r>
          </w:p>
        </w:tc>
        <w:tc>
          <w:tcPr>
            <w:tcW w:w="557" w:type="pct"/>
            <w:tcBorders>
              <w:left w:val="nil"/>
            </w:tcBorders>
          </w:tcPr>
          <w:p w14:paraId="05DDC57D"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At least 12</w:t>
            </w:r>
          </w:p>
        </w:tc>
        <w:tc>
          <w:tcPr>
            <w:tcW w:w="864" w:type="pct"/>
          </w:tcPr>
          <w:p w14:paraId="27EE1218"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Narrow length range</w:t>
            </w:r>
          </w:p>
        </w:tc>
        <w:tc>
          <w:tcPr>
            <w:tcW w:w="599" w:type="pct"/>
          </w:tcPr>
          <w:p w14:paraId="7338F9B5"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2-3 years</w:t>
            </w:r>
          </w:p>
        </w:tc>
        <w:tc>
          <w:tcPr>
            <w:tcW w:w="766" w:type="pct"/>
          </w:tcPr>
          <w:p w14:paraId="6BD09088"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Single sex, preferably females</w:t>
            </w:r>
          </w:p>
        </w:tc>
        <w:tc>
          <w:tcPr>
            <w:tcW w:w="1115" w:type="pct"/>
            <w:tcBorders>
              <w:right w:val="single" w:sz="6" w:space="0" w:color="auto"/>
            </w:tcBorders>
          </w:tcPr>
          <w:p w14:paraId="3B45B44E"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Muscle for Hg.</w:t>
            </w:r>
          </w:p>
          <w:p w14:paraId="7C22FAC2"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Liver for all other determinands</w:t>
            </w:r>
          </w:p>
        </w:tc>
      </w:tr>
      <w:tr w:rsidR="00FC360C" w:rsidRPr="00F63BAF" w14:paraId="2CBDD512" w14:textId="77777777" w:rsidTr="002F237A">
        <w:tblPrEx>
          <w:tblCellMar>
            <w:left w:w="107" w:type="dxa"/>
            <w:right w:w="107" w:type="dxa"/>
          </w:tblCellMar>
        </w:tblPrEx>
        <w:tc>
          <w:tcPr>
            <w:tcW w:w="1099" w:type="pct"/>
            <w:tcBorders>
              <w:top w:val="single" w:sz="6" w:space="0" w:color="auto"/>
              <w:left w:val="single" w:sz="6" w:space="0" w:color="auto"/>
              <w:right w:val="single" w:sz="6" w:space="0" w:color="auto"/>
            </w:tcBorders>
          </w:tcPr>
          <w:p w14:paraId="09E144FE" w14:textId="77777777" w:rsidR="00FC360C" w:rsidRPr="00F63BAF" w:rsidRDefault="00FC360C" w:rsidP="002F237A">
            <w:pPr>
              <w:spacing w:before="20" w:after="20" w:line="240" w:lineRule="auto"/>
              <w:rPr>
                <w:rFonts w:eastAsia="Calibri" w:cs="Arial"/>
                <w:lang w:eastAsia="en-US"/>
              </w:rPr>
            </w:pPr>
            <w:r w:rsidRPr="00F63BAF">
              <w:rPr>
                <w:rFonts w:eastAsia="Calibri" w:cs="Arial"/>
                <w:b/>
                <w:lang w:eastAsia="en-US"/>
              </w:rPr>
              <w:t>Seabird eggs</w:t>
            </w:r>
          </w:p>
        </w:tc>
        <w:tc>
          <w:tcPr>
            <w:tcW w:w="557" w:type="pct"/>
            <w:tcBorders>
              <w:top w:val="single" w:sz="6" w:space="0" w:color="auto"/>
              <w:left w:val="nil"/>
            </w:tcBorders>
          </w:tcPr>
          <w:p w14:paraId="22206C4A" w14:textId="77777777" w:rsidR="00FC360C" w:rsidRPr="00F63BAF" w:rsidRDefault="00FC360C" w:rsidP="002F237A">
            <w:pPr>
              <w:tabs>
                <w:tab w:val="left" w:pos="284"/>
              </w:tabs>
              <w:spacing w:before="20" w:after="20" w:line="240" w:lineRule="auto"/>
              <w:jc w:val="center"/>
              <w:rPr>
                <w:rFonts w:eastAsia="Calibri" w:cs="Arial"/>
                <w:lang w:eastAsia="en-US"/>
              </w:rPr>
            </w:pPr>
          </w:p>
        </w:tc>
        <w:tc>
          <w:tcPr>
            <w:tcW w:w="864" w:type="pct"/>
            <w:tcBorders>
              <w:top w:val="single" w:sz="6" w:space="0" w:color="auto"/>
            </w:tcBorders>
          </w:tcPr>
          <w:p w14:paraId="50E70635" w14:textId="77777777" w:rsidR="00FC360C" w:rsidRPr="00F63BAF" w:rsidRDefault="00FC360C" w:rsidP="002F237A">
            <w:pPr>
              <w:tabs>
                <w:tab w:val="left" w:pos="284"/>
              </w:tabs>
              <w:spacing w:before="20" w:after="20" w:line="240" w:lineRule="auto"/>
              <w:jc w:val="center"/>
              <w:rPr>
                <w:rFonts w:eastAsia="Calibri" w:cs="Arial"/>
                <w:lang w:eastAsia="en-US"/>
              </w:rPr>
            </w:pPr>
          </w:p>
        </w:tc>
        <w:tc>
          <w:tcPr>
            <w:tcW w:w="599" w:type="pct"/>
            <w:tcBorders>
              <w:top w:val="single" w:sz="6" w:space="0" w:color="auto"/>
            </w:tcBorders>
          </w:tcPr>
          <w:p w14:paraId="49E6095A" w14:textId="77777777" w:rsidR="00FC360C" w:rsidRPr="00F63BAF" w:rsidRDefault="00FC360C" w:rsidP="002F237A">
            <w:pPr>
              <w:tabs>
                <w:tab w:val="left" w:pos="284"/>
              </w:tabs>
              <w:spacing w:before="20" w:after="20" w:line="240" w:lineRule="auto"/>
              <w:rPr>
                <w:rFonts w:eastAsia="Calibri" w:cs="Arial"/>
                <w:lang w:eastAsia="en-US"/>
              </w:rPr>
            </w:pPr>
          </w:p>
        </w:tc>
        <w:tc>
          <w:tcPr>
            <w:tcW w:w="766" w:type="pct"/>
            <w:tcBorders>
              <w:top w:val="single" w:sz="6" w:space="0" w:color="auto"/>
            </w:tcBorders>
          </w:tcPr>
          <w:p w14:paraId="1901A354" w14:textId="77777777" w:rsidR="00FC360C" w:rsidRPr="00F63BAF" w:rsidRDefault="00FC360C" w:rsidP="002F237A">
            <w:pPr>
              <w:tabs>
                <w:tab w:val="left" w:pos="284"/>
              </w:tabs>
              <w:spacing w:before="20" w:after="20" w:line="240" w:lineRule="auto"/>
              <w:jc w:val="center"/>
              <w:rPr>
                <w:rFonts w:eastAsia="Calibri" w:cs="Arial"/>
                <w:lang w:eastAsia="en-US"/>
              </w:rPr>
            </w:pPr>
          </w:p>
        </w:tc>
        <w:tc>
          <w:tcPr>
            <w:tcW w:w="1115" w:type="pct"/>
            <w:tcBorders>
              <w:top w:val="single" w:sz="6" w:space="0" w:color="auto"/>
              <w:right w:val="single" w:sz="6" w:space="0" w:color="auto"/>
            </w:tcBorders>
          </w:tcPr>
          <w:p w14:paraId="6EE39AFD" w14:textId="77777777" w:rsidR="00FC360C" w:rsidRPr="00F63BAF" w:rsidRDefault="00FC360C" w:rsidP="002F237A">
            <w:pPr>
              <w:tabs>
                <w:tab w:val="left" w:pos="284"/>
              </w:tabs>
              <w:spacing w:before="20" w:after="20" w:line="240" w:lineRule="auto"/>
              <w:rPr>
                <w:rFonts w:eastAsia="Calibri" w:cs="Arial"/>
                <w:lang w:eastAsia="en-US"/>
              </w:rPr>
            </w:pPr>
          </w:p>
        </w:tc>
      </w:tr>
      <w:tr w:rsidR="00FC360C" w:rsidRPr="00F63BAF" w14:paraId="4E98A2B2" w14:textId="77777777" w:rsidTr="002F237A">
        <w:tblPrEx>
          <w:tblCellMar>
            <w:left w:w="107" w:type="dxa"/>
            <w:right w:w="107" w:type="dxa"/>
          </w:tblCellMar>
        </w:tblPrEx>
        <w:tc>
          <w:tcPr>
            <w:tcW w:w="1099" w:type="pct"/>
            <w:tcBorders>
              <w:left w:val="single" w:sz="6" w:space="0" w:color="auto"/>
              <w:right w:val="single" w:sz="6" w:space="0" w:color="auto"/>
            </w:tcBorders>
          </w:tcPr>
          <w:p w14:paraId="09A3E271" w14:textId="77777777" w:rsidR="00FC360C" w:rsidRPr="00F63BAF" w:rsidRDefault="00FC360C" w:rsidP="002F237A">
            <w:pPr>
              <w:spacing w:before="20" w:line="240" w:lineRule="auto"/>
              <w:rPr>
                <w:rFonts w:eastAsia="Calibri" w:cs="Arial"/>
                <w:sz w:val="17"/>
                <w:szCs w:val="17"/>
                <w:lang w:eastAsia="en-US"/>
              </w:rPr>
            </w:pPr>
            <w:r w:rsidRPr="00F63BAF">
              <w:rPr>
                <w:rFonts w:eastAsia="Calibri" w:cs="Arial"/>
                <w:sz w:val="17"/>
                <w:szCs w:val="17"/>
                <w:lang w:eastAsia="en-US"/>
              </w:rPr>
              <w:t>Common tern</w:t>
            </w:r>
          </w:p>
          <w:p w14:paraId="6F32C6CA" w14:textId="77777777" w:rsidR="00FC360C" w:rsidRPr="00F63BAF" w:rsidRDefault="00FC360C" w:rsidP="002F237A">
            <w:pPr>
              <w:spacing w:before="20" w:line="240" w:lineRule="auto"/>
              <w:ind w:left="142"/>
              <w:rPr>
                <w:rFonts w:eastAsia="Calibri" w:cs="Arial"/>
                <w:sz w:val="17"/>
                <w:szCs w:val="17"/>
                <w:lang w:eastAsia="en-US"/>
              </w:rPr>
            </w:pPr>
            <w:r w:rsidRPr="00F63BAF">
              <w:rPr>
                <w:rFonts w:eastAsia="Calibri" w:cs="Arial"/>
                <w:i/>
                <w:sz w:val="17"/>
                <w:szCs w:val="17"/>
                <w:lang w:eastAsia="en-US"/>
              </w:rPr>
              <w:t>Sterna hirunda</w:t>
            </w:r>
          </w:p>
        </w:tc>
        <w:tc>
          <w:tcPr>
            <w:tcW w:w="557" w:type="pct"/>
            <w:tcBorders>
              <w:left w:val="nil"/>
            </w:tcBorders>
          </w:tcPr>
          <w:p w14:paraId="0A012700" w14:textId="77777777" w:rsidR="00FC360C" w:rsidRPr="00F63BAF" w:rsidRDefault="00FC360C" w:rsidP="002F237A">
            <w:pPr>
              <w:tabs>
                <w:tab w:val="left" w:pos="284"/>
              </w:tabs>
              <w:spacing w:before="20" w:line="240" w:lineRule="auto"/>
              <w:jc w:val="center"/>
              <w:rPr>
                <w:rFonts w:eastAsia="Calibri" w:cs="Arial"/>
                <w:sz w:val="17"/>
                <w:szCs w:val="17"/>
                <w:lang w:eastAsia="en-US"/>
              </w:rPr>
            </w:pPr>
          </w:p>
          <w:p w14:paraId="6941E8F7" w14:textId="77777777" w:rsidR="00FC360C" w:rsidRPr="00F63BAF" w:rsidRDefault="00FC360C" w:rsidP="002F237A">
            <w:pPr>
              <w:spacing w:before="20" w:line="240" w:lineRule="auto"/>
              <w:jc w:val="center"/>
              <w:rPr>
                <w:rFonts w:eastAsia="Calibri" w:cs="Arial"/>
                <w:sz w:val="17"/>
                <w:szCs w:val="17"/>
                <w:lang w:eastAsia="en-US"/>
              </w:rPr>
            </w:pPr>
            <w:r w:rsidRPr="00F63BAF">
              <w:rPr>
                <w:rFonts w:eastAsia="Calibri" w:cs="Arial"/>
                <w:sz w:val="17"/>
                <w:szCs w:val="17"/>
                <w:lang w:eastAsia="en-US"/>
              </w:rPr>
              <w:t xml:space="preserve">10 </w:t>
            </w:r>
            <w:r w:rsidRPr="00F63BAF">
              <w:rPr>
                <w:rFonts w:eastAsia="Calibri" w:cs="Arial"/>
                <w:sz w:val="17"/>
                <w:szCs w:val="17"/>
                <w:vertAlign w:val="superscript"/>
                <w:lang w:eastAsia="en-US"/>
              </w:rPr>
              <w:t>footnote</w:t>
            </w:r>
            <w:r w:rsidRPr="00F63BAF">
              <w:rPr>
                <w:rFonts w:eastAsia="Calibri" w:cs="Arial"/>
                <w:sz w:val="17"/>
                <w:szCs w:val="17"/>
                <w:lang w:eastAsia="en-US"/>
              </w:rPr>
              <w:t xml:space="preserve"> </w:t>
            </w:r>
            <w:r w:rsidRPr="00F63BAF">
              <w:rPr>
                <w:rFonts w:eastAsia="Calibri" w:cs="Arial"/>
                <w:sz w:val="17"/>
                <w:szCs w:val="17"/>
                <w:vertAlign w:val="superscript"/>
                <w:lang w:eastAsia="en-US"/>
              </w:rPr>
              <w:footnoteReference w:id="4"/>
            </w:r>
          </w:p>
        </w:tc>
        <w:tc>
          <w:tcPr>
            <w:tcW w:w="864" w:type="pct"/>
          </w:tcPr>
          <w:p w14:paraId="20932DE4" w14:textId="77777777" w:rsidR="00FC360C" w:rsidRPr="00F63BAF" w:rsidRDefault="00FC360C" w:rsidP="002F237A">
            <w:pPr>
              <w:tabs>
                <w:tab w:val="left" w:pos="284"/>
              </w:tabs>
              <w:spacing w:before="20" w:line="240" w:lineRule="auto"/>
              <w:jc w:val="center"/>
              <w:rPr>
                <w:rFonts w:eastAsia="Calibri" w:cs="Arial"/>
                <w:sz w:val="17"/>
                <w:szCs w:val="17"/>
                <w:lang w:eastAsia="en-US"/>
              </w:rPr>
            </w:pPr>
          </w:p>
          <w:p w14:paraId="4954355B"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w:t>
            </w:r>
          </w:p>
        </w:tc>
        <w:tc>
          <w:tcPr>
            <w:tcW w:w="599" w:type="pct"/>
          </w:tcPr>
          <w:p w14:paraId="3E8FC05F" w14:textId="77777777" w:rsidR="00FC360C" w:rsidRPr="00F63BAF" w:rsidRDefault="00FC360C" w:rsidP="002F237A">
            <w:pPr>
              <w:tabs>
                <w:tab w:val="left" w:pos="284"/>
              </w:tabs>
              <w:spacing w:before="20" w:line="240" w:lineRule="auto"/>
              <w:jc w:val="center"/>
              <w:rPr>
                <w:rFonts w:eastAsia="Calibri" w:cs="Arial"/>
                <w:sz w:val="17"/>
                <w:szCs w:val="17"/>
                <w:lang w:eastAsia="en-US"/>
              </w:rPr>
            </w:pPr>
          </w:p>
          <w:p w14:paraId="2BD3CDF6"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1-5 days incubation</w:t>
            </w:r>
          </w:p>
        </w:tc>
        <w:tc>
          <w:tcPr>
            <w:tcW w:w="766" w:type="pct"/>
          </w:tcPr>
          <w:p w14:paraId="77911AD9" w14:textId="77777777" w:rsidR="00FC360C" w:rsidRPr="00F63BAF" w:rsidRDefault="00FC360C" w:rsidP="002F237A">
            <w:pPr>
              <w:tabs>
                <w:tab w:val="left" w:pos="284"/>
              </w:tabs>
              <w:spacing w:before="20" w:line="240" w:lineRule="auto"/>
              <w:jc w:val="center"/>
              <w:rPr>
                <w:rFonts w:eastAsia="Calibri" w:cs="Arial"/>
                <w:sz w:val="17"/>
                <w:szCs w:val="17"/>
                <w:lang w:eastAsia="en-US"/>
              </w:rPr>
            </w:pPr>
          </w:p>
          <w:p w14:paraId="14BFF7C9"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w:t>
            </w:r>
          </w:p>
        </w:tc>
        <w:tc>
          <w:tcPr>
            <w:tcW w:w="1115" w:type="pct"/>
            <w:tcBorders>
              <w:right w:val="single" w:sz="6" w:space="0" w:color="auto"/>
            </w:tcBorders>
          </w:tcPr>
          <w:p w14:paraId="2391A4BA" w14:textId="77777777" w:rsidR="00FC360C" w:rsidRPr="00F63BAF" w:rsidRDefault="00FC360C" w:rsidP="002F237A">
            <w:pPr>
              <w:tabs>
                <w:tab w:val="left" w:pos="284"/>
              </w:tabs>
              <w:spacing w:before="20" w:line="240" w:lineRule="auto"/>
              <w:jc w:val="center"/>
              <w:rPr>
                <w:rFonts w:eastAsia="Calibri" w:cs="Arial"/>
                <w:sz w:val="17"/>
                <w:szCs w:val="17"/>
                <w:lang w:eastAsia="en-US"/>
              </w:rPr>
            </w:pPr>
          </w:p>
          <w:p w14:paraId="25692AB8"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Whole egg content</w:t>
            </w:r>
          </w:p>
        </w:tc>
      </w:tr>
      <w:tr w:rsidR="00FC360C" w:rsidRPr="00F63BAF" w14:paraId="6BF4B9EA" w14:textId="77777777" w:rsidTr="002F237A">
        <w:tblPrEx>
          <w:tblCellMar>
            <w:left w:w="107" w:type="dxa"/>
            <w:right w:w="107" w:type="dxa"/>
          </w:tblCellMar>
        </w:tblPrEx>
        <w:tc>
          <w:tcPr>
            <w:tcW w:w="1099" w:type="pct"/>
            <w:tcBorders>
              <w:left w:val="single" w:sz="6" w:space="0" w:color="auto"/>
              <w:right w:val="single" w:sz="6" w:space="0" w:color="auto"/>
            </w:tcBorders>
          </w:tcPr>
          <w:p w14:paraId="50A655F0" w14:textId="77777777" w:rsidR="00FC360C" w:rsidRPr="00F63BAF" w:rsidRDefault="00FC360C" w:rsidP="002F237A">
            <w:pPr>
              <w:spacing w:before="20" w:line="240" w:lineRule="auto"/>
              <w:rPr>
                <w:rFonts w:eastAsia="Calibri" w:cs="Arial"/>
                <w:sz w:val="17"/>
                <w:szCs w:val="17"/>
                <w:lang w:eastAsia="en-US"/>
              </w:rPr>
            </w:pPr>
            <w:r w:rsidRPr="00F63BAF">
              <w:rPr>
                <w:rFonts w:eastAsia="Calibri" w:cs="Arial"/>
                <w:sz w:val="17"/>
                <w:szCs w:val="17"/>
                <w:lang w:eastAsia="en-US"/>
              </w:rPr>
              <w:t>Oyster catcher</w:t>
            </w:r>
          </w:p>
          <w:p w14:paraId="183BB8C6" w14:textId="77777777" w:rsidR="00FC360C" w:rsidRPr="00F63BAF" w:rsidRDefault="00FC360C" w:rsidP="002F237A">
            <w:pPr>
              <w:spacing w:before="20" w:line="240" w:lineRule="auto"/>
              <w:ind w:left="142"/>
              <w:rPr>
                <w:rFonts w:eastAsia="Calibri" w:cs="Arial"/>
                <w:sz w:val="17"/>
                <w:szCs w:val="17"/>
                <w:lang w:eastAsia="en-US"/>
              </w:rPr>
            </w:pPr>
            <w:r w:rsidRPr="00F63BAF">
              <w:rPr>
                <w:rFonts w:eastAsia="Calibri" w:cs="Arial"/>
                <w:i/>
                <w:sz w:val="17"/>
                <w:szCs w:val="17"/>
                <w:lang w:eastAsia="en-US"/>
              </w:rPr>
              <w:t>Haematopus ostralegus</w:t>
            </w:r>
          </w:p>
        </w:tc>
        <w:tc>
          <w:tcPr>
            <w:tcW w:w="557" w:type="pct"/>
            <w:tcBorders>
              <w:left w:val="nil"/>
            </w:tcBorders>
          </w:tcPr>
          <w:p w14:paraId="462C3C93" w14:textId="77777777" w:rsidR="00FC360C" w:rsidRPr="00F63BAF" w:rsidRDefault="00FC360C" w:rsidP="002F237A">
            <w:pPr>
              <w:spacing w:before="20" w:line="240" w:lineRule="auto"/>
              <w:jc w:val="center"/>
              <w:rPr>
                <w:rFonts w:eastAsia="Calibri" w:cs="Arial"/>
                <w:sz w:val="17"/>
                <w:szCs w:val="17"/>
                <w:lang w:eastAsia="en-US"/>
              </w:rPr>
            </w:pPr>
          </w:p>
          <w:p w14:paraId="2A1CB988" w14:textId="77777777" w:rsidR="00FC360C" w:rsidRPr="00F63BAF" w:rsidRDefault="00FC360C" w:rsidP="002F237A">
            <w:pPr>
              <w:spacing w:before="20" w:line="240" w:lineRule="auto"/>
              <w:jc w:val="center"/>
              <w:rPr>
                <w:rFonts w:eastAsia="Calibri" w:cs="Arial"/>
                <w:sz w:val="17"/>
                <w:szCs w:val="17"/>
                <w:lang w:eastAsia="en-US"/>
              </w:rPr>
            </w:pPr>
            <w:r w:rsidRPr="00F63BAF">
              <w:rPr>
                <w:rFonts w:eastAsia="Calibri" w:cs="Arial"/>
                <w:sz w:val="17"/>
                <w:szCs w:val="17"/>
                <w:lang w:eastAsia="en-US"/>
              </w:rPr>
              <w:t>1</w:t>
            </w:r>
            <w:bookmarkStart w:id="43" w:name="_Ref309286389"/>
            <w:r w:rsidRPr="00F63BAF">
              <w:rPr>
                <w:rFonts w:eastAsia="Calibri" w:cs="Arial"/>
                <w:sz w:val="17"/>
                <w:szCs w:val="17"/>
                <w:lang w:eastAsia="en-US"/>
              </w:rPr>
              <w:t>0</w:t>
            </w:r>
            <w:r w:rsidRPr="00F63BAF">
              <w:rPr>
                <w:rFonts w:eastAsia="Calibri" w:cs="Arial"/>
                <w:sz w:val="17"/>
                <w:szCs w:val="17"/>
                <w:vertAlign w:val="superscript"/>
                <w:lang w:eastAsia="en-US"/>
              </w:rPr>
              <w:t xml:space="preserve"> footnote </w:t>
            </w:r>
            <w:r w:rsidRPr="00F63BAF">
              <w:rPr>
                <w:rFonts w:eastAsia="Calibri" w:cs="Arial"/>
                <w:sz w:val="17"/>
                <w:szCs w:val="17"/>
                <w:vertAlign w:val="superscript"/>
                <w:lang w:eastAsia="en-US"/>
              </w:rPr>
              <w:footnoteReference w:id="5"/>
            </w:r>
            <w:bookmarkEnd w:id="43"/>
            <w:r w:rsidRPr="00F63BAF">
              <w:rPr>
                <w:rFonts w:eastAsia="Calibri" w:cs="Arial"/>
                <w:sz w:val="17"/>
                <w:szCs w:val="17"/>
                <w:vertAlign w:val="superscript"/>
                <w:lang w:eastAsia="en-US"/>
              </w:rPr>
              <w:t xml:space="preserve"> </w:t>
            </w:r>
          </w:p>
        </w:tc>
        <w:tc>
          <w:tcPr>
            <w:tcW w:w="864" w:type="pct"/>
          </w:tcPr>
          <w:p w14:paraId="2B065FFD" w14:textId="77777777" w:rsidR="00FC360C" w:rsidRPr="00F63BAF" w:rsidRDefault="00FC360C" w:rsidP="002F237A">
            <w:pPr>
              <w:tabs>
                <w:tab w:val="left" w:pos="284"/>
              </w:tabs>
              <w:spacing w:before="20" w:line="240" w:lineRule="auto"/>
              <w:jc w:val="center"/>
              <w:rPr>
                <w:rFonts w:eastAsia="Calibri" w:cs="Arial"/>
                <w:sz w:val="17"/>
                <w:szCs w:val="17"/>
                <w:lang w:eastAsia="en-US"/>
              </w:rPr>
            </w:pPr>
          </w:p>
          <w:p w14:paraId="2E9D2EA0"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w:t>
            </w:r>
          </w:p>
        </w:tc>
        <w:tc>
          <w:tcPr>
            <w:tcW w:w="599" w:type="pct"/>
          </w:tcPr>
          <w:p w14:paraId="5F126F10" w14:textId="77777777" w:rsidR="00FC360C" w:rsidRPr="00F63BAF" w:rsidRDefault="00FC360C" w:rsidP="002F237A">
            <w:pPr>
              <w:tabs>
                <w:tab w:val="left" w:pos="284"/>
              </w:tabs>
              <w:spacing w:before="20" w:line="240" w:lineRule="auto"/>
              <w:jc w:val="center"/>
              <w:rPr>
                <w:rFonts w:eastAsia="Calibri" w:cs="Arial"/>
                <w:sz w:val="17"/>
                <w:szCs w:val="17"/>
                <w:lang w:eastAsia="en-US"/>
              </w:rPr>
            </w:pPr>
          </w:p>
          <w:p w14:paraId="613BA8D4"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1-5 days incubation</w:t>
            </w:r>
          </w:p>
        </w:tc>
        <w:tc>
          <w:tcPr>
            <w:tcW w:w="766" w:type="pct"/>
          </w:tcPr>
          <w:p w14:paraId="48C8BC0F" w14:textId="77777777" w:rsidR="00FC360C" w:rsidRPr="00F63BAF" w:rsidRDefault="00FC360C" w:rsidP="002F237A">
            <w:pPr>
              <w:tabs>
                <w:tab w:val="left" w:pos="284"/>
              </w:tabs>
              <w:spacing w:before="20" w:line="240" w:lineRule="auto"/>
              <w:jc w:val="center"/>
              <w:rPr>
                <w:rFonts w:eastAsia="Calibri" w:cs="Arial"/>
                <w:sz w:val="17"/>
                <w:szCs w:val="17"/>
                <w:lang w:eastAsia="en-US"/>
              </w:rPr>
            </w:pPr>
          </w:p>
          <w:p w14:paraId="57E36CA1"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w:t>
            </w:r>
          </w:p>
        </w:tc>
        <w:tc>
          <w:tcPr>
            <w:tcW w:w="1115" w:type="pct"/>
            <w:tcBorders>
              <w:right w:val="single" w:sz="6" w:space="0" w:color="auto"/>
            </w:tcBorders>
          </w:tcPr>
          <w:p w14:paraId="4ACB4CE1" w14:textId="77777777" w:rsidR="00FC360C" w:rsidRPr="00F63BAF" w:rsidRDefault="00FC360C" w:rsidP="002F237A">
            <w:pPr>
              <w:tabs>
                <w:tab w:val="left" w:pos="284"/>
              </w:tabs>
              <w:spacing w:before="20" w:line="240" w:lineRule="auto"/>
              <w:jc w:val="center"/>
              <w:rPr>
                <w:rFonts w:eastAsia="Calibri" w:cs="Arial"/>
                <w:sz w:val="17"/>
                <w:szCs w:val="17"/>
                <w:lang w:eastAsia="en-US"/>
              </w:rPr>
            </w:pPr>
          </w:p>
          <w:p w14:paraId="74513F42" w14:textId="77777777" w:rsidR="00FC360C" w:rsidRPr="00F63BAF" w:rsidRDefault="00FC360C" w:rsidP="002F237A">
            <w:pPr>
              <w:tabs>
                <w:tab w:val="left" w:pos="284"/>
              </w:tabs>
              <w:spacing w:before="20" w:line="240" w:lineRule="auto"/>
              <w:jc w:val="center"/>
              <w:rPr>
                <w:rFonts w:eastAsia="Calibri" w:cs="Arial"/>
                <w:sz w:val="17"/>
                <w:szCs w:val="17"/>
                <w:lang w:eastAsia="en-US"/>
              </w:rPr>
            </w:pPr>
            <w:r w:rsidRPr="00F63BAF">
              <w:rPr>
                <w:rFonts w:eastAsia="Calibri" w:cs="Arial"/>
                <w:sz w:val="17"/>
                <w:szCs w:val="17"/>
                <w:lang w:eastAsia="en-US"/>
              </w:rPr>
              <w:t>Whole egg content</w:t>
            </w:r>
          </w:p>
        </w:tc>
      </w:tr>
      <w:tr w:rsidR="00FC360C" w:rsidRPr="00F63BAF" w14:paraId="773781C8" w14:textId="77777777" w:rsidTr="002F237A">
        <w:tblPrEx>
          <w:tblCellMar>
            <w:left w:w="107" w:type="dxa"/>
            <w:right w:w="107" w:type="dxa"/>
          </w:tblCellMar>
        </w:tblPrEx>
        <w:tc>
          <w:tcPr>
            <w:tcW w:w="1099" w:type="pct"/>
            <w:tcBorders>
              <w:left w:val="single" w:sz="6" w:space="0" w:color="auto"/>
              <w:bottom w:val="single" w:sz="6" w:space="0" w:color="auto"/>
              <w:right w:val="single" w:sz="6" w:space="0" w:color="auto"/>
            </w:tcBorders>
          </w:tcPr>
          <w:p w14:paraId="268D386D" w14:textId="77777777" w:rsidR="00FC360C" w:rsidRPr="00F63BAF" w:rsidRDefault="00FC360C" w:rsidP="002F237A">
            <w:pPr>
              <w:spacing w:before="20" w:after="20" w:line="240" w:lineRule="auto"/>
              <w:rPr>
                <w:rFonts w:eastAsia="Calibri" w:cs="Arial"/>
                <w:sz w:val="17"/>
                <w:szCs w:val="17"/>
                <w:lang w:eastAsia="en-US"/>
              </w:rPr>
            </w:pPr>
            <w:r w:rsidRPr="00F63BAF">
              <w:rPr>
                <w:rFonts w:eastAsia="Calibri" w:cs="Arial"/>
                <w:sz w:val="17"/>
                <w:szCs w:val="17"/>
                <w:lang w:eastAsia="en-US"/>
              </w:rPr>
              <w:t>Guillemot</w:t>
            </w:r>
          </w:p>
          <w:p w14:paraId="12BA6F2A" w14:textId="77777777" w:rsidR="00FC360C" w:rsidRPr="00F63BAF" w:rsidRDefault="00FC360C" w:rsidP="002F237A">
            <w:pPr>
              <w:spacing w:before="20" w:after="20" w:line="240" w:lineRule="auto"/>
              <w:ind w:left="142"/>
              <w:rPr>
                <w:rFonts w:eastAsia="Calibri" w:cs="Arial"/>
                <w:sz w:val="17"/>
                <w:szCs w:val="17"/>
                <w:lang w:eastAsia="en-US"/>
              </w:rPr>
            </w:pPr>
            <w:r w:rsidRPr="00F63BAF">
              <w:rPr>
                <w:rFonts w:eastAsia="Calibri" w:cs="Arial"/>
                <w:i/>
                <w:sz w:val="17"/>
                <w:szCs w:val="17"/>
                <w:lang w:eastAsia="en-US"/>
              </w:rPr>
              <w:t>Uria aalge</w:t>
            </w:r>
          </w:p>
        </w:tc>
        <w:tc>
          <w:tcPr>
            <w:tcW w:w="557" w:type="pct"/>
            <w:tcBorders>
              <w:left w:val="nil"/>
              <w:bottom w:val="single" w:sz="6" w:space="0" w:color="auto"/>
            </w:tcBorders>
          </w:tcPr>
          <w:p w14:paraId="15474F44" w14:textId="77777777" w:rsidR="00FC360C" w:rsidRPr="00F63BAF" w:rsidRDefault="00FC360C" w:rsidP="002F237A">
            <w:pPr>
              <w:tabs>
                <w:tab w:val="left" w:pos="284"/>
              </w:tabs>
              <w:spacing w:before="20" w:after="20" w:line="240" w:lineRule="auto"/>
              <w:rPr>
                <w:rFonts w:eastAsia="Calibri" w:cs="Arial"/>
                <w:sz w:val="17"/>
                <w:szCs w:val="17"/>
                <w:lang w:eastAsia="en-US"/>
              </w:rPr>
            </w:pPr>
          </w:p>
          <w:p w14:paraId="6BB88F3C" w14:textId="77777777" w:rsidR="00FC360C" w:rsidRPr="00F63BAF" w:rsidRDefault="00FC360C" w:rsidP="002F237A">
            <w:pPr>
              <w:spacing w:before="20" w:after="20" w:line="240" w:lineRule="auto"/>
              <w:jc w:val="center"/>
              <w:rPr>
                <w:rFonts w:eastAsia="Calibri" w:cs="Arial"/>
                <w:sz w:val="17"/>
                <w:szCs w:val="17"/>
                <w:lang w:eastAsia="en-US"/>
              </w:rPr>
            </w:pPr>
            <w:r w:rsidRPr="00F63BAF">
              <w:rPr>
                <w:rFonts w:eastAsia="Calibri" w:cs="Arial"/>
                <w:sz w:val="17"/>
                <w:szCs w:val="17"/>
                <w:lang w:eastAsia="en-US"/>
              </w:rPr>
              <w:t>10</w:t>
            </w:r>
            <w:r w:rsidRPr="00F63BAF">
              <w:rPr>
                <w:rFonts w:eastAsia="Calibri" w:cs="Arial"/>
                <w:sz w:val="17"/>
                <w:szCs w:val="17"/>
                <w:vertAlign w:val="superscript"/>
                <w:lang w:eastAsia="en-US"/>
              </w:rPr>
              <w:t xml:space="preserve"> footnote</w:t>
            </w:r>
            <w:r w:rsidRPr="00F63BAF">
              <w:rPr>
                <w:rFonts w:eastAsia="Calibri" w:cs="Arial"/>
                <w:b/>
                <w:bCs/>
                <w:sz w:val="17"/>
                <w:szCs w:val="17"/>
                <w:vertAlign w:val="superscript"/>
                <w:lang w:eastAsia="en-US"/>
              </w:rPr>
              <w:t xml:space="preserve"> </w:t>
            </w:r>
            <w:r w:rsidRPr="00F63BAF">
              <w:rPr>
                <w:rFonts w:eastAsia="Calibri" w:cs="Arial"/>
                <w:b/>
                <w:bCs/>
                <w:sz w:val="17"/>
                <w:szCs w:val="17"/>
                <w:vertAlign w:val="superscript"/>
                <w:lang w:eastAsia="en-US"/>
              </w:rPr>
              <w:fldChar w:fldCharType="begin"/>
            </w:r>
            <w:r w:rsidRPr="00F63BAF">
              <w:rPr>
                <w:rFonts w:eastAsia="Calibri" w:cs="Arial"/>
                <w:sz w:val="17"/>
                <w:szCs w:val="17"/>
                <w:vertAlign w:val="superscript"/>
                <w:lang w:eastAsia="en-US"/>
              </w:rPr>
              <w:instrText xml:space="preserve"> NOTEREF _Ref309286389 \h </w:instrText>
            </w:r>
            <w:r w:rsidRPr="00F63BAF">
              <w:rPr>
                <w:rFonts w:eastAsia="Calibri" w:cs="Arial"/>
                <w:b/>
                <w:bCs/>
                <w:sz w:val="17"/>
                <w:szCs w:val="17"/>
                <w:vertAlign w:val="superscript"/>
                <w:lang w:eastAsia="en-US"/>
              </w:rPr>
              <w:instrText xml:space="preserve"> \* MERGEFORMAT </w:instrText>
            </w:r>
            <w:r w:rsidRPr="00F63BAF">
              <w:rPr>
                <w:rFonts w:eastAsia="Calibri" w:cs="Arial"/>
                <w:b/>
                <w:bCs/>
                <w:sz w:val="17"/>
                <w:szCs w:val="17"/>
                <w:vertAlign w:val="superscript"/>
                <w:lang w:eastAsia="en-US"/>
              </w:rPr>
            </w:r>
            <w:r w:rsidRPr="00F63BAF">
              <w:rPr>
                <w:rFonts w:eastAsia="Calibri" w:cs="Arial"/>
                <w:b/>
                <w:bCs/>
                <w:sz w:val="17"/>
                <w:szCs w:val="17"/>
                <w:vertAlign w:val="superscript"/>
                <w:lang w:eastAsia="en-US"/>
              </w:rPr>
              <w:fldChar w:fldCharType="separate"/>
            </w:r>
            <w:r w:rsidRPr="00F63BAF">
              <w:rPr>
                <w:rFonts w:eastAsia="Calibri" w:cs="Arial"/>
                <w:sz w:val="17"/>
                <w:szCs w:val="17"/>
                <w:vertAlign w:val="superscript"/>
                <w:lang w:eastAsia="en-US"/>
              </w:rPr>
              <w:t>5</w:t>
            </w:r>
            <w:r w:rsidRPr="00F63BAF">
              <w:rPr>
                <w:rFonts w:eastAsia="Calibri" w:cs="Arial"/>
                <w:b/>
                <w:bCs/>
                <w:sz w:val="17"/>
                <w:szCs w:val="17"/>
                <w:vertAlign w:val="superscript"/>
                <w:lang w:eastAsia="en-US"/>
              </w:rPr>
              <w:fldChar w:fldCharType="end"/>
            </w:r>
          </w:p>
        </w:tc>
        <w:tc>
          <w:tcPr>
            <w:tcW w:w="864" w:type="pct"/>
            <w:tcBorders>
              <w:bottom w:val="single" w:sz="6" w:space="0" w:color="auto"/>
            </w:tcBorders>
          </w:tcPr>
          <w:p w14:paraId="225BDF18"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p w14:paraId="398A5D95"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w:t>
            </w:r>
          </w:p>
        </w:tc>
        <w:tc>
          <w:tcPr>
            <w:tcW w:w="599" w:type="pct"/>
            <w:tcBorders>
              <w:bottom w:val="single" w:sz="6" w:space="0" w:color="auto"/>
            </w:tcBorders>
          </w:tcPr>
          <w:p w14:paraId="0C34EA02"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p w14:paraId="65021023"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1-5 days incubation</w:t>
            </w:r>
          </w:p>
        </w:tc>
        <w:tc>
          <w:tcPr>
            <w:tcW w:w="766" w:type="pct"/>
            <w:tcBorders>
              <w:bottom w:val="single" w:sz="6" w:space="0" w:color="auto"/>
            </w:tcBorders>
          </w:tcPr>
          <w:p w14:paraId="1B31FE83"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115" w:type="pct"/>
            <w:tcBorders>
              <w:bottom w:val="single" w:sz="6" w:space="0" w:color="auto"/>
              <w:right w:val="single" w:sz="6" w:space="0" w:color="auto"/>
            </w:tcBorders>
          </w:tcPr>
          <w:p w14:paraId="67FD9B5D"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p w14:paraId="073E2C56"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Whole egg content</w:t>
            </w:r>
          </w:p>
        </w:tc>
      </w:tr>
    </w:tbl>
    <w:p w14:paraId="277ACBBF" w14:textId="77777777" w:rsidR="00FC360C" w:rsidRPr="00F63BAF" w:rsidRDefault="00FC360C" w:rsidP="00FC360C">
      <w:pPr>
        <w:spacing w:before="100" w:line="200" w:lineRule="atLeast"/>
        <w:rPr>
          <w:rFonts w:cs="Arial"/>
          <w:sz w:val="18"/>
          <w:szCs w:val="18"/>
        </w:rPr>
      </w:pPr>
      <w:r w:rsidRPr="00F63BAF">
        <w:rPr>
          <w:rFonts w:cs="Arial"/>
          <w:sz w:val="18"/>
          <w:szCs w:val="18"/>
        </w:rPr>
        <w:t xml:space="preserve">* As for flatfish sex can be determined easily. If possible, only females should be chosen, as males show higher variation in age distribution and contaminant concentrations at comparable length </w:t>
      </w:r>
    </w:p>
    <w:p w14:paraId="2CE71C0E" w14:textId="77777777" w:rsidR="00FC360C" w:rsidRPr="00F63BAF" w:rsidRDefault="00FC360C" w:rsidP="00FC360C">
      <w:pPr>
        <w:spacing w:before="100" w:line="200" w:lineRule="atLeast"/>
        <w:rPr>
          <w:rFonts w:cs="Arial"/>
          <w:sz w:val="18"/>
          <w:szCs w:val="18"/>
        </w:rPr>
      </w:pPr>
      <w:r w:rsidRPr="00F63BAF">
        <w:rPr>
          <w:rFonts w:cs="Arial"/>
          <w:sz w:val="18"/>
          <w:szCs w:val="18"/>
        </w:rPr>
        <w:t xml:space="preserve">** Smaller fish should, if possible be selected to reflect recent influence and reduce the effects of sex, as age determination without dissection is not possible, </w:t>
      </w:r>
      <w:proofErr w:type="gramStart"/>
      <w:r w:rsidRPr="00F63BAF">
        <w:rPr>
          <w:rFonts w:cs="Arial"/>
          <w:sz w:val="18"/>
          <w:szCs w:val="18"/>
        </w:rPr>
        <w:t>When</w:t>
      </w:r>
      <w:proofErr w:type="gramEnd"/>
      <w:r w:rsidRPr="00F63BAF">
        <w:rPr>
          <w:rFonts w:cs="Arial"/>
          <w:sz w:val="18"/>
          <w:szCs w:val="18"/>
        </w:rPr>
        <w:t xml:space="preserve"> the amount of tissue(s) needed for all investigations within an integrated chemical and biological effects monitoring programme is not sufficient, selection of larger fish may be appropriate.</w:t>
      </w:r>
    </w:p>
    <w:p w14:paraId="392C0B5F" w14:textId="77777777" w:rsidR="00FC360C" w:rsidRPr="00F63BAF" w:rsidRDefault="00FC360C" w:rsidP="00FC360C">
      <w:pPr>
        <w:spacing w:after="140"/>
        <w:rPr>
          <w:rFonts w:cs="Arial"/>
        </w:rPr>
      </w:pPr>
    </w:p>
    <w:p w14:paraId="69BCFD85" w14:textId="77777777" w:rsidR="00FC360C" w:rsidRPr="00F63BAF" w:rsidRDefault="00FC360C" w:rsidP="00FC360C">
      <w:pPr>
        <w:spacing w:after="140"/>
        <w:rPr>
          <w:rFonts w:cs="Arial"/>
        </w:rPr>
      </w:pPr>
      <w:r w:rsidRPr="00F63BAF">
        <w:rPr>
          <w:rFonts w:cs="Arial"/>
          <w:b/>
        </w:rPr>
        <w:t>Table 2</w:t>
      </w:r>
      <w:r w:rsidRPr="00F63BAF">
        <w:rPr>
          <w:rFonts w:cs="Arial"/>
        </w:rPr>
        <w:t>: Length-stratified sampling</w:t>
      </w:r>
    </w:p>
    <w:tbl>
      <w:tblPr>
        <w:tblW w:w="0" w:type="auto"/>
        <w:tblLayout w:type="fixed"/>
        <w:tblLook w:val="0000" w:firstRow="0" w:lastRow="0" w:firstColumn="0" w:lastColumn="0" w:noHBand="0" w:noVBand="0"/>
      </w:tblPr>
      <w:tblGrid>
        <w:gridCol w:w="2802"/>
        <w:gridCol w:w="1701"/>
        <w:gridCol w:w="2268"/>
        <w:gridCol w:w="2976"/>
      </w:tblGrid>
      <w:tr w:rsidR="00FC360C" w:rsidRPr="00F63BAF" w14:paraId="0B3BB515" w14:textId="77777777" w:rsidTr="002F237A">
        <w:tc>
          <w:tcPr>
            <w:tcW w:w="2802" w:type="dxa"/>
            <w:tcBorders>
              <w:top w:val="single" w:sz="6" w:space="0" w:color="auto"/>
              <w:left w:val="single" w:sz="6" w:space="0" w:color="auto"/>
              <w:bottom w:val="single" w:sz="6" w:space="0" w:color="auto"/>
              <w:right w:val="single" w:sz="6" w:space="0" w:color="auto"/>
            </w:tcBorders>
          </w:tcPr>
          <w:p w14:paraId="1256D87F" w14:textId="77777777" w:rsidR="00FC360C" w:rsidRPr="00F63BAF" w:rsidRDefault="00FC360C" w:rsidP="002F237A">
            <w:pPr>
              <w:tabs>
                <w:tab w:val="left" w:pos="284"/>
              </w:tabs>
              <w:spacing w:before="20" w:after="20"/>
              <w:rPr>
                <w:rFonts w:eastAsia="Calibri" w:cs="Arial"/>
                <w:b/>
                <w:lang w:eastAsia="en-US"/>
              </w:rPr>
            </w:pPr>
            <w:r w:rsidRPr="00F63BAF">
              <w:rPr>
                <w:rFonts w:eastAsia="Calibri" w:cs="Arial"/>
                <w:b/>
                <w:lang w:eastAsia="en-US"/>
              </w:rPr>
              <w:t>Species</w:t>
            </w:r>
          </w:p>
        </w:tc>
        <w:tc>
          <w:tcPr>
            <w:tcW w:w="1701" w:type="dxa"/>
            <w:tcBorders>
              <w:top w:val="single" w:sz="6" w:space="0" w:color="auto"/>
              <w:left w:val="nil"/>
              <w:bottom w:val="single" w:sz="6" w:space="0" w:color="auto"/>
            </w:tcBorders>
          </w:tcPr>
          <w:p w14:paraId="28BC394F" w14:textId="77777777" w:rsidR="00FC360C" w:rsidRPr="00F63BAF" w:rsidRDefault="00FC360C" w:rsidP="002F237A">
            <w:pPr>
              <w:tabs>
                <w:tab w:val="left" w:pos="284"/>
              </w:tabs>
              <w:spacing w:before="20" w:after="20"/>
              <w:jc w:val="center"/>
              <w:rPr>
                <w:rFonts w:eastAsia="Calibri" w:cs="Arial"/>
                <w:b/>
                <w:lang w:eastAsia="en-US"/>
              </w:rPr>
            </w:pPr>
            <w:r w:rsidRPr="00F63BAF">
              <w:rPr>
                <w:rFonts w:eastAsia="Calibri" w:cs="Arial"/>
                <w:b/>
                <w:lang w:eastAsia="en-US"/>
              </w:rPr>
              <w:t>Number</w:t>
            </w:r>
          </w:p>
        </w:tc>
        <w:tc>
          <w:tcPr>
            <w:tcW w:w="2268" w:type="dxa"/>
            <w:tcBorders>
              <w:top w:val="single" w:sz="6" w:space="0" w:color="auto"/>
              <w:bottom w:val="single" w:sz="6" w:space="0" w:color="auto"/>
            </w:tcBorders>
          </w:tcPr>
          <w:p w14:paraId="57EF55E1" w14:textId="77777777" w:rsidR="00FC360C" w:rsidRPr="00F63BAF" w:rsidRDefault="00FC360C" w:rsidP="002F237A">
            <w:pPr>
              <w:tabs>
                <w:tab w:val="left" w:pos="284"/>
              </w:tabs>
              <w:spacing w:before="20" w:after="20"/>
              <w:jc w:val="center"/>
              <w:rPr>
                <w:rFonts w:eastAsia="Calibri" w:cs="Arial"/>
                <w:b/>
                <w:lang w:eastAsia="en-US"/>
              </w:rPr>
            </w:pPr>
            <w:r w:rsidRPr="00F63BAF">
              <w:rPr>
                <w:rFonts w:eastAsia="Calibri" w:cs="Arial"/>
                <w:b/>
                <w:lang w:eastAsia="en-US"/>
              </w:rPr>
              <w:t>Size (cm)</w:t>
            </w:r>
          </w:p>
        </w:tc>
        <w:tc>
          <w:tcPr>
            <w:tcW w:w="2976" w:type="dxa"/>
            <w:tcBorders>
              <w:top w:val="single" w:sz="6" w:space="0" w:color="auto"/>
              <w:bottom w:val="single" w:sz="6" w:space="0" w:color="auto"/>
              <w:right w:val="single" w:sz="6" w:space="0" w:color="auto"/>
            </w:tcBorders>
          </w:tcPr>
          <w:p w14:paraId="13BE6BD6" w14:textId="77777777" w:rsidR="00FC360C" w:rsidRPr="00F63BAF" w:rsidRDefault="00FC360C" w:rsidP="002F237A">
            <w:pPr>
              <w:tabs>
                <w:tab w:val="left" w:pos="284"/>
              </w:tabs>
              <w:spacing w:before="20" w:after="20"/>
              <w:jc w:val="center"/>
              <w:rPr>
                <w:rFonts w:eastAsia="Calibri" w:cs="Arial"/>
                <w:b/>
                <w:lang w:eastAsia="en-US"/>
              </w:rPr>
            </w:pPr>
            <w:r w:rsidRPr="00F63BAF">
              <w:rPr>
                <w:rFonts w:eastAsia="Calibri" w:cs="Arial"/>
                <w:b/>
                <w:lang w:eastAsia="en-US"/>
              </w:rPr>
              <w:t>Tissue</w:t>
            </w:r>
          </w:p>
        </w:tc>
      </w:tr>
      <w:tr w:rsidR="00FC360C" w:rsidRPr="00F63BAF" w14:paraId="081CEACD" w14:textId="77777777" w:rsidTr="002F237A">
        <w:tc>
          <w:tcPr>
            <w:tcW w:w="2802" w:type="dxa"/>
            <w:tcBorders>
              <w:left w:val="single" w:sz="6" w:space="0" w:color="auto"/>
              <w:right w:val="single" w:sz="6" w:space="0" w:color="auto"/>
            </w:tcBorders>
          </w:tcPr>
          <w:p w14:paraId="0C9E8CEC" w14:textId="77777777" w:rsidR="00FC360C" w:rsidRPr="00F63BAF" w:rsidRDefault="00FC360C" w:rsidP="002F237A">
            <w:pPr>
              <w:tabs>
                <w:tab w:val="left" w:pos="284"/>
              </w:tabs>
              <w:spacing w:before="20" w:after="20"/>
              <w:rPr>
                <w:rFonts w:eastAsia="Calibri" w:cs="Arial"/>
                <w:b/>
                <w:lang w:eastAsia="en-US"/>
              </w:rPr>
            </w:pPr>
            <w:r w:rsidRPr="00F63BAF">
              <w:rPr>
                <w:rFonts w:eastAsia="Calibri" w:cs="Arial"/>
                <w:b/>
                <w:lang w:eastAsia="en-US"/>
              </w:rPr>
              <w:t>Shellfish</w:t>
            </w:r>
          </w:p>
        </w:tc>
        <w:tc>
          <w:tcPr>
            <w:tcW w:w="1701" w:type="dxa"/>
            <w:tcBorders>
              <w:left w:val="nil"/>
            </w:tcBorders>
          </w:tcPr>
          <w:p w14:paraId="3990E63E" w14:textId="77777777" w:rsidR="00FC360C" w:rsidRPr="00F63BAF" w:rsidRDefault="00FC360C" w:rsidP="002F237A">
            <w:pPr>
              <w:tabs>
                <w:tab w:val="left" w:pos="284"/>
              </w:tabs>
              <w:spacing w:before="20" w:after="20"/>
              <w:rPr>
                <w:rFonts w:eastAsia="Calibri" w:cs="Arial"/>
                <w:b/>
                <w:lang w:eastAsia="en-US"/>
              </w:rPr>
            </w:pPr>
          </w:p>
        </w:tc>
        <w:tc>
          <w:tcPr>
            <w:tcW w:w="2268" w:type="dxa"/>
          </w:tcPr>
          <w:p w14:paraId="06DDAE52" w14:textId="77777777" w:rsidR="00FC360C" w:rsidRPr="00F63BAF" w:rsidRDefault="00FC360C" w:rsidP="002F237A">
            <w:pPr>
              <w:tabs>
                <w:tab w:val="left" w:pos="284"/>
              </w:tabs>
              <w:spacing w:before="20" w:after="20"/>
              <w:rPr>
                <w:rFonts w:eastAsia="Calibri" w:cs="Arial"/>
                <w:b/>
                <w:lang w:eastAsia="en-US"/>
              </w:rPr>
            </w:pPr>
          </w:p>
        </w:tc>
        <w:tc>
          <w:tcPr>
            <w:tcW w:w="2976" w:type="dxa"/>
            <w:tcBorders>
              <w:right w:val="single" w:sz="6" w:space="0" w:color="auto"/>
            </w:tcBorders>
          </w:tcPr>
          <w:p w14:paraId="01753272" w14:textId="77777777" w:rsidR="00FC360C" w:rsidRPr="00F63BAF" w:rsidRDefault="00FC360C" w:rsidP="002F237A">
            <w:pPr>
              <w:tabs>
                <w:tab w:val="left" w:pos="284"/>
              </w:tabs>
              <w:spacing w:before="20" w:after="20"/>
              <w:rPr>
                <w:rFonts w:eastAsia="Calibri" w:cs="Arial"/>
                <w:b/>
                <w:lang w:eastAsia="en-US"/>
              </w:rPr>
            </w:pPr>
          </w:p>
        </w:tc>
      </w:tr>
      <w:tr w:rsidR="00FC360C" w:rsidRPr="00F63BAF" w14:paraId="03C15443" w14:textId="77777777" w:rsidTr="002F237A">
        <w:tc>
          <w:tcPr>
            <w:tcW w:w="2802" w:type="dxa"/>
            <w:tcBorders>
              <w:left w:val="single" w:sz="6" w:space="0" w:color="auto"/>
              <w:right w:val="single" w:sz="6" w:space="0" w:color="auto"/>
            </w:tcBorders>
          </w:tcPr>
          <w:p w14:paraId="58687478" w14:textId="77777777" w:rsidR="00FC360C" w:rsidRPr="00F63BAF" w:rsidRDefault="00FC360C" w:rsidP="002F237A">
            <w:pPr>
              <w:tabs>
                <w:tab w:val="left" w:pos="284"/>
              </w:tabs>
              <w:spacing w:before="20" w:after="20" w:line="240" w:lineRule="auto"/>
              <w:rPr>
                <w:rFonts w:eastAsia="Calibri" w:cs="Arial"/>
                <w:sz w:val="17"/>
                <w:szCs w:val="17"/>
                <w:lang w:eastAsia="en-US"/>
              </w:rPr>
            </w:pPr>
            <w:r w:rsidRPr="00F63BAF">
              <w:rPr>
                <w:rFonts w:eastAsia="Calibri" w:cs="Arial"/>
                <w:sz w:val="17"/>
                <w:szCs w:val="17"/>
                <w:lang w:eastAsia="en-US"/>
              </w:rPr>
              <w:t>Mussel</w:t>
            </w:r>
          </w:p>
        </w:tc>
        <w:tc>
          <w:tcPr>
            <w:tcW w:w="1701" w:type="dxa"/>
            <w:tcBorders>
              <w:left w:val="nil"/>
            </w:tcBorders>
          </w:tcPr>
          <w:p w14:paraId="3A48F533" w14:textId="77777777" w:rsidR="00FC360C" w:rsidRPr="00F63BAF" w:rsidRDefault="00FC360C" w:rsidP="002F237A">
            <w:pPr>
              <w:tabs>
                <w:tab w:val="left" w:pos="284"/>
              </w:tabs>
              <w:spacing w:before="20" w:after="20" w:line="240" w:lineRule="auto"/>
              <w:rPr>
                <w:rFonts w:eastAsia="Calibri" w:cs="Arial"/>
                <w:sz w:val="17"/>
                <w:szCs w:val="17"/>
                <w:lang w:eastAsia="en-US"/>
              </w:rPr>
            </w:pPr>
          </w:p>
        </w:tc>
        <w:tc>
          <w:tcPr>
            <w:tcW w:w="2268" w:type="dxa"/>
          </w:tcPr>
          <w:p w14:paraId="1BF38058" w14:textId="77777777" w:rsidR="00FC360C" w:rsidRPr="00F63BAF" w:rsidRDefault="00FC360C" w:rsidP="002F237A">
            <w:pPr>
              <w:tabs>
                <w:tab w:val="left" w:pos="284"/>
              </w:tabs>
              <w:spacing w:before="20" w:after="20" w:line="240" w:lineRule="auto"/>
              <w:rPr>
                <w:rFonts w:eastAsia="Calibri" w:cs="Arial"/>
                <w:sz w:val="17"/>
                <w:szCs w:val="17"/>
                <w:lang w:eastAsia="en-US"/>
              </w:rPr>
            </w:pPr>
          </w:p>
        </w:tc>
        <w:tc>
          <w:tcPr>
            <w:tcW w:w="2976" w:type="dxa"/>
            <w:tcBorders>
              <w:right w:val="single" w:sz="6" w:space="0" w:color="auto"/>
            </w:tcBorders>
          </w:tcPr>
          <w:p w14:paraId="678F6923" w14:textId="77777777" w:rsidR="00FC360C" w:rsidRPr="00F63BAF" w:rsidRDefault="00FC360C" w:rsidP="002F237A">
            <w:pPr>
              <w:tabs>
                <w:tab w:val="left" w:pos="284"/>
              </w:tabs>
              <w:spacing w:before="20" w:after="20" w:line="240" w:lineRule="auto"/>
              <w:rPr>
                <w:rFonts w:eastAsia="Calibri" w:cs="Arial"/>
                <w:sz w:val="17"/>
                <w:szCs w:val="17"/>
                <w:lang w:eastAsia="en-US"/>
              </w:rPr>
            </w:pPr>
          </w:p>
        </w:tc>
      </w:tr>
      <w:tr w:rsidR="00FC360C" w:rsidRPr="00F63BAF" w14:paraId="5C0AD9E9" w14:textId="77777777" w:rsidTr="002F237A">
        <w:tc>
          <w:tcPr>
            <w:tcW w:w="2802" w:type="dxa"/>
            <w:tcBorders>
              <w:left w:val="single" w:sz="6" w:space="0" w:color="auto"/>
              <w:right w:val="single" w:sz="6" w:space="0" w:color="auto"/>
            </w:tcBorders>
          </w:tcPr>
          <w:p w14:paraId="2ACA3B13" w14:textId="77777777" w:rsidR="00FC360C" w:rsidRPr="00F63BAF" w:rsidRDefault="00FC360C" w:rsidP="002F237A">
            <w:pPr>
              <w:tabs>
                <w:tab w:val="left" w:pos="284"/>
              </w:tabs>
              <w:spacing w:before="20" w:after="20" w:line="240" w:lineRule="auto"/>
              <w:rPr>
                <w:rFonts w:eastAsia="Calibri" w:cs="Arial"/>
                <w:sz w:val="17"/>
                <w:szCs w:val="17"/>
                <w:lang w:eastAsia="en-US"/>
              </w:rPr>
            </w:pPr>
            <w:r w:rsidRPr="00F63BAF">
              <w:rPr>
                <w:rFonts w:eastAsia="Calibri" w:cs="Arial"/>
                <w:i/>
                <w:sz w:val="17"/>
                <w:szCs w:val="17"/>
                <w:lang w:eastAsia="en-US"/>
              </w:rPr>
              <w:t>Mytilus edulis</w:t>
            </w:r>
            <w:r w:rsidRPr="00F63BAF">
              <w:rPr>
                <w:rFonts w:eastAsia="Calibri" w:cs="Arial"/>
                <w:sz w:val="17"/>
                <w:szCs w:val="17"/>
                <w:lang w:eastAsia="en-US"/>
              </w:rPr>
              <w:t xml:space="preserve"> or </w:t>
            </w:r>
            <w:r w:rsidRPr="00F63BAF">
              <w:rPr>
                <w:rFonts w:eastAsia="Calibri" w:cs="Arial"/>
                <w:sz w:val="17"/>
                <w:szCs w:val="17"/>
                <w:lang w:eastAsia="en-US"/>
              </w:rPr>
              <w:br/>
            </w:r>
            <w:r w:rsidRPr="00F63BAF">
              <w:rPr>
                <w:rFonts w:eastAsia="Calibri" w:cs="Arial"/>
                <w:i/>
                <w:sz w:val="17"/>
                <w:szCs w:val="17"/>
                <w:lang w:eastAsia="en-US"/>
              </w:rPr>
              <w:t>M. galloprovincialis</w:t>
            </w:r>
          </w:p>
          <w:p w14:paraId="2B490C3D" w14:textId="77777777" w:rsidR="00FC360C" w:rsidRPr="00F63BAF" w:rsidRDefault="00FC360C" w:rsidP="002F237A">
            <w:pPr>
              <w:tabs>
                <w:tab w:val="left" w:pos="284"/>
              </w:tabs>
              <w:spacing w:before="20" w:after="20" w:line="240" w:lineRule="auto"/>
              <w:rPr>
                <w:rFonts w:eastAsia="Calibri" w:cs="Arial"/>
                <w:sz w:val="17"/>
                <w:szCs w:val="17"/>
                <w:lang w:eastAsia="en-US"/>
              </w:rPr>
            </w:pPr>
          </w:p>
        </w:tc>
        <w:tc>
          <w:tcPr>
            <w:tcW w:w="1701" w:type="dxa"/>
            <w:tcBorders>
              <w:left w:val="nil"/>
            </w:tcBorders>
          </w:tcPr>
          <w:p w14:paraId="2C674CD0"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3 pools of 20</w:t>
            </w:r>
          </w:p>
        </w:tc>
        <w:tc>
          <w:tcPr>
            <w:tcW w:w="2268" w:type="dxa"/>
          </w:tcPr>
          <w:p w14:paraId="11FA9A70"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3-6</w:t>
            </w:r>
          </w:p>
        </w:tc>
        <w:tc>
          <w:tcPr>
            <w:tcW w:w="2976" w:type="dxa"/>
            <w:tcBorders>
              <w:right w:val="single" w:sz="6" w:space="0" w:color="auto"/>
            </w:tcBorders>
          </w:tcPr>
          <w:p w14:paraId="56036A1E"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Whole soft body</w:t>
            </w:r>
          </w:p>
        </w:tc>
      </w:tr>
      <w:tr w:rsidR="00FC360C" w:rsidRPr="00F63BAF" w14:paraId="191C6202" w14:textId="77777777" w:rsidTr="002F237A">
        <w:tc>
          <w:tcPr>
            <w:tcW w:w="2802" w:type="dxa"/>
            <w:tcBorders>
              <w:left w:val="single" w:sz="6" w:space="0" w:color="auto"/>
              <w:right w:val="single" w:sz="6" w:space="0" w:color="auto"/>
            </w:tcBorders>
          </w:tcPr>
          <w:p w14:paraId="2756B7C2" w14:textId="77777777" w:rsidR="00FC360C" w:rsidRPr="00F63BAF" w:rsidRDefault="00FC360C" w:rsidP="002F237A">
            <w:pPr>
              <w:tabs>
                <w:tab w:val="left" w:pos="284"/>
              </w:tabs>
              <w:spacing w:before="20" w:after="20" w:line="240" w:lineRule="auto"/>
              <w:rPr>
                <w:rFonts w:eastAsia="Calibri" w:cs="Arial"/>
                <w:i/>
                <w:sz w:val="17"/>
                <w:szCs w:val="17"/>
                <w:lang w:eastAsia="en-US"/>
              </w:rPr>
            </w:pPr>
            <w:r w:rsidRPr="00F63BAF">
              <w:rPr>
                <w:rFonts w:eastAsia="Calibri" w:cs="Arial"/>
                <w:sz w:val="17"/>
                <w:szCs w:val="17"/>
                <w:lang w:eastAsia="en-US"/>
              </w:rPr>
              <w:t>Pacific oyster</w:t>
            </w:r>
          </w:p>
        </w:tc>
        <w:tc>
          <w:tcPr>
            <w:tcW w:w="1701" w:type="dxa"/>
            <w:tcBorders>
              <w:left w:val="nil"/>
            </w:tcBorders>
          </w:tcPr>
          <w:p w14:paraId="44D44779"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2268" w:type="dxa"/>
          </w:tcPr>
          <w:p w14:paraId="1EC6B710"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2976" w:type="dxa"/>
            <w:tcBorders>
              <w:right w:val="single" w:sz="6" w:space="0" w:color="auto"/>
            </w:tcBorders>
          </w:tcPr>
          <w:p w14:paraId="4869ACF1"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r>
      <w:tr w:rsidR="00FC360C" w:rsidRPr="00F63BAF" w14:paraId="2502002E" w14:textId="77777777" w:rsidTr="002F237A">
        <w:tc>
          <w:tcPr>
            <w:tcW w:w="2802" w:type="dxa"/>
            <w:tcBorders>
              <w:left w:val="single" w:sz="6" w:space="0" w:color="auto"/>
              <w:right w:val="single" w:sz="6" w:space="0" w:color="auto"/>
            </w:tcBorders>
          </w:tcPr>
          <w:p w14:paraId="70E8B300" w14:textId="77777777" w:rsidR="00FC360C" w:rsidRPr="00F63BAF" w:rsidRDefault="00FC360C" w:rsidP="002F237A">
            <w:pPr>
              <w:spacing w:before="20" w:after="20" w:line="240" w:lineRule="auto"/>
              <w:ind w:left="360"/>
              <w:rPr>
                <w:rFonts w:eastAsia="Calibri" w:cs="Arial"/>
                <w:i/>
                <w:sz w:val="17"/>
                <w:szCs w:val="17"/>
                <w:lang w:eastAsia="en-US"/>
              </w:rPr>
            </w:pPr>
            <w:r w:rsidRPr="00F63BAF">
              <w:rPr>
                <w:rFonts w:eastAsia="Calibri" w:cs="Arial"/>
                <w:i/>
                <w:sz w:val="17"/>
                <w:szCs w:val="17"/>
                <w:lang w:eastAsia="en-US"/>
              </w:rPr>
              <w:t>Crassostrea gigas</w:t>
            </w:r>
          </w:p>
        </w:tc>
        <w:tc>
          <w:tcPr>
            <w:tcW w:w="1701" w:type="dxa"/>
            <w:tcBorders>
              <w:left w:val="nil"/>
            </w:tcBorders>
          </w:tcPr>
          <w:p w14:paraId="2A2803C2"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10 </w:t>
            </w:r>
            <w:r w:rsidRPr="00F63BAF">
              <w:rPr>
                <w:rFonts w:eastAsia="Calibri" w:cs="Arial"/>
                <w:sz w:val="17"/>
                <w:szCs w:val="17"/>
                <w:lang w:eastAsia="en-US"/>
              </w:rPr>
              <w:sym w:font="Symbol" w:char="F0B1"/>
            </w:r>
            <w:r w:rsidRPr="00F63BAF">
              <w:rPr>
                <w:rFonts w:eastAsia="Calibri" w:cs="Arial"/>
                <w:sz w:val="17"/>
                <w:szCs w:val="17"/>
                <w:lang w:eastAsia="en-US"/>
              </w:rPr>
              <w:t> 10%</w:t>
            </w:r>
          </w:p>
        </w:tc>
        <w:tc>
          <w:tcPr>
            <w:tcW w:w="2268" w:type="dxa"/>
          </w:tcPr>
          <w:p w14:paraId="5C24ED96"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9-14 (2 years of age)</w:t>
            </w:r>
          </w:p>
        </w:tc>
        <w:tc>
          <w:tcPr>
            <w:tcW w:w="2976" w:type="dxa"/>
            <w:tcBorders>
              <w:right w:val="single" w:sz="6" w:space="0" w:color="auto"/>
            </w:tcBorders>
          </w:tcPr>
          <w:p w14:paraId="0FBB719B"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Whole soft body</w:t>
            </w:r>
          </w:p>
        </w:tc>
      </w:tr>
      <w:tr w:rsidR="00FC360C" w:rsidRPr="00F63BAF" w14:paraId="6EBD8E59" w14:textId="77777777" w:rsidTr="002F237A">
        <w:tc>
          <w:tcPr>
            <w:tcW w:w="2802" w:type="dxa"/>
            <w:tcBorders>
              <w:top w:val="single" w:sz="6" w:space="0" w:color="auto"/>
              <w:left w:val="single" w:sz="6" w:space="0" w:color="auto"/>
              <w:right w:val="single" w:sz="6" w:space="0" w:color="auto"/>
            </w:tcBorders>
          </w:tcPr>
          <w:p w14:paraId="58CDB961" w14:textId="77777777" w:rsidR="00FC360C" w:rsidRPr="00F63BAF" w:rsidRDefault="00FC360C" w:rsidP="002F237A">
            <w:pPr>
              <w:tabs>
                <w:tab w:val="left" w:pos="284"/>
              </w:tabs>
              <w:spacing w:before="20" w:after="20"/>
              <w:rPr>
                <w:rFonts w:eastAsia="Calibri" w:cs="Arial"/>
                <w:b/>
                <w:lang w:eastAsia="en-US"/>
              </w:rPr>
            </w:pPr>
            <w:r w:rsidRPr="00F63BAF">
              <w:rPr>
                <w:rFonts w:eastAsia="Calibri" w:cs="Arial"/>
                <w:b/>
                <w:lang w:eastAsia="en-US"/>
              </w:rPr>
              <w:t>Flatfish</w:t>
            </w:r>
          </w:p>
        </w:tc>
        <w:tc>
          <w:tcPr>
            <w:tcW w:w="1701" w:type="dxa"/>
            <w:tcBorders>
              <w:top w:val="single" w:sz="6" w:space="0" w:color="auto"/>
              <w:left w:val="nil"/>
            </w:tcBorders>
          </w:tcPr>
          <w:p w14:paraId="674DA1D1" w14:textId="77777777" w:rsidR="00FC360C" w:rsidRPr="00F63BAF" w:rsidRDefault="00FC360C" w:rsidP="002F237A">
            <w:pPr>
              <w:tabs>
                <w:tab w:val="left" w:pos="284"/>
              </w:tabs>
              <w:spacing w:before="20" w:after="20"/>
              <w:rPr>
                <w:rFonts w:eastAsia="Calibri" w:cs="Arial"/>
                <w:b/>
                <w:lang w:eastAsia="en-US"/>
              </w:rPr>
            </w:pPr>
          </w:p>
        </w:tc>
        <w:tc>
          <w:tcPr>
            <w:tcW w:w="2268" w:type="dxa"/>
            <w:tcBorders>
              <w:top w:val="single" w:sz="6" w:space="0" w:color="auto"/>
            </w:tcBorders>
          </w:tcPr>
          <w:p w14:paraId="2845B820" w14:textId="77777777" w:rsidR="00FC360C" w:rsidRPr="00F63BAF" w:rsidRDefault="00FC360C" w:rsidP="002F237A">
            <w:pPr>
              <w:tabs>
                <w:tab w:val="left" w:pos="284"/>
              </w:tabs>
              <w:spacing w:before="20" w:after="20"/>
              <w:rPr>
                <w:rFonts w:eastAsia="Calibri" w:cs="Arial"/>
                <w:b/>
                <w:lang w:eastAsia="en-US"/>
              </w:rPr>
            </w:pPr>
          </w:p>
        </w:tc>
        <w:tc>
          <w:tcPr>
            <w:tcW w:w="2976" w:type="dxa"/>
            <w:tcBorders>
              <w:top w:val="single" w:sz="6" w:space="0" w:color="auto"/>
              <w:right w:val="single" w:sz="6" w:space="0" w:color="auto"/>
            </w:tcBorders>
          </w:tcPr>
          <w:p w14:paraId="15B57E5E" w14:textId="77777777" w:rsidR="00FC360C" w:rsidRPr="00F63BAF" w:rsidRDefault="00FC360C" w:rsidP="002F237A">
            <w:pPr>
              <w:tabs>
                <w:tab w:val="left" w:pos="284"/>
              </w:tabs>
              <w:spacing w:before="20" w:after="20"/>
              <w:rPr>
                <w:rFonts w:eastAsia="Calibri" w:cs="Arial"/>
                <w:b/>
                <w:lang w:eastAsia="en-US"/>
              </w:rPr>
            </w:pPr>
          </w:p>
        </w:tc>
      </w:tr>
      <w:tr w:rsidR="00FC360C" w:rsidRPr="00F63BAF" w14:paraId="79DBB4CF" w14:textId="77777777" w:rsidTr="002F237A">
        <w:tc>
          <w:tcPr>
            <w:tcW w:w="2802" w:type="dxa"/>
            <w:tcBorders>
              <w:left w:val="single" w:sz="6" w:space="0" w:color="auto"/>
              <w:right w:val="single" w:sz="6" w:space="0" w:color="auto"/>
            </w:tcBorders>
          </w:tcPr>
          <w:p w14:paraId="790AE0FE" w14:textId="77777777" w:rsidR="00FC360C" w:rsidRPr="00F63BAF" w:rsidRDefault="00FC360C" w:rsidP="002F237A">
            <w:pPr>
              <w:tabs>
                <w:tab w:val="left" w:pos="284"/>
              </w:tabs>
              <w:spacing w:before="20" w:after="20" w:line="240" w:lineRule="auto"/>
              <w:rPr>
                <w:rFonts w:eastAsia="Calibri" w:cs="Arial"/>
                <w:sz w:val="17"/>
                <w:szCs w:val="17"/>
                <w:lang w:eastAsia="en-US"/>
              </w:rPr>
            </w:pPr>
            <w:r w:rsidRPr="00F63BAF">
              <w:rPr>
                <w:rFonts w:eastAsia="Calibri" w:cs="Arial"/>
                <w:sz w:val="17"/>
                <w:szCs w:val="17"/>
                <w:lang w:eastAsia="en-US"/>
              </w:rPr>
              <w:t>Dab</w:t>
            </w:r>
          </w:p>
        </w:tc>
        <w:tc>
          <w:tcPr>
            <w:tcW w:w="1701" w:type="dxa"/>
            <w:tcBorders>
              <w:left w:val="nil"/>
            </w:tcBorders>
          </w:tcPr>
          <w:p w14:paraId="3166696F"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2268" w:type="dxa"/>
          </w:tcPr>
          <w:p w14:paraId="40E79639"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2976" w:type="dxa"/>
            <w:tcBorders>
              <w:right w:val="single" w:sz="6" w:space="0" w:color="auto"/>
            </w:tcBorders>
          </w:tcPr>
          <w:p w14:paraId="0F7AECD1"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r>
      <w:tr w:rsidR="00FC360C" w:rsidRPr="00F63BAF" w14:paraId="1C9AC787" w14:textId="77777777" w:rsidTr="002F237A">
        <w:tc>
          <w:tcPr>
            <w:tcW w:w="2802" w:type="dxa"/>
            <w:tcBorders>
              <w:left w:val="single" w:sz="6" w:space="0" w:color="auto"/>
              <w:right w:val="single" w:sz="6" w:space="0" w:color="auto"/>
            </w:tcBorders>
          </w:tcPr>
          <w:p w14:paraId="7CB473D0" w14:textId="77777777" w:rsidR="00FC360C" w:rsidRPr="00F63BAF" w:rsidRDefault="00FC360C" w:rsidP="002F237A">
            <w:pPr>
              <w:tabs>
                <w:tab w:val="left" w:pos="284"/>
              </w:tabs>
              <w:spacing w:before="20" w:after="20" w:line="240" w:lineRule="auto"/>
              <w:rPr>
                <w:rFonts w:eastAsia="Calibri" w:cs="Arial"/>
                <w:i/>
                <w:sz w:val="17"/>
                <w:szCs w:val="17"/>
                <w:lang w:eastAsia="en-US"/>
              </w:rPr>
            </w:pPr>
            <w:r w:rsidRPr="00F63BAF">
              <w:rPr>
                <w:rFonts w:eastAsia="Calibri" w:cs="Arial"/>
                <w:i/>
                <w:sz w:val="17"/>
                <w:szCs w:val="17"/>
                <w:lang w:eastAsia="en-US"/>
              </w:rPr>
              <w:t>Limanda limanda</w:t>
            </w:r>
          </w:p>
        </w:tc>
        <w:tc>
          <w:tcPr>
            <w:tcW w:w="1701" w:type="dxa"/>
            <w:tcBorders>
              <w:left w:val="nil"/>
            </w:tcBorders>
          </w:tcPr>
          <w:p w14:paraId="31CBF444"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cs="Arial"/>
                <w:spacing w:val="-3"/>
                <w:sz w:val="16"/>
                <w:szCs w:val="16"/>
              </w:rPr>
              <w:t>25 to 20 individuals, or 15 if justified, or 5 batches of 5 individuals</w:t>
            </w:r>
          </w:p>
        </w:tc>
        <w:tc>
          <w:tcPr>
            <w:tcW w:w="2268" w:type="dxa"/>
          </w:tcPr>
          <w:p w14:paraId="7866985C"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18-30</w:t>
            </w:r>
          </w:p>
        </w:tc>
        <w:tc>
          <w:tcPr>
            <w:tcW w:w="2976" w:type="dxa"/>
            <w:tcBorders>
              <w:right w:val="single" w:sz="6" w:space="0" w:color="auto"/>
            </w:tcBorders>
          </w:tcPr>
          <w:p w14:paraId="12F00274"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Muscle for Hg. Liver for all other determinands</w:t>
            </w:r>
          </w:p>
        </w:tc>
      </w:tr>
      <w:tr w:rsidR="00FC360C" w:rsidRPr="00F63BAF" w14:paraId="27AC6246" w14:textId="77777777" w:rsidTr="002F237A">
        <w:tc>
          <w:tcPr>
            <w:tcW w:w="2802" w:type="dxa"/>
            <w:tcBorders>
              <w:left w:val="single" w:sz="6" w:space="0" w:color="auto"/>
              <w:right w:val="single" w:sz="6" w:space="0" w:color="auto"/>
            </w:tcBorders>
          </w:tcPr>
          <w:p w14:paraId="78E54009" w14:textId="77777777" w:rsidR="00FC360C" w:rsidRPr="00F63BAF" w:rsidRDefault="00FC360C" w:rsidP="002F237A">
            <w:pPr>
              <w:tabs>
                <w:tab w:val="left" w:pos="284"/>
              </w:tabs>
              <w:spacing w:before="20" w:after="20" w:line="240" w:lineRule="auto"/>
              <w:rPr>
                <w:rFonts w:eastAsia="Calibri" w:cs="Arial"/>
                <w:sz w:val="17"/>
                <w:szCs w:val="17"/>
                <w:lang w:eastAsia="en-US"/>
              </w:rPr>
            </w:pPr>
            <w:r w:rsidRPr="00F63BAF">
              <w:rPr>
                <w:rFonts w:eastAsia="Calibri" w:cs="Arial"/>
                <w:sz w:val="17"/>
                <w:szCs w:val="17"/>
                <w:lang w:eastAsia="en-US"/>
              </w:rPr>
              <w:t>Plaice</w:t>
            </w:r>
          </w:p>
        </w:tc>
        <w:tc>
          <w:tcPr>
            <w:tcW w:w="1701" w:type="dxa"/>
            <w:tcBorders>
              <w:left w:val="nil"/>
            </w:tcBorders>
          </w:tcPr>
          <w:p w14:paraId="0DD689BE"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2268" w:type="dxa"/>
          </w:tcPr>
          <w:p w14:paraId="7A6EE3DC"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2976" w:type="dxa"/>
            <w:tcBorders>
              <w:right w:val="single" w:sz="6" w:space="0" w:color="auto"/>
            </w:tcBorders>
          </w:tcPr>
          <w:p w14:paraId="0B2864B6"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r>
      <w:tr w:rsidR="00FC360C" w:rsidRPr="00F63BAF" w14:paraId="046B8CE8" w14:textId="77777777" w:rsidTr="002F237A">
        <w:tc>
          <w:tcPr>
            <w:tcW w:w="2802" w:type="dxa"/>
            <w:tcBorders>
              <w:left w:val="single" w:sz="6" w:space="0" w:color="auto"/>
              <w:right w:val="single" w:sz="6" w:space="0" w:color="auto"/>
            </w:tcBorders>
          </w:tcPr>
          <w:p w14:paraId="1B42EE33" w14:textId="77777777" w:rsidR="00FC360C" w:rsidRPr="00F63BAF" w:rsidRDefault="00FC360C" w:rsidP="002F237A">
            <w:pPr>
              <w:tabs>
                <w:tab w:val="left" w:pos="284"/>
              </w:tabs>
              <w:spacing w:before="20" w:after="20" w:line="240" w:lineRule="auto"/>
              <w:rPr>
                <w:rFonts w:eastAsia="Calibri" w:cs="Arial"/>
                <w:i/>
                <w:sz w:val="17"/>
                <w:szCs w:val="17"/>
                <w:lang w:eastAsia="en-US"/>
              </w:rPr>
            </w:pPr>
            <w:r w:rsidRPr="00F63BAF">
              <w:rPr>
                <w:rFonts w:eastAsia="Calibri" w:cs="Arial"/>
                <w:i/>
                <w:sz w:val="17"/>
                <w:szCs w:val="17"/>
                <w:lang w:eastAsia="en-US"/>
              </w:rPr>
              <w:t>Pleuronectes platessa</w:t>
            </w:r>
          </w:p>
        </w:tc>
        <w:tc>
          <w:tcPr>
            <w:tcW w:w="1701" w:type="dxa"/>
            <w:tcBorders>
              <w:left w:val="nil"/>
            </w:tcBorders>
          </w:tcPr>
          <w:p w14:paraId="71B8DB0A"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cs="Arial"/>
                <w:spacing w:val="-3"/>
                <w:sz w:val="16"/>
                <w:szCs w:val="16"/>
              </w:rPr>
              <w:t xml:space="preserve"> 25 to 20 individuals, or 15 if justified, or 5 batches of 5 individuals</w:t>
            </w:r>
          </w:p>
        </w:tc>
        <w:tc>
          <w:tcPr>
            <w:tcW w:w="2268" w:type="dxa"/>
          </w:tcPr>
          <w:p w14:paraId="5BB7F788"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20-30</w:t>
            </w:r>
          </w:p>
        </w:tc>
        <w:tc>
          <w:tcPr>
            <w:tcW w:w="2976" w:type="dxa"/>
            <w:tcBorders>
              <w:right w:val="single" w:sz="6" w:space="0" w:color="auto"/>
            </w:tcBorders>
          </w:tcPr>
          <w:p w14:paraId="3BA001A3"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Muscle for Hg. Liver for all other determinands</w:t>
            </w:r>
          </w:p>
        </w:tc>
      </w:tr>
      <w:tr w:rsidR="00FC360C" w:rsidRPr="00F63BAF" w14:paraId="2D925BE0" w14:textId="77777777" w:rsidTr="002F237A">
        <w:tc>
          <w:tcPr>
            <w:tcW w:w="2802" w:type="dxa"/>
            <w:tcBorders>
              <w:left w:val="single" w:sz="6" w:space="0" w:color="auto"/>
              <w:right w:val="single" w:sz="6" w:space="0" w:color="auto"/>
            </w:tcBorders>
          </w:tcPr>
          <w:p w14:paraId="2D0946B9" w14:textId="77777777" w:rsidR="00FC360C" w:rsidRPr="00F63BAF" w:rsidRDefault="00FC360C" w:rsidP="002F237A">
            <w:pPr>
              <w:tabs>
                <w:tab w:val="left" w:pos="284"/>
              </w:tabs>
              <w:spacing w:before="20" w:after="20" w:line="240" w:lineRule="auto"/>
              <w:rPr>
                <w:rFonts w:eastAsia="Calibri" w:cs="Arial"/>
                <w:sz w:val="17"/>
                <w:szCs w:val="17"/>
                <w:lang w:eastAsia="en-US"/>
              </w:rPr>
            </w:pPr>
            <w:r w:rsidRPr="00F63BAF">
              <w:rPr>
                <w:rFonts w:eastAsia="Calibri" w:cs="Arial"/>
                <w:sz w:val="17"/>
                <w:szCs w:val="17"/>
                <w:lang w:eastAsia="en-US"/>
              </w:rPr>
              <w:t>Flounder</w:t>
            </w:r>
          </w:p>
        </w:tc>
        <w:tc>
          <w:tcPr>
            <w:tcW w:w="1701" w:type="dxa"/>
            <w:tcBorders>
              <w:left w:val="nil"/>
            </w:tcBorders>
          </w:tcPr>
          <w:p w14:paraId="57EAE1A6"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2268" w:type="dxa"/>
          </w:tcPr>
          <w:p w14:paraId="68DF9137"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2976" w:type="dxa"/>
            <w:tcBorders>
              <w:right w:val="single" w:sz="6" w:space="0" w:color="auto"/>
            </w:tcBorders>
          </w:tcPr>
          <w:p w14:paraId="63D2EB1B"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r>
      <w:tr w:rsidR="00FC360C" w:rsidRPr="00F63BAF" w14:paraId="72D86FAE" w14:textId="77777777" w:rsidTr="002F237A">
        <w:tc>
          <w:tcPr>
            <w:tcW w:w="2802" w:type="dxa"/>
            <w:tcBorders>
              <w:left w:val="single" w:sz="6" w:space="0" w:color="auto"/>
              <w:bottom w:val="single" w:sz="6" w:space="0" w:color="auto"/>
              <w:right w:val="single" w:sz="6" w:space="0" w:color="auto"/>
            </w:tcBorders>
          </w:tcPr>
          <w:p w14:paraId="62DB7DE2" w14:textId="77777777" w:rsidR="00FC360C" w:rsidRPr="00F63BAF" w:rsidRDefault="00FC360C" w:rsidP="002F237A">
            <w:pPr>
              <w:tabs>
                <w:tab w:val="left" w:pos="284"/>
              </w:tabs>
              <w:spacing w:before="20" w:after="20" w:line="240" w:lineRule="auto"/>
              <w:rPr>
                <w:rFonts w:eastAsia="Calibri" w:cs="Arial"/>
                <w:i/>
                <w:sz w:val="17"/>
                <w:szCs w:val="17"/>
                <w:lang w:eastAsia="en-US"/>
              </w:rPr>
            </w:pPr>
            <w:r w:rsidRPr="00F63BAF">
              <w:rPr>
                <w:rFonts w:eastAsia="Calibri" w:cs="Arial"/>
                <w:i/>
                <w:sz w:val="17"/>
                <w:szCs w:val="17"/>
                <w:lang w:eastAsia="en-US"/>
              </w:rPr>
              <w:t>Platichthys flesus</w:t>
            </w:r>
          </w:p>
        </w:tc>
        <w:tc>
          <w:tcPr>
            <w:tcW w:w="1701" w:type="dxa"/>
            <w:tcBorders>
              <w:left w:val="nil"/>
              <w:bottom w:val="single" w:sz="6" w:space="0" w:color="auto"/>
            </w:tcBorders>
          </w:tcPr>
          <w:p w14:paraId="19793B51"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cs="Arial"/>
                <w:spacing w:val="-3"/>
                <w:sz w:val="16"/>
                <w:szCs w:val="16"/>
              </w:rPr>
              <w:t xml:space="preserve"> 25 to 20 individuals, or 15 if justified, or 5 batches of 5 individuals</w:t>
            </w:r>
          </w:p>
        </w:tc>
        <w:tc>
          <w:tcPr>
            <w:tcW w:w="2268" w:type="dxa"/>
            <w:tcBorders>
              <w:bottom w:val="single" w:sz="6" w:space="0" w:color="auto"/>
            </w:tcBorders>
          </w:tcPr>
          <w:p w14:paraId="5AE561B3"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15-35</w:t>
            </w:r>
          </w:p>
        </w:tc>
        <w:tc>
          <w:tcPr>
            <w:tcW w:w="2976" w:type="dxa"/>
            <w:tcBorders>
              <w:bottom w:val="single" w:sz="6" w:space="0" w:color="auto"/>
              <w:right w:val="single" w:sz="6" w:space="0" w:color="auto"/>
            </w:tcBorders>
          </w:tcPr>
          <w:p w14:paraId="2CE1F09D"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Muscle for Hg. Liver for all other determinands</w:t>
            </w:r>
          </w:p>
        </w:tc>
      </w:tr>
      <w:tr w:rsidR="00FC360C" w:rsidRPr="00F63BAF" w14:paraId="3B1B8712" w14:textId="77777777" w:rsidTr="002F237A">
        <w:tc>
          <w:tcPr>
            <w:tcW w:w="2802" w:type="dxa"/>
            <w:tcBorders>
              <w:left w:val="single" w:sz="6" w:space="0" w:color="auto"/>
              <w:right w:val="single" w:sz="6" w:space="0" w:color="auto"/>
            </w:tcBorders>
          </w:tcPr>
          <w:p w14:paraId="74414C56" w14:textId="77777777" w:rsidR="00FC360C" w:rsidRPr="00F63BAF" w:rsidRDefault="00FC360C" w:rsidP="002F237A">
            <w:pPr>
              <w:tabs>
                <w:tab w:val="left" w:pos="284"/>
              </w:tabs>
              <w:spacing w:before="20" w:after="20"/>
              <w:rPr>
                <w:rFonts w:eastAsia="Calibri" w:cs="Arial"/>
                <w:b/>
                <w:sz w:val="17"/>
                <w:szCs w:val="17"/>
                <w:lang w:eastAsia="en-US"/>
              </w:rPr>
            </w:pPr>
            <w:r w:rsidRPr="00F63BAF">
              <w:rPr>
                <w:rFonts w:eastAsia="Calibri" w:cs="Arial"/>
                <w:b/>
                <w:sz w:val="17"/>
                <w:szCs w:val="17"/>
                <w:lang w:eastAsia="en-US"/>
              </w:rPr>
              <w:t>Roundfish</w:t>
            </w:r>
          </w:p>
        </w:tc>
        <w:tc>
          <w:tcPr>
            <w:tcW w:w="1701" w:type="dxa"/>
            <w:tcBorders>
              <w:left w:val="nil"/>
            </w:tcBorders>
          </w:tcPr>
          <w:p w14:paraId="081A6F44" w14:textId="77777777" w:rsidR="00FC360C" w:rsidRPr="00F63BAF" w:rsidRDefault="00FC360C" w:rsidP="002F237A">
            <w:pPr>
              <w:tabs>
                <w:tab w:val="left" w:pos="284"/>
              </w:tabs>
              <w:spacing w:before="20" w:after="20"/>
              <w:rPr>
                <w:rFonts w:eastAsia="Calibri" w:cs="Arial"/>
                <w:b/>
                <w:sz w:val="17"/>
                <w:szCs w:val="17"/>
                <w:lang w:eastAsia="en-US"/>
              </w:rPr>
            </w:pPr>
          </w:p>
        </w:tc>
        <w:tc>
          <w:tcPr>
            <w:tcW w:w="2268" w:type="dxa"/>
          </w:tcPr>
          <w:p w14:paraId="792B2618" w14:textId="77777777" w:rsidR="00FC360C" w:rsidRPr="00F63BAF" w:rsidRDefault="00FC360C" w:rsidP="002F237A">
            <w:pPr>
              <w:tabs>
                <w:tab w:val="left" w:pos="284"/>
              </w:tabs>
              <w:spacing w:before="20" w:after="20"/>
              <w:rPr>
                <w:rFonts w:eastAsia="Calibri" w:cs="Arial"/>
                <w:b/>
                <w:sz w:val="17"/>
                <w:szCs w:val="17"/>
                <w:lang w:eastAsia="en-US"/>
              </w:rPr>
            </w:pPr>
          </w:p>
        </w:tc>
        <w:tc>
          <w:tcPr>
            <w:tcW w:w="2976" w:type="dxa"/>
            <w:tcBorders>
              <w:right w:val="single" w:sz="6" w:space="0" w:color="auto"/>
            </w:tcBorders>
          </w:tcPr>
          <w:p w14:paraId="07614EDF" w14:textId="77777777" w:rsidR="00FC360C" w:rsidRPr="00F63BAF" w:rsidRDefault="00FC360C" w:rsidP="002F237A">
            <w:pPr>
              <w:tabs>
                <w:tab w:val="left" w:pos="284"/>
              </w:tabs>
              <w:spacing w:before="20" w:after="20"/>
              <w:rPr>
                <w:rFonts w:eastAsia="Calibri" w:cs="Arial"/>
                <w:b/>
                <w:sz w:val="17"/>
                <w:szCs w:val="17"/>
                <w:lang w:eastAsia="en-US"/>
              </w:rPr>
            </w:pPr>
          </w:p>
        </w:tc>
      </w:tr>
      <w:tr w:rsidR="00FC360C" w:rsidRPr="00F63BAF" w14:paraId="4C596987" w14:textId="77777777" w:rsidTr="002F237A">
        <w:tc>
          <w:tcPr>
            <w:tcW w:w="2802" w:type="dxa"/>
            <w:tcBorders>
              <w:left w:val="single" w:sz="6" w:space="0" w:color="auto"/>
              <w:right w:val="single" w:sz="6" w:space="0" w:color="auto"/>
            </w:tcBorders>
          </w:tcPr>
          <w:p w14:paraId="2A199103" w14:textId="77777777" w:rsidR="00FC360C" w:rsidRPr="00F63BAF" w:rsidRDefault="00FC360C" w:rsidP="002F237A">
            <w:pPr>
              <w:tabs>
                <w:tab w:val="left" w:pos="284"/>
              </w:tabs>
              <w:spacing w:before="20" w:after="20" w:line="240" w:lineRule="auto"/>
              <w:rPr>
                <w:rFonts w:eastAsia="Calibri" w:cs="Arial"/>
                <w:b/>
                <w:sz w:val="17"/>
                <w:szCs w:val="17"/>
                <w:lang w:eastAsia="en-US"/>
              </w:rPr>
            </w:pPr>
            <w:r w:rsidRPr="00F63BAF">
              <w:rPr>
                <w:rFonts w:eastAsia="Calibri" w:cs="Arial"/>
                <w:sz w:val="17"/>
                <w:szCs w:val="17"/>
                <w:lang w:eastAsia="en-US"/>
              </w:rPr>
              <w:t>Cod</w:t>
            </w:r>
          </w:p>
        </w:tc>
        <w:tc>
          <w:tcPr>
            <w:tcW w:w="1701" w:type="dxa"/>
            <w:tcBorders>
              <w:left w:val="nil"/>
            </w:tcBorders>
          </w:tcPr>
          <w:p w14:paraId="31DCE0E7"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2268" w:type="dxa"/>
          </w:tcPr>
          <w:p w14:paraId="01ACDC55"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2976" w:type="dxa"/>
            <w:tcBorders>
              <w:right w:val="single" w:sz="6" w:space="0" w:color="auto"/>
            </w:tcBorders>
          </w:tcPr>
          <w:p w14:paraId="5F8D5742"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r>
      <w:tr w:rsidR="00FC360C" w:rsidRPr="00F63BAF" w14:paraId="1C5138EA" w14:textId="77777777" w:rsidTr="002F237A">
        <w:tc>
          <w:tcPr>
            <w:tcW w:w="2802" w:type="dxa"/>
            <w:tcBorders>
              <w:left w:val="single" w:sz="6" w:space="0" w:color="auto"/>
              <w:right w:val="single" w:sz="6" w:space="0" w:color="auto"/>
            </w:tcBorders>
          </w:tcPr>
          <w:p w14:paraId="1D3235C3" w14:textId="77777777" w:rsidR="00FC360C" w:rsidRPr="00F63BAF" w:rsidRDefault="00FC360C" w:rsidP="002F237A">
            <w:pPr>
              <w:spacing w:before="20" w:after="20" w:line="240" w:lineRule="auto"/>
              <w:ind w:left="360"/>
              <w:rPr>
                <w:rFonts w:eastAsia="Calibri" w:cs="Arial"/>
                <w:i/>
                <w:sz w:val="17"/>
                <w:szCs w:val="17"/>
                <w:lang w:eastAsia="en-US"/>
              </w:rPr>
            </w:pPr>
            <w:r w:rsidRPr="00F63BAF">
              <w:rPr>
                <w:rFonts w:eastAsia="Calibri" w:cs="Arial"/>
                <w:i/>
                <w:sz w:val="17"/>
                <w:szCs w:val="17"/>
                <w:lang w:eastAsia="en-US"/>
              </w:rPr>
              <w:t>Gadus morhua</w:t>
            </w:r>
          </w:p>
        </w:tc>
        <w:tc>
          <w:tcPr>
            <w:tcW w:w="1701" w:type="dxa"/>
            <w:tcBorders>
              <w:left w:val="nil"/>
            </w:tcBorders>
          </w:tcPr>
          <w:p w14:paraId="2A454BE3"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cs="Arial"/>
                <w:spacing w:val="-3"/>
                <w:sz w:val="16"/>
                <w:szCs w:val="16"/>
              </w:rPr>
              <w:t xml:space="preserve"> 25 to 20 individuals, or 15 if justified, or 5 batches of 5 individuals</w:t>
            </w:r>
          </w:p>
        </w:tc>
        <w:tc>
          <w:tcPr>
            <w:tcW w:w="2268" w:type="dxa"/>
          </w:tcPr>
          <w:p w14:paraId="3F7D1955"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25-40</w:t>
            </w:r>
          </w:p>
        </w:tc>
        <w:tc>
          <w:tcPr>
            <w:tcW w:w="2976" w:type="dxa"/>
            <w:tcBorders>
              <w:right w:val="single" w:sz="6" w:space="0" w:color="auto"/>
            </w:tcBorders>
          </w:tcPr>
          <w:p w14:paraId="3D41B1DD"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Muscle for Hg. Liver for all other determinands</w:t>
            </w:r>
          </w:p>
        </w:tc>
      </w:tr>
      <w:tr w:rsidR="00FC360C" w:rsidRPr="00F63BAF" w14:paraId="228CADAA" w14:textId="77777777" w:rsidTr="002F237A">
        <w:tc>
          <w:tcPr>
            <w:tcW w:w="2802" w:type="dxa"/>
            <w:tcBorders>
              <w:left w:val="single" w:sz="6" w:space="0" w:color="auto"/>
              <w:right w:val="single" w:sz="6" w:space="0" w:color="auto"/>
            </w:tcBorders>
          </w:tcPr>
          <w:p w14:paraId="73012360" w14:textId="77777777" w:rsidR="00FC360C" w:rsidRPr="00F63BAF" w:rsidRDefault="00FC360C" w:rsidP="002F237A">
            <w:pPr>
              <w:tabs>
                <w:tab w:val="left" w:pos="284"/>
              </w:tabs>
              <w:spacing w:before="20" w:after="20" w:line="240" w:lineRule="auto"/>
              <w:rPr>
                <w:rFonts w:eastAsia="Calibri" w:cs="Arial"/>
                <w:i/>
                <w:sz w:val="17"/>
                <w:szCs w:val="17"/>
                <w:lang w:eastAsia="en-US"/>
              </w:rPr>
            </w:pPr>
            <w:r w:rsidRPr="00F63BAF">
              <w:rPr>
                <w:rFonts w:eastAsia="Calibri" w:cs="Arial"/>
                <w:sz w:val="17"/>
                <w:szCs w:val="17"/>
                <w:lang w:eastAsia="en-US"/>
              </w:rPr>
              <w:t>Whiting</w:t>
            </w:r>
          </w:p>
        </w:tc>
        <w:tc>
          <w:tcPr>
            <w:tcW w:w="1701" w:type="dxa"/>
            <w:tcBorders>
              <w:left w:val="nil"/>
            </w:tcBorders>
          </w:tcPr>
          <w:p w14:paraId="0DB706D3"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2268" w:type="dxa"/>
          </w:tcPr>
          <w:p w14:paraId="418D8453"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2976" w:type="dxa"/>
            <w:tcBorders>
              <w:right w:val="single" w:sz="6" w:space="0" w:color="auto"/>
            </w:tcBorders>
          </w:tcPr>
          <w:p w14:paraId="6D1A3C6A"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r>
      <w:tr w:rsidR="00FC360C" w:rsidRPr="00F63BAF" w14:paraId="3355B8C4" w14:textId="77777777" w:rsidTr="002F237A">
        <w:tc>
          <w:tcPr>
            <w:tcW w:w="2802" w:type="dxa"/>
            <w:tcBorders>
              <w:left w:val="single" w:sz="6" w:space="0" w:color="auto"/>
              <w:right w:val="single" w:sz="6" w:space="0" w:color="auto"/>
            </w:tcBorders>
          </w:tcPr>
          <w:p w14:paraId="09EF0FAE" w14:textId="77777777" w:rsidR="00FC360C" w:rsidRPr="00F63BAF" w:rsidRDefault="00FC360C" w:rsidP="002F237A">
            <w:pPr>
              <w:spacing w:before="20" w:after="20" w:line="240" w:lineRule="auto"/>
              <w:ind w:left="360"/>
              <w:rPr>
                <w:rFonts w:eastAsia="Calibri" w:cs="Arial"/>
                <w:i/>
                <w:sz w:val="17"/>
                <w:szCs w:val="17"/>
                <w:lang w:eastAsia="en-US"/>
              </w:rPr>
            </w:pPr>
            <w:r w:rsidRPr="00F63BAF">
              <w:rPr>
                <w:rFonts w:eastAsia="Calibri" w:cs="Arial"/>
                <w:i/>
                <w:sz w:val="17"/>
                <w:szCs w:val="17"/>
                <w:lang w:eastAsia="en-US"/>
              </w:rPr>
              <w:t>Merlangius merlangus</w:t>
            </w:r>
          </w:p>
          <w:p w14:paraId="33392D2D" w14:textId="77777777" w:rsidR="00FC360C" w:rsidRPr="00F63BAF" w:rsidRDefault="00FC360C" w:rsidP="002F237A">
            <w:pPr>
              <w:spacing w:before="20" w:after="20" w:line="240" w:lineRule="auto"/>
              <w:rPr>
                <w:rFonts w:eastAsia="Calibri" w:cs="Arial"/>
                <w:b/>
                <w:sz w:val="17"/>
                <w:szCs w:val="17"/>
                <w:lang w:eastAsia="en-US"/>
              </w:rPr>
            </w:pPr>
          </w:p>
        </w:tc>
        <w:tc>
          <w:tcPr>
            <w:tcW w:w="1701" w:type="dxa"/>
            <w:tcBorders>
              <w:left w:val="nil"/>
            </w:tcBorders>
          </w:tcPr>
          <w:p w14:paraId="3386DC35"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cs="Arial"/>
                <w:spacing w:val="-3"/>
                <w:sz w:val="16"/>
                <w:szCs w:val="16"/>
              </w:rPr>
              <w:t xml:space="preserve"> 25 to 20 individuals, or 15 if justified, or 5 batches of 5 individuals</w:t>
            </w:r>
          </w:p>
        </w:tc>
        <w:tc>
          <w:tcPr>
            <w:tcW w:w="2268" w:type="dxa"/>
          </w:tcPr>
          <w:p w14:paraId="57BAB452"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20-35</w:t>
            </w:r>
          </w:p>
        </w:tc>
        <w:tc>
          <w:tcPr>
            <w:tcW w:w="2976" w:type="dxa"/>
            <w:tcBorders>
              <w:right w:val="single" w:sz="6" w:space="0" w:color="auto"/>
            </w:tcBorders>
          </w:tcPr>
          <w:p w14:paraId="30A48A2D"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Muscle for Hg. Liver for all other determinands</w:t>
            </w:r>
          </w:p>
        </w:tc>
      </w:tr>
      <w:tr w:rsidR="00FC360C" w:rsidRPr="00F63BAF" w14:paraId="120A7001" w14:textId="77777777" w:rsidTr="002F237A">
        <w:tc>
          <w:tcPr>
            <w:tcW w:w="2802" w:type="dxa"/>
            <w:tcBorders>
              <w:left w:val="single" w:sz="6" w:space="0" w:color="auto"/>
              <w:right w:val="single" w:sz="6" w:space="0" w:color="auto"/>
            </w:tcBorders>
          </w:tcPr>
          <w:p w14:paraId="7A9DF790" w14:textId="77777777" w:rsidR="00FC360C" w:rsidRPr="00F63BAF" w:rsidRDefault="00FC360C" w:rsidP="002F237A">
            <w:pPr>
              <w:spacing w:before="20" w:after="20" w:line="240" w:lineRule="auto"/>
              <w:rPr>
                <w:rFonts w:eastAsia="Calibri" w:cs="Arial"/>
                <w:sz w:val="17"/>
                <w:szCs w:val="17"/>
                <w:lang w:eastAsia="en-US"/>
              </w:rPr>
            </w:pPr>
            <w:r w:rsidRPr="00F63BAF">
              <w:rPr>
                <w:rFonts w:eastAsia="Calibri" w:cs="Arial"/>
                <w:sz w:val="17"/>
                <w:szCs w:val="17"/>
                <w:lang w:eastAsia="en-US"/>
              </w:rPr>
              <w:t>Hake</w:t>
            </w:r>
          </w:p>
        </w:tc>
        <w:tc>
          <w:tcPr>
            <w:tcW w:w="1701" w:type="dxa"/>
            <w:tcBorders>
              <w:left w:val="nil"/>
            </w:tcBorders>
          </w:tcPr>
          <w:p w14:paraId="192F50A4"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2268" w:type="dxa"/>
          </w:tcPr>
          <w:p w14:paraId="47356AD6"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2976" w:type="dxa"/>
            <w:tcBorders>
              <w:right w:val="single" w:sz="6" w:space="0" w:color="auto"/>
            </w:tcBorders>
          </w:tcPr>
          <w:p w14:paraId="6750639D"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r>
      <w:tr w:rsidR="00FC360C" w:rsidRPr="00F63BAF" w14:paraId="5457F741" w14:textId="77777777" w:rsidTr="002F237A">
        <w:tc>
          <w:tcPr>
            <w:tcW w:w="2802" w:type="dxa"/>
            <w:tcBorders>
              <w:left w:val="single" w:sz="6" w:space="0" w:color="auto"/>
              <w:bottom w:val="single" w:sz="6" w:space="0" w:color="auto"/>
              <w:right w:val="single" w:sz="6" w:space="0" w:color="auto"/>
            </w:tcBorders>
          </w:tcPr>
          <w:p w14:paraId="35779468" w14:textId="77777777" w:rsidR="00FC360C" w:rsidRPr="00F63BAF" w:rsidRDefault="00FC360C" w:rsidP="002F237A">
            <w:pPr>
              <w:spacing w:before="20" w:after="20" w:line="240" w:lineRule="auto"/>
              <w:ind w:left="284"/>
              <w:rPr>
                <w:rFonts w:eastAsia="Calibri" w:cs="Arial"/>
                <w:i/>
                <w:sz w:val="17"/>
                <w:szCs w:val="17"/>
                <w:lang w:eastAsia="en-US"/>
              </w:rPr>
            </w:pPr>
            <w:r w:rsidRPr="00F63BAF">
              <w:rPr>
                <w:rFonts w:eastAsia="Calibri" w:cs="Arial"/>
                <w:i/>
                <w:sz w:val="17"/>
                <w:szCs w:val="17"/>
                <w:lang w:eastAsia="en-US"/>
              </w:rPr>
              <w:t>Merluccius merluccius</w:t>
            </w:r>
          </w:p>
        </w:tc>
        <w:tc>
          <w:tcPr>
            <w:tcW w:w="1701" w:type="dxa"/>
            <w:tcBorders>
              <w:left w:val="nil"/>
              <w:bottom w:val="single" w:sz="6" w:space="0" w:color="auto"/>
            </w:tcBorders>
          </w:tcPr>
          <w:p w14:paraId="47851C8B"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cs="Arial"/>
                <w:spacing w:val="-3"/>
                <w:sz w:val="16"/>
                <w:szCs w:val="16"/>
              </w:rPr>
              <w:t xml:space="preserve"> 25 to 20 individuals, or 15 if justified, or 5 batches of 5 individuals</w:t>
            </w:r>
          </w:p>
        </w:tc>
        <w:tc>
          <w:tcPr>
            <w:tcW w:w="2268" w:type="dxa"/>
            <w:tcBorders>
              <w:bottom w:val="single" w:sz="6" w:space="0" w:color="auto"/>
            </w:tcBorders>
          </w:tcPr>
          <w:p w14:paraId="58A4D444"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20-35</w:t>
            </w:r>
          </w:p>
        </w:tc>
        <w:tc>
          <w:tcPr>
            <w:tcW w:w="2976" w:type="dxa"/>
            <w:tcBorders>
              <w:bottom w:val="single" w:sz="6" w:space="0" w:color="auto"/>
              <w:right w:val="single" w:sz="6" w:space="0" w:color="auto"/>
            </w:tcBorders>
          </w:tcPr>
          <w:p w14:paraId="46701164"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Muscle for Hg. Liver for all other determinands</w:t>
            </w:r>
          </w:p>
        </w:tc>
      </w:tr>
    </w:tbl>
    <w:p w14:paraId="4DB54EDB" w14:textId="77777777" w:rsidR="00FC360C" w:rsidRPr="00F63BAF" w:rsidRDefault="00FC360C" w:rsidP="00FC360C">
      <w:pPr>
        <w:spacing w:after="140"/>
        <w:rPr>
          <w:rFonts w:cs="Arial"/>
          <w:szCs w:val="22"/>
        </w:rPr>
      </w:pPr>
    </w:p>
    <w:p w14:paraId="301B3DDE" w14:textId="77777777" w:rsidR="0098261C" w:rsidRDefault="0098261C">
      <w:pPr>
        <w:tabs>
          <w:tab w:val="clear" w:pos="567"/>
          <w:tab w:val="clear" w:pos="1134"/>
          <w:tab w:val="clear" w:pos="1701"/>
          <w:tab w:val="clear" w:pos="2268"/>
        </w:tabs>
        <w:spacing w:after="200"/>
        <w:jc w:val="left"/>
        <w:rPr>
          <w:rFonts w:cs="Arial"/>
          <w:szCs w:val="22"/>
        </w:rPr>
      </w:pPr>
      <w:r>
        <w:rPr>
          <w:rFonts w:cs="Arial"/>
          <w:szCs w:val="22"/>
        </w:rPr>
        <w:br w:type="page"/>
      </w:r>
    </w:p>
    <w:p w14:paraId="3F9F0405" w14:textId="2E7A97B8" w:rsidR="00FC360C" w:rsidRPr="00F63BAF" w:rsidRDefault="00FC360C" w:rsidP="00FC360C">
      <w:pPr>
        <w:spacing w:before="60" w:after="140"/>
        <w:rPr>
          <w:rFonts w:cs="Arial"/>
          <w:szCs w:val="22"/>
        </w:rPr>
      </w:pPr>
      <w:r w:rsidRPr="00F63BAF">
        <w:rPr>
          <w:rFonts w:cs="Arial"/>
          <w:szCs w:val="22"/>
        </w:rPr>
        <w:t>4.2.2</w:t>
      </w:r>
      <w:r w:rsidRPr="00F63BAF">
        <w:rPr>
          <w:rFonts w:cs="Arial"/>
          <w:szCs w:val="22"/>
        </w:rPr>
        <w:tab/>
        <w:t>Sampling area</w:t>
      </w:r>
    </w:p>
    <w:p w14:paraId="526A1333" w14:textId="77777777" w:rsidR="00FC360C" w:rsidRPr="00F63BAF" w:rsidRDefault="00FC360C" w:rsidP="00935187">
      <w:pPr>
        <w:pStyle w:val="Heading4"/>
      </w:pPr>
      <w:r w:rsidRPr="00F63BAF">
        <w:t>Fish</w:t>
      </w:r>
    </w:p>
    <w:p w14:paraId="4A6F6E22" w14:textId="77777777" w:rsidR="00FC360C" w:rsidRPr="00F63BAF" w:rsidRDefault="00FC360C" w:rsidP="00FC360C">
      <w:pPr>
        <w:spacing w:after="140"/>
        <w:rPr>
          <w:rFonts w:cs="Arial"/>
        </w:rPr>
      </w:pPr>
      <w:r w:rsidRPr="00F63BAF">
        <w:rPr>
          <w:rFonts w:cs="Arial"/>
        </w:rPr>
        <w:t>22.</w:t>
      </w:r>
      <w:r w:rsidRPr="00F63BAF">
        <w:rPr>
          <w:rFonts w:cs="Arial"/>
        </w:rPr>
        <w:tab/>
        <w:t>To improve the power of the programme, samples should be collected from areas characterised by relatively low natural variability. The spatial representativeness of the area should be known.</w:t>
      </w:r>
    </w:p>
    <w:p w14:paraId="2FE0E9B1" w14:textId="77777777" w:rsidR="00FC360C" w:rsidRPr="00F63BAF" w:rsidRDefault="00FC360C" w:rsidP="00935187">
      <w:pPr>
        <w:pStyle w:val="Heading4"/>
      </w:pPr>
      <w:r w:rsidRPr="00F63BAF">
        <w:t>Shellfish</w:t>
      </w:r>
    </w:p>
    <w:p w14:paraId="6271EEE2" w14:textId="77777777" w:rsidR="00FC360C" w:rsidRPr="00F63BAF" w:rsidRDefault="00FC360C" w:rsidP="00FC360C">
      <w:pPr>
        <w:spacing w:after="140"/>
        <w:rPr>
          <w:rFonts w:cs="Arial"/>
        </w:rPr>
      </w:pPr>
      <w:r w:rsidRPr="00F63BAF">
        <w:rPr>
          <w:rFonts w:cs="Arial"/>
        </w:rPr>
        <w:t>23.</w:t>
      </w:r>
      <w:r w:rsidRPr="00F63BAF">
        <w:rPr>
          <w:rFonts w:cs="Arial"/>
        </w:rPr>
        <w:tab/>
        <w:t>The spatial representativeness of the area should be known. Samples should preferably be collected from sub-tidal regions, otherwise as near to the low water spring tide level as possible. They should be collected as near to the same depth and exposure (i.e. in terms of light and wave action) as possible in order to reduce variability in contaminant uptake. The boundary of the sampling site must be specified. At locations where suitable natural populations are not available, caged mussels may be used.</w:t>
      </w:r>
    </w:p>
    <w:p w14:paraId="47E64E29" w14:textId="77777777" w:rsidR="00FC360C" w:rsidRPr="00F63BAF" w:rsidRDefault="00FC360C" w:rsidP="00935187">
      <w:pPr>
        <w:pStyle w:val="Heading4"/>
      </w:pPr>
      <w:r w:rsidRPr="00F63BAF">
        <w:t>Seabird eggs</w:t>
      </w:r>
    </w:p>
    <w:p w14:paraId="6951509C" w14:textId="77777777" w:rsidR="00FC360C" w:rsidRPr="00F63BAF" w:rsidRDefault="00FC360C" w:rsidP="00FC360C">
      <w:pPr>
        <w:spacing w:after="140"/>
        <w:rPr>
          <w:rFonts w:cs="Arial"/>
        </w:rPr>
      </w:pPr>
      <w:r w:rsidRPr="00F63BAF">
        <w:rPr>
          <w:rFonts w:cs="Arial"/>
        </w:rPr>
        <w:t>24.</w:t>
      </w:r>
      <w:r w:rsidRPr="00F63BAF">
        <w:rPr>
          <w:rFonts w:cs="Arial"/>
        </w:rPr>
        <w:tab/>
        <w:t>Sampling sites should reflect important breeding areas. To collect the necessary number of eggs over the period of the monitoring programme sampling sites should be chosen where sufficient numbers of pairs of birds can be expected to breed for the required number of years.</w:t>
      </w:r>
    </w:p>
    <w:p w14:paraId="6F8E6914" w14:textId="77777777" w:rsidR="00FC360C" w:rsidRPr="00F63BAF" w:rsidRDefault="00FC360C" w:rsidP="002F237A">
      <w:pPr>
        <w:pStyle w:val="Heading3"/>
      </w:pPr>
      <w:bookmarkStart w:id="44" w:name="_Toc511217348"/>
      <w:r w:rsidRPr="00F63BAF">
        <w:t>4.2.3</w:t>
      </w:r>
      <w:r w:rsidRPr="00F63BAF">
        <w:tab/>
        <w:t>Sampling frequency</w:t>
      </w:r>
      <w:bookmarkEnd w:id="44"/>
    </w:p>
    <w:p w14:paraId="4562207F" w14:textId="77777777" w:rsidR="00FC360C" w:rsidRPr="00F63BAF" w:rsidRDefault="00FC360C" w:rsidP="00FC360C">
      <w:pPr>
        <w:spacing w:after="140"/>
        <w:rPr>
          <w:rFonts w:cs="Arial"/>
        </w:rPr>
      </w:pPr>
      <w:r w:rsidRPr="00F63BAF">
        <w:rPr>
          <w:rFonts w:cs="Arial"/>
        </w:rPr>
        <w:t>25.</w:t>
      </w:r>
      <w:r w:rsidRPr="00F63BAF">
        <w:rPr>
          <w:rFonts w:cs="Arial"/>
        </w:rPr>
        <w:tab/>
        <w:t>Sampling should be annual. In cases where no trend can still be observed, no local source is influencing the sampling site and natural variability is the dominant reason for variations in concentrations, it may also be possible to reduce the monitoring effort and to change from annual sampling to longer intervals.</w:t>
      </w:r>
    </w:p>
    <w:p w14:paraId="60858845" w14:textId="77777777" w:rsidR="00FC360C" w:rsidRPr="00F63BAF" w:rsidRDefault="00FC360C" w:rsidP="002F237A">
      <w:pPr>
        <w:pStyle w:val="Heading3"/>
      </w:pPr>
      <w:bookmarkStart w:id="45" w:name="_Toc511217349"/>
      <w:r w:rsidRPr="00F63BAF">
        <w:t>4.2.4</w:t>
      </w:r>
      <w:r w:rsidRPr="00F63BAF">
        <w:tab/>
        <w:t>Sampling period</w:t>
      </w:r>
      <w:bookmarkEnd w:id="45"/>
    </w:p>
    <w:p w14:paraId="7DC99AA0" w14:textId="77777777" w:rsidR="00FC360C" w:rsidRPr="00F63BAF" w:rsidRDefault="00FC360C" w:rsidP="00935187">
      <w:pPr>
        <w:pStyle w:val="Heading4"/>
      </w:pPr>
      <w:r w:rsidRPr="00F63BAF">
        <w:t>Fish</w:t>
      </w:r>
    </w:p>
    <w:p w14:paraId="3A3DEAFB" w14:textId="6F07E8BD" w:rsidR="00FC360C" w:rsidRPr="00F63BAF" w:rsidRDefault="00FC360C" w:rsidP="00FC360C">
      <w:pPr>
        <w:spacing w:after="140"/>
        <w:rPr>
          <w:rFonts w:cs="Arial"/>
        </w:rPr>
      </w:pPr>
      <w:r w:rsidRPr="00F63BAF">
        <w:rPr>
          <w:rFonts w:cs="Arial"/>
        </w:rPr>
        <w:t>26.</w:t>
      </w:r>
      <w:r w:rsidRPr="00F63BAF">
        <w:rPr>
          <w:rFonts w:cs="Arial"/>
        </w:rPr>
        <w:tab/>
        <w:t>Sampling should take place when fish are in a stable physiological state and, in any case, outside the period of spawning. See Table 3 for further guidance. Sampling should take place within a fixed time span each year (e.g. mid August-mid October</w:t>
      </w:r>
      <w:r w:rsidRPr="00F63BAF" w:rsidDel="00804E8C">
        <w:rPr>
          <w:rFonts w:cs="Arial"/>
        </w:rPr>
        <w:t xml:space="preserve"> </w:t>
      </w:r>
      <w:r w:rsidRPr="00F63BAF">
        <w:rPr>
          <w:rFonts w:cs="Arial"/>
        </w:rPr>
        <w:t>for fish in the southern North Sea).</w:t>
      </w:r>
    </w:p>
    <w:p w14:paraId="746C6696" w14:textId="77777777" w:rsidR="00FC360C" w:rsidRPr="00F63BAF" w:rsidRDefault="00FC360C" w:rsidP="00935187">
      <w:pPr>
        <w:pStyle w:val="Heading4"/>
      </w:pPr>
      <w:r w:rsidRPr="00F63BAF">
        <w:t>Shellfish</w:t>
      </w:r>
    </w:p>
    <w:p w14:paraId="7DA88CAA" w14:textId="1D789000" w:rsidR="00FC360C" w:rsidRPr="00F63BAF" w:rsidRDefault="00FC360C" w:rsidP="00FC360C">
      <w:pPr>
        <w:spacing w:after="140"/>
        <w:rPr>
          <w:rFonts w:cs="Arial"/>
        </w:rPr>
      </w:pPr>
      <w:r w:rsidRPr="00F63BAF">
        <w:rPr>
          <w:rFonts w:cs="Arial"/>
        </w:rPr>
        <w:t>27.</w:t>
      </w:r>
      <w:r w:rsidRPr="00F63BAF">
        <w:rPr>
          <w:rFonts w:cs="Arial"/>
        </w:rPr>
        <w:tab/>
        <w:t xml:space="preserve">Sampling should take place during late autumn/early winter, when mussels are in a more stable physiological </w:t>
      </w:r>
      <w:proofErr w:type="gramStart"/>
      <w:r w:rsidRPr="00F63BAF">
        <w:rPr>
          <w:rFonts w:cs="Arial"/>
        </w:rPr>
        <w:t>status,</w:t>
      </w:r>
      <w:proofErr w:type="gramEnd"/>
      <w:r w:rsidRPr="00F63BAF">
        <w:rPr>
          <w:rFonts w:cs="Arial"/>
        </w:rPr>
        <w:t xml:space="preserve"> and in any case during a period before spawning. Gametogenesis and spawning generally occur in late spring to early summer, when individuals may lose up to 50% of their soft tissue weight. Table 3 give guidance on spawning periods.</w:t>
      </w:r>
    </w:p>
    <w:p w14:paraId="46293F7B" w14:textId="77777777" w:rsidR="00FC360C" w:rsidRPr="00F63BAF" w:rsidRDefault="00FC360C" w:rsidP="00935187">
      <w:pPr>
        <w:pStyle w:val="Heading4"/>
      </w:pPr>
      <w:r w:rsidRPr="00F63BAF">
        <w:t>Seabird eggs</w:t>
      </w:r>
    </w:p>
    <w:p w14:paraId="377536EA" w14:textId="77777777" w:rsidR="00FC360C" w:rsidRPr="00F63BAF" w:rsidRDefault="00FC360C" w:rsidP="00FC360C">
      <w:pPr>
        <w:spacing w:after="140"/>
        <w:rPr>
          <w:rFonts w:cs="Arial"/>
        </w:rPr>
      </w:pPr>
      <w:r w:rsidRPr="00F63BAF">
        <w:rPr>
          <w:rFonts w:cs="Arial"/>
        </w:rPr>
        <w:t>28.</w:t>
      </w:r>
      <w:r w:rsidRPr="00F63BAF">
        <w:rPr>
          <w:rFonts w:cs="Arial"/>
        </w:rPr>
        <w:tab/>
        <w:t>Eggs should be sampled during the species-specific, year-specific and site-specific peak of the first laying cycle within the year. This generally occurs in May/June. Only fresh eggs should be taken from full clutches. For each species, site and year, 10 eggs should be sampled with one egg taken randomly from each of 10 clutches from the first laying cycle within the year.</w:t>
      </w:r>
    </w:p>
    <w:p w14:paraId="26C871B2" w14:textId="77777777" w:rsidR="00FC360C" w:rsidRPr="00F63BAF" w:rsidRDefault="00FC360C" w:rsidP="002F237A">
      <w:pPr>
        <w:pStyle w:val="Heading2"/>
        <w:rPr>
          <w:lang w:val="en-GB"/>
        </w:rPr>
      </w:pPr>
      <w:bookmarkStart w:id="46" w:name="_Toc240875556"/>
      <w:bookmarkStart w:id="47" w:name="_Toc511217350"/>
      <w:r w:rsidRPr="00F63BAF">
        <w:rPr>
          <w:lang w:val="en-GB"/>
        </w:rPr>
        <w:t>4.3</w:t>
      </w:r>
      <w:r w:rsidRPr="00F63BAF">
        <w:rPr>
          <w:lang w:val="en-GB"/>
        </w:rPr>
        <w:tab/>
        <w:t>Sampling strategy for spatial distribution monitoring</w:t>
      </w:r>
      <w:bookmarkEnd w:id="46"/>
      <w:bookmarkEnd w:id="47"/>
    </w:p>
    <w:p w14:paraId="72BE8676" w14:textId="77777777" w:rsidR="00FC360C" w:rsidRPr="00F63BAF" w:rsidRDefault="00FC360C" w:rsidP="00FC360C">
      <w:pPr>
        <w:spacing w:after="140"/>
        <w:rPr>
          <w:rFonts w:cs="Arial"/>
        </w:rPr>
      </w:pPr>
      <w:r w:rsidRPr="00F63BAF">
        <w:rPr>
          <w:rFonts w:cs="Arial"/>
        </w:rPr>
        <w:t>29.</w:t>
      </w:r>
      <w:r w:rsidRPr="00F63BAF">
        <w:rPr>
          <w:rFonts w:cs="Arial"/>
        </w:rPr>
        <w:tab/>
        <w:t xml:space="preserve">For each spatial distribution programme, the species and sampling strategy, including quantitative objectives, should be clearly defined to ensure that the purpose of the programme is fulfilled. </w:t>
      </w:r>
    </w:p>
    <w:p w14:paraId="1239640A" w14:textId="77777777" w:rsidR="00FC360C" w:rsidRPr="00F63BAF" w:rsidRDefault="00FC360C" w:rsidP="002F237A">
      <w:pPr>
        <w:pStyle w:val="Heading3"/>
      </w:pPr>
      <w:bookmarkStart w:id="48" w:name="_Toc511217351"/>
      <w:r w:rsidRPr="00F63BAF">
        <w:t>4.3.1</w:t>
      </w:r>
      <w:r w:rsidRPr="00F63BAF">
        <w:tab/>
        <w:t>Species and sampling</w:t>
      </w:r>
      <w:bookmarkEnd w:id="48"/>
    </w:p>
    <w:p w14:paraId="3EBFA12F" w14:textId="77777777" w:rsidR="00FC360C" w:rsidRPr="00F63BAF" w:rsidRDefault="00FC360C" w:rsidP="00FC360C">
      <w:pPr>
        <w:spacing w:after="140"/>
        <w:rPr>
          <w:rFonts w:cs="Arial"/>
        </w:rPr>
      </w:pPr>
      <w:r w:rsidRPr="00F63BAF">
        <w:rPr>
          <w:rFonts w:cs="Arial"/>
        </w:rPr>
        <w:t>30.</w:t>
      </w:r>
      <w:r w:rsidRPr="00F63BAF">
        <w:rPr>
          <w:rFonts w:cs="Arial"/>
        </w:rPr>
        <w:tab/>
        <w:t>Table 4 gives the recommended species and number of fish, shellfish and seabird eggs, the size of individual fish and shellfish and the tissue type. However, the number of fish and the number of stations as well as whether individuals or pooled samples should be analysed will depend on the specific objectives of the monitoring programme. In order to reduce the number of analyses which must be performed, pooled samples may be used. Additional, more specific, guidelines on the treatment of samples may need to be prepared by the programme managers.</w:t>
      </w:r>
    </w:p>
    <w:p w14:paraId="589761D6" w14:textId="77777777" w:rsidR="00FC360C" w:rsidRPr="00F63BAF" w:rsidRDefault="00FC360C" w:rsidP="002F237A">
      <w:pPr>
        <w:spacing w:after="140"/>
        <w:rPr>
          <w:rFonts w:cs="Arial"/>
        </w:rPr>
      </w:pPr>
      <w:proofErr w:type="gramStart"/>
      <w:r w:rsidRPr="00F63BAF">
        <w:rPr>
          <w:rFonts w:cs="Arial"/>
          <w:b/>
        </w:rPr>
        <w:t xml:space="preserve">Table 3: </w:t>
      </w:r>
      <w:r w:rsidRPr="00F63BAF">
        <w:rPr>
          <w:rFonts w:cs="Arial"/>
        </w:rPr>
        <w:t>Time of spawning season.</w:t>
      </w:r>
      <w:proofErr w:type="gramEnd"/>
      <w:r w:rsidRPr="00F63BAF">
        <w:rPr>
          <w:rFonts w:cs="Arial"/>
        </w:rPr>
        <w:t xml:space="preserve"> Spawning season varies regionally due to climate conditions and in the case of fish it is recommended to use FishBase (</w:t>
      </w:r>
      <w:hyperlink r:id="rId13" w:history="1">
        <w:r w:rsidRPr="00F63BAF">
          <w:rPr>
            <w:rFonts w:cs="Arial"/>
            <w:color w:val="0000FF"/>
            <w:u w:val="single"/>
          </w:rPr>
          <w:t>http://www.fishbase.org/search.php</w:t>
        </w:r>
      </w:hyperlink>
      <w:r w:rsidRPr="00F63BAF">
        <w:rPr>
          <w:rFonts w:cs="Arial"/>
        </w:rPr>
        <w:t xml:space="preserve">) in order to find the specific spawning time for a particular </w:t>
      </w:r>
      <w:r w:rsidR="002F237A" w:rsidRPr="00F63BAF">
        <w:rPr>
          <w:rFonts w:cs="Arial"/>
        </w:rPr>
        <w:t>sea area.</w:t>
      </w:r>
    </w:p>
    <w:tbl>
      <w:tblPr>
        <w:tblW w:w="9747" w:type="dxa"/>
        <w:tblLayout w:type="fixed"/>
        <w:tblLook w:val="0000" w:firstRow="0" w:lastRow="0" w:firstColumn="0" w:lastColumn="0" w:noHBand="0" w:noVBand="0"/>
      </w:tblPr>
      <w:tblGrid>
        <w:gridCol w:w="2235"/>
        <w:gridCol w:w="2126"/>
        <w:gridCol w:w="5386"/>
      </w:tblGrid>
      <w:tr w:rsidR="00FC360C" w:rsidRPr="00F63BAF" w14:paraId="77EF8D5D" w14:textId="77777777" w:rsidTr="002F237A">
        <w:tc>
          <w:tcPr>
            <w:tcW w:w="2235" w:type="dxa"/>
            <w:tcBorders>
              <w:top w:val="single" w:sz="6" w:space="0" w:color="auto"/>
              <w:left w:val="single" w:sz="6" w:space="0" w:color="auto"/>
              <w:bottom w:val="single" w:sz="6" w:space="0" w:color="auto"/>
              <w:right w:val="single" w:sz="6" w:space="0" w:color="auto"/>
            </w:tcBorders>
          </w:tcPr>
          <w:p w14:paraId="42913FCF" w14:textId="77777777" w:rsidR="00FC360C" w:rsidRPr="00F63BAF" w:rsidRDefault="00FC360C" w:rsidP="002F237A">
            <w:pPr>
              <w:tabs>
                <w:tab w:val="clear" w:pos="567"/>
                <w:tab w:val="clear" w:pos="1134"/>
                <w:tab w:val="clear" w:pos="1701"/>
                <w:tab w:val="clear" w:pos="2268"/>
                <w:tab w:val="left" w:pos="357"/>
                <w:tab w:val="left" w:pos="1418"/>
              </w:tabs>
              <w:spacing w:after="140" w:line="240" w:lineRule="auto"/>
              <w:rPr>
                <w:rFonts w:cs="Arial"/>
              </w:rPr>
            </w:pPr>
            <w:r w:rsidRPr="00F63BAF">
              <w:rPr>
                <w:rFonts w:cs="Arial"/>
                <w:b/>
              </w:rPr>
              <w:t>Species</w:t>
            </w:r>
          </w:p>
        </w:tc>
        <w:tc>
          <w:tcPr>
            <w:tcW w:w="2126" w:type="dxa"/>
            <w:tcBorders>
              <w:top w:val="single" w:sz="6" w:space="0" w:color="auto"/>
              <w:left w:val="nil"/>
              <w:bottom w:val="single" w:sz="6" w:space="0" w:color="auto"/>
            </w:tcBorders>
          </w:tcPr>
          <w:p w14:paraId="5949C5B5" w14:textId="77777777" w:rsidR="00FC360C" w:rsidRPr="00F63BAF" w:rsidRDefault="00FC360C" w:rsidP="002F237A">
            <w:pPr>
              <w:tabs>
                <w:tab w:val="left" w:pos="284"/>
              </w:tabs>
              <w:spacing w:before="60" w:after="60" w:line="240" w:lineRule="auto"/>
              <w:rPr>
                <w:rFonts w:eastAsia="Calibri" w:cs="Arial"/>
                <w:b/>
                <w:lang w:eastAsia="en-US"/>
              </w:rPr>
            </w:pPr>
            <w:r w:rsidRPr="00F63BAF">
              <w:rPr>
                <w:rFonts w:eastAsia="Calibri" w:cs="Arial"/>
                <w:b/>
                <w:lang w:eastAsia="en-US"/>
              </w:rPr>
              <w:t>Spawning season</w:t>
            </w:r>
          </w:p>
        </w:tc>
        <w:tc>
          <w:tcPr>
            <w:tcW w:w="5386" w:type="dxa"/>
            <w:tcBorders>
              <w:top w:val="single" w:sz="6" w:space="0" w:color="auto"/>
              <w:bottom w:val="single" w:sz="6" w:space="0" w:color="auto"/>
              <w:right w:val="single" w:sz="6" w:space="0" w:color="auto"/>
            </w:tcBorders>
          </w:tcPr>
          <w:p w14:paraId="7E32A4F7" w14:textId="77777777" w:rsidR="00FC360C" w:rsidRPr="00F63BAF" w:rsidRDefault="00FC360C" w:rsidP="002F237A">
            <w:pPr>
              <w:tabs>
                <w:tab w:val="left" w:pos="284"/>
              </w:tabs>
              <w:spacing w:before="60" w:after="60" w:line="240" w:lineRule="auto"/>
              <w:rPr>
                <w:rFonts w:eastAsia="Calibri" w:cs="Arial"/>
                <w:b/>
                <w:lang w:eastAsia="en-US"/>
              </w:rPr>
            </w:pPr>
            <w:r w:rsidRPr="00F63BAF">
              <w:rPr>
                <w:rFonts w:eastAsia="Calibri" w:cs="Arial"/>
                <w:b/>
                <w:lang w:eastAsia="en-US"/>
              </w:rPr>
              <w:t>Reference</w:t>
            </w:r>
          </w:p>
        </w:tc>
      </w:tr>
      <w:tr w:rsidR="00FC360C" w:rsidRPr="00F63BAF" w14:paraId="1CB8ED17" w14:textId="77777777" w:rsidTr="002F237A">
        <w:tc>
          <w:tcPr>
            <w:tcW w:w="2235" w:type="dxa"/>
            <w:tcBorders>
              <w:left w:val="single" w:sz="6" w:space="0" w:color="auto"/>
              <w:right w:val="single" w:sz="6" w:space="0" w:color="auto"/>
            </w:tcBorders>
          </w:tcPr>
          <w:p w14:paraId="3C0F2FE2" w14:textId="77777777" w:rsidR="00FC360C" w:rsidRPr="00F63BAF" w:rsidRDefault="00FC360C" w:rsidP="002F237A">
            <w:pPr>
              <w:tabs>
                <w:tab w:val="left" w:pos="284"/>
              </w:tabs>
              <w:spacing w:before="40" w:after="40" w:line="240" w:lineRule="auto"/>
              <w:rPr>
                <w:rFonts w:eastAsia="Calibri" w:cs="Arial"/>
                <w:lang w:eastAsia="en-US"/>
              </w:rPr>
            </w:pPr>
            <w:r w:rsidRPr="00F63BAF">
              <w:rPr>
                <w:rFonts w:eastAsia="Calibri" w:cs="Arial"/>
                <w:b/>
                <w:lang w:eastAsia="en-US"/>
              </w:rPr>
              <w:t>Shellfish</w:t>
            </w:r>
          </w:p>
        </w:tc>
        <w:tc>
          <w:tcPr>
            <w:tcW w:w="2126" w:type="dxa"/>
            <w:tcBorders>
              <w:left w:val="nil"/>
            </w:tcBorders>
          </w:tcPr>
          <w:p w14:paraId="2DACB7C3" w14:textId="77777777" w:rsidR="00FC360C" w:rsidRPr="00F63BAF" w:rsidRDefault="00FC360C" w:rsidP="002F237A">
            <w:pPr>
              <w:tabs>
                <w:tab w:val="left" w:pos="284"/>
              </w:tabs>
              <w:spacing w:before="40" w:after="40" w:line="240" w:lineRule="auto"/>
              <w:rPr>
                <w:rFonts w:eastAsia="Calibri" w:cs="Arial"/>
                <w:lang w:eastAsia="en-US"/>
              </w:rPr>
            </w:pPr>
          </w:p>
        </w:tc>
        <w:tc>
          <w:tcPr>
            <w:tcW w:w="5386" w:type="dxa"/>
            <w:tcBorders>
              <w:right w:val="single" w:sz="6" w:space="0" w:color="auto"/>
            </w:tcBorders>
          </w:tcPr>
          <w:p w14:paraId="56127254" w14:textId="77777777" w:rsidR="00FC360C" w:rsidRPr="00F63BAF" w:rsidRDefault="00FC360C" w:rsidP="002F237A">
            <w:pPr>
              <w:tabs>
                <w:tab w:val="left" w:pos="284"/>
              </w:tabs>
              <w:spacing w:before="40" w:after="40" w:line="240" w:lineRule="auto"/>
              <w:rPr>
                <w:rFonts w:eastAsia="Calibri" w:cs="Arial"/>
                <w:sz w:val="16"/>
                <w:szCs w:val="16"/>
                <w:lang w:eastAsia="en-US"/>
              </w:rPr>
            </w:pPr>
          </w:p>
        </w:tc>
      </w:tr>
      <w:tr w:rsidR="00FC360C" w:rsidRPr="00F63BAF" w14:paraId="6D0E621C" w14:textId="77777777" w:rsidTr="002F237A">
        <w:tc>
          <w:tcPr>
            <w:tcW w:w="2235" w:type="dxa"/>
            <w:tcBorders>
              <w:left w:val="single" w:sz="6" w:space="0" w:color="auto"/>
              <w:right w:val="single" w:sz="6" w:space="0" w:color="auto"/>
            </w:tcBorders>
          </w:tcPr>
          <w:p w14:paraId="7D6C4665" w14:textId="77777777" w:rsidR="00FC360C" w:rsidRPr="00F63BAF" w:rsidRDefault="00FC360C" w:rsidP="002F237A">
            <w:pPr>
              <w:tabs>
                <w:tab w:val="left" w:pos="284"/>
              </w:tabs>
              <w:spacing w:before="120" w:after="200" w:line="240" w:lineRule="auto"/>
              <w:rPr>
                <w:rFonts w:eastAsia="Calibri" w:cs="Arial"/>
                <w:b/>
                <w:sz w:val="17"/>
                <w:szCs w:val="17"/>
                <w:lang w:eastAsia="en-US"/>
              </w:rPr>
            </w:pPr>
            <w:r w:rsidRPr="00F63BAF">
              <w:rPr>
                <w:rFonts w:eastAsia="Calibri" w:cs="Arial"/>
                <w:sz w:val="17"/>
                <w:szCs w:val="17"/>
                <w:lang w:eastAsia="en-US"/>
              </w:rPr>
              <w:t>Mussel</w:t>
            </w:r>
          </w:p>
        </w:tc>
        <w:tc>
          <w:tcPr>
            <w:tcW w:w="2126" w:type="dxa"/>
            <w:tcBorders>
              <w:left w:val="nil"/>
            </w:tcBorders>
          </w:tcPr>
          <w:p w14:paraId="3DD595FD" w14:textId="77777777" w:rsidR="00FC360C" w:rsidRPr="00F63BAF" w:rsidRDefault="00FC360C" w:rsidP="002F237A">
            <w:pPr>
              <w:tabs>
                <w:tab w:val="left" w:pos="284"/>
              </w:tabs>
              <w:spacing w:before="120" w:after="200" w:line="240" w:lineRule="auto"/>
              <w:rPr>
                <w:rFonts w:eastAsia="Calibri" w:cs="Arial"/>
                <w:sz w:val="17"/>
                <w:szCs w:val="17"/>
                <w:lang w:eastAsia="en-US"/>
              </w:rPr>
            </w:pPr>
          </w:p>
        </w:tc>
        <w:tc>
          <w:tcPr>
            <w:tcW w:w="5386" w:type="dxa"/>
            <w:tcBorders>
              <w:right w:val="single" w:sz="6" w:space="0" w:color="auto"/>
            </w:tcBorders>
          </w:tcPr>
          <w:p w14:paraId="45E7EA25" w14:textId="77777777" w:rsidR="00FC360C" w:rsidRPr="00F63BAF" w:rsidRDefault="00FC360C" w:rsidP="002F237A">
            <w:pPr>
              <w:tabs>
                <w:tab w:val="left" w:pos="284"/>
              </w:tabs>
              <w:spacing w:before="120" w:after="200" w:line="240" w:lineRule="auto"/>
              <w:rPr>
                <w:rFonts w:eastAsia="Calibri" w:cs="Arial"/>
                <w:sz w:val="17"/>
                <w:szCs w:val="17"/>
                <w:lang w:eastAsia="en-US"/>
              </w:rPr>
            </w:pPr>
          </w:p>
        </w:tc>
      </w:tr>
      <w:tr w:rsidR="00FC360C" w:rsidRPr="00F63BAF" w14:paraId="6896AAFC" w14:textId="77777777" w:rsidTr="002F237A">
        <w:tc>
          <w:tcPr>
            <w:tcW w:w="2235" w:type="dxa"/>
            <w:tcBorders>
              <w:left w:val="single" w:sz="6" w:space="0" w:color="auto"/>
              <w:right w:val="single" w:sz="6" w:space="0" w:color="auto"/>
            </w:tcBorders>
          </w:tcPr>
          <w:p w14:paraId="5BD6AFC0" w14:textId="77777777" w:rsidR="00FC360C" w:rsidRPr="00F63BAF" w:rsidRDefault="00FC360C" w:rsidP="002F237A">
            <w:pPr>
              <w:spacing w:line="240" w:lineRule="auto"/>
              <w:ind w:left="360"/>
              <w:rPr>
                <w:rFonts w:eastAsia="Calibri" w:cs="Arial"/>
                <w:i/>
                <w:sz w:val="17"/>
                <w:szCs w:val="17"/>
                <w:lang w:eastAsia="en-US"/>
              </w:rPr>
            </w:pPr>
            <w:r w:rsidRPr="00F63BAF">
              <w:rPr>
                <w:rFonts w:eastAsia="Calibri" w:cs="Arial"/>
                <w:i/>
                <w:sz w:val="17"/>
                <w:szCs w:val="17"/>
                <w:lang w:eastAsia="en-US"/>
              </w:rPr>
              <w:t>Mytilus edulis</w:t>
            </w:r>
          </w:p>
          <w:p w14:paraId="56214206" w14:textId="77777777" w:rsidR="00FC360C" w:rsidRPr="00F63BAF" w:rsidRDefault="00FC360C" w:rsidP="002F237A">
            <w:pPr>
              <w:spacing w:line="240" w:lineRule="auto"/>
              <w:ind w:left="360"/>
              <w:rPr>
                <w:rFonts w:eastAsia="Calibri" w:cs="Arial"/>
                <w:i/>
                <w:sz w:val="17"/>
                <w:szCs w:val="17"/>
                <w:lang w:eastAsia="en-US"/>
              </w:rPr>
            </w:pPr>
            <w:r w:rsidRPr="00F63BAF">
              <w:rPr>
                <w:rFonts w:eastAsia="Calibri" w:cs="Arial"/>
                <w:i/>
                <w:sz w:val="17"/>
                <w:szCs w:val="17"/>
                <w:lang w:eastAsia="en-US"/>
              </w:rPr>
              <w:t>M. galloprovincialis</w:t>
            </w:r>
          </w:p>
        </w:tc>
        <w:tc>
          <w:tcPr>
            <w:tcW w:w="2126" w:type="dxa"/>
            <w:tcBorders>
              <w:left w:val="nil"/>
            </w:tcBorders>
          </w:tcPr>
          <w:p w14:paraId="54EEC1E3" w14:textId="77777777" w:rsidR="00FC360C" w:rsidRPr="00F63BAF" w:rsidRDefault="00FC360C" w:rsidP="002F237A">
            <w:pPr>
              <w:tabs>
                <w:tab w:val="left" w:pos="284"/>
              </w:tabs>
              <w:spacing w:line="240" w:lineRule="auto"/>
              <w:rPr>
                <w:rFonts w:eastAsia="Calibri" w:cs="Arial"/>
                <w:sz w:val="17"/>
                <w:szCs w:val="17"/>
                <w:lang w:eastAsia="en-US"/>
              </w:rPr>
            </w:pPr>
            <w:r w:rsidRPr="00F63BAF">
              <w:rPr>
                <w:rFonts w:eastAsia="Calibri" w:cs="Arial"/>
                <w:sz w:val="17"/>
                <w:szCs w:val="17"/>
                <w:lang w:eastAsia="en-US"/>
              </w:rPr>
              <w:t xml:space="preserve">Spawning throughout the year but normally peaks in springtime and autumn </w:t>
            </w:r>
          </w:p>
        </w:tc>
        <w:tc>
          <w:tcPr>
            <w:tcW w:w="5386" w:type="dxa"/>
            <w:tcBorders>
              <w:right w:val="single" w:sz="6" w:space="0" w:color="auto"/>
            </w:tcBorders>
          </w:tcPr>
          <w:p w14:paraId="6690F5E8" w14:textId="77777777" w:rsidR="00FC360C" w:rsidRPr="00F63BAF" w:rsidRDefault="0098261C" w:rsidP="002F237A">
            <w:pPr>
              <w:tabs>
                <w:tab w:val="left" w:pos="284"/>
              </w:tabs>
              <w:spacing w:line="240" w:lineRule="auto"/>
              <w:rPr>
                <w:rFonts w:eastAsia="Calibri" w:cs="Arial"/>
                <w:sz w:val="17"/>
                <w:szCs w:val="17"/>
                <w:lang w:eastAsia="en-US"/>
              </w:rPr>
            </w:pPr>
            <w:hyperlink r:id="rId14" w:history="1">
              <w:r w:rsidR="00FC360C" w:rsidRPr="00F63BAF">
                <w:rPr>
                  <w:rFonts w:eastAsia="Calibri" w:cs="Arial"/>
                  <w:color w:val="0000FF"/>
                  <w:sz w:val="17"/>
                  <w:szCs w:val="17"/>
                  <w:u w:val="single"/>
                  <w:lang w:eastAsia="en-US"/>
                </w:rPr>
                <w:t>http://www.ukmarinesac.org.uk/communities/biogenic-reefs/br4_4.htm</w:t>
              </w:r>
            </w:hyperlink>
          </w:p>
          <w:p w14:paraId="6236BA51" w14:textId="77777777" w:rsidR="00FC360C" w:rsidRPr="00F63BAF" w:rsidRDefault="00FC360C" w:rsidP="002F237A">
            <w:pPr>
              <w:tabs>
                <w:tab w:val="left" w:pos="284"/>
              </w:tabs>
              <w:spacing w:line="240" w:lineRule="auto"/>
              <w:rPr>
                <w:rFonts w:eastAsia="Calibri" w:cs="Arial"/>
                <w:sz w:val="17"/>
                <w:szCs w:val="17"/>
                <w:lang w:eastAsia="en-US"/>
              </w:rPr>
            </w:pPr>
          </w:p>
        </w:tc>
      </w:tr>
      <w:tr w:rsidR="00FC360C" w:rsidRPr="00F63BAF" w14:paraId="15DDC79E" w14:textId="77777777" w:rsidTr="002F237A">
        <w:tc>
          <w:tcPr>
            <w:tcW w:w="2235" w:type="dxa"/>
            <w:tcBorders>
              <w:left w:val="single" w:sz="6" w:space="0" w:color="auto"/>
              <w:right w:val="single" w:sz="6" w:space="0" w:color="auto"/>
            </w:tcBorders>
          </w:tcPr>
          <w:p w14:paraId="772A8585" w14:textId="77777777" w:rsidR="00FC360C" w:rsidRPr="00F63BAF" w:rsidRDefault="00FC360C" w:rsidP="002F237A">
            <w:pPr>
              <w:tabs>
                <w:tab w:val="left" w:pos="284"/>
              </w:tabs>
              <w:spacing w:line="240" w:lineRule="auto"/>
              <w:rPr>
                <w:rFonts w:eastAsia="Calibri" w:cs="Arial"/>
                <w:i/>
                <w:sz w:val="17"/>
                <w:szCs w:val="17"/>
                <w:lang w:eastAsia="en-US"/>
              </w:rPr>
            </w:pPr>
            <w:r w:rsidRPr="00F63BAF">
              <w:rPr>
                <w:rFonts w:eastAsia="Calibri" w:cs="Arial"/>
                <w:sz w:val="17"/>
                <w:szCs w:val="17"/>
                <w:lang w:eastAsia="en-US"/>
              </w:rPr>
              <w:t>Pacific oyster</w:t>
            </w:r>
          </w:p>
        </w:tc>
        <w:tc>
          <w:tcPr>
            <w:tcW w:w="2126" w:type="dxa"/>
            <w:tcBorders>
              <w:left w:val="nil"/>
            </w:tcBorders>
          </w:tcPr>
          <w:p w14:paraId="355148D0" w14:textId="77777777" w:rsidR="00FC360C" w:rsidRPr="00F63BAF" w:rsidRDefault="00FC360C" w:rsidP="002F237A">
            <w:pPr>
              <w:tabs>
                <w:tab w:val="left" w:pos="284"/>
              </w:tabs>
              <w:spacing w:line="240" w:lineRule="auto"/>
              <w:rPr>
                <w:rFonts w:eastAsia="Calibri" w:cs="Arial"/>
                <w:sz w:val="17"/>
                <w:szCs w:val="17"/>
                <w:lang w:eastAsia="en-US"/>
              </w:rPr>
            </w:pPr>
            <w:r w:rsidRPr="00F63BAF">
              <w:rPr>
                <w:rFonts w:eastAsia="Calibri" w:cs="Arial"/>
                <w:sz w:val="17"/>
                <w:szCs w:val="17"/>
                <w:lang w:eastAsia="en-US"/>
              </w:rPr>
              <w:t>Summer months (above 20 °C)</w:t>
            </w:r>
          </w:p>
        </w:tc>
        <w:tc>
          <w:tcPr>
            <w:tcW w:w="5386" w:type="dxa"/>
            <w:tcBorders>
              <w:right w:val="single" w:sz="6" w:space="0" w:color="auto"/>
            </w:tcBorders>
          </w:tcPr>
          <w:p w14:paraId="0A631308" w14:textId="77777777" w:rsidR="00FC360C" w:rsidRPr="00F63BAF" w:rsidRDefault="0098261C" w:rsidP="002F237A">
            <w:pPr>
              <w:tabs>
                <w:tab w:val="left" w:pos="284"/>
              </w:tabs>
              <w:spacing w:line="240" w:lineRule="auto"/>
              <w:rPr>
                <w:rFonts w:eastAsia="Calibri" w:cs="Arial"/>
                <w:sz w:val="17"/>
                <w:szCs w:val="17"/>
                <w:lang w:eastAsia="en-US"/>
              </w:rPr>
            </w:pPr>
            <w:hyperlink r:id="rId15" w:history="1">
              <w:r w:rsidR="00FC360C" w:rsidRPr="00F63BAF">
                <w:rPr>
                  <w:rFonts w:eastAsia="Calibri" w:cs="Arial"/>
                  <w:color w:val="0000FF"/>
                  <w:sz w:val="17"/>
                  <w:szCs w:val="17"/>
                  <w:u w:val="single"/>
                  <w:lang w:eastAsia="en-US"/>
                </w:rPr>
                <w:t>http://www.fao.org/fishery/culturedspecies/Crassostrea_gigas/en</w:t>
              </w:r>
            </w:hyperlink>
          </w:p>
        </w:tc>
      </w:tr>
      <w:tr w:rsidR="00FC360C" w:rsidRPr="00F63BAF" w14:paraId="46EAA24B" w14:textId="77777777" w:rsidTr="002F237A">
        <w:tc>
          <w:tcPr>
            <w:tcW w:w="2235" w:type="dxa"/>
            <w:tcBorders>
              <w:left w:val="single" w:sz="6" w:space="0" w:color="auto"/>
              <w:right w:val="single" w:sz="6" w:space="0" w:color="auto"/>
            </w:tcBorders>
          </w:tcPr>
          <w:p w14:paraId="783FA43A" w14:textId="77777777" w:rsidR="00FC360C" w:rsidRPr="00F63BAF" w:rsidRDefault="00FC360C" w:rsidP="002F237A">
            <w:pPr>
              <w:spacing w:after="200" w:line="240" w:lineRule="auto"/>
              <w:ind w:left="360"/>
              <w:rPr>
                <w:rFonts w:eastAsia="Calibri" w:cs="Arial"/>
                <w:i/>
                <w:sz w:val="17"/>
                <w:szCs w:val="17"/>
                <w:lang w:eastAsia="en-US"/>
              </w:rPr>
            </w:pPr>
            <w:r w:rsidRPr="00F63BAF">
              <w:rPr>
                <w:rFonts w:eastAsia="Calibri" w:cs="Arial"/>
                <w:i/>
                <w:sz w:val="17"/>
                <w:szCs w:val="17"/>
                <w:lang w:eastAsia="en-US"/>
              </w:rPr>
              <w:t>Crassostrea gigas</w:t>
            </w:r>
          </w:p>
        </w:tc>
        <w:tc>
          <w:tcPr>
            <w:tcW w:w="2126" w:type="dxa"/>
            <w:tcBorders>
              <w:left w:val="nil"/>
            </w:tcBorders>
          </w:tcPr>
          <w:p w14:paraId="3C8C4F3D" w14:textId="77777777" w:rsidR="00FC360C" w:rsidRPr="00F63BAF" w:rsidRDefault="00FC360C" w:rsidP="002F237A">
            <w:pPr>
              <w:tabs>
                <w:tab w:val="left" w:pos="284"/>
              </w:tabs>
              <w:spacing w:after="200" w:line="240" w:lineRule="auto"/>
              <w:rPr>
                <w:rFonts w:eastAsia="Calibri" w:cs="Arial"/>
                <w:sz w:val="17"/>
                <w:szCs w:val="17"/>
                <w:lang w:eastAsia="en-US"/>
              </w:rPr>
            </w:pPr>
          </w:p>
        </w:tc>
        <w:tc>
          <w:tcPr>
            <w:tcW w:w="5386" w:type="dxa"/>
            <w:tcBorders>
              <w:right w:val="single" w:sz="6" w:space="0" w:color="auto"/>
            </w:tcBorders>
          </w:tcPr>
          <w:p w14:paraId="6DC8AEE6" w14:textId="77777777" w:rsidR="00FC360C" w:rsidRPr="00F63BAF" w:rsidRDefault="00FC360C" w:rsidP="002F237A">
            <w:pPr>
              <w:tabs>
                <w:tab w:val="left" w:pos="284"/>
              </w:tabs>
              <w:spacing w:after="200" w:line="240" w:lineRule="auto"/>
              <w:rPr>
                <w:rFonts w:eastAsia="Calibri" w:cs="Arial"/>
                <w:sz w:val="17"/>
                <w:szCs w:val="17"/>
                <w:lang w:eastAsia="en-US"/>
              </w:rPr>
            </w:pPr>
          </w:p>
        </w:tc>
      </w:tr>
      <w:tr w:rsidR="00FC360C" w:rsidRPr="00F63BAF" w14:paraId="4B8D2108" w14:textId="77777777" w:rsidTr="002F237A">
        <w:tc>
          <w:tcPr>
            <w:tcW w:w="2235" w:type="dxa"/>
            <w:tcBorders>
              <w:top w:val="single" w:sz="6" w:space="0" w:color="auto"/>
              <w:left w:val="single" w:sz="6" w:space="0" w:color="auto"/>
              <w:right w:val="single" w:sz="6" w:space="0" w:color="auto"/>
            </w:tcBorders>
          </w:tcPr>
          <w:p w14:paraId="3260F116" w14:textId="77777777" w:rsidR="00FC360C" w:rsidRPr="00F63BAF" w:rsidRDefault="00FC360C" w:rsidP="002F237A">
            <w:pPr>
              <w:tabs>
                <w:tab w:val="left" w:pos="284"/>
              </w:tabs>
              <w:spacing w:before="40" w:after="40" w:line="240" w:lineRule="auto"/>
              <w:rPr>
                <w:rFonts w:eastAsia="Calibri" w:cs="Arial"/>
                <w:b/>
                <w:lang w:eastAsia="en-US"/>
              </w:rPr>
            </w:pPr>
            <w:r w:rsidRPr="00F63BAF">
              <w:rPr>
                <w:rFonts w:eastAsia="Calibri" w:cs="Arial"/>
                <w:b/>
                <w:lang w:eastAsia="en-US"/>
              </w:rPr>
              <w:t>Flatfish</w:t>
            </w:r>
          </w:p>
        </w:tc>
        <w:tc>
          <w:tcPr>
            <w:tcW w:w="2126" w:type="dxa"/>
            <w:tcBorders>
              <w:top w:val="single" w:sz="6" w:space="0" w:color="auto"/>
              <w:left w:val="nil"/>
            </w:tcBorders>
          </w:tcPr>
          <w:p w14:paraId="4C0DAAAA" w14:textId="77777777" w:rsidR="00FC360C" w:rsidRPr="00F63BAF" w:rsidRDefault="00FC360C" w:rsidP="002F237A">
            <w:pPr>
              <w:tabs>
                <w:tab w:val="left" w:pos="284"/>
              </w:tabs>
              <w:spacing w:before="40" w:after="40" w:line="240" w:lineRule="auto"/>
              <w:rPr>
                <w:rFonts w:eastAsia="Calibri" w:cs="Arial"/>
                <w:b/>
                <w:lang w:eastAsia="en-US"/>
              </w:rPr>
            </w:pPr>
          </w:p>
        </w:tc>
        <w:tc>
          <w:tcPr>
            <w:tcW w:w="5386" w:type="dxa"/>
            <w:tcBorders>
              <w:top w:val="single" w:sz="6" w:space="0" w:color="auto"/>
              <w:right w:val="single" w:sz="6" w:space="0" w:color="auto"/>
            </w:tcBorders>
          </w:tcPr>
          <w:p w14:paraId="43591526" w14:textId="77777777" w:rsidR="00FC360C" w:rsidRPr="00F63BAF" w:rsidRDefault="00FC360C" w:rsidP="002F237A">
            <w:pPr>
              <w:tabs>
                <w:tab w:val="left" w:pos="284"/>
              </w:tabs>
              <w:spacing w:before="40" w:after="40" w:line="240" w:lineRule="auto"/>
              <w:rPr>
                <w:rFonts w:eastAsia="Calibri" w:cs="Arial"/>
                <w:b/>
                <w:lang w:eastAsia="en-US"/>
              </w:rPr>
            </w:pPr>
          </w:p>
        </w:tc>
      </w:tr>
      <w:tr w:rsidR="00FC360C" w:rsidRPr="00F63BAF" w14:paraId="7749CC98" w14:textId="77777777" w:rsidTr="002F237A">
        <w:tc>
          <w:tcPr>
            <w:tcW w:w="2235" w:type="dxa"/>
            <w:tcBorders>
              <w:left w:val="single" w:sz="6" w:space="0" w:color="auto"/>
              <w:right w:val="single" w:sz="6" w:space="0" w:color="auto"/>
            </w:tcBorders>
          </w:tcPr>
          <w:p w14:paraId="0038FBAA" w14:textId="77777777" w:rsidR="00FC360C" w:rsidRPr="00F63BAF" w:rsidRDefault="00FC360C" w:rsidP="002F237A">
            <w:pPr>
              <w:tabs>
                <w:tab w:val="left" w:pos="284"/>
              </w:tabs>
              <w:spacing w:before="120" w:line="240" w:lineRule="auto"/>
              <w:rPr>
                <w:rFonts w:eastAsia="Calibri" w:cs="Arial"/>
                <w:b/>
                <w:sz w:val="17"/>
                <w:szCs w:val="17"/>
                <w:lang w:eastAsia="en-US"/>
              </w:rPr>
            </w:pPr>
            <w:r w:rsidRPr="00F63BAF">
              <w:rPr>
                <w:rFonts w:eastAsia="Calibri" w:cs="Arial"/>
                <w:sz w:val="17"/>
                <w:szCs w:val="17"/>
                <w:lang w:eastAsia="en-US"/>
              </w:rPr>
              <w:t>Dab</w:t>
            </w:r>
          </w:p>
        </w:tc>
        <w:tc>
          <w:tcPr>
            <w:tcW w:w="2126" w:type="dxa"/>
            <w:tcBorders>
              <w:left w:val="nil"/>
            </w:tcBorders>
          </w:tcPr>
          <w:p w14:paraId="251B4E60" w14:textId="77777777" w:rsidR="00FC360C" w:rsidRPr="00F63BAF" w:rsidRDefault="00FC360C" w:rsidP="002F237A">
            <w:pPr>
              <w:tabs>
                <w:tab w:val="left" w:pos="284"/>
              </w:tabs>
              <w:spacing w:before="120" w:line="240" w:lineRule="auto"/>
              <w:rPr>
                <w:rFonts w:eastAsia="Calibri" w:cs="Arial"/>
                <w:sz w:val="17"/>
                <w:szCs w:val="17"/>
                <w:lang w:eastAsia="en-US"/>
              </w:rPr>
            </w:pPr>
          </w:p>
        </w:tc>
        <w:tc>
          <w:tcPr>
            <w:tcW w:w="5386" w:type="dxa"/>
            <w:tcBorders>
              <w:right w:val="single" w:sz="6" w:space="0" w:color="auto"/>
            </w:tcBorders>
          </w:tcPr>
          <w:p w14:paraId="239A7366" w14:textId="77777777" w:rsidR="00FC360C" w:rsidRPr="00F63BAF" w:rsidRDefault="00FC360C" w:rsidP="002F237A">
            <w:pPr>
              <w:tabs>
                <w:tab w:val="left" w:pos="284"/>
              </w:tabs>
              <w:spacing w:before="120" w:line="240" w:lineRule="auto"/>
              <w:rPr>
                <w:rFonts w:eastAsia="Calibri" w:cs="Arial"/>
                <w:sz w:val="17"/>
                <w:szCs w:val="17"/>
                <w:lang w:eastAsia="en-US"/>
              </w:rPr>
            </w:pPr>
          </w:p>
        </w:tc>
      </w:tr>
      <w:tr w:rsidR="00FC360C" w:rsidRPr="00F63BAF" w14:paraId="3684DE45" w14:textId="77777777" w:rsidTr="002F237A">
        <w:tc>
          <w:tcPr>
            <w:tcW w:w="2235" w:type="dxa"/>
            <w:tcBorders>
              <w:left w:val="single" w:sz="6" w:space="0" w:color="auto"/>
              <w:right w:val="single" w:sz="6" w:space="0" w:color="auto"/>
            </w:tcBorders>
          </w:tcPr>
          <w:p w14:paraId="653ADA6D" w14:textId="77777777" w:rsidR="00FC360C" w:rsidRPr="00F63BAF" w:rsidRDefault="00FC360C" w:rsidP="002F237A">
            <w:pPr>
              <w:spacing w:line="240" w:lineRule="auto"/>
              <w:ind w:left="360"/>
              <w:rPr>
                <w:rFonts w:eastAsia="Calibri" w:cs="Arial"/>
                <w:b/>
                <w:sz w:val="17"/>
                <w:szCs w:val="17"/>
                <w:lang w:eastAsia="en-US"/>
              </w:rPr>
            </w:pPr>
            <w:r w:rsidRPr="00F63BAF">
              <w:rPr>
                <w:rFonts w:eastAsia="Calibri" w:cs="Arial"/>
                <w:i/>
                <w:sz w:val="17"/>
                <w:szCs w:val="17"/>
                <w:lang w:eastAsia="en-US"/>
              </w:rPr>
              <w:t>Limanda limanda</w:t>
            </w:r>
          </w:p>
        </w:tc>
        <w:tc>
          <w:tcPr>
            <w:tcW w:w="2126" w:type="dxa"/>
            <w:tcBorders>
              <w:left w:val="nil"/>
            </w:tcBorders>
          </w:tcPr>
          <w:p w14:paraId="1DDA8781" w14:textId="77777777" w:rsidR="00FC360C" w:rsidRPr="00F63BAF" w:rsidRDefault="00FC360C" w:rsidP="002F237A">
            <w:pPr>
              <w:tabs>
                <w:tab w:val="left" w:pos="284"/>
              </w:tabs>
              <w:spacing w:line="240" w:lineRule="auto"/>
              <w:rPr>
                <w:rFonts w:eastAsia="Calibri" w:cs="Arial"/>
                <w:sz w:val="17"/>
                <w:szCs w:val="17"/>
                <w:lang w:eastAsia="en-US"/>
              </w:rPr>
            </w:pPr>
            <w:r w:rsidRPr="00F63BAF">
              <w:rPr>
                <w:rFonts w:eastAsia="Calibri" w:cs="Arial"/>
                <w:sz w:val="17"/>
                <w:szCs w:val="17"/>
                <w:lang w:eastAsia="en-US"/>
              </w:rPr>
              <w:t>January-August</w:t>
            </w:r>
          </w:p>
        </w:tc>
        <w:tc>
          <w:tcPr>
            <w:tcW w:w="5386" w:type="dxa"/>
            <w:tcBorders>
              <w:right w:val="single" w:sz="6" w:space="0" w:color="auto"/>
            </w:tcBorders>
          </w:tcPr>
          <w:p w14:paraId="638D15A9" w14:textId="77777777" w:rsidR="00FC360C" w:rsidRPr="00F63BAF" w:rsidRDefault="0098261C" w:rsidP="002F237A">
            <w:pPr>
              <w:tabs>
                <w:tab w:val="left" w:pos="284"/>
              </w:tabs>
              <w:spacing w:line="240" w:lineRule="auto"/>
              <w:rPr>
                <w:rFonts w:eastAsia="Calibri" w:cs="Arial"/>
                <w:sz w:val="17"/>
                <w:szCs w:val="17"/>
                <w:lang w:eastAsia="en-US"/>
              </w:rPr>
            </w:pPr>
            <w:hyperlink r:id="rId16" w:history="1">
              <w:r w:rsidR="00FC360C" w:rsidRPr="00F63BAF">
                <w:rPr>
                  <w:rFonts w:eastAsia="Calibri" w:cs="Arial"/>
                  <w:color w:val="0000FF"/>
                  <w:sz w:val="17"/>
                  <w:szCs w:val="17"/>
                  <w:u w:val="single"/>
                  <w:lang w:eastAsia="en-US"/>
                </w:rPr>
                <w:t>http://www.fishbase.org/Reproduction/SpawningList.php?ID=695&amp;GenusName=Limanda&amp;SpeciesName=limanda&amp;fc=440&amp;StockCode=711</w:t>
              </w:r>
            </w:hyperlink>
          </w:p>
        </w:tc>
      </w:tr>
      <w:tr w:rsidR="00FC360C" w:rsidRPr="00F63BAF" w14:paraId="21AEDAA6" w14:textId="77777777" w:rsidTr="002F237A">
        <w:tc>
          <w:tcPr>
            <w:tcW w:w="2235" w:type="dxa"/>
            <w:tcBorders>
              <w:left w:val="single" w:sz="6" w:space="0" w:color="auto"/>
              <w:right w:val="single" w:sz="6" w:space="0" w:color="auto"/>
            </w:tcBorders>
          </w:tcPr>
          <w:p w14:paraId="224FC9CC" w14:textId="77777777" w:rsidR="00FC360C" w:rsidRPr="00F63BAF" w:rsidRDefault="00FC360C" w:rsidP="002F237A">
            <w:pPr>
              <w:tabs>
                <w:tab w:val="left" w:pos="284"/>
              </w:tabs>
              <w:spacing w:before="120" w:line="240" w:lineRule="auto"/>
              <w:rPr>
                <w:rFonts w:eastAsia="Calibri" w:cs="Arial"/>
                <w:b/>
                <w:sz w:val="17"/>
                <w:szCs w:val="17"/>
                <w:lang w:eastAsia="en-US"/>
              </w:rPr>
            </w:pPr>
            <w:r w:rsidRPr="00F63BAF">
              <w:rPr>
                <w:rFonts w:eastAsia="Calibri" w:cs="Arial"/>
                <w:sz w:val="17"/>
                <w:szCs w:val="17"/>
                <w:lang w:eastAsia="en-US"/>
              </w:rPr>
              <w:t>Plaice</w:t>
            </w:r>
          </w:p>
        </w:tc>
        <w:tc>
          <w:tcPr>
            <w:tcW w:w="2126" w:type="dxa"/>
            <w:tcBorders>
              <w:left w:val="nil"/>
            </w:tcBorders>
          </w:tcPr>
          <w:p w14:paraId="69FD4A95" w14:textId="77777777" w:rsidR="00FC360C" w:rsidRPr="00F63BAF" w:rsidRDefault="00FC360C" w:rsidP="002F237A">
            <w:pPr>
              <w:tabs>
                <w:tab w:val="left" w:pos="284"/>
              </w:tabs>
              <w:spacing w:before="120" w:line="240" w:lineRule="auto"/>
              <w:rPr>
                <w:rFonts w:eastAsia="Calibri" w:cs="Arial"/>
                <w:sz w:val="17"/>
                <w:szCs w:val="17"/>
                <w:lang w:eastAsia="en-US"/>
              </w:rPr>
            </w:pPr>
          </w:p>
        </w:tc>
        <w:tc>
          <w:tcPr>
            <w:tcW w:w="5386" w:type="dxa"/>
            <w:tcBorders>
              <w:right w:val="single" w:sz="6" w:space="0" w:color="auto"/>
            </w:tcBorders>
          </w:tcPr>
          <w:p w14:paraId="35232E2A" w14:textId="77777777" w:rsidR="00FC360C" w:rsidRPr="00F63BAF" w:rsidRDefault="00FC360C" w:rsidP="002F237A">
            <w:pPr>
              <w:tabs>
                <w:tab w:val="left" w:pos="284"/>
              </w:tabs>
              <w:spacing w:before="120" w:line="240" w:lineRule="auto"/>
              <w:rPr>
                <w:rFonts w:eastAsia="Calibri" w:cs="Arial"/>
                <w:sz w:val="17"/>
                <w:szCs w:val="17"/>
                <w:lang w:eastAsia="en-US"/>
              </w:rPr>
            </w:pPr>
          </w:p>
        </w:tc>
      </w:tr>
      <w:tr w:rsidR="00FC360C" w:rsidRPr="00F63BAF" w14:paraId="1A1730E6" w14:textId="77777777" w:rsidTr="002F237A">
        <w:tc>
          <w:tcPr>
            <w:tcW w:w="2235" w:type="dxa"/>
            <w:tcBorders>
              <w:left w:val="single" w:sz="6" w:space="0" w:color="auto"/>
              <w:right w:val="single" w:sz="6" w:space="0" w:color="auto"/>
            </w:tcBorders>
          </w:tcPr>
          <w:p w14:paraId="4C06E088" w14:textId="77777777" w:rsidR="00FC360C" w:rsidRPr="00F63BAF" w:rsidRDefault="00FC360C" w:rsidP="002F237A">
            <w:pPr>
              <w:spacing w:line="240" w:lineRule="auto"/>
              <w:ind w:left="360"/>
              <w:rPr>
                <w:rFonts w:eastAsia="Calibri" w:cs="Arial"/>
                <w:b/>
                <w:sz w:val="17"/>
                <w:szCs w:val="17"/>
                <w:lang w:eastAsia="en-US"/>
              </w:rPr>
            </w:pPr>
            <w:r w:rsidRPr="00F63BAF">
              <w:rPr>
                <w:rFonts w:eastAsia="Calibri" w:cs="Arial"/>
                <w:i/>
                <w:sz w:val="17"/>
                <w:szCs w:val="17"/>
                <w:lang w:eastAsia="en-US"/>
              </w:rPr>
              <w:t>Pleuronectes platessa</w:t>
            </w:r>
          </w:p>
        </w:tc>
        <w:tc>
          <w:tcPr>
            <w:tcW w:w="2126" w:type="dxa"/>
            <w:tcBorders>
              <w:left w:val="nil"/>
            </w:tcBorders>
          </w:tcPr>
          <w:p w14:paraId="3EE08D29" w14:textId="77777777" w:rsidR="00FC360C" w:rsidRPr="00F63BAF" w:rsidRDefault="00FC360C" w:rsidP="002F237A">
            <w:pPr>
              <w:tabs>
                <w:tab w:val="left" w:pos="284"/>
              </w:tabs>
              <w:spacing w:line="240" w:lineRule="auto"/>
              <w:rPr>
                <w:rFonts w:eastAsia="Calibri" w:cs="Arial"/>
                <w:sz w:val="17"/>
                <w:szCs w:val="17"/>
                <w:lang w:eastAsia="en-US"/>
              </w:rPr>
            </w:pPr>
            <w:r w:rsidRPr="00F63BAF">
              <w:rPr>
                <w:rFonts w:eastAsia="Calibri" w:cs="Arial"/>
                <w:sz w:val="17"/>
                <w:szCs w:val="17"/>
                <w:lang w:eastAsia="en-US"/>
              </w:rPr>
              <w:t>January-June</w:t>
            </w:r>
          </w:p>
        </w:tc>
        <w:tc>
          <w:tcPr>
            <w:tcW w:w="5386" w:type="dxa"/>
            <w:tcBorders>
              <w:right w:val="single" w:sz="6" w:space="0" w:color="auto"/>
            </w:tcBorders>
          </w:tcPr>
          <w:p w14:paraId="479429DF" w14:textId="77777777" w:rsidR="00FC360C" w:rsidRPr="00F63BAF" w:rsidRDefault="0098261C" w:rsidP="002F237A">
            <w:pPr>
              <w:tabs>
                <w:tab w:val="left" w:pos="284"/>
              </w:tabs>
              <w:spacing w:line="240" w:lineRule="auto"/>
              <w:rPr>
                <w:rFonts w:eastAsia="Calibri" w:cs="Arial"/>
                <w:sz w:val="17"/>
                <w:szCs w:val="17"/>
                <w:lang w:eastAsia="en-US"/>
              </w:rPr>
            </w:pPr>
            <w:hyperlink r:id="rId17" w:history="1">
              <w:r w:rsidR="00FC360C" w:rsidRPr="00F63BAF">
                <w:rPr>
                  <w:rFonts w:eastAsia="Calibri" w:cs="Arial"/>
                  <w:color w:val="0000FF"/>
                  <w:sz w:val="17"/>
                  <w:szCs w:val="17"/>
                  <w:u w:val="single"/>
                  <w:lang w:eastAsia="en-US"/>
                </w:rPr>
                <w:t>http://www.fishbase.org/Reproduction/SpawningList.php?ID=1342&amp;GenusName=Pleuronectes&amp;SpeciesName=platessa&amp;fc=440&amp;StockCode=1360</w:t>
              </w:r>
            </w:hyperlink>
          </w:p>
        </w:tc>
      </w:tr>
      <w:tr w:rsidR="00FC360C" w:rsidRPr="00F63BAF" w14:paraId="4663445C" w14:textId="77777777" w:rsidTr="002F237A">
        <w:tc>
          <w:tcPr>
            <w:tcW w:w="2235" w:type="dxa"/>
            <w:tcBorders>
              <w:left w:val="single" w:sz="6" w:space="0" w:color="auto"/>
              <w:right w:val="single" w:sz="6" w:space="0" w:color="auto"/>
            </w:tcBorders>
          </w:tcPr>
          <w:p w14:paraId="06BB95B7" w14:textId="77777777" w:rsidR="00FC360C" w:rsidRPr="00F63BAF" w:rsidRDefault="00FC360C" w:rsidP="002F237A">
            <w:pPr>
              <w:tabs>
                <w:tab w:val="left" w:pos="284"/>
              </w:tabs>
              <w:spacing w:before="120" w:line="240" w:lineRule="auto"/>
              <w:rPr>
                <w:rFonts w:eastAsia="Calibri" w:cs="Arial"/>
                <w:i/>
                <w:sz w:val="17"/>
                <w:szCs w:val="17"/>
                <w:lang w:eastAsia="en-US"/>
              </w:rPr>
            </w:pPr>
            <w:r w:rsidRPr="00F63BAF">
              <w:rPr>
                <w:rFonts w:eastAsia="Calibri" w:cs="Arial"/>
                <w:sz w:val="17"/>
                <w:szCs w:val="17"/>
                <w:lang w:eastAsia="en-US"/>
              </w:rPr>
              <w:t>Flounder</w:t>
            </w:r>
          </w:p>
        </w:tc>
        <w:tc>
          <w:tcPr>
            <w:tcW w:w="2126" w:type="dxa"/>
            <w:tcBorders>
              <w:left w:val="nil"/>
            </w:tcBorders>
          </w:tcPr>
          <w:p w14:paraId="656B3CC2" w14:textId="77777777" w:rsidR="00FC360C" w:rsidRPr="00F63BAF" w:rsidRDefault="00FC360C" w:rsidP="002F237A">
            <w:pPr>
              <w:tabs>
                <w:tab w:val="left" w:pos="284"/>
              </w:tabs>
              <w:spacing w:before="120" w:line="240" w:lineRule="auto"/>
              <w:rPr>
                <w:rFonts w:eastAsia="Calibri" w:cs="Arial"/>
                <w:sz w:val="17"/>
                <w:szCs w:val="17"/>
                <w:lang w:eastAsia="en-US"/>
              </w:rPr>
            </w:pPr>
          </w:p>
        </w:tc>
        <w:tc>
          <w:tcPr>
            <w:tcW w:w="5386" w:type="dxa"/>
            <w:tcBorders>
              <w:right w:val="single" w:sz="6" w:space="0" w:color="auto"/>
            </w:tcBorders>
          </w:tcPr>
          <w:p w14:paraId="5E06CFEB" w14:textId="77777777" w:rsidR="00FC360C" w:rsidRPr="00F63BAF" w:rsidRDefault="00FC360C" w:rsidP="002F237A">
            <w:pPr>
              <w:tabs>
                <w:tab w:val="left" w:pos="284"/>
              </w:tabs>
              <w:spacing w:before="120" w:line="240" w:lineRule="auto"/>
              <w:rPr>
                <w:rFonts w:eastAsia="Calibri" w:cs="Arial"/>
                <w:sz w:val="17"/>
                <w:szCs w:val="17"/>
                <w:lang w:eastAsia="en-US"/>
              </w:rPr>
            </w:pPr>
          </w:p>
        </w:tc>
      </w:tr>
      <w:tr w:rsidR="00FC360C" w:rsidRPr="00F63BAF" w14:paraId="46D26786" w14:textId="77777777" w:rsidTr="002F237A">
        <w:tc>
          <w:tcPr>
            <w:tcW w:w="2235" w:type="dxa"/>
            <w:tcBorders>
              <w:left w:val="single" w:sz="6" w:space="0" w:color="auto"/>
              <w:bottom w:val="single" w:sz="6" w:space="0" w:color="auto"/>
              <w:right w:val="single" w:sz="6" w:space="0" w:color="auto"/>
            </w:tcBorders>
          </w:tcPr>
          <w:p w14:paraId="69425D07" w14:textId="77777777" w:rsidR="00FC360C" w:rsidRPr="00F63BAF" w:rsidRDefault="00FC360C" w:rsidP="002F237A">
            <w:pPr>
              <w:spacing w:line="240" w:lineRule="auto"/>
              <w:ind w:left="360"/>
              <w:rPr>
                <w:rFonts w:eastAsia="Calibri" w:cs="Arial"/>
                <w:i/>
                <w:sz w:val="17"/>
                <w:szCs w:val="17"/>
                <w:lang w:eastAsia="en-US"/>
              </w:rPr>
            </w:pPr>
            <w:r w:rsidRPr="00F63BAF">
              <w:rPr>
                <w:rFonts w:eastAsia="Calibri" w:cs="Arial"/>
                <w:i/>
                <w:sz w:val="17"/>
                <w:szCs w:val="17"/>
                <w:lang w:eastAsia="en-US"/>
              </w:rPr>
              <w:t>Platichthys flesus</w:t>
            </w:r>
          </w:p>
        </w:tc>
        <w:tc>
          <w:tcPr>
            <w:tcW w:w="2126" w:type="dxa"/>
            <w:tcBorders>
              <w:left w:val="nil"/>
              <w:bottom w:val="single" w:sz="6" w:space="0" w:color="auto"/>
            </w:tcBorders>
          </w:tcPr>
          <w:p w14:paraId="31F7CD0E" w14:textId="77777777" w:rsidR="00FC360C" w:rsidRPr="00F63BAF" w:rsidRDefault="00FC360C" w:rsidP="002F237A">
            <w:pPr>
              <w:tabs>
                <w:tab w:val="left" w:pos="284"/>
              </w:tabs>
              <w:spacing w:line="240" w:lineRule="auto"/>
              <w:rPr>
                <w:rFonts w:eastAsia="Calibri" w:cs="Arial"/>
                <w:sz w:val="17"/>
                <w:szCs w:val="17"/>
                <w:lang w:eastAsia="en-US"/>
              </w:rPr>
            </w:pPr>
            <w:r w:rsidRPr="00F63BAF">
              <w:rPr>
                <w:rFonts w:eastAsia="Calibri" w:cs="Arial"/>
                <w:sz w:val="17"/>
                <w:szCs w:val="17"/>
                <w:lang w:eastAsia="en-US"/>
              </w:rPr>
              <w:t>January-June</w:t>
            </w:r>
          </w:p>
        </w:tc>
        <w:tc>
          <w:tcPr>
            <w:tcW w:w="5386" w:type="dxa"/>
            <w:tcBorders>
              <w:bottom w:val="single" w:sz="6" w:space="0" w:color="auto"/>
              <w:right w:val="single" w:sz="6" w:space="0" w:color="auto"/>
            </w:tcBorders>
          </w:tcPr>
          <w:p w14:paraId="0A826110" w14:textId="77777777" w:rsidR="00FC360C" w:rsidRPr="00F63BAF" w:rsidRDefault="0098261C" w:rsidP="002F237A">
            <w:pPr>
              <w:tabs>
                <w:tab w:val="left" w:pos="284"/>
              </w:tabs>
              <w:spacing w:line="240" w:lineRule="auto"/>
              <w:rPr>
                <w:rFonts w:eastAsia="Calibri" w:cs="Arial"/>
                <w:sz w:val="17"/>
                <w:szCs w:val="17"/>
                <w:lang w:eastAsia="en-US"/>
              </w:rPr>
            </w:pPr>
            <w:hyperlink r:id="rId18" w:history="1">
              <w:r w:rsidR="00FC360C" w:rsidRPr="00F63BAF">
                <w:rPr>
                  <w:rFonts w:eastAsia="Calibri" w:cs="Arial"/>
                  <w:color w:val="0000FF"/>
                  <w:sz w:val="17"/>
                  <w:szCs w:val="17"/>
                  <w:u w:val="single"/>
                  <w:lang w:eastAsia="en-US"/>
                </w:rPr>
                <w:t>http://www.fishbase.org/Reproduction/SpawningList.php?ID=1341&amp;GenusName=Platichthys&amp;SpeciesName=flesus&amp;fc=440&amp;StockCode=1359</w:t>
              </w:r>
            </w:hyperlink>
          </w:p>
        </w:tc>
      </w:tr>
      <w:tr w:rsidR="00FC360C" w:rsidRPr="00F63BAF" w14:paraId="658605FB" w14:textId="77777777" w:rsidTr="002F237A">
        <w:tc>
          <w:tcPr>
            <w:tcW w:w="2235" w:type="dxa"/>
            <w:tcBorders>
              <w:left w:val="single" w:sz="6" w:space="0" w:color="auto"/>
              <w:right w:val="single" w:sz="6" w:space="0" w:color="auto"/>
            </w:tcBorders>
          </w:tcPr>
          <w:p w14:paraId="10DA48D0" w14:textId="77777777" w:rsidR="00FC360C" w:rsidRPr="00F63BAF" w:rsidRDefault="00FC360C" w:rsidP="002F237A">
            <w:pPr>
              <w:tabs>
                <w:tab w:val="left" w:pos="284"/>
              </w:tabs>
              <w:spacing w:before="40" w:after="40" w:line="240" w:lineRule="auto"/>
              <w:rPr>
                <w:rFonts w:eastAsia="Calibri" w:cs="Arial"/>
                <w:b/>
                <w:lang w:eastAsia="en-US"/>
              </w:rPr>
            </w:pPr>
            <w:r w:rsidRPr="00F63BAF">
              <w:rPr>
                <w:rFonts w:eastAsia="Calibri" w:cs="Arial"/>
                <w:b/>
                <w:lang w:eastAsia="en-US"/>
              </w:rPr>
              <w:t>Roundfish</w:t>
            </w:r>
          </w:p>
        </w:tc>
        <w:tc>
          <w:tcPr>
            <w:tcW w:w="2126" w:type="dxa"/>
            <w:tcBorders>
              <w:left w:val="nil"/>
            </w:tcBorders>
          </w:tcPr>
          <w:p w14:paraId="212811D5" w14:textId="77777777" w:rsidR="00FC360C" w:rsidRPr="00F63BAF" w:rsidRDefault="00FC360C" w:rsidP="002F237A">
            <w:pPr>
              <w:tabs>
                <w:tab w:val="left" w:pos="284"/>
              </w:tabs>
              <w:spacing w:before="40" w:after="40" w:line="240" w:lineRule="auto"/>
              <w:rPr>
                <w:rFonts w:eastAsia="Calibri" w:cs="Arial"/>
                <w:b/>
                <w:lang w:eastAsia="en-US"/>
              </w:rPr>
            </w:pPr>
          </w:p>
        </w:tc>
        <w:tc>
          <w:tcPr>
            <w:tcW w:w="5386" w:type="dxa"/>
            <w:tcBorders>
              <w:right w:val="single" w:sz="6" w:space="0" w:color="auto"/>
            </w:tcBorders>
          </w:tcPr>
          <w:p w14:paraId="1940C9AF" w14:textId="77777777" w:rsidR="00FC360C" w:rsidRPr="00F63BAF" w:rsidRDefault="00FC360C" w:rsidP="002F237A">
            <w:pPr>
              <w:tabs>
                <w:tab w:val="left" w:pos="284"/>
              </w:tabs>
              <w:spacing w:before="40" w:after="40" w:line="240" w:lineRule="auto"/>
              <w:rPr>
                <w:rFonts w:eastAsia="Calibri" w:cs="Arial"/>
                <w:b/>
                <w:lang w:eastAsia="en-US"/>
              </w:rPr>
            </w:pPr>
          </w:p>
        </w:tc>
      </w:tr>
      <w:tr w:rsidR="00FC360C" w:rsidRPr="00F63BAF" w14:paraId="4A51EE77" w14:textId="77777777" w:rsidTr="002F237A">
        <w:tc>
          <w:tcPr>
            <w:tcW w:w="2235" w:type="dxa"/>
            <w:tcBorders>
              <w:left w:val="single" w:sz="6" w:space="0" w:color="auto"/>
              <w:right w:val="single" w:sz="6" w:space="0" w:color="auto"/>
            </w:tcBorders>
          </w:tcPr>
          <w:p w14:paraId="61A04BFE" w14:textId="77777777" w:rsidR="00FC360C" w:rsidRPr="00F63BAF" w:rsidRDefault="00FC360C" w:rsidP="002F237A">
            <w:pPr>
              <w:tabs>
                <w:tab w:val="left" w:pos="284"/>
              </w:tabs>
              <w:spacing w:before="120" w:line="240" w:lineRule="auto"/>
              <w:rPr>
                <w:rFonts w:eastAsia="Calibri" w:cs="Arial"/>
                <w:b/>
                <w:sz w:val="17"/>
                <w:szCs w:val="17"/>
                <w:lang w:eastAsia="en-US"/>
              </w:rPr>
            </w:pPr>
            <w:r w:rsidRPr="00F63BAF">
              <w:rPr>
                <w:rFonts w:eastAsia="Calibri" w:cs="Arial"/>
                <w:sz w:val="17"/>
                <w:szCs w:val="17"/>
                <w:lang w:eastAsia="en-US"/>
              </w:rPr>
              <w:t>Cod</w:t>
            </w:r>
          </w:p>
        </w:tc>
        <w:tc>
          <w:tcPr>
            <w:tcW w:w="2126" w:type="dxa"/>
            <w:tcBorders>
              <w:left w:val="nil"/>
            </w:tcBorders>
          </w:tcPr>
          <w:p w14:paraId="5D9038FF" w14:textId="77777777" w:rsidR="00FC360C" w:rsidRPr="00F63BAF" w:rsidRDefault="00FC360C" w:rsidP="002F237A">
            <w:pPr>
              <w:tabs>
                <w:tab w:val="left" w:pos="284"/>
              </w:tabs>
              <w:spacing w:before="120" w:line="240" w:lineRule="auto"/>
              <w:rPr>
                <w:rFonts w:eastAsia="Calibri" w:cs="Arial"/>
                <w:sz w:val="17"/>
                <w:szCs w:val="17"/>
                <w:lang w:eastAsia="en-US"/>
              </w:rPr>
            </w:pPr>
          </w:p>
        </w:tc>
        <w:tc>
          <w:tcPr>
            <w:tcW w:w="5386" w:type="dxa"/>
            <w:tcBorders>
              <w:right w:val="single" w:sz="6" w:space="0" w:color="auto"/>
            </w:tcBorders>
          </w:tcPr>
          <w:p w14:paraId="00E773CB" w14:textId="77777777" w:rsidR="00FC360C" w:rsidRPr="00F63BAF" w:rsidRDefault="00FC360C" w:rsidP="002F237A">
            <w:pPr>
              <w:tabs>
                <w:tab w:val="left" w:pos="284"/>
              </w:tabs>
              <w:spacing w:before="120" w:line="240" w:lineRule="auto"/>
              <w:rPr>
                <w:rFonts w:eastAsia="Calibri" w:cs="Arial"/>
                <w:sz w:val="17"/>
                <w:szCs w:val="17"/>
                <w:lang w:eastAsia="en-US"/>
              </w:rPr>
            </w:pPr>
          </w:p>
        </w:tc>
      </w:tr>
      <w:tr w:rsidR="00FC360C" w:rsidRPr="00F63BAF" w14:paraId="3DA4062B" w14:textId="77777777" w:rsidTr="002F237A">
        <w:tc>
          <w:tcPr>
            <w:tcW w:w="2235" w:type="dxa"/>
            <w:tcBorders>
              <w:left w:val="single" w:sz="6" w:space="0" w:color="auto"/>
              <w:right w:val="single" w:sz="6" w:space="0" w:color="auto"/>
            </w:tcBorders>
          </w:tcPr>
          <w:p w14:paraId="44361C27" w14:textId="77777777" w:rsidR="00FC360C" w:rsidRPr="00F63BAF" w:rsidRDefault="00FC360C" w:rsidP="002F237A">
            <w:pPr>
              <w:spacing w:line="240" w:lineRule="auto"/>
              <w:ind w:left="360"/>
              <w:rPr>
                <w:rFonts w:eastAsia="Calibri" w:cs="Arial"/>
                <w:i/>
                <w:sz w:val="17"/>
                <w:szCs w:val="17"/>
                <w:lang w:eastAsia="en-US"/>
              </w:rPr>
            </w:pPr>
            <w:r w:rsidRPr="00F63BAF">
              <w:rPr>
                <w:rFonts w:eastAsia="Calibri" w:cs="Arial"/>
                <w:i/>
                <w:sz w:val="17"/>
                <w:szCs w:val="17"/>
                <w:lang w:eastAsia="en-US"/>
              </w:rPr>
              <w:t>Gadus morhua</w:t>
            </w:r>
          </w:p>
        </w:tc>
        <w:tc>
          <w:tcPr>
            <w:tcW w:w="2126" w:type="dxa"/>
            <w:tcBorders>
              <w:left w:val="nil"/>
            </w:tcBorders>
          </w:tcPr>
          <w:p w14:paraId="6AE2F010" w14:textId="77777777" w:rsidR="00FC360C" w:rsidRPr="00F63BAF" w:rsidRDefault="00FC360C" w:rsidP="002F237A">
            <w:pPr>
              <w:tabs>
                <w:tab w:val="left" w:pos="284"/>
              </w:tabs>
              <w:spacing w:line="240" w:lineRule="auto"/>
              <w:rPr>
                <w:rFonts w:eastAsia="Calibri" w:cs="Arial"/>
                <w:sz w:val="17"/>
                <w:szCs w:val="17"/>
                <w:lang w:eastAsia="en-US"/>
              </w:rPr>
            </w:pPr>
            <w:r w:rsidRPr="00F63BAF">
              <w:rPr>
                <w:rFonts w:eastAsia="Calibri" w:cs="Arial"/>
                <w:sz w:val="17"/>
                <w:szCs w:val="17"/>
                <w:vertAlign w:val="superscript"/>
                <w:lang w:eastAsia="en-US"/>
              </w:rPr>
              <w:footnoteReference w:id="6"/>
            </w:r>
          </w:p>
        </w:tc>
        <w:tc>
          <w:tcPr>
            <w:tcW w:w="5386" w:type="dxa"/>
            <w:tcBorders>
              <w:right w:val="single" w:sz="6" w:space="0" w:color="auto"/>
            </w:tcBorders>
          </w:tcPr>
          <w:p w14:paraId="1F20853C" w14:textId="77777777" w:rsidR="00FC360C" w:rsidRPr="00F63BAF" w:rsidRDefault="0098261C" w:rsidP="002F237A">
            <w:pPr>
              <w:tabs>
                <w:tab w:val="left" w:pos="284"/>
              </w:tabs>
              <w:spacing w:line="240" w:lineRule="auto"/>
              <w:rPr>
                <w:rFonts w:eastAsia="Calibri" w:cs="Arial"/>
                <w:sz w:val="17"/>
                <w:szCs w:val="17"/>
                <w:lang w:eastAsia="en-US"/>
              </w:rPr>
            </w:pPr>
            <w:hyperlink r:id="rId19" w:history="1">
              <w:r w:rsidR="00FC360C" w:rsidRPr="00F63BAF">
                <w:rPr>
                  <w:rFonts w:eastAsia="Calibri" w:cs="Arial"/>
                  <w:color w:val="0000FF"/>
                  <w:sz w:val="17"/>
                  <w:szCs w:val="17"/>
                  <w:u w:val="single"/>
                  <w:lang w:eastAsia="en-US"/>
                </w:rPr>
                <w:t>http://www.fishbase.org/Reproduction/SpawningList.php?ID=69&amp;GenusName=Gadus&amp;SpeciesName=morhua&amp;fc=183&amp;StockCode=79</w:t>
              </w:r>
            </w:hyperlink>
          </w:p>
        </w:tc>
      </w:tr>
      <w:tr w:rsidR="00FC360C" w:rsidRPr="00F63BAF" w14:paraId="44901309" w14:textId="77777777" w:rsidTr="002F237A">
        <w:tc>
          <w:tcPr>
            <w:tcW w:w="2235" w:type="dxa"/>
            <w:tcBorders>
              <w:left w:val="single" w:sz="6" w:space="0" w:color="auto"/>
              <w:right w:val="single" w:sz="6" w:space="0" w:color="auto"/>
            </w:tcBorders>
          </w:tcPr>
          <w:p w14:paraId="588D8260" w14:textId="77777777" w:rsidR="00FC360C" w:rsidRPr="00F63BAF" w:rsidRDefault="00FC360C" w:rsidP="002F237A">
            <w:pPr>
              <w:tabs>
                <w:tab w:val="left" w:pos="284"/>
              </w:tabs>
              <w:spacing w:before="120" w:line="240" w:lineRule="auto"/>
              <w:rPr>
                <w:rFonts w:eastAsia="Calibri" w:cs="Arial"/>
                <w:i/>
                <w:sz w:val="17"/>
                <w:szCs w:val="17"/>
                <w:lang w:eastAsia="en-US"/>
              </w:rPr>
            </w:pPr>
            <w:r w:rsidRPr="00F63BAF">
              <w:rPr>
                <w:rFonts w:eastAsia="Calibri" w:cs="Arial"/>
                <w:sz w:val="17"/>
                <w:szCs w:val="17"/>
                <w:lang w:eastAsia="en-US"/>
              </w:rPr>
              <w:t>Whiting</w:t>
            </w:r>
          </w:p>
        </w:tc>
        <w:tc>
          <w:tcPr>
            <w:tcW w:w="2126" w:type="dxa"/>
            <w:tcBorders>
              <w:left w:val="nil"/>
            </w:tcBorders>
          </w:tcPr>
          <w:p w14:paraId="47CF8626" w14:textId="77777777" w:rsidR="00FC360C" w:rsidRPr="00F63BAF" w:rsidRDefault="00FC360C" w:rsidP="002F237A">
            <w:pPr>
              <w:tabs>
                <w:tab w:val="left" w:pos="284"/>
              </w:tabs>
              <w:spacing w:before="120" w:line="240" w:lineRule="auto"/>
              <w:rPr>
                <w:rFonts w:eastAsia="Calibri" w:cs="Arial"/>
                <w:b/>
                <w:sz w:val="17"/>
                <w:szCs w:val="17"/>
                <w:lang w:eastAsia="en-US"/>
              </w:rPr>
            </w:pPr>
          </w:p>
        </w:tc>
        <w:tc>
          <w:tcPr>
            <w:tcW w:w="5386" w:type="dxa"/>
            <w:tcBorders>
              <w:right w:val="single" w:sz="6" w:space="0" w:color="auto"/>
            </w:tcBorders>
          </w:tcPr>
          <w:p w14:paraId="7F5A4182" w14:textId="77777777" w:rsidR="00FC360C" w:rsidRPr="00F63BAF" w:rsidRDefault="00FC360C" w:rsidP="002F237A">
            <w:pPr>
              <w:tabs>
                <w:tab w:val="left" w:pos="284"/>
              </w:tabs>
              <w:spacing w:before="120" w:line="240" w:lineRule="auto"/>
              <w:rPr>
                <w:rFonts w:eastAsia="Calibri" w:cs="Arial"/>
                <w:b/>
                <w:sz w:val="17"/>
                <w:szCs w:val="17"/>
                <w:lang w:eastAsia="en-US"/>
              </w:rPr>
            </w:pPr>
          </w:p>
        </w:tc>
      </w:tr>
      <w:tr w:rsidR="00FC360C" w:rsidRPr="00F63BAF" w14:paraId="4E9C4023" w14:textId="77777777" w:rsidTr="002F237A">
        <w:tc>
          <w:tcPr>
            <w:tcW w:w="2235" w:type="dxa"/>
            <w:tcBorders>
              <w:left w:val="single" w:sz="6" w:space="0" w:color="auto"/>
              <w:right w:val="single" w:sz="6" w:space="0" w:color="auto"/>
            </w:tcBorders>
          </w:tcPr>
          <w:p w14:paraId="66370F04" w14:textId="77777777" w:rsidR="00FC360C" w:rsidRPr="00F63BAF" w:rsidRDefault="00FC360C" w:rsidP="002F237A">
            <w:pPr>
              <w:spacing w:line="240" w:lineRule="auto"/>
              <w:ind w:left="360"/>
              <w:rPr>
                <w:rFonts w:eastAsia="Calibri" w:cs="Arial"/>
                <w:i/>
                <w:sz w:val="17"/>
                <w:szCs w:val="17"/>
                <w:lang w:eastAsia="en-US"/>
              </w:rPr>
            </w:pPr>
            <w:r w:rsidRPr="00F63BAF">
              <w:rPr>
                <w:rFonts w:eastAsia="Calibri" w:cs="Arial"/>
                <w:i/>
                <w:sz w:val="17"/>
                <w:szCs w:val="17"/>
                <w:lang w:eastAsia="en-US"/>
              </w:rPr>
              <w:t>Merlangius merlangus</w:t>
            </w:r>
          </w:p>
        </w:tc>
        <w:tc>
          <w:tcPr>
            <w:tcW w:w="2126" w:type="dxa"/>
            <w:tcBorders>
              <w:left w:val="nil"/>
            </w:tcBorders>
          </w:tcPr>
          <w:p w14:paraId="694808FB" w14:textId="77777777" w:rsidR="00FC360C" w:rsidRPr="00F63BAF" w:rsidRDefault="00FC360C" w:rsidP="002F237A">
            <w:pPr>
              <w:tabs>
                <w:tab w:val="left" w:pos="284"/>
              </w:tabs>
              <w:spacing w:line="240" w:lineRule="auto"/>
              <w:rPr>
                <w:rFonts w:eastAsia="Calibri" w:cs="Arial"/>
                <w:sz w:val="17"/>
                <w:szCs w:val="17"/>
                <w:lang w:eastAsia="en-US"/>
              </w:rPr>
            </w:pPr>
            <w:r w:rsidRPr="00F63BAF">
              <w:rPr>
                <w:rFonts w:eastAsia="Calibri" w:cs="Arial"/>
                <w:sz w:val="17"/>
                <w:szCs w:val="17"/>
                <w:lang w:eastAsia="en-US"/>
              </w:rPr>
              <w:t>January-September</w:t>
            </w:r>
          </w:p>
        </w:tc>
        <w:tc>
          <w:tcPr>
            <w:tcW w:w="5386" w:type="dxa"/>
            <w:tcBorders>
              <w:right w:val="single" w:sz="6" w:space="0" w:color="auto"/>
            </w:tcBorders>
          </w:tcPr>
          <w:p w14:paraId="0B8D810B" w14:textId="77777777" w:rsidR="00FC360C" w:rsidRPr="00F63BAF" w:rsidRDefault="0098261C" w:rsidP="002F237A">
            <w:pPr>
              <w:tabs>
                <w:tab w:val="left" w:pos="284"/>
              </w:tabs>
              <w:spacing w:line="240" w:lineRule="auto"/>
              <w:rPr>
                <w:rFonts w:eastAsia="Calibri" w:cs="Arial"/>
                <w:sz w:val="17"/>
                <w:szCs w:val="17"/>
                <w:lang w:eastAsia="en-US"/>
              </w:rPr>
            </w:pPr>
            <w:hyperlink r:id="rId20" w:history="1">
              <w:r w:rsidR="00FC360C" w:rsidRPr="00F63BAF">
                <w:rPr>
                  <w:rFonts w:eastAsia="Calibri" w:cs="Arial"/>
                  <w:color w:val="0000FF"/>
                  <w:sz w:val="17"/>
                  <w:szCs w:val="17"/>
                  <w:u w:val="single"/>
                  <w:lang w:eastAsia="en-US"/>
                </w:rPr>
                <w:t>http://www.fishbase.org/Reproduction/SpawningList.php?ID=29&amp;GenusName=Merlangius&amp;SpeciesName=merlangus&amp;fc=183&amp;StockCode=39</w:t>
              </w:r>
            </w:hyperlink>
          </w:p>
        </w:tc>
      </w:tr>
      <w:tr w:rsidR="00FC360C" w:rsidRPr="00F63BAF" w14:paraId="6273FD28" w14:textId="77777777" w:rsidTr="002F237A">
        <w:tc>
          <w:tcPr>
            <w:tcW w:w="2235" w:type="dxa"/>
            <w:tcBorders>
              <w:left w:val="single" w:sz="6" w:space="0" w:color="auto"/>
              <w:right w:val="single" w:sz="6" w:space="0" w:color="auto"/>
            </w:tcBorders>
          </w:tcPr>
          <w:p w14:paraId="5B5560F2" w14:textId="77777777" w:rsidR="00FC360C" w:rsidRPr="00F63BAF" w:rsidRDefault="00FC360C" w:rsidP="002F237A">
            <w:pPr>
              <w:spacing w:before="120" w:line="240" w:lineRule="auto"/>
              <w:rPr>
                <w:rFonts w:eastAsia="Calibri" w:cs="Arial"/>
                <w:sz w:val="17"/>
                <w:szCs w:val="17"/>
                <w:lang w:eastAsia="en-US"/>
              </w:rPr>
            </w:pPr>
            <w:r w:rsidRPr="00F63BAF">
              <w:rPr>
                <w:rFonts w:eastAsia="Calibri" w:cs="Arial"/>
                <w:sz w:val="17"/>
                <w:szCs w:val="17"/>
                <w:lang w:eastAsia="en-US"/>
              </w:rPr>
              <w:t>Hake</w:t>
            </w:r>
          </w:p>
        </w:tc>
        <w:tc>
          <w:tcPr>
            <w:tcW w:w="2126" w:type="dxa"/>
            <w:tcBorders>
              <w:left w:val="nil"/>
            </w:tcBorders>
          </w:tcPr>
          <w:p w14:paraId="757502C5" w14:textId="77777777" w:rsidR="00FC360C" w:rsidRPr="00F63BAF" w:rsidRDefault="00FC360C" w:rsidP="002F237A">
            <w:pPr>
              <w:tabs>
                <w:tab w:val="left" w:pos="284"/>
              </w:tabs>
              <w:spacing w:before="120" w:line="240" w:lineRule="auto"/>
              <w:rPr>
                <w:rFonts w:eastAsia="Calibri" w:cs="Arial"/>
                <w:sz w:val="17"/>
                <w:szCs w:val="17"/>
                <w:lang w:eastAsia="en-US"/>
              </w:rPr>
            </w:pPr>
          </w:p>
        </w:tc>
        <w:tc>
          <w:tcPr>
            <w:tcW w:w="5386" w:type="dxa"/>
            <w:tcBorders>
              <w:right w:val="single" w:sz="6" w:space="0" w:color="auto"/>
            </w:tcBorders>
          </w:tcPr>
          <w:p w14:paraId="24F83E1F" w14:textId="77777777" w:rsidR="00FC360C" w:rsidRPr="00F63BAF" w:rsidRDefault="00FC360C" w:rsidP="002F237A">
            <w:pPr>
              <w:tabs>
                <w:tab w:val="left" w:pos="284"/>
              </w:tabs>
              <w:spacing w:before="120" w:line="240" w:lineRule="auto"/>
              <w:rPr>
                <w:rFonts w:eastAsia="Calibri" w:cs="Arial"/>
                <w:sz w:val="17"/>
                <w:szCs w:val="17"/>
                <w:lang w:eastAsia="en-US"/>
              </w:rPr>
            </w:pPr>
          </w:p>
        </w:tc>
      </w:tr>
      <w:tr w:rsidR="00FC360C" w:rsidRPr="00F63BAF" w14:paraId="10C0C1F7" w14:textId="77777777" w:rsidTr="002F237A">
        <w:tc>
          <w:tcPr>
            <w:tcW w:w="2235" w:type="dxa"/>
            <w:tcBorders>
              <w:left w:val="single" w:sz="6" w:space="0" w:color="auto"/>
              <w:bottom w:val="single" w:sz="6" w:space="0" w:color="auto"/>
              <w:right w:val="single" w:sz="6" w:space="0" w:color="auto"/>
            </w:tcBorders>
          </w:tcPr>
          <w:p w14:paraId="16C3D5D4" w14:textId="77777777" w:rsidR="00FC360C" w:rsidRPr="00F63BAF" w:rsidRDefault="00FC360C" w:rsidP="002F237A">
            <w:pPr>
              <w:spacing w:line="240" w:lineRule="auto"/>
              <w:ind w:left="284"/>
              <w:rPr>
                <w:rFonts w:eastAsia="Calibri" w:cs="Arial"/>
                <w:i/>
                <w:sz w:val="17"/>
                <w:szCs w:val="17"/>
                <w:lang w:eastAsia="en-US"/>
              </w:rPr>
            </w:pPr>
            <w:r w:rsidRPr="00F63BAF">
              <w:rPr>
                <w:rFonts w:eastAsia="Calibri" w:cs="Arial"/>
                <w:i/>
                <w:sz w:val="17"/>
                <w:szCs w:val="17"/>
                <w:lang w:eastAsia="en-US"/>
              </w:rPr>
              <w:t>Merluccius merluccius</w:t>
            </w:r>
          </w:p>
        </w:tc>
        <w:tc>
          <w:tcPr>
            <w:tcW w:w="2126" w:type="dxa"/>
            <w:tcBorders>
              <w:left w:val="nil"/>
              <w:bottom w:val="single" w:sz="6" w:space="0" w:color="auto"/>
            </w:tcBorders>
          </w:tcPr>
          <w:p w14:paraId="71EEE7E0" w14:textId="77777777" w:rsidR="00FC360C" w:rsidRPr="00F63BAF" w:rsidRDefault="00FC360C" w:rsidP="002F237A">
            <w:pPr>
              <w:tabs>
                <w:tab w:val="left" w:pos="284"/>
              </w:tabs>
              <w:spacing w:line="240" w:lineRule="auto"/>
              <w:rPr>
                <w:rFonts w:eastAsia="Calibri" w:cs="Arial"/>
                <w:sz w:val="17"/>
                <w:szCs w:val="17"/>
                <w:lang w:eastAsia="en-US"/>
              </w:rPr>
            </w:pPr>
            <w:r w:rsidRPr="00F63BAF">
              <w:rPr>
                <w:rFonts w:eastAsia="Calibri" w:cs="Arial"/>
                <w:sz w:val="17"/>
                <w:szCs w:val="17"/>
                <w:lang w:eastAsia="en-US"/>
              </w:rPr>
              <w:t>December-August</w:t>
            </w:r>
          </w:p>
        </w:tc>
        <w:tc>
          <w:tcPr>
            <w:tcW w:w="5386" w:type="dxa"/>
            <w:tcBorders>
              <w:bottom w:val="single" w:sz="6" w:space="0" w:color="auto"/>
              <w:right w:val="single" w:sz="6" w:space="0" w:color="auto"/>
            </w:tcBorders>
          </w:tcPr>
          <w:p w14:paraId="75426F9D" w14:textId="77777777" w:rsidR="00FC360C" w:rsidRPr="00F63BAF" w:rsidRDefault="0098261C" w:rsidP="002F237A">
            <w:pPr>
              <w:tabs>
                <w:tab w:val="left" w:pos="284"/>
              </w:tabs>
              <w:spacing w:line="240" w:lineRule="auto"/>
              <w:rPr>
                <w:rFonts w:eastAsia="Calibri" w:cs="Arial"/>
                <w:sz w:val="17"/>
                <w:szCs w:val="17"/>
                <w:lang w:eastAsia="en-US"/>
              </w:rPr>
            </w:pPr>
            <w:hyperlink r:id="rId21" w:history="1">
              <w:r w:rsidR="00FC360C" w:rsidRPr="00F63BAF">
                <w:rPr>
                  <w:rFonts w:eastAsia="Calibri" w:cs="Arial"/>
                  <w:color w:val="0000FF"/>
                  <w:sz w:val="17"/>
                  <w:szCs w:val="17"/>
                  <w:u w:val="single"/>
                  <w:lang w:eastAsia="en-US"/>
                </w:rPr>
                <w:t>http://www.fishbase.org/Reproduction/SpawningList.php?ID=30&amp;GenusName=Merluccius&amp;SpeciesName=merluccius&amp;fc=184&amp;StockCode=40</w:t>
              </w:r>
            </w:hyperlink>
          </w:p>
        </w:tc>
      </w:tr>
    </w:tbl>
    <w:p w14:paraId="51C6CB10" w14:textId="77777777" w:rsidR="00FC360C" w:rsidRPr="00F63BAF" w:rsidRDefault="00FC360C" w:rsidP="00FC360C">
      <w:pPr>
        <w:spacing w:after="140"/>
        <w:rPr>
          <w:rFonts w:cs="Arial"/>
        </w:rPr>
      </w:pPr>
      <w:r w:rsidRPr="00F63BAF">
        <w:rPr>
          <w:rFonts w:cs="Arial"/>
          <w:szCs w:val="22"/>
        </w:rPr>
        <w:br w:type="page"/>
      </w:r>
      <w:r w:rsidRPr="00F63BAF">
        <w:rPr>
          <w:rFonts w:cs="Arial"/>
          <w:b/>
        </w:rPr>
        <w:t>Table 4:</w:t>
      </w:r>
      <w:r w:rsidRPr="00F63BAF">
        <w:rPr>
          <w:rFonts w:cs="Arial"/>
        </w:rPr>
        <w:t xml:space="preserve"> Spatial distribution sampling</w:t>
      </w:r>
    </w:p>
    <w:p w14:paraId="52690EFC" w14:textId="77777777" w:rsidR="00FC360C" w:rsidRPr="00F63BAF" w:rsidRDefault="00FC360C" w:rsidP="00FC360C">
      <w:pPr>
        <w:spacing w:after="140"/>
        <w:rPr>
          <w:rFonts w:cs="Arial"/>
        </w:rPr>
      </w:pPr>
      <w:r w:rsidRPr="00F63BAF">
        <w:rPr>
          <w:rFonts w:cs="Arial"/>
        </w:rPr>
        <w:t>When monitoring for trends at various sites, refer to tables 1 and 2</w:t>
      </w:r>
    </w:p>
    <w:tbl>
      <w:tblPr>
        <w:tblW w:w="5000" w:type="pct"/>
        <w:tblLook w:val="0000" w:firstRow="0" w:lastRow="0" w:firstColumn="0" w:lastColumn="0" w:noHBand="0" w:noVBand="0"/>
      </w:tblPr>
      <w:tblGrid>
        <w:gridCol w:w="2769"/>
        <w:gridCol w:w="1920"/>
        <w:gridCol w:w="2509"/>
        <w:gridCol w:w="2657"/>
      </w:tblGrid>
      <w:tr w:rsidR="00FC360C" w:rsidRPr="00F63BAF" w14:paraId="67295349" w14:textId="77777777" w:rsidTr="002F237A">
        <w:tc>
          <w:tcPr>
            <w:tcW w:w="1405" w:type="pct"/>
            <w:tcBorders>
              <w:top w:val="single" w:sz="6" w:space="0" w:color="auto"/>
              <w:left w:val="single" w:sz="6" w:space="0" w:color="auto"/>
              <w:bottom w:val="single" w:sz="6" w:space="0" w:color="auto"/>
              <w:right w:val="single" w:sz="6" w:space="0" w:color="auto"/>
            </w:tcBorders>
          </w:tcPr>
          <w:p w14:paraId="2370C226" w14:textId="77777777" w:rsidR="00FC360C" w:rsidRPr="00F63BAF" w:rsidRDefault="00FC360C" w:rsidP="002F237A">
            <w:pPr>
              <w:tabs>
                <w:tab w:val="left" w:pos="284"/>
              </w:tabs>
              <w:spacing w:before="20" w:after="20"/>
              <w:rPr>
                <w:rFonts w:eastAsia="Calibri" w:cs="Arial"/>
                <w:b/>
                <w:lang w:eastAsia="en-US"/>
              </w:rPr>
            </w:pPr>
            <w:r w:rsidRPr="00F63BAF">
              <w:rPr>
                <w:rFonts w:eastAsia="Calibri" w:cs="Arial"/>
                <w:b/>
                <w:lang w:eastAsia="en-US"/>
              </w:rPr>
              <w:t>Species</w:t>
            </w:r>
          </w:p>
        </w:tc>
        <w:tc>
          <w:tcPr>
            <w:tcW w:w="974" w:type="pct"/>
            <w:tcBorders>
              <w:top w:val="single" w:sz="6" w:space="0" w:color="auto"/>
              <w:left w:val="nil"/>
              <w:bottom w:val="single" w:sz="6" w:space="0" w:color="auto"/>
            </w:tcBorders>
          </w:tcPr>
          <w:p w14:paraId="37D4F529" w14:textId="77777777" w:rsidR="00FC360C" w:rsidRPr="00F63BAF" w:rsidRDefault="00FC360C" w:rsidP="002F237A">
            <w:pPr>
              <w:tabs>
                <w:tab w:val="left" w:pos="284"/>
              </w:tabs>
              <w:spacing w:before="20" w:after="20"/>
              <w:jc w:val="center"/>
              <w:rPr>
                <w:rFonts w:eastAsia="Calibri" w:cs="Arial"/>
                <w:b/>
                <w:lang w:eastAsia="en-US"/>
              </w:rPr>
            </w:pPr>
            <w:r w:rsidRPr="00F63BAF">
              <w:rPr>
                <w:rFonts w:eastAsia="Calibri" w:cs="Arial"/>
                <w:b/>
                <w:lang w:eastAsia="en-US"/>
              </w:rPr>
              <w:t>Recommended Number</w:t>
            </w:r>
          </w:p>
        </w:tc>
        <w:tc>
          <w:tcPr>
            <w:tcW w:w="1273" w:type="pct"/>
            <w:tcBorders>
              <w:top w:val="single" w:sz="6" w:space="0" w:color="auto"/>
              <w:bottom w:val="single" w:sz="6" w:space="0" w:color="auto"/>
            </w:tcBorders>
          </w:tcPr>
          <w:p w14:paraId="7FCDF910" w14:textId="77777777" w:rsidR="00FC360C" w:rsidRPr="00F63BAF" w:rsidRDefault="00FC360C" w:rsidP="002F237A">
            <w:pPr>
              <w:tabs>
                <w:tab w:val="left" w:pos="284"/>
              </w:tabs>
              <w:spacing w:before="20" w:after="20"/>
              <w:jc w:val="center"/>
              <w:rPr>
                <w:rFonts w:eastAsia="Calibri" w:cs="Arial"/>
                <w:b/>
                <w:lang w:eastAsia="en-US"/>
              </w:rPr>
            </w:pPr>
            <w:r w:rsidRPr="00F63BAF">
              <w:rPr>
                <w:rFonts w:eastAsia="Calibri" w:cs="Arial"/>
                <w:b/>
                <w:lang w:eastAsia="en-US"/>
              </w:rPr>
              <w:t>Size (cm)</w:t>
            </w:r>
          </w:p>
        </w:tc>
        <w:tc>
          <w:tcPr>
            <w:tcW w:w="1348" w:type="pct"/>
            <w:tcBorders>
              <w:top w:val="single" w:sz="6" w:space="0" w:color="auto"/>
              <w:bottom w:val="single" w:sz="6" w:space="0" w:color="auto"/>
              <w:right w:val="single" w:sz="6" w:space="0" w:color="auto"/>
            </w:tcBorders>
          </w:tcPr>
          <w:p w14:paraId="1BD8CC7B" w14:textId="77777777" w:rsidR="00FC360C" w:rsidRPr="00F63BAF" w:rsidRDefault="00FC360C" w:rsidP="002F237A">
            <w:pPr>
              <w:tabs>
                <w:tab w:val="left" w:pos="284"/>
              </w:tabs>
              <w:spacing w:before="20" w:after="20"/>
              <w:jc w:val="center"/>
              <w:rPr>
                <w:rFonts w:eastAsia="Calibri" w:cs="Arial"/>
                <w:b/>
                <w:lang w:eastAsia="en-US"/>
              </w:rPr>
            </w:pPr>
            <w:r w:rsidRPr="00F63BAF">
              <w:rPr>
                <w:rFonts w:eastAsia="Calibri" w:cs="Arial"/>
                <w:b/>
                <w:lang w:eastAsia="en-US"/>
              </w:rPr>
              <w:t>Tissue</w:t>
            </w:r>
          </w:p>
        </w:tc>
      </w:tr>
      <w:tr w:rsidR="00FC360C" w:rsidRPr="00F63BAF" w14:paraId="11BA1053" w14:textId="77777777" w:rsidTr="002F237A">
        <w:tc>
          <w:tcPr>
            <w:tcW w:w="1405" w:type="pct"/>
            <w:tcBorders>
              <w:left w:val="single" w:sz="6" w:space="0" w:color="auto"/>
              <w:right w:val="single" w:sz="6" w:space="0" w:color="auto"/>
            </w:tcBorders>
          </w:tcPr>
          <w:p w14:paraId="376D1819" w14:textId="77777777" w:rsidR="00FC360C" w:rsidRPr="00F63BAF" w:rsidRDefault="00FC360C" w:rsidP="002F237A">
            <w:pPr>
              <w:tabs>
                <w:tab w:val="left" w:pos="284"/>
              </w:tabs>
              <w:spacing w:before="20" w:after="20"/>
              <w:rPr>
                <w:rFonts w:eastAsia="Calibri" w:cs="Arial"/>
                <w:lang w:eastAsia="en-US"/>
              </w:rPr>
            </w:pPr>
            <w:r w:rsidRPr="00F63BAF">
              <w:rPr>
                <w:rFonts w:eastAsia="Calibri" w:cs="Arial"/>
                <w:b/>
                <w:lang w:eastAsia="en-US"/>
              </w:rPr>
              <w:t>Shellfish</w:t>
            </w:r>
          </w:p>
        </w:tc>
        <w:tc>
          <w:tcPr>
            <w:tcW w:w="974" w:type="pct"/>
            <w:tcBorders>
              <w:left w:val="nil"/>
            </w:tcBorders>
          </w:tcPr>
          <w:p w14:paraId="6F42453B" w14:textId="77777777" w:rsidR="00FC360C" w:rsidRPr="00F63BAF" w:rsidRDefault="00FC360C" w:rsidP="002F237A">
            <w:pPr>
              <w:tabs>
                <w:tab w:val="left" w:pos="284"/>
              </w:tabs>
              <w:spacing w:before="20" w:after="20"/>
              <w:jc w:val="center"/>
              <w:rPr>
                <w:rFonts w:eastAsia="Calibri" w:cs="Arial"/>
                <w:lang w:eastAsia="en-US"/>
              </w:rPr>
            </w:pPr>
          </w:p>
        </w:tc>
        <w:tc>
          <w:tcPr>
            <w:tcW w:w="1273" w:type="pct"/>
          </w:tcPr>
          <w:p w14:paraId="5C66D394" w14:textId="77777777" w:rsidR="00FC360C" w:rsidRPr="00F63BAF" w:rsidRDefault="00FC360C" w:rsidP="002F237A">
            <w:pPr>
              <w:tabs>
                <w:tab w:val="left" w:pos="284"/>
              </w:tabs>
              <w:spacing w:before="20" w:after="20"/>
              <w:jc w:val="center"/>
              <w:rPr>
                <w:rFonts w:eastAsia="Calibri" w:cs="Arial"/>
                <w:lang w:eastAsia="en-US"/>
              </w:rPr>
            </w:pPr>
          </w:p>
        </w:tc>
        <w:tc>
          <w:tcPr>
            <w:tcW w:w="1348" w:type="pct"/>
            <w:tcBorders>
              <w:right w:val="single" w:sz="6" w:space="0" w:color="auto"/>
            </w:tcBorders>
          </w:tcPr>
          <w:p w14:paraId="6FCFCB60" w14:textId="77777777" w:rsidR="00FC360C" w:rsidRPr="00F63BAF" w:rsidRDefault="00FC360C" w:rsidP="002F237A">
            <w:pPr>
              <w:tabs>
                <w:tab w:val="left" w:pos="284"/>
              </w:tabs>
              <w:spacing w:before="20" w:after="20"/>
              <w:jc w:val="center"/>
              <w:rPr>
                <w:rFonts w:eastAsia="Calibri" w:cs="Arial"/>
                <w:lang w:eastAsia="en-US"/>
              </w:rPr>
            </w:pPr>
          </w:p>
        </w:tc>
      </w:tr>
      <w:tr w:rsidR="00FC360C" w:rsidRPr="00F63BAF" w14:paraId="3BE1EF6F" w14:textId="77777777" w:rsidTr="002F237A">
        <w:tc>
          <w:tcPr>
            <w:tcW w:w="1405" w:type="pct"/>
            <w:tcBorders>
              <w:left w:val="single" w:sz="6" w:space="0" w:color="auto"/>
              <w:right w:val="single" w:sz="6" w:space="0" w:color="auto"/>
            </w:tcBorders>
          </w:tcPr>
          <w:p w14:paraId="2A10E9BD" w14:textId="77777777" w:rsidR="00FC360C" w:rsidRPr="00F63BAF" w:rsidRDefault="00FC360C" w:rsidP="002F237A">
            <w:pPr>
              <w:tabs>
                <w:tab w:val="left" w:pos="284"/>
              </w:tabs>
              <w:spacing w:before="20" w:after="20" w:line="240" w:lineRule="auto"/>
              <w:rPr>
                <w:rFonts w:eastAsia="Calibri" w:cs="Arial"/>
                <w:b/>
                <w:sz w:val="17"/>
                <w:szCs w:val="17"/>
                <w:lang w:eastAsia="en-US"/>
              </w:rPr>
            </w:pPr>
            <w:r w:rsidRPr="00F63BAF">
              <w:rPr>
                <w:rFonts w:eastAsia="Calibri" w:cs="Arial"/>
                <w:sz w:val="17"/>
                <w:szCs w:val="17"/>
                <w:lang w:eastAsia="en-US"/>
              </w:rPr>
              <w:t>First choice</w:t>
            </w:r>
          </w:p>
        </w:tc>
        <w:tc>
          <w:tcPr>
            <w:tcW w:w="974" w:type="pct"/>
            <w:tcBorders>
              <w:left w:val="nil"/>
            </w:tcBorders>
          </w:tcPr>
          <w:p w14:paraId="65E3CA3B"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273" w:type="pct"/>
          </w:tcPr>
          <w:p w14:paraId="6ED219B7"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348" w:type="pct"/>
            <w:tcBorders>
              <w:right w:val="single" w:sz="6" w:space="0" w:color="auto"/>
            </w:tcBorders>
          </w:tcPr>
          <w:p w14:paraId="0D316AFC"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r>
      <w:tr w:rsidR="00FC360C" w:rsidRPr="00F63BAF" w14:paraId="5562739C" w14:textId="77777777" w:rsidTr="002F237A">
        <w:tc>
          <w:tcPr>
            <w:tcW w:w="1405" w:type="pct"/>
            <w:tcBorders>
              <w:left w:val="single" w:sz="6" w:space="0" w:color="auto"/>
              <w:right w:val="single" w:sz="6" w:space="0" w:color="auto"/>
            </w:tcBorders>
          </w:tcPr>
          <w:p w14:paraId="65AB3D67" w14:textId="77777777" w:rsidR="00FC360C" w:rsidRPr="00F63BAF" w:rsidRDefault="00FC360C" w:rsidP="002F237A">
            <w:pPr>
              <w:spacing w:before="20" w:after="20" w:line="240" w:lineRule="auto"/>
              <w:rPr>
                <w:rFonts w:eastAsia="Calibri" w:cs="Arial"/>
                <w:i/>
                <w:sz w:val="17"/>
                <w:szCs w:val="17"/>
                <w:lang w:eastAsia="en-US"/>
              </w:rPr>
            </w:pPr>
            <w:r w:rsidRPr="00F63BAF">
              <w:rPr>
                <w:rFonts w:eastAsia="Calibri" w:cs="Arial"/>
                <w:sz w:val="17"/>
                <w:szCs w:val="17"/>
                <w:lang w:eastAsia="en-US"/>
              </w:rPr>
              <w:t>Mussel</w:t>
            </w:r>
          </w:p>
        </w:tc>
        <w:tc>
          <w:tcPr>
            <w:tcW w:w="974" w:type="pct"/>
            <w:tcBorders>
              <w:left w:val="nil"/>
            </w:tcBorders>
          </w:tcPr>
          <w:p w14:paraId="755F8E94"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273" w:type="pct"/>
          </w:tcPr>
          <w:p w14:paraId="6DEDAEC3"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348" w:type="pct"/>
            <w:tcBorders>
              <w:right w:val="single" w:sz="6" w:space="0" w:color="auto"/>
            </w:tcBorders>
          </w:tcPr>
          <w:p w14:paraId="5256575D"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r>
      <w:tr w:rsidR="00FC360C" w:rsidRPr="00F63BAF" w14:paraId="3FFCE26B" w14:textId="77777777" w:rsidTr="002F237A">
        <w:tc>
          <w:tcPr>
            <w:tcW w:w="1405" w:type="pct"/>
            <w:tcBorders>
              <w:left w:val="single" w:sz="6" w:space="0" w:color="auto"/>
              <w:right w:val="single" w:sz="6" w:space="0" w:color="auto"/>
            </w:tcBorders>
          </w:tcPr>
          <w:p w14:paraId="3CFA05EF" w14:textId="77777777" w:rsidR="00FC360C" w:rsidRPr="00F63BAF" w:rsidRDefault="00FC360C" w:rsidP="002F237A">
            <w:pPr>
              <w:spacing w:before="20" w:after="20" w:line="240" w:lineRule="auto"/>
              <w:ind w:left="360"/>
              <w:rPr>
                <w:rFonts w:eastAsia="Calibri" w:cs="Arial"/>
                <w:sz w:val="17"/>
                <w:szCs w:val="17"/>
                <w:lang w:eastAsia="en-US"/>
              </w:rPr>
            </w:pPr>
            <w:r w:rsidRPr="00F63BAF">
              <w:rPr>
                <w:rFonts w:eastAsia="Calibri" w:cs="Arial"/>
                <w:i/>
                <w:sz w:val="17"/>
                <w:szCs w:val="17"/>
                <w:lang w:eastAsia="en-US"/>
              </w:rPr>
              <w:t xml:space="preserve">Mytilus edulis </w:t>
            </w:r>
            <w:r w:rsidRPr="00F63BAF">
              <w:rPr>
                <w:rFonts w:eastAsia="Calibri" w:cs="Arial"/>
                <w:sz w:val="17"/>
                <w:szCs w:val="17"/>
                <w:lang w:eastAsia="en-US"/>
              </w:rPr>
              <w:t xml:space="preserve">or </w:t>
            </w:r>
            <w:r w:rsidRPr="00F63BAF">
              <w:rPr>
                <w:rFonts w:eastAsia="Calibri" w:cs="Arial"/>
                <w:sz w:val="17"/>
                <w:szCs w:val="17"/>
                <w:lang w:eastAsia="en-US"/>
              </w:rPr>
              <w:br/>
            </w:r>
            <w:r w:rsidRPr="00F63BAF">
              <w:rPr>
                <w:rFonts w:eastAsia="Calibri" w:cs="Arial"/>
                <w:i/>
                <w:sz w:val="17"/>
                <w:szCs w:val="17"/>
                <w:lang w:eastAsia="en-US"/>
              </w:rPr>
              <w:t>M. galloprovincialis</w:t>
            </w:r>
          </w:p>
        </w:tc>
        <w:tc>
          <w:tcPr>
            <w:tcW w:w="974" w:type="pct"/>
            <w:tcBorders>
              <w:left w:val="nil"/>
            </w:tcBorders>
          </w:tcPr>
          <w:p w14:paraId="5EC268A1"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50</w:t>
            </w:r>
            <w:r w:rsidRPr="00F63BAF">
              <w:rPr>
                <w:rFonts w:eastAsia="Calibri" w:cs="Arial"/>
                <w:b/>
                <w:vertAlign w:val="superscript"/>
                <w:lang w:eastAsia="en-US"/>
              </w:rPr>
              <w:t xml:space="preserve"> </w:t>
            </w:r>
            <w:r w:rsidRPr="00F63BAF">
              <w:rPr>
                <w:rFonts w:eastAsia="Calibri" w:cs="Arial"/>
                <w:vertAlign w:val="superscript"/>
                <w:lang w:eastAsia="en-US"/>
              </w:rPr>
              <w:t>footnote 4</w:t>
            </w:r>
            <w:r w:rsidRPr="00F63BAF">
              <w:rPr>
                <w:rFonts w:eastAsia="Calibri" w:cs="Arial"/>
                <w:sz w:val="17"/>
                <w:szCs w:val="17"/>
                <w:lang w:eastAsia="en-US"/>
              </w:rPr>
              <w:t> </w:t>
            </w:r>
            <w:r w:rsidRPr="00F63BAF">
              <w:rPr>
                <w:rFonts w:eastAsia="Calibri" w:cs="Arial"/>
                <w:sz w:val="17"/>
                <w:szCs w:val="17"/>
                <w:lang w:eastAsia="en-US"/>
              </w:rPr>
              <w:sym w:font="Symbol" w:char="F0B1"/>
            </w:r>
            <w:r w:rsidRPr="00F63BAF">
              <w:rPr>
                <w:rFonts w:eastAsia="Calibri" w:cs="Arial"/>
                <w:sz w:val="17"/>
                <w:szCs w:val="17"/>
                <w:lang w:eastAsia="en-US"/>
              </w:rPr>
              <w:t> 10%</w:t>
            </w:r>
          </w:p>
        </w:tc>
        <w:tc>
          <w:tcPr>
            <w:tcW w:w="1273" w:type="pct"/>
          </w:tcPr>
          <w:p w14:paraId="6334DB47"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3-6</w:t>
            </w:r>
          </w:p>
        </w:tc>
        <w:tc>
          <w:tcPr>
            <w:tcW w:w="1348" w:type="pct"/>
            <w:tcBorders>
              <w:right w:val="single" w:sz="6" w:space="0" w:color="auto"/>
            </w:tcBorders>
          </w:tcPr>
          <w:p w14:paraId="7DCD171E"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Whole soft body</w:t>
            </w:r>
          </w:p>
        </w:tc>
      </w:tr>
      <w:tr w:rsidR="00FC360C" w:rsidRPr="00F63BAF" w14:paraId="13E1A86E" w14:textId="77777777" w:rsidTr="002F237A">
        <w:tc>
          <w:tcPr>
            <w:tcW w:w="1405" w:type="pct"/>
            <w:tcBorders>
              <w:left w:val="single" w:sz="6" w:space="0" w:color="auto"/>
              <w:right w:val="single" w:sz="6" w:space="0" w:color="auto"/>
            </w:tcBorders>
          </w:tcPr>
          <w:p w14:paraId="6386FAE9" w14:textId="77777777" w:rsidR="00FC360C" w:rsidRPr="00F63BAF" w:rsidRDefault="00FC360C" w:rsidP="002F237A">
            <w:pPr>
              <w:tabs>
                <w:tab w:val="left" w:pos="284"/>
              </w:tabs>
              <w:spacing w:before="20" w:after="20" w:line="240" w:lineRule="auto"/>
              <w:rPr>
                <w:rFonts w:eastAsia="Calibri" w:cs="Arial"/>
                <w:i/>
                <w:sz w:val="17"/>
                <w:szCs w:val="17"/>
                <w:lang w:eastAsia="en-US"/>
              </w:rPr>
            </w:pPr>
            <w:r w:rsidRPr="00F63BAF">
              <w:rPr>
                <w:rFonts w:eastAsia="Calibri" w:cs="Arial"/>
                <w:sz w:val="17"/>
                <w:szCs w:val="17"/>
                <w:lang w:eastAsia="en-US"/>
              </w:rPr>
              <w:t>Second choice</w:t>
            </w:r>
            <w:r w:rsidRPr="00F63BAF">
              <w:rPr>
                <w:rFonts w:eastAsia="Calibri" w:cs="Arial"/>
                <w:sz w:val="17"/>
                <w:szCs w:val="17"/>
                <w:vertAlign w:val="superscript"/>
                <w:lang w:eastAsia="en-US"/>
              </w:rPr>
              <w:t>1</w:t>
            </w:r>
          </w:p>
        </w:tc>
        <w:tc>
          <w:tcPr>
            <w:tcW w:w="974" w:type="pct"/>
            <w:tcBorders>
              <w:left w:val="nil"/>
            </w:tcBorders>
          </w:tcPr>
          <w:p w14:paraId="4C54A6E4"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273" w:type="pct"/>
          </w:tcPr>
          <w:p w14:paraId="66936865"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348" w:type="pct"/>
            <w:tcBorders>
              <w:right w:val="single" w:sz="6" w:space="0" w:color="auto"/>
            </w:tcBorders>
          </w:tcPr>
          <w:p w14:paraId="4018D64A"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r>
      <w:tr w:rsidR="00FC360C" w:rsidRPr="00F63BAF" w14:paraId="7ACA9E21" w14:textId="77777777" w:rsidTr="002F237A">
        <w:tc>
          <w:tcPr>
            <w:tcW w:w="1405" w:type="pct"/>
            <w:tcBorders>
              <w:left w:val="single" w:sz="6" w:space="0" w:color="auto"/>
              <w:right w:val="single" w:sz="6" w:space="0" w:color="auto"/>
            </w:tcBorders>
          </w:tcPr>
          <w:p w14:paraId="53074BBE" w14:textId="77777777" w:rsidR="00FC360C" w:rsidRPr="00F63BAF" w:rsidRDefault="00FC360C" w:rsidP="002F237A">
            <w:pPr>
              <w:tabs>
                <w:tab w:val="left" w:pos="426"/>
              </w:tabs>
              <w:spacing w:before="20" w:after="20" w:line="240" w:lineRule="auto"/>
              <w:rPr>
                <w:rFonts w:eastAsia="Calibri" w:cs="Arial"/>
                <w:sz w:val="17"/>
                <w:szCs w:val="17"/>
                <w:lang w:eastAsia="en-US"/>
              </w:rPr>
            </w:pPr>
            <w:r w:rsidRPr="00F63BAF">
              <w:rPr>
                <w:rFonts w:eastAsia="Calibri" w:cs="Arial"/>
                <w:sz w:val="17"/>
                <w:szCs w:val="17"/>
                <w:lang w:eastAsia="en-US"/>
              </w:rPr>
              <w:t>Pacific oyster</w:t>
            </w:r>
          </w:p>
        </w:tc>
        <w:tc>
          <w:tcPr>
            <w:tcW w:w="974" w:type="pct"/>
            <w:tcBorders>
              <w:left w:val="nil"/>
            </w:tcBorders>
          </w:tcPr>
          <w:p w14:paraId="59F19250"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273" w:type="pct"/>
          </w:tcPr>
          <w:p w14:paraId="2386DC2F"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348" w:type="pct"/>
            <w:tcBorders>
              <w:right w:val="single" w:sz="6" w:space="0" w:color="auto"/>
            </w:tcBorders>
          </w:tcPr>
          <w:p w14:paraId="07B9B7BE"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r>
      <w:tr w:rsidR="00FC360C" w:rsidRPr="00F63BAF" w14:paraId="6058AB67" w14:textId="77777777" w:rsidTr="002F237A">
        <w:tc>
          <w:tcPr>
            <w:tcW w:w="1405" w:type="pct"/>
            <w:tcBorders>
              <w:left w:val="single" w:sz="6" w:space="0" w:color="auto"/>
              <w:bottom w:val="single" w:sz="6" w:space="0" w:color="auto"/>
              <w:right w:val="single" w:sz="6" w:space="0" w:color="auto"/>
            </w:tcBorders>
          </w:tcPr>
          <w:p w14:paraId="4A215B56" w14:textId="77777777" w:rsidR="00FC360C" w:rsidRPr="00F63BAF" w:rsidRDefault="00FC360C" w:rsidP="002F237A">
            <w:pPr>
              <w:spacing w:before="20" w:after="20" w:line="240" w:lineRule="auto"/>
              <w:ind w:left="360"/>
              <w:rPr>
                <w:rFonts w:eastAsia="Calibri" w:cs="Arial"/>
                <w:i/>
                <w:sz w:val="17"/>
                <w:szCs w:val="17"/>
                <w:lang w:eastAsia="en-US"/>
              </w:rPr>
            </w:pPr>
            <w:r w:rsidRPr="00F63BAF">
              <w:rPr>
                <w:rFonts w:eastAsia="Calibri" w:cs="Arial"/>
                <w:i/>
                <w:sz w:val="17"/>
                <w:szCs w:val="17"/>
                <w:lang w:eastAsia="en-US"/>
              </w:rPr>
              <w:t>Crassostrea gigas</w:t>
            </w:r>
          </w:p>
        </w:tc>
        <w:tc>
          <w:tcPr>
            <w:tcW w:w="974" w:type="pct"/>
            <w:tcBorders>
              <w:left w:val="nil"/>
              <w:bottom w:val="single" w:sz="6" w:space="0" w:color="auto"/>
            </w:tcBorders>
          </w:tcPr>
          <w:p w14:paraId="7CB9DC1D"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10</w:t>
            </w:r>
            <w:r w:rsidRPr="00F63BAF">
              <w:rPr>
                <w:rFonts w:eastAsia="Calibri" w:cs="Arial"/>
                <w:b/>
                <w:vertAlign w:val="superscript"/>
                <w:lang w:eastAsia="en-US"/>
              </w:rPr>
              <w:t xml:space="preserve"> </w:t>
            </w:r>
            <w:r w:rsidRPr="00F63BAF">
              <w:rPr>
                <w:rFonts w:eastAsia="Calibri" w:cs="Arial"/>
                <w:vertAlign w:val="superscript"/>
                <w:lang w:eastAsia="en-US"/>
              </w:rPr>
              <w:t>footnote 4</w:t>
            </w:r>
            <w:r w:rsidRPr="00F63BAF">
              <w:rPr>
                <w:rFonts w:eastAsia="Calibri" w:cs="Arial"/>
                <w:sz w:val="17"/>
                <w:szCs w:val="17"/>
                <w:lang w:eastAsia="en-US"/>
              </w:rPr>
              <w:t> </w:t>
            </w:r>
            <w:r w:rsidRPr="00F63BAF">
              <w:rPr>
                <w:rFonts w:eastAsia="Calibri" w:cs="Arial"/>
                <w:sz w:val="17"/>
                <w:szCs w:val="17"/>
                <w:lang w:eastAsia="en-US"/>
              </w:rPr>
              <w:sym w:font="Symbol" w:char="F0B1"/>
            </w:r>
            <w:r w:rsidRPr="00F63BAF">
              <w:rPr>
                <w:rFonts w:eastAsia="Calibri" w:cs="Arial"/>
                <w:sz w:val="17"/>
                <w:szCs w:val="17"/>
                <w:lang w:eastAsia="en-US"/>
              </w:rPr>
              <w:t> 10%</w:t>
            </w:r>
          </w:p>
        </w:tc>
        <w:tc>
          <w:tcPr>
            <w:tcW w:w="1273" w:type="pct"/>
            <w:tcBorders>
              <w:bottom w:val="single" w:sz="6" w:space="0" w:color="auto"/>
            </w:tcBorders>
          </w:tcPr>
          <w:p w14:paraId="013E37A1"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9-14 (2 years of age)</w:t>
            </w:r>
          </w:p>
        </w:tc>
        <w:tc>
          <w:tcPr>
            <w:tcW w:w="1348" w:type="pct"/>
            <w:tcBorders>
              <w:bottom w:val="single" w:sz="6" w:space="0" w:color="auto"/>
              <w:right w:val="single" w:sz="6" w:space="0" w:color="auto"/>
            </w:tcBorders>
          </w:tcPr>
          <w:p w14:paraId="4AE8CEF7"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Whole soft body</w:t>
            </w:r>
          </w:p>
        </w:tc>
      </w:tr>
      <w:tr w:rsidR="00FC360C" w:rsidRPr="00F63BAF" w14:paraId="752BA5D2" w14:textId="77777777" w:rsidTr="002F237A">
        <w:tc>
          <w:tcPr>
            <w:tcW w:w="1405" w:type="pct"/>
            <w:tcBorders>
              <w:left w:val="single" w:sz="6" w:space="0" w:color="auto"/>
              <w:right w:val="single" w:sz="6" w:space="0" w:color="auto"/>
            </w:tcBorders>
          </w:tcPr>
          <w:p w14:paraId="44B47346" w14:textId="77777777" w:rsidR="00FC360C" w:rsidRPr="00F63BAF" w:rsidRDefault="00FC360C" w:rsidP="002F237A">
            <w:pPr>
              <w:tabs>
                <w:tab w:val="left" w:pos="284"/>
              </w:tabs>
              <w:spacing w:before="20" w:after="20"/>
              <w:rPr>
                <w:rFonts w:eastAsia="Calibri" w:cs="Arial"/>
                <w:i/>
                <w:lang w:eastAsia="en-US"/>
              </w:rPr>
            </w:pPr>
            <w:r w:rsidRPr="00F63BAF">
              <w:rPr>
                <w:rFonts w:eastAsia="Calibri" w:cs="Arial"/>
                <w:b/>
                <w:lang w:eastAsia="en-US"/>
              </w:rPr>
              <w:t>Flatfish</w:t>
            </w:r>
          </w:p>
        </w:tc>
        <w:tc>
          <w:tcPr>
            <w:tcW w:w="974" w:type="pct"/>
            <w:tcBorders>
              <w:left w:val="nil"/>
            </w:tcBorders>
          </w:tcPr>
          <w:p w14:paraId="59B70AA3" w14:textId="77777777" w:rsidR="00FC360C" w:rsidRPr="00F63BAF" w:rsidRDefault="00FC360C" w:rsidP="002F237A">
            <w:pPr>
              <w:tabs>
                <w:tab w:val="left" w:pos="284"/>
              </w:tabs>
              <w:spacing w:before="20" w:after="20"/>
              <w:jc w:val="center"/>
              <w:rPr>
                <w:rFonts w:eastAsia="Calibri" w:cs="Arial"/>
                <w:lang w:eastAsia="en-US"/>
              </w:rPr>
            </w:pPr>
          </w:p>
        </w:tc>
        <w:tc>
          <w:tcPr>
            <w:tcW w:w="1273" w:type="pct"/>
          </w:tcPr>
          <w:p w14:paraId="5E1FF09F" w14:textId="77777777" w:rsidR="00FC360C" w:rsidRPr="00F63BAF" w:rsidRDefault="00FC360C" w:rsidP="002F237A">
            <w:pPr>
              <w:tabs>
                <w:tab w:val="left" w:pos="284"/>
              </w:tabs>
              <w:spacing w:before="20" w:after="20"/>
              <w:jc w:val="center"/>
              <w:rPr>
                <w:rFonts w:eastAsia="Calibri" w:cs="Arial"/>
                <w:lang w:eastAsia="en-US"/>
              </w:rPr>
            </w:pPr>
          </w:p>
        </w:tc>
        <w:tc>
          <w:tcPr>
            <w:tcW w:w="1348" w:type="pct"/>
            <w:tcBorders>
              <w:right w:val="single" w:sz="6" w:space="0" w:color="auto"/>
            </w:tcBorders>
          </w:tcPr>
          <w:p w14:paraId="0A5EE2B3" w14:textId="77777777" w:rsidR="00FC360C" w:rsidRPr="00F63BAF" w:rsidRDefault="00FC360C" w:rsidP="002F237A">
            <w:pPr>
              <w:tabs>
                <w:tab w:val="left" w:pos="284"/>
              </w:tabs>
              <w:spacing w:before="20" w:after="20"/>
              <w:jc w:val="center"/>
              <w:rPr>
                <w:rFonts w:eastAsia="Calibri" w:cs="Arial"/>
                <w:lang w:eastAsia="en-US"/>
              </w:rPr>
            </w:pPr>
          </w:p>
        </w:tc>
      </w:tr>
      <w:tr w:rsidR="00FC360C" w:rsidRPr="00F63BAF" w14:paraId="50F52711" w14:textId="77777777" w:rsidTr="002F237A">
        <w:tc>
          <w:tcPr>
            <w:tcW w:w="1405" w:type="pct"/>
            <w:tcBorders>
              <w:left w:val="single" w:sz="6" w:space="0" w:color="auto"/>
              <w:right w:val="single" w:sz="6" w:space="0" w:color="auto"/>
            </w:tcBorders>
          </w:tcPr>
          <w:p w14:paraId="26855D5B" w14:textId="77777777" w:rsidR="00FC360C" w:rsidRPr="00F63BAF" w:rsidRDefault="00FC360C" w:rsidP="002F237A">
            <w:pPr>
              <w:tabs>
                <w:tab w:val="left" w:pos="284"/>
              </w:tabs>
              <w:spacing w:before="20" w:after="20" w:line="240" w:lineRule="auto"/>
              <w:rPr>
                <w:rFonts w:eastAsia="Calibri" w:cs="Arial"/>
                <w:b/>
                <w:sz w:val="17"/>
                <w:szCs w:val="17"/>
                <w:lang w:eastAsia="en-US"/>
              </w:rPr>
            </w:pPr>
            <w:r w:rsidRPr="00F63BAF">
              <w:rPr>
                <w:rFonts w:eastAsia="Calibri" w:cs="Arial"/>
                <w:sz w:val="17"/>
                <w:szCs w:val="17"/>
                <w:lang w:eastAsia="en-US"/>
              </w:rPr>
              <w:t>First choice</w:t>
            </w:r>
          </w:p>
        </w:tc>
        <w:tc>
          <w:tcPr>
            <w:tcW w:w="974" w:type="pct"/>
            <w:tcBorders>
              <w:left w:val="nil"/>
            </w:tcBorders>
          </w:tcPr>
          <w:p w14:paraId="655B2D78"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273" w:type="pct"/>
          </w:tcPr>
          <w:p w14:paraId="75EC4462"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348" w:type="pct"/>
            <w:tcBorders>
              <w:right w:val="single" w:sz="6" w:space="0" w:color="auto"/>
            </w:tcBorders>
          </w:tcPr>
          <w:p w14:paraId="0408641C"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r>
      <w:tr w:rsidR="00FC360C" w:rsidRPr="00F63BAF" w14:paraId="187B6AE4" w14:textId="77777777" w:rsidTr="002F237A">
        <w:tc>
          <w:tcPr>
            <w:tcW w:w="1405" w:type="pct"/>
            <w:tcBorders>
              <w:left w:val="single" w:sz="6" w:space="0" w:color="auto"/>
              <w:right w:val="single" w:sz="6" w:space="0" w:color="auto"/>
            </w:tcBorders>
          </w:tcPr>
          <w:p w14:paraId="67E8870C" w14:textId="77777777" w:rsidR="00FC360C" w:rsidRPr="00F63BAF" w:rsidRDefault="00FC360C" w:rsidP="002F237A">
            <w:pPr>
              <w:spacing w:before="20" w:after="20" w:line="240" w:lineRule="auto"/>
              <w:rPr>
                <w:rFonts w:eastAsia="Calibri" w:cs="Arial"/>
                <w:i/>
                <w:sz w:val="17"/>
                <w:szCs w:val="17"/>
                <w:lang w:eastAsia="en-US"/>
              </w:rPr>
            </w:pPr>
            <w:r w:rsidRPr="00F63BAF">
              <w:rPr>
                <w:rFonts w:eastAsia="Calibri" w:cs="Arial"/>
                <w:sz w:val="17"/>
                <w:szCs w:val="17"/>
                <w:lang w:eastAsia="en-US"/>
              </w:rPr>
              <w:t>Dab</w:t>
            </w:r>
          </w:p>
        </w:tc>
        <w:tc>
          <w:tcPr>
            <w:tcW w:w="974" w:type="pct"/>
            <w:tcBorders>
              <w:left w:val="nil"/>
            </w:tcBorders>
          </w:tcPr>
          <w:p w14:paraId="5E91C953"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273" w:type="pct"/>
          </w:tcPr>
          <w:p w14:paraId="19E5598F"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348" w:type="pct"/>
            <w:tcBorders>
              <w:right w:val="single" w:sz="6" w:space="0" w:color="auto"/>
            </w:tcBorders>
          </w:tcPr>
          <w:p w14:paraId="0EA985B7"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r>
      <w:tr w:rsidR="00FC360C" w:rsidRPr="00F63BAF" w14:paraId="41C24866" w14:textId="77777777" w:rsidTr="002F237A">
        <w:tc>
          <w:tcPr>
            <w:tcW w:w="1405" w:type="pct"/>
            <w:tcBorders>
              <w:left w:val="single" w:sz="6" w:space="0" w:color="auto"/>
              <w:right w:val="single" w:sz="6" w:space="0" w:color="auto"/>
            </w:tcBorders>
          </w:tcPr>
          <w:p w14:paraId="51C06326" w14:textId="77777777" w:rsidR="00FC360C" w:rsidRPr="00F63BAF" w:rsidRDefault="00FC360C" w:rsidP="002F237A">
            <w:pPr>
              <w:spacing w:before="20" w:after="20" w:line="240" w:lineRule="auto"/>
              <w:ind w:left="360"/>
              <w:rPr>
                <w:rFonts w:eastAsia="Calibri" w:cs="Arial"/>
                <w:b/>
                <w:sz w:val="17"/>
                <w:szCs w:val="17"/>
                <w:lang w:eastAsia="en-US"/>
              </w:rPr>
            </w:pPr>
            <w:r w:rsidRPr="00F63BAF">
              <w:rPr>
                <w:rFonts w:eastAsia="Calibri" w:cs="Arial"/>
                <w:i/>
                <w:sz w:val="17"/>
                <w:szCs w:val="17"/>
                <w:lang w:eastAsia="en-US"/>
              </w:rPr>
              <w:t>Limanda limanda</w:t>
            </w:r>
          </w:p>
        </w:tc>
        <w:tc>
          <w:tcPr>
            <w:tcW w:w="974" w:type="pct"/>
            <w:tcBorders>
              <w:left w:val="nil"/>
            </w:tcBorders>
          </w:tcPr>
          <w:p w14:paraId="5CA89D18" w14:textId="46B8AD61"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cs="Arial"/>
                <w:spacing w:val="-3"/>
                <w:sz w:val="16"/>
                <w:szCs w:val="16"/>
              </w:rPr>
              <w:t xml:space="preserve"> 2</w:t>
            </w:r>
            <w:r w:rsidR="0001507E">
              <w:rPr>
                <w:rFonts w:cs="Arial"/>
                <w:spacing w:val="-3"/>
                <w:sz w:val="16"/>
                <w:szCs w:val="16"/>
              </w:rPr>
              <w:t>0</w:t>
            </w:r>
            <w:r w:rsidRPr="00F63BAF">
              <w:rPr>
                <w:rFonts w:cs="Arial"/>
                <w:spacing w:val="-3"/>
                <w:sz w:val="16"/>
                <w:szCs w:val="16"/>
              </w:rPr>
              <w:t xml:space="preserve"> to 2</w:t>
            </w:r>
            <w:r w:rsidR="0001507E">
              <w:rPr>
                <w:rFonts w:cs="Arial"/>
                <w:spacing w:val="-3"/>
                <w:sz w:val="16"/>
                <w:szCs w:val="16"/>
              </w:rPr>
              <w:t>5</w:t>
            </w:r>
            <w:r w:rsidRPr="00F63BAF">
              <w:rPr>
                <w:rFonts w:cs="Arial"/>
                <w:spacing w:val="-3"/>
                <w:sz w:val="16"/>
                <w:szCs w:val="16"/>
              </w:rPr>
              <w:t xml:space="preserve"> individuals, or 15 if justified, or 5 batches of 5 individuals</w:t>
            </w:r>
          </w:p>
        </w:tc>
        <w:tc>
          <w:tcPr>
            <w:tcW w:w="1273" w:type="pct"/>
          </w:tcPr>
          <w:p w14:paraId="4B9F77F6"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18-30</w:t>
            </w:r>
          </w:p>
        </w:tc>
        <w:tc>
          <w:tcPr>
            <w:tcW w:w="1348" w:type="pct"/>
            <w:tcBorders>
              <w:right w:val="single" w:sz="6" w:space="0" w:color="auto"/>
            </w:tcBorders>
          </w:tcPr>
          <w:p w14:paraId="3FC9F4D4"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Muscle for Hg. Liver for all other determinands</w:t>
            </w:r>
          </w:p>
        </w:tc>
      </w:tr>
      <w:tr w:rsidR="00FC360C" w:rsidRPr="00F63BAF" w14:paraId="60BBC491" w14:textId="77777777" w:rsidTr="002F237A">
        <w:tc>
          <w:tcPr>
            <w:tcW w:w="1405" w:type="pct"/>
            <w:tcBorders>
              <w:left w:val="single" w:sz="6" w:space="0" w:color="auto"/>
              <w:right w:val="single" w:sz="6" w:space="0" w:color="auto"/>
            </w:tcBorders>
          </w:tcPr>
          <w:p w14:paraId="556053A9" w14:textId="77777777" w:rsidR="00FC360C" w:rsidRPr="00F63BAF" w:rsidRDefault="00FC360C" w:rsidP="002F237A">
            <w:pPr>
              <w:tabs>
                <w:tab w:val="left" w:pos="284"/>
              </w:tabs>
              <w:spacing w:before="20" w:after="20" w:line="240" w:lineRule="auto"/>
              <w:rPr>
                <w:rFonts w:eastAsia="Calibri" w:cs="Arial"/>
                <w:i/>
                <w:sz w:val="17"/>
                <w:szCs w:val="17"/>
                <w:lang w:eastAsia="en-US"/>
              </w:rPr>
            </w:pPr>
            <w:r w:rsidRPr="00F63BAF">
              <w:rPr>
                <w:rFonts w:eastAsia="Calibri" w:cs="Arial"/>
                <w:sz w:val="17"/>
                <w:szCs w:val="17"/>
                <w:lang w:eastAsia="en-US"/>
              </w:rPr>
              <w:t>Second choice</w:t>
            </w:r>
            <w:r w:rsidRPr="00F63BAF">
              <w:rPr>
                <w:rFonts w:eastAsia="Calibri" w:cs="Arial"/>
                <w:sz w:val="17"/>
                <w:szCs w:val="17"/>
                <w:vertAlign w:val="superscript"/>
                <w:lang w:eastAsia="en-US"/>
              </w:rPr>
              <w:t>1</w:t>
            </w:r>
          </w:p>
        </w:tc>
        <w:tc>
          <w:tcPr>
            <w:tcW w:w="974" w:type="pct"/>
            <w:tcBorders>
              <w:left w:val="nil"/>
            </w:tcBorders>
          </w:tcPr>
          <w:p w14:paraId="6B7655BB"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273" w:type="pct"/>
          </w:tcPr>
          <w:p w14:paraId="35C3D0E2"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348" w:type="pct"/>
            <w:tcBorders>
              <w:right w:val="single" w:sz="6" w:space="0" w:color="auto"/>
            </w:tcBorders>
          </w:tcPr>
          <w:p w14:paraId="343141F3"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r>
      <w:tr w:rsidR="00FC360C" w:rsidRPr="00F63BAF" w14:paraId="44D2B24B" w14:textId="77777777" w:rsidTr="002F237A">
        <w:tc>
          <w:tcPr>
            <w:tcW w:w="1405" w:type="pct"/>
            <w:tcBorders>
              <w:left w:val="single" w:sz="6" w:space="0" w:color="auto"/>
              <w:right w:val="single" w:sz="6" w:space="0" w:color="auto"/>
            </w:tcBorders>
          </w:tcPr>
          <w:p w14:paraId="1E70DED9" w14:textId="77777777" w:rsidR="00FC360C" w:rsidRPr="00F63BAF" w:rsidRDefault="00FC360C" w:rsidP="002F237A">
            <w:pPr>
              <w:spacing w:before="20" w:after="20" w:line="240" w:lineRule="auto"/>
              <w:rPr>
                <w:rFonts w:eastAsia="Calibri" w:cs="Arial"/>
                <w:i/>
                <w:sz w:val="17"/>
                <w:szCs w:val="17"/>
                <w:lang w:eastAsia="en-US"/>
              </w:rPr>
            </w:pPr>
            <w:r w:rsidRPr="00F63BAF">
              <w:rPr>
                <w:rFonts w:eastAsia="Calibri" w:cs="Arial"/>
                <w:sz w:val="17"/>
                <w:szCs w:val="17"/>
                <w:lang w:eastAsia="en-US"/>
              </w:rPr>
              <w:t>Flounder</w:t>
            </w:r>
          </w:p>
        </w:tc>
        <w:tc>
          <w:tcPr>
            <w:tcW w:w="974" w:type="pct"/>
            <w:tcBorders>
              <w:left w:val="nil"/>
            </w:tcBorders>
          </w:tcPr>
          <w:p w14:paraId="6B21DB15"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273" w:type="pct"/>
          </w:tcPr>
          <w:p w14:paraId="0CDEB3EF"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348" w:type="pct"/>
            <w:tcBorders>
              <w:right w:val="single" w:sz="6" w:space="0" w:color="auto"/>
            </w:tcBorders>
          </w:tcPr>
          <w:p w14:paraId="56A9A2AD"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r>
      <w:tr w:rsidR="00FC360C" w:rsidRPr="00F63BAF" w14:paraId="1FDE42E7" w14:textId="77777777" w:rsidTr="002F237A">
        <w:tc>
          <w:tcPr>
            <w:tcW w:w="1405" w:type="pct"/>
            <w:tcBorders>
              <w:left w:val="single" w:sz="6" w:space="0" w:color="auto"/>
              <w:bottom w:val="single" w:sz="6" w:space="0" w:color="auto"/>
              <w:right w:val="single" w:sz="6" w:space="0" w:color="auto"/>
            </w:tcBorders>
          </w:tcPr>
          <w:p w14:paraId="620ED337" w14:textId="77777777" w:rsidR="00FC360C" w:rsidRPr="00F63BAF" w:rsidRDefault="00FC360C" w:rsidP="002F237A">
            <w:pPr>
              <w:spacing w:before="20" w:after="20" w:line="240" w:lineRule="auto"/>
              <w:ind w:left="360"/>
              <w:rPr>
                <w:rFonts w:eastAsia="Calibri" w:cs="Arial"/>
                <w:i/>
                <w:sz w:val="17"/>
                <w:szCs w:val="17"/>
                <w:lang w:eastAsia="en-US"/>
              </w:rPr>
            </w:pPr>
            <w:r w:rsidRPr="00F63BAF">
              <w:rPr>
                <w:rFonts w:eastAsia="Calibri" w:cs="Arial"/>
                <w:i/>
                <w:sz w:val="17"/>
                <w:szCs w:val="17"/>
                <w:lang w:eastAsia="en-US"/>
              </w:rPr>
              <w:t>Platichthys flesus</w:t>
            </w:r>
          </w:p>
        </w:tc>
        <w:tc>
          <w:tcPr>
            <w:tcW w:w="974" w:type="pct"/>
            <w:tcBorders>
              <w:left w:val="nil"/>
              <w:bottom w:val="single" w:sz="6" w:space="0" w:color="auto"/>
            </w:tcBorders>
          </w:tcPr>
          <w:p w14:paraId="6DC9DB5D" w14:textId="781709CB"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cs="Arial"/>
                <w:spacing w:val="-3"/>
                <w:sz w:val="16"/>
                <w:szCs w:val="16"/>
              </w:rPr>
              <w:t xml:space="preserve"> 2</w:t>
            </w:r>
            <w:r w:rsidR="0001507E">
              <w:rPr>
                <w:rFonts w:cs="Arial"/>
                <w:spacing w:val="-3"/>
                <w:sz w:val="16"/>
                <w:szCs w:val="16"/>
              </w:rPr>
              <w:t>0</w:t>
            </w:r>
            <w:r w:rsidRPr="00F63BAF">
              <w:rPr>
                <w:rFonts w:cs="Arial"/>
                <w:spacing w:val="-3"/>
                <w:sz w:val="16"/>
                <w:szCs w:val="16"/>
              </w:rPr>
              <w:t xml:space="preserve"> to 2</w:t>
            </w:r>
            <w:r w:rsidR="0001507E">
              <w:rPr>
                <w:rFonts w:cs="Arial"/>
                <w:spacing w:val="-3"/>
                <w:sz w:val="16"/>
                <w:szCs w:val="16"/>
              </w:rPr>
              <w:t>5</w:t>
            </w:r>
            <w:r w:rsidRPr="00F63BAF">
              <w:rPr>
                <w:rFonts w:cs="Arial"/>
                <w:spacing w:val="-3"/>
                <w:sz w:val="16"/>
                <w:szCs w:val="16"/>
              </w:rPr>
              <w:t xml:space="preserve"> individuals, or 15 if justified, or 5 batches of 5 individuals</w:t>
            </w:r>
          </w:p>
        </w:tc>
        <w:tc>
          <w:tcPr>
            <w:tcW w:w="1273" w:type="pct"/>
            <w:tcBorders>
              <w:bottom w:val="single" w:sz="6" w:space="0" w:color="auto"/>
            </w:tcBorders>
          </w:tcPr>
          <w:p w14:paraId="73F17EAF"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15-35</w:t>
            </w:r>
          </w:p>
        </w:tc>
        <w:tc>
          <w:tcPr>
            <w:tcW w:w="1348" w:type="pct"/>
            <w:tcBorders>
              <w:bottom w:val="single" w:sz="6" w:space="0" w:color="auto"/>
              <w:right w:val="single" w:sz="6" w:space="0" w:color="auto"/>
            </w:tcBorders>
          </w:tcPr>
          <w:p w14:paraId="1296022D"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Muscle for Hg. Liver for all other determinands</w:t>
            </w:r>
          </w:p>
        </w:tc>
      </w:tr>
      <w:tr w:rsidR="00FC360C" w:rsidRPr="00F63BAF" w14:paraId="7DABFA87" w14:textId="77777777" w:rsidTr="002F237A">
        <w:tc>
          <w:tcPr>
            <w:tcW w:w="1405" w:type="pct"/>
            <w:tcBorders>
              <w:left w:val="single" w:sz="6" w:space="0" w:color="auto"/>
              <w:right w:val="single" w:sz="6" w:space="0" w:color="auto"/>
            </w:tcBorders>
          </w:tcPr>
          <w:p w14:paraId="2CB9677E" w14:textId="77777777" w:rsidR="00FC360C" w:rsidRPr="00F63BAF" w:rsidRDefault="00FC360C" w:rsidP="002F237A">
            <w:pPr>
              <w:tabs>
                <w:tab w:val="left" w:pos="284"/>
              </w:tabs>
              <w:spacing w:before="20" w:after="20"/>
              <w:rPr>
                <w:rFonts w:eastAsia="Calibri" w:cs="Arial"/>
                <w:i/>
                <w:lang w:eastAsia="en-US"/>
              </w:rPr>
            </w:pPr>
            <w:r w:rsidRPr="00F63BAF">
              <w:rPr>
                <w:rFonts w:eastAsia="Calibri" w:cs="Arial"/>
                <w:b/>
                <w:lang w:eastAsia="en-US"/>
              </w:rPr>
              <w:t>Roundfish</w:t>
            </w:r>
          </w:p>
        </w:tc>
        <w:tc>
          <w:tcPr>
            <w:tcW w:w="974" w:type="pct"/>
            <w:tcBorders>
              <w:left w:val="nil"/>
            </w:tcBorders>
          </w:tcPr>
          <w:p w14:paraId="5FC422DD" w14:textId="77777777" w:rsidR="00FC360C" w:rsidRPr="00F63BAF" w:rsidRDefault="00FC360C" w:rsidP="002F237A">
            <w:pPr>
              <w:tabs>
                <w:tab w:val="left" w:pos="284"/>
              </w:tabs>
              <w:spacing w:before="20" w:after="20"/>
              <w:jc w:val="center"/>
              <w:rPr>
                <w:rFonts w:eastAsia="Calibri" w:cs="Arial"/>
                <w:lang w:eastAsia="en-US"/>
              </w:rPr>
            </w:pPr>
          </w:p>
        </w:tc>
        <w:tc>
          <w:tcPr>
            <w:tcW w:w="1273" w:type="pct"/>
          </w:tcPr>
          <w:p w14:paraId="027A6D2D" w14:textId="77777777" w:rsidR="00FC360C" w:rsidRPr="00F63BAF" w:rsidRDefault="00FC360C" w:rsidP="002F237A">
            <w:pPr>
              <w:tabs>
                <w:tab w:val="left" w:pos="284"/>
              </w:tabs>
              <w:spacing w:before="20" w:after="20"/>
              <w:jc w:val="center"/>
              <w:rPr>
                <w:rFonts w:eastAsia="Calibri" w:cs="Arial"/>
                <w:lang w:eastAsia="en-US"/>
              </w:rPr>
            </w:pPr>
          </w:p>
        </w:tc>
        <w:tc>
          <w:tcPr>
            <w:tcW w:w="1348" w:type="pct"/>
            <w:tcBorders>
              <w:right w:val="single" w:sz="6" w:space="0" w:color="auto"/>
            </w:tcBorders>
          </w:tcPr>
          <w:p w14:paraId="2DBB189D" w14:textId="77777777" w:rsidR="00FC360C" w:rsidRPr="00F63BAF" w:rsidRDefault="00FC360C" w:rsidP="002F237A">
            <w:pPr>
              <w:tabs>
                <w:tab w:val="left" w:pos="284"/>
              </w:tabs>
              <w:spacing w:before="20" w:after="20"/>
              <w:jc w:val="center"/>
              <w:rPr>
                <w:rFonts w:eastAsia="Calibri" w:cs="Arial"/>
                <w:lang w:eastAsia="en-US"/>
              </w:rPr>
            </w:pPr>
          </w:p>
        </w:tc>
      </w:tr>
      <w:tr w:rsidR="00FC360C" w:rsidRPr="00F63BAF" w14:paraId="494DE98D" w14:textId="77777777" w:rsidTr="002F237A">
        <w:tc>
          <w:tcPr>
            <w:tcW w:w="1405" w:type="pct"/>
            <w:tcBorders>
              <w:left w:val="single" w:sz="6" w:space="0" w:color="auto"/>
              <w:right w:val="single" w:sz="6" w:space="0" w:color="auto"/>
            </w:tcBorders>
          </w:tcPr>
          <w:p w14:paraId="49B7066D" w14:textId="77777777" w:rsidR="00FC360C" w:rsidRPr="00F63BAF" w:rsidRDefault="00FC360C" w:rsidP="002F237A">
            <w:pPr>
              <w:tabs>
                <w:tab w:val="left" w:pos="284"/>
              </w:tabs>
              <w:spacing w:before="20" w:after="20" w:line="240" w:lineRule="auto"/>
              <w:rPr>
                <w:rFonts w:eastAsia="Calibri" w:cs="Arial"/>
                <w:b/>
                <w:sz w:val="17"/>
                <w:szCs w:val="17"/>
                <w:lang w:eastAsia="en-US"/>
              </w:rPr>
            </w:pPr>
            <w:r w:rsidRPr="00F63BAF">
              <w:rPr>
                <w:rFonts w:eastAsia="Calibri" w:cs="Arial"/>
                <w:sz w:val="17"/>
                <w:szCs w:val="17"/>
                <w:lang w:eastAsia="en-US"/>
              </w:rPr>
              <w:t>First choice</w:t>
            </w:r>
          </w:p>
        </w:tc>
        <w:tc>
          <w:tcPr>
            <w:tcW w:w="974" w:type="pct"/>
            <w:tcBorders>
              <w:left w:val="nil"/>
            </w:tcBorders>
          </w:tcPr>
          <w:p w14:paraId="0D7E6755"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273" w:type="pct"/>
          </w:tcPr>
          <w:p w14:paraId="454ED24A"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c>
          <w:tcPr>
            <w:tcW w:w="1348" w:type="pct"/>
            <w:tcBorders>
              <w:right w:val="single" w:sz="6" w:space="0" w:color="auto"/>
            </w:tcBorders>
          </w:tcPr>
          <w:p w14:paraId="7BE63360"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tc>
      </w:tr>
      <w:tr w:rsidR="00FC360C" w:rsidRPr="00F63BAF" w14:paraId="5BBCDD22" w14:textId="77777777" w:rsidTr="002F237A">
        <w:tc>
          <w:tcPr>
            <w:tcW w:w="1405" w:type="pct"/>
            <w:tcBorders>
              <w:left w:val="single" w:sz="6" w:space="0" w:color="auto"/>
              <w:right w:val="single" w:sz="6" w:space="0" w:color="auto"/>
            </w:tcBorders>
          </w:tcPr>
          <w:p w14:paraId="4D05B3D8" w14:textId="77777777" w:rsidR="00FC360C" w:rsidRPr="00F63BAF" w:rsidRDefault="00FC360C" w:rsidP="002F237A">
            <w:pPr>
              <w:spacing w:before="20" w:after="20" w:line="240" w:lineRule="auto"/>
              <w:rPr>
                <w:rFonts w:eastAsia="Calibri" w:cs="Arial"/>
                <w:i/>
                <w:sz w:val="17"/>
                <w:szCs w:val="17"/>
                <w:lang w:eastAsia="en-US"/>
              </w:rPr>
            </w:pPr>
            <w:r w:rsidRPr="00F63BAF">
              <w:rPr>
                <w:rFonts w:eastAsia="Calibri" w:cs="Arial"/>
                <w:sz w:val="17"/>
                <w:szCs w:val="17"/>
                <w:lang w:eastAsia="en-US"/>
              </w:rPr>
              <w:t>Cod</w:t>
            </w:r>
          </w:p>
          <w:p w14:paraId="6ED13557" w14:textId="77777777" w:rsidR="00FC360C" w:rsidRPr="00F63BAF" w:rsidRDefault="00FC360C" w:rsidP="002F237A">
            <w:pPr>
              <w:spacing w:before="20" w:after="20" w:line="240" w:lineRule="auto"/>
              <w:ind w:left="360"/>
              <w:rPr>
                <w:rFonts w:eastAsia="Calibri" w:cs="Arial"/>
                <w:i/>
                <w:sz w:val="17"/>
                <w:szCs w:val="17"/>
                <w:lang w:eastAsia="en-US"/>
              </w:rPr>
            </w:pPr>
            <w:r w:rsidRPr="00F63BAF">
              <w:rPr>
                <w:rFonts w:eastAsia="Calibri" w:cs="Arial"/>
                <w:i/>
                <w:sz w:val="17"/>
                <w:szCs w:val="17"/>
                <w:lang w:eastAsia="en-US"/>
              </w:rPr>
              <w:t>Gadus morhua</w:t>
            </w:r>
          </w:p>
          <w:p w14:paraId="6AF83C92" w14:textId="77777777" w:rsidR="00FC360C" w:rsidRPr="00F63BAF" w:rsidRDefault="00FC360C" w:rsidP="002F237A">
            <w:pPr>
              <w:spacing w:before="20" w:after="20" w:line="240" w:lineRule="auto"/>
              <w:ind w:left="360"/>
              <w:rPr>
                <w:rFonts w:eastAsia="Calibri" w:cs="Arial"/>
                <w:i/>
                <w:sz w:val="17"/>
                <w:szCs w:val="17"/>
                <w:lang w:eastAsia="en-US"/>
              </w:rPr>
            </w:pPr>
          </w:p>
        </w:tc>
        <w:tc>
          <w:tcPr>
            <w:tcW w:w="974" w:type="pct"/>
            <w:tcBorders>
              <w:left w:val="nil"/>
            </w:tcBorders>
          </w:tcPr>
          <w:p w14:paraId="50389184"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p w14:paraId="2533651F" w14:textId="6F186613"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cs="Arial"/>
                <w:spacing w:val="-3"/>
                <w:sz w:val="16"/>
                <w:szCs w:val="16"/>
              </w:rPr>
              <w:t xml:space="preserve"> 2</w:t>
            </w:r>
            <w:r w:rsidR="0001507E">
              <w:rPr>
                <w:rFonts w:cs="Arial"/>
                <w:spacing w:val="-3"/>
                <w:sz w:val="16"/>
                <w:szCs w:val="16"/>
              </w:rPr>
              <w:t>0</w:t>
            </w:r>
            <w:r w:rsidRPr="00F63BAF">
              <w:rPr>
                <w:rFonts w:cs="Arial"/>
                <w:spacing w:val="-3"/>
                <w:sz w:val="16"/>
                <w:szCs w:val="16"/>
              </w:rPr>
              <w:t xml:space="preserve"> to 2</w:t>
            </w:r>
            <w:r w:rsidR="0001507E">
              <w:rPr>
                <w:rFonts w:cs="Arial"/>
                <w:spacing w:val="-3"/>
                <w:sz w:val="16"/>
                <w:szCs w:val="16"/>
              </w:rPr>
              <w:t>5</w:t>
            </w:r>
            <w:r w:rsidRPr="00F63BAF">
              <w:rPr>
                <w:rFonts w:cs="Arial"/>
                <w:spacing w:val="-3"/>
                <w:sz w:val="16"/>
                <w:szCs w:val="16"/>
              </w:rPr>
              <w:t xml:space="preserve"> individuals, or 15 if justified, or 5 batches of 5 individuals</w:t>
            </w:r>
          </w:p>
        </w:tc>
        <w:tc>
          <w:tcPr>
            <w:tcW w:w="1273" w:type="pct"/>
          </w:tcPr>
          <w:p w14:paraId="3FBB2CE1"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p w14:paraId="0AB58CAF"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 xml:space="preserve">&gt;20 </w:t>
            </w:r>
          </w:p>
        </w:tc>
        <w:tc>
          <w:tcPr>
            <w:tcW w:w="1348" w:type="pct"/>
            <w:tcBorders>
              <w:right w:val="single" w:sz="6" w:space="0" w:color="auto"/>
            </w:tcBorders>
          </w:tcPr>
          <w:p w14:paraId="71E2B9FD"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p w14:paraId="22060364"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Muscle for Hg. Liver for all other determinands</w:t>
            </w:r>
          </w:p>
        </w:tc>
      </w:tr>
      <w:tr w:rsidR="00FC360C" w:rsidRPr="00F63BAF" w14:paraId="107675AD" w14:textId="77777777" w:rsidTr="002F237A">
        <w:tc>
          <w:tcPr>
            <w:tcW w:w="1405" w:type="pct"/>
            <w:tcBorders>
              <w:left w:val="single" w:sz="6" w:space="0" w:color="auto"/>
              <w:right w:val="single" w:sz="6" w:space="0" w:color="auto"/>
            </w:tcBorders>
          </w:tcPr>
          <w:p w14:paraId="777C37F7" w14:textId="77777777" w:rsidR="00FC360C" w:rsidRPr="00F63BAF" w:rsidRDefault="00FC360C" w:rsidP="002F237A">
            <w:pPr>
              <w:keepNext/>
              <w:tabs>
                <w:tab w:val="left" w:pos="284"/>
              </w:tabs>
              <w:spacing w:before="20" w:after="20" w:line="240" w:lineRule="auto"/>
              <w:rPr>
                <w:rFonts w:eastAsia="Calibri" w:cs="Arial"/>
                <w:i/>
                <w:sz w:val="17"/>
                <w:szCs w:val="17"/>
                <w:lang w:eastAsia="en-US"/>
              </w:rPr>
            </w:pPr>
            <w:r w:rsidRPr="00F63BAF">
              <w:rPr>
                <w:rFonts w:eastAsia="Calibri" w:cs="Arial"/>
                <w:sz w:val="17"/>
                <w:szCs w:val="17"/>
                <w:lang w:eastAsia="en-US"/>
              </w:rPr>
              <w:t>Second choice</w:t>
            </w:r>
            <w:r w:rsidRPr="00F63BAF">
              <w:rPr>
                <w:rFonts w:eastAsia="Calibri" w:cs="Arial"/>
                <w:sz w:val="17"/>
                <w:szCs w:val="17"/>
                <w:vertAlign w:val="superscript"/>
                <w:lang w:eastAsia="en-US"/>
              </w:rPr>
              <w:t>1</w:t>
            </w:r>
          </w:p>
        </w:tc>
        <w:tc>
          <w:tcPr>
            <w:tcW w:w="974" w:type="pct"/>
            <w:tcBorders>
              <w:left w:val="nil"/>
            </w:tcBorders>
          </w:tcPr>
          <w:p w14:paraId="737BFE08" w14:textId="77777777" w:rsidR="00FC360C" w:rsidRPr="00F63BAF" w:rsidRDefault="00FC360C" w:rsidP="002F237A">
            <w:pPr>
              <w:keepNext/>
              <w:tabs>
                <w:tab w:val="left" w:pos="284"/>
              </w:tabs>
              <w:spacing w:before="20" w:after="20" w:line="240" w:lineRule="auto"/>
              <w:jc w:val="center"/>
              <w:rPr>
                <w:rFonts w:eastAsia="Calibri" w:cs="Arial"/>
                <w:sz w:val="17"/>
                <w:szCs w:val="17"/>
                <w:lang w:eastAsia="en-US"/>
              </w:rPr>
            </w:pPr>
          </w:p>
        </w:tc>
        <w:tc>
          <w:tcPr>
            <w:tcW w:w="1273" w:type="pct"/>
          </w:tcPr>
          <w:p w14:paraId="76CD6A1F" w14:textId="77777777" w:rsidR="00FC360C" w:rsidRPr="00F63BAF" w:rsidRDefault="00FC360C" w:rsidP="002F237A">
            <w:pPr>
              <w:keepNext/>
              <w:tabs>
                <w:tab w:val="left" w:pos="284"/>
              </w:tabs>
              <w:spacing w:before="20" w:after="20" w:line="240" w:lineRule="auto"/>
              <w:jc w:val="center"/>
              <w:rPr>
                <w:rFonts w:eastAsia="Calibri" w:cs="Arial"/>
                <w:sz w:val="17"/>
                <w:szCs w:val="17"/>
                <w:lang w:eastAsia="en-US"/>
              </w:rPr>
            </w:pPr>
          </w:p>
        </w:tc>
        <w:tc>
          <w:tcPr>
            <w:tcW w:w="1348" w:type="pct"/>
            <w:tcBorders>
              <w:right w:val="single" w:sz="6" w:space="0" w:color="auto"/>
            </w:tcBorders>
          </w:tcPr>
          <w:p w14:paraId="416D12C9" w14:textId="77777777" w:rsidR="00FC360C" w:rsidRPr="00F63BAF" w:rsidRDefault="00FC360C" w:rsidP="002F237A">
            <w:pPr>
              <w:keepNext/>
              <w:tabs>
                <w:tab w:val="left" w:pos="284"/>
              </w:tabs>
              <w:spacing w:before="20" w:after="20" w:line="240" w:lineRule="auto"/>
              <w:jc w:val="center"/>
              <w:rPr>
                <w:rFonts w:eastAsia="Calibri" w:cs="Arial"/>
                <w:sz w:val="17"/>
                <w:szCs w:val="17"/>
                <w:lang w:eastAsia="en-US"/>
              </w:rPr>
            </w:pPr>
          </w:p>
        </w:tc>
      </w:tr>
      <w:tr w:rsidR="00FC360C" w:rsidRPr="00F63BAF" w14:paraId="2F06466D" w14:textId="77777777" w:rsidTr="002F237A">
        <w:tc>
          <w:tcPr>
            <w:tcW w:w="1405" w:type="pct"/>
            <w:tcBorders>
              <w:left w:val="single" w:sz="6" w:space="0" w:color="auto"/>
              <w:right w:val="single" w:sz="6" w:space="0" w:color="auto"/>
            </w:tcBorders>
          </w:tcPr>
          <w:p w14:paraId="2B8D1A5B" w14:textId="77777777" w:rsidR="00FC360C" w:rsidRPr="00F63BAF" w:rsidRDefault="00FC360C" w:rsidP="002F237A">
            <w:pPr>
              <w:spacing w:before="20" w:after="20" w:line="240" w:lineRule="auto"/>
              <w:rPr>
                <w:rFonts w:eastAsia="Calibri" w:cs="Arial"/>
                <w:sz w:val="17"/>
                <w:szCs w:val="17"/>
                <w:lang w:eastAsia="en-US"/>
              </w:rPr>
            </w:pPr>
            <w:r w:rsidRPr="00F63BAF">
              <w:rPr>
                <w:rFonts w:eastAsia="Calibri" w:cs="Arial"/>
                <w:sz w:val="17"/>
                <w:szCs w:val="17"/>
                <w:lang w:eastAsia="en-US"/>
              </w:rPr>
              <w:t>Whiting</w:t>
            </w:r>
          </w:p>
          <w:p w14:paraId="5F38EADA" w14:textId="77777777" w:rsidR="00FC360C" w:rsidRPr="00F63BAF" w:rsidRDefault="00FC360C" w:rsidP="002F237A">
            <w:pPr>
              <w:spacing w:before="20" w:after="20" w:line="240" w:lineRule="auto"/>
              <w:ind w:left="360"/>
              <w:rPr>
                <w:rFonts w:eastAsia="Calibri" w:cs="Arial"/>
                <w:b/>
                <w:sz w:val="17"/>
                <w:szCs w:val="17"/>
                <w:lang w:eastAsia="en-US"/>
              </w:rPr>
            </w:pPr>
            <w:r w:rsidRPr="00F63BAF">
              <w:rPr>
                <w:rFonts w:eastAsia="Calibri" w:cs="Arial"/>
                <w:i/>
                <w:sz w:val="17"/>
                <w:szCs w:val="17"/>
                <w:lang w:eastAsia="en-US"/>
              </w:rPr>
              <w:t>Merlangius merlangus</w:t>
            </w:r>
          </w:p>
        </w:tc>
        <w:tc>
          <w:tcPr>
            <w:tcW w:w="974" w:type="pct"/>
            <w:tcBorders>
              <w:left w:val="nil"/>
            </w:tcBorders>
          </w:tcPr>
          <w:p w14:paraId="25968636"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p w14:paraId="1AA7975E" w14:textId="1D0F5B91"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cs="Arial"/>
                <w:spacing w:val="-3"/>
                <w:sz w:val="16"/>
                <w:szCs w:val="16"/>
              </w:rPr>
              <w:t xml:space="preserve"> 2</w:t>
            </w:r>
            <w:r w:rsidR="0001507E">
              <w:rPr>
                <w:rFonts w:cs="Arial"/>
                <w:spacing w:val="-3"/>
                <w:sz w:val="16"/>
                <w:szCs w:val="16"/>
              </w:rPr>
              <w:t>0</w:t>
            </w:r>
            <w:r w:rsidRPr="00F63BAF">
              <w:rPr>
                <w:rFonts w:cs="Arial"/>
                <w:spacing w:val="-3"/>
                <w:sz w:val="16"/>
                <w:szCs w:val="16"/>
              </w:rPr>
              <w:t xml:space="preserve"> to 2</w:t>
            </w:r>
            <w:r w:rsidR="0001507E">
              <w:rPr>
                <w:rFonts w:cs="Arial"/>
                <w:spacing w:val="-3"/>
                <w:sz w:val="16"/>
                <w:szCs w:val="16"/>
              </w:rPr>
              <w:t>5</w:t>
            </w:r>
            <w:r w:rsidRPr="00F63BAF">
              <w:rPr>
                <w:rFonts w:cs="Arial"/>
                <w:spacing w:val="-3"/>
                <w:sz w:val="16"/>
                <w:szCs w:val="16"/>
              </w:rPr>
              <w:t xml:space="preserve"> individuals, or 15 if justified, or 5 batches of 5 individuals</w:t>
            </w:r>
          </w:p>
        </w:tc>
        <w:tc>
          <w:tcPr>
            <w:tcW w:w="1273" w:type="pct"/>
          </w:tcPr>
          <w:p w14:paraId="2A66AB25"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p w14:paraId="3FC0748C"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20-35</w:t>
            </w:r>
          </w:p>
        </w:tc>
        <w:tc>
          <w:tcPr>
            <w:tcW w:w="1348" w:type="pct"/>
            <w:tcBorders>
              <w:right w:val="single" w:sz="6" w:space="0" w:color="auto"/>
            </w:tcBorders>
          </w:tcPr>
          <w:p w14:paraId="5543EAFC"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p w14:paraId="299AB45E"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Muscle for Hg. Liver for all other determinands</w:t>
            </w:r>
          </w:p>
        </w:tc>
      </w:tr>
      <w:tr w:rsidR="00FC360C" w:rsidRPr="00F63BAF" w14:paraId="078CABE7" w14:textId="77777777" w:rsidTr="002F237A">
        <w:tc>
          <w:tcPr>
            <w:tcW w:w="1405" w:type="pct"/>
            <w:tcBorders>
              <w:left w:val="single" w:sz="6" w:space="0" w:color="auto"/>
              <w:right w:val="single" w:sz="6" w:space="0" w:color="auto"/>
            </w:tcBorders>
          </w:tcPr>
          <w:p w14:paraId="1EC899FE" w14:textId="77777777" w:rsidR="00FC360C" w:rsidRPr="00F63BAF" w:rsidRDefault="00FC360C" w:rsidP="002F237A">
            <w:pPr>
              <w:spacing w:before="20" w:after="20" w:line="240" w:lineRule="auto"/>
              <w:rPr>
                <w:rFonts w:eastAsia="Calibri" w:cs="Arial"/>
                <w:i/>
                <w:sz w:val="17"/>
                <w:szCs w:val="17"/>
                <w:lang w:eastAsia="en-US"/>
              </w:rPr>
            </w:pPr>
            <w:r w:rsidRPr="00F63BAF">
              <w:rPr>
                <w:rFonts w:eastAsia="Calibri" w:cs="Arial"/>
                <w:sz w:val="17"/>
                <w:szCs w:val="17"/>
                <w:lang w:eastAsia="en-US"/>
              </w:rPr>
              <w:t>Hake</w:t>
            </w:r>
          </w:p>
          <w:p w14:paraId="10C86950" w14:textId="77777777" w:rsidR="00FC360C" w:rsidRPr="00F63BAF" w:rsidRDefault="00FC360C" w:rsidP="002F237A">
            <w:pPr>
              <w:spacing w:before="20" w:after="20" w:line="240" w:lineRule="auto"/>
              <w:ind w:left="360"/>
              <w:rPr>
                <w:rFonts w:eastAsia="Calibri" w:cs="Arial"/>
                <w:i/>
                <w:sz w:val="17"/>
                <w:szCs w:val="17"/>
                <w:lang w:eastAsia="en-US"/>
              </w:rPr>
            </w:pPr>
            <w:r w:rsidRPr="00F63BAF">
              <w:rPr>
                <w:rFonts w:eastAsia="Calibri" w:cs="Arial"/>
                <w:i/>
                <w:sz w:val="17"/>
                <w:szCs w:val="17"/>
                <w:lang w:eastAsia="en-US"/>
              </w:rPr>
              <w:t>Merluccius merluccius</w:t>
            </w:r>
          </w:p>
        </w:tc>
        <w:tc>
          <w:tcPr>
            <w:tcW w:w="974" w:type="pct"/>
            <w:tcBorders>
              <w:left w:val="nil"/>
            </w:tcBorders>
          </w:tcPr>
          <w:p w14:paraId="737CD2D7"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p w14:paraId="16B16577" w14:textId="21901709"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cs="Arial"/>
                <w:spacing w:val="-3"/>
                <w:sz w:val="16"/>
                <w:szCs w:val="16"/>
              </w:rPr>
              <w:t xml:space="preserve"> 2</w:t>
            </w:r>
            <w:r w:rsidR="0001507E">
              <w:rPr>
                <w:rFonts w:cs="Arial"/>
                <w:spacing w:val="-3"/>
                <w:sz w:val="16"/>
                <w:szCs w:val="16"/>
              </w:rPr>
              <w:t>0</w:t>
            </w:r>
            <w:r w:rsidRPr="00F63BAF">
              <w:rPr>
                <w:rFonts w:cs="Arial"/>
                <w:spacing w:val="-3"/>
                <w:sz w:val="16"/>
                <w:szCs w:val="16"/>
              </w:rPr>
              <w:t xml:space="preserve"> to 2</w:t>
            </w:r>
            <w:r w:rsidR="0001507E">
              <w:rPr>
                <w:rFonts w:cs="Arial"/>
                <w:spacing w:val="-3"/>
                <w:sz w:val="16"/>
                <w:szCs w:val="16"/>
              </w:rPr>
              <w:t>5</w:t>
            </w:r>
            <w:r w:rsidRPr="00F63BAF">
              <w:rPr>
                <w:rFonts w:cs="Arial"/>
                <w:spacing w:val="-3"/>
                <w:sz w:val="16"/>
                <w:szCs w:val="16"/>
              </w:rPr>
              <w:t xml:space="preserve"> individuals, or 15 if justified, or 5 batches of 5 individuals</w:t>
            </w:r>
          </w:p>
        </w:tc>
        <w:tc>
          <w:tcPr>
            <w:tcW w:w="1273" w:type="pct"/>
          </w:tcPr>
          <w:p w14:paraId="2E8E3450"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p w14:paraId="2079AFBD"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20-35</w:t>
            </w:r>
          </w:p>
        </w:tc>
        <w:tc>
          <w:tcPr>
            <w:tcW w:w="1348" w:type="pct"/>
            <w:tcBorders>
              <w:right w:val="single" w:sz="6" w:space="0" w:color="auto"/>
            </w:tcBorders>
          </w:tcPr>
          <w:p w14:paraId="7757B4DB"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p w14:paraId="7AC23588"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Muscle for Hg. Liver for all other determinands</w:t>
            </w:r>
          </w:p>
        </w:tc>
      </w:tr>
      <w:tr w:rsidR="00FC360C" w:rsidRPr="00F63BAF" w14:paraId="5C2A4F31" w14:textId="77777777" w:rsidTr="002F237A">
        <w:tc>
          <w:tcPr>
            <w:tcW w:w="1405" w:type="pct"/>
            <w:tcBorders>
              <w:top w:val="single" w:sz="6" w:space="0" w:color="auto"/>
              <w:left w:val="single" w:sz="6" w:space="0" w:color="auto"/>
              <w:right w:val="single" w:sz="6" w:space="0" w:color="auto"/>
            </w:tcBorders>
          </w:tcPr>
          <w:p w14:paraId="3AAB7C62" w14:textId="77777777" w:rsidR="00FC360C" w:rsidRPr="00F63BAF" w:rsidRDefault="00FC360C" w:rsidP="002F237A">
            <w:pPr>
              <w:spacing w:before="20" w:after="20"/>
              <w:rPr>
                <w:rFonts w:eastAsia="Calibri" w:cs="Arial"/>
                <w:lang w:eastAsia="en-US"/>
              </w:rPr>
            </w:pPr>
            <w:r w:rsidRPr="00F63BAF">
              <w:rPr>
                <w:rFonts w:eastAsia="Calibri" w:cs="Arial"/>
                <w:b/>
                <w:lang w:eastAsia="en-US"/>
              </w:rPr>
              <w:t>Seabird eggs</w:t>
            </w:r>
          </w:p>
        </w:tc>
        <w:tc>
          <w:tcPr>
            <w:tcW w:w="974" w:type="pct"/>
            <w:tcBorders>
              <w:top w:val="single" w:sz="6" w:space="0" w:color="auto"/>
              <w:left w:val="nil"/>
            </w:tcBorders>
          </w:tcPr>
          <w:p w14:paraId="5FCF8FAB" w14:textId="77777777" w:rsidR="00FC360C" w:rsidRPr="00F63BAF" w:rsidRDefault="00FC360C" w:rsidP="002F237A">
            <w:pPr>
              <w:tabs>
                <w:tab w:val="left" w:pos="284"/>
              </w:tabs>
              <w:spacing w:before="20" w:after="20"/>
              <w:jc w:val="center"/>
              <w:rPr>
                <w:rFonts w:eastAsia="Calibri" w:cs="Arial"/>
                <w:lang w:eastAsia="en-US"/>
              </w:rPr>
            </w:pPr>
          </w:p>
        </w:tc>
        <w:tc>
          <w:tcPr>
            <w:tcW w:w="1273" w:type="pct"/>
            <w:tcBorders>
              <w:top w:val="single" w:sz="6" w:space="0" w:color="auto"/>
            </w:tcBorders>
          </w:tcPr>
          <w:p w14:paraId="38C78BAE" w14:textId="77777777" w:rsidR="00FC360C" w:rsidRPr="00F63BAF" w:rsidRDefault="00FC360C" w:rsidP="002F237A">
            <w:pPr>
              <w:tabs>
                <w:tab w:val="left" w:pos="284"/>
              </w:tabs>
              <w:spacing w:before="20" w:after="20"/>
              <w:jc w:val="center"/>
              <w:rPr>
                <w:rFonts w:eastAsia="Calibri" w:cs="Arial"/>
                <w:lang w:eastAsia="en-US"/>
              </w:rPr>
            </w:pPr>
          </w:p>
        </w:tc>
        <w:tc>
          <w:tcPr>
            <w:tcW w:w="1348" w:type="pct"/>
            <w:tcBorders>
              <w:top w:val="single" w:sz="6" w:space="0" w:color="auto"/>
              <w:right w:val="single" w:sz="6" w:space="0" w:color="auto"/>
            </w:tcBorders>
          </w:tcPr>
          <w:p w14:paraId="5A467604" w14:textId="77777777" w:rsidR="00FC360C" w:rsidRPr="00F63BAF" w:rsidRDefault="00FC360C" w:rsidP="002F237A">
            <w:pPr>
              <w:tabs>
                <w:tab w:val="left" w:pos="284"/>
              </w:tabs>
              <w:spacing w:before="20" w:after="20"/>
              <w:jc w:val="center"/>
              <w:rPr>
                <w:rFonts w:eastAsia="Calibri" w:cs="Arial"/>
                <w:lang w:eastAsia="en-US"/>
              </w:rPr>
            </w:pPr>
          </w:p>
        </w:tc>
      </w:tr>
      <w:tr w:rsidR="00FC360C" w:rsidRPr="00F63BAF" w14:paraId="4A9B828D" w14:textId="77777777" w:rsidTr="002F237A">
        <w:tc>
          <w:tcPr>
            <w:tcW w:w="1405" w:type="pct"/>
            <w:tcBorders>
              <w:left w:val="single" w:sz="6" w:space="0" w:color="auto"/>
              <w:right w:val="single" w:sz="6" w:space="0" w:color="auto"/>
            </w:tcBorders>
          </w:tcPr>
          <w:p w14:paraId="5E2CFF8A" w14:textId="77777777" w:rsidR="00FC360C" w:rsidRPr="00F63BAF" w:rsidRDefault="00FC360C" w:rsidP="002F237A">
            <w:pPr>
              <w:spacing w:before="20" w:after="20" w:line="240" w:lineRule="auto"/>
              <w:rPr>
                <w:rFonts w:eastAsia="Calibri" w:cs="Arial"/>
                <w:sz w:val="17"/>
                <w:szCs w:val="17"/>
                <w:lang w:eastAsia="en-US"/>
              </w:rPr>
            </w:pPr>
            <w:r w:rsidRPr="00F63BAF">
              <w:rPr>
                <w:rFonts w:eastAsia="Calibri" w:cs="Arial"/>
                <w:sz w:val="17"/>
                <w:szCs w:val="17"/>
                <w:lang w:eastAsia="en-US"/>
              </w:rPr>
              <w:t>Common tern</w:t>
            </w:r>
          </w:p>
          <w:p w14:paraId="7F542AD2" w14:textId="77777777" w:rsidR="00FC360C" w:rsidRPr="00F63BAF" w:rsidRDefault="00FC360C" w:rsidP="002F237A">
            <w:pPr>
              <w:spacing w:before="20" w:after="20" w:line="240" w:lineRule="auto"/>
              <w:ind w:left="426"/>
              <w:rPr>
                <w:rFonts w:eastAsia="Calibri" w:cs="Arial"/>
                <w:sz w:val="17"/>
                <w:szCs w:val="17"/>
                <w:lang w:eastAsia="en-US"/>
              </w:rPr>
            </w:pPr>
            <w:r w:rsidRPr="00F63BAF">
              <w:rPr>
                <w:rFonts w:eastAsia="Calibri" w:cs="Arial"/>
                <w:i/>
                <w:sz w:val="17"/>
                <w:szCs w:val="17"/>
                <w:lang w:eastAsia="en-US"/>
              </w:rPr>
              <w:t>Sterna hirunda</w:t>
            </w:r>
          </w:p>
        </w:tc>
        <w:tc>
          <w:tcPr>
            <w:tcW w:w="974" w:type="pct"/>
            <w:tcBorders>
              <w:left w:val="nil"/>
            </w:tcBorders>
          </w:tcPr>
          <w:p w14:paraId="5AFBA463"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p w14:paraId="02DE4B9A"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 xml:space="preserve">10 </w:t>
            </w:r>
            <w:r w:rsidRPr="00F63BAF">
              <w:rPr>
                <w:rFonts w:eastAsia="Calibri" w:cs="Arial"/>
                <w:sz w:val="17"/>
                <w:szCs w:val="17"/>
                <w:vertAlign w:val="superscript"/>
                <w:lang w:eastAsia="en-US"/>
              </w:rPr>
              <w:t>footnote 2</w:t>
            </w:r>
          </w:p>
        </w:tc>
        <w:tc>
          <w:tcPr>
            <w:tcW w:w="1273" w:type="pct"/>
          </w:tcPr>
          <w:p w14:paraId="2506FA0F"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w:t>
            </w:r>
          </w:p>
        </w:tc>
        <w:tc>
          <w:tcPr>
            <w:tcW w:w="1348" w:type="pct"/>
            <w:tcBorders>
              <w:right w:val="single" w:sz="6" w:space="0" w:color="auto"/>
            </w:tcBorders>
          </w:tcPr>
          <w:p w14:paraId="17B3E440"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p w14:paraId="6B482AB6"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Whole egg content</w:t>
            </w:r>
          </w:p>
        </w:tc>
      </w:tr>
      <w:tr w:rsidR="00FC360C" w:rsidRPr="00F63BAF" w14:paraId="2990EB69" w14:textId="77777777" w:rsidTr="002F237A">
        <w:tc>
          <w:tcPr>
            <w:tcW w:w="1405" w:type="pct"/>
            <w:tcBorders>
              <w:left w:val="single" w:sz="6" w:space="0" w:color="auto"/>
              <w:right w:val="single" w:sz="6" w:space="0" w:color="auto"/>
            </w:tcBorders>
          </w:tcPr>
          <w:p w14:paraId="4AEC2D92" w14:textId="77777777" w:rsidR="00FC360C" w:rsidRPr="00F63BAF" w:rsidRDefault="00FC360C" w:rsidP="002F237A">
            <w:pPr>
              <w:spacing w:before="20" w:after="20" w:line="240" w:lineRule="auto"/>
              <w:rPr>
                <w:rFonts w:eastAsia="Calibri" w:cs="Arial"/>
                <w:sz w:val="17"/>
                <w:szCs w:val="17"/>
                <w:lang w:eastAsia="en-US"/>
              </w:rPr>
            </w:pPr>
            <w:r w:rsidRPr="00F63BAF">
              <w:rPr>
                <w:rFonts w:eastAsia="Calibri" w:cs="Arial"/>
                <w:sz w:val="17"/>
                <w:szCs w:val="17"/>
                <w:lang w:eastAsia="en-US"/>
              </w:rPr>
              <w:t>Oyster catcher</w:t>
            </w:r>
          </w:p>
          <w:p w14:paraId="619D056A" w14:textId="77777777" w:rsidR="00FC360C" w:rsidRPr="00F63BAF" w:rsidRDefault="00FC360C" w:rsidP="002F237A">
            <w:pPr>
              <w:spacing w:before="20" w:after="20" w:line="240" w:lineRule="auto"/>
              <w:ind w:left="426"/>
              <w:rPr>
                <w:rFonts w:eastAsia="Calibri" w:cs="Arial"/>
                <w:sz w:val="17"/>
                <w:szCs w:val="17"/>
                <w:lang w:eastAsia="en-US"/>
              </w:rPr>
            </w:pPr>
            <w:r w:rsidRPr="00F63BAF">
              <w:rPr>
                <w:rFonts w:eastAsia="Calibri" w:cs="Arial"/>
                <w:i/>
                <w:sz w:val="17"/>
                <w:szCs w:val="17"/>
                <w:lang w:eastAsia="en-US"/>
              </w:rPr>
              <w:t>Haematopus ostralegus</w:t>
            </w:r>
          </w:p>
        </w:tc>
        <w:tc>
          <w:tcPr>
            <w:tcW w:w="974" w:type="pct"/>
            <w:tcBorders>
              <w:left w:val="nil"/>
            </w:tcBorders>
          </w:tcPr>
          <w:p w14:paraId="5FE5A95E"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p w14:paraId="089F70A4"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10</w:t>
            </w:r>
            <w:r w:rsidRPr="00F63BAF">
              <w:rPr>
                <w:rFonts w:eastAsia="Calibri" w:cs="Arial"/>
                <w:sz w:val="17"/>
                <w:szCs w:val="17"/>
                <w:vertAlign w:val="superscript"/>
                <w:lang w:eastAsia="en-US"/>
              </w:rPr>
              <w:t xml:space="preserve"> footnote 2</w:t>
            </w:r>
          </w:p>
        </w:tc>
        <w:tc>
          <w:tcPr>
            <w:tcW w:w="1273" w:type="pct"/>
          </w:tcPr>
          <w:p w14:paraId="67B0EFDC"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w:t>
            </w:r>
          </w:p>
        </w:tc>
        <w:tc>
          <w:tcPr>
            <w:tcW w:w="1348" w:type="pct"/>
            <w:tcBorders>
              <w:right w:val="single" w:sz="6" w:space="0" w:color="auto"/>
            </w:tcBorders>
          </w:tcPr>
          <w:p w14:paraId="09EEB22D"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p w14:paraId="2536275D"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Whole egg content</w:t>
            </w:r>
          </w:p>
        </w:tc>
      </w:tr>
      <w:tr w:rsidR="00FC360C" w:rsidRPr="00F63BAF" w14:paraId="179933FE" w14:textId="77777777" w:rsidTr="002F237A">
        <w:tc>
          <w:tcPr>
            <w:tcW w:w="1405" w:type="pct"/>
            <w:tcBorders>
              <w:left w:val="single" w:sz="6" w:space="0" w:color="auto"/>
              <w:bottom w:val="single" w:sz="6" w:space="0" w:color="auto"/>
              <w:right w:val="single" w:sz="6" w:space="0" w:color="auto"/>
            </w:tcBorders>
          </w:tcPr>
          <w:p w14:paraId="37A3DFB4" w14:textId="77777777" w:rsidR="00FC360C" w:rsidRPr="00F63BAF" w:rsidRDefault="00FC360C" w:rsidP="002F237A">
            <w:pPr>
              <w:spacing w:before="20" w:after="20" w:line="240" w:lineRule="auto"/>
              <w:rPr>
                <w:rFonts w:eastAsia="Calibri" w:cs="Arial"/>
                <w:sz w:val="17"/>
                <w:szCs w:val="17"/>
                <w:lang w:eastAsia="en-US"/>
              </w:rPr>
            </w:pPr>
            <w:r w:rsidRPr="00F63BAF">
              <w:rPr>
                <w:rFonts w:eastAsia="Calibri" w:cs="Arial"/>
                <w:sz w:val="17"/>
                <w:szCs w:val="17"/>
                <w:lang w:eastAsia="en-US"/>
              </w:rPr>
              <w:t>Guillemot</w:t>
            </w:r>
          </w:p>
          <w:p w14:paraId="24C9DDF3" w14:textId="77777777" w:rsidR="00FC360C" w:rsidRPr="00F63BAF" w:rsidRDefault="00FC360C" w:rsidP="002F237A">
            <w:pPr>
              <w:spacing w:before="20" w:after="20" w:line="240" w:lineRule="auto"/>
              <w:ind w:left="426"/>
              <w:rPr>
                <w:rFonts w:eastAsia="Calibri" w:cs="Arial"/>
                <w:sz w:val="17"/>
                <w:szCs w:val="17"/>
                <w:lang w:eastAsia="en-US"/>
              </w:rPr>
            </w:pPr>
            <w:r w:rsidRPr="00F63BAF">
              <w:rPr>
                <w:rFonts w:eastAsia="Calibri" w:cs="Arial"/>
                <w:i/>
                <w:sz w:val="17"/>
                <w:szCs w:val="17"/>
                <w:lang w:eastAsia="en-US"/>
              </w:rPr>
              <w:t>Uria aalge</w:t>
            </w:r>
          </w:p>
        </w:tc>
        <w:tc>
          <w:tcPr>
            <w:tcW w:w="974" w:type="pct"/>
            <w:tcBorders>
              <w:left w:val="nil"/>
              <w:bottom w:val="single" w:sz="6" w:space="0" w:color="auto"/>
            </w:tcBorders>
          </w:tcPr>
          <w:p w14:paraId="6F5479C8"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p w14:paraId="16D0EAF0"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10</w:t>
            </w:r>
            <w:r w:rsidRPr="00F63BAF">
              <w:rPr>
                <w:rFonts w:eastAsia="Calibri" w:cs="Arial"/>
                <w:sz w:val="17"/>
                <w:szCs w:val="17"/>
                <w:vertAlign w:val="superscript"/>
                <w:lang w:eastAsia="en-US"/>
              </w:rPr>
              <w:t xml:space="preserve"> footnote 3</w:t>
            </w:r>
          </w:p>
        </w:tc>
        <w:tc>
          <w:tcPr>
            <w:tcW w:w="1273" w:type="pct"/>
            <w:tcBorders>
              <w:bottom w:val="single" w:sz="6" w:space="0" w:color="auto"/>
            </w:tcBorders>
          </w:tcPr>
          <w:p w14:paraId="67D1C7A3"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w:t>
            </w:r>
          </w:p>
        </w:tc>
        <w:tc>
          <w:tcPr>
            <w:tcW w:w="1348" w:type="pct"/>
            <w:tcBorders>
              <w:bottom w:val="single" w:sz="6" w:space="0" w:color="auto"/>
              <w:right w:val="single" w:sz="6" w:space="0" w:color="auto"/>
            </w:tcBorders>
          </w:tcPr>
          <w:p w14:paraId="75E498DF"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p>
          <w:p w14:paraId="5DC988FD" w14:textId="77777777" w:rsidR="00FC360C" w:rsidRPr="00F63BAF" w:rsidRDefault="00FC360C" w:rsidP="002F237A">
            <w:pPr>
              <w:tabs>
                <w:tab w:val="left" w:pos="284"/>
              </w:tabs>
              <w:spacing w:before="20" w:after="20" w:line="240" w:lineRule="auto"/>
              <w:jc w:val="center"/>
              <w:rPr>
                <w:rFonts w:eastAsia="Calibri" w:cs="Arial"/>
                <w:sz w:val="17"/>
                <w:szCs w:val="17"/>
                <w:lang w:eastAsia="en-US"/>
              </w:rPr>
            </w:pPr>
            <w:r w:rsidRPr="00F63BAF">
              <w:rPr>
                <w:rFonts w:eastAsia="Calibri" w:cs="Arial"/>
                <w:sz w:val="17"/>
                <w:szCs w:val="17"/>
                <w:lang w:eastAsia="en-US"/>
              </w:rPr>
              <w:t>Whole egg content</w:t>
            </w:r>
          </w:p>
        </w:tc>
      </w:tr>
    </w:tbl>
    <w:p w14:paraId="6B6C6832" w14:textId="77777777" w:rsidR="00FC360C" w:rsidRPr="00F63BAF" w:rsidRDefault="00FC360C" w:rsidP="00FC360C">
      <w:pPr>
        <w:tabs>
          <w:tab w:val="left" w:pos="284"/>
          <w:tab w:val="left" w:pos="426"/>
        </w:tabs>
        <w:spacing w:before="20" w:after="20" w:line="240" w:lineRule="auto"/>
        <w:rPr>
          <w:rFonts w:eastAsia="Calibri" w:cs="Arial"/>
          <w:sz w:val="18"/>
          <w:szCs w:val="18"/>
          <w:lang w:eastAsia="en-US"/>
        </w:rPr>
      </w:pPr>
      <w:r w:rsidRPr="00F63BAF">
        <w:rPr>
          <w:rFonts w:eastAsia="Calibri" w:cs="Arial"/>
          <w:sz w:val="18"/>
          <w:szCs w:val="18"/>
          <w:vertAlign w:val="superscript"/>
          <w:lang w:eastAsia="en-US"/>
        </w:rPr>
        <w:t>1</w:t>
      </w:r>
      <w:r w:rsidRPr="00F63BAF">
        <w:rPr>
          <w:rFonts w:eastAsia="Calibri" w:cs="Arial"/>
          <w:sz w:val="18"/>
          <w:szCs w:val="18"/>
          <w:lang w:eastAsia="en-US"/>
        </w:rPr>
        <w:tab/>
        <w:t>Where first choice species is not available.</w:t>
      </w:r>
    </w:p>
    <w:p w14:paraId="38E62699" w14:textId="77777777" w:rsidR="00FC360C" w:rsidRPr="00F63BAF" w:rsidRDefault="00FC360C" w:rsidP="00FC360C">
      <w:pPr>
        <w:tabs>
          <w:tab w:val="left" w:pos="284"/>
          <w:tab w:val="left" w:pos="426"/>
        </w:tabs>
        <w:spacing w:before="20" w:after="20" w:line="240" w:lineRule="auto"/>
        <w:rPr>
          <w:rFonts w:eastAsia="Calibri" w:cs="Arial"/>
          <w:sz w:val="18"/>
          <w:szCs w:val="18"/>
          <w:lang w:eastAsia="en-US"/>
        </w:rPr>
      </w:pPr>
      <w:r w:rsidRPr="00F63BAF">
        <w:rPr>
          <w:rFonts w:eastAsia="Calibri" w:cs="Arial"/>
          <w:sz w:val="18"/>
          <w:szCs w:val="18"/>
          <w:vertAlign w:val="superscript"/>
          <w:lang w:eastAsia="en-US"/>
        </w:rPr>
        <w:t>2</w:t>
      </w:r>
      <w:r w:rsidRPr="00F63BAF">
        <w:rPr>
          <w:rFonts w:eastAsia="Calibri" w:cs="Arial"/>
          <w:sz w:val="18"/>
          <w:szCs w:val="18"/>
          <w:lang w:eastAsia="en-US"/>
        </w:rPr>
        <w:tab/>
        <w:t>One egg taken randomly from each of 10 clutches.</w:t>
      </w:r>
    </w:p>
    <w:p w14:paraId="70638CBA" w14:textId="77777777" w:rsidR="00FC360C" w:rsidRPr="00F63BAF" w:rsidRDefault="00FC360C" w:rsidP="00FC360C">
      <w:pPr>
        <w:tabs>
          <w:tab w:val="left" w:pos="284"/>
          <w:tab w:val="left" w:pos="426"/>
        </w:tabs>
        <w:spacing w:before="20" w:after="20" w:line="240" w:lineRule="auto"/>
        <w:rPr>
          <w:rFonts w:eastAsia="Calibri" w:cs="Arial"/>
          <w:sz w:val="18"/>
          <w:szCs w:val="18"/>
          <w:lang w:eastAsia="en-US"/>
        </w:rPr>
      </w:pPr>
      <w:r w:rsidRPr="00F63BAF">
        <w:rPr>
          <w:rFonts w:eastAsia="Calibri" w:cs="Arial"/>
          <w:sz w:val="18"/>
          <w:szCs w:val="18"/>
          <w:vertAlign w:val="superscript"/>
          <w:lang w:eastAsia="en-US"/>
        </w:rPr>
        <w:t>3</w:t>
      </w:r>
      <w:r w:rsidRPr="00F63BAF">
        <w:rPr>
          <w:rFonts w:eastAsia="Calibri" w:cs="Arial"/>
          <w:sz w:val="18"/>
          <w:szCs w:val="18"/>
          <w:lang w:eastAsia="en-US"/>
        </w:rPr>
        <w:tab/>
        <w:t>The eggs should be collected as early as possible to avoid collecting replacement eggs.</w:t>
      </w:r>
    </w:p>
    <w:p w14:paraId="361AB0E9" w14:textId="77777777" w:rsidR="00FC360C" w:rsidRPr="00F63BAF" w:rsidRDefault="00FC360C" w:rsidP="00FC360C">
      <w:pPr>
        <w:tabs>
          <w:tab w:val="left" w:pos="284"/>
          <w:tab w:val="left" w:pos="426"/>
        </w:tabs>
        <w:spacing w:before="20" w:after="20" w:line="240" w:lineRule="auto"/>
        <w:rPr>
          <w:rFonts w:eastAsia="Calibri" w:cs="Arial"/>
          <w:sz w:val="18"/>
          <w:szCs w:val="18"/>
          <w:lang w:eastAsia="en-US"/>
        </w:rPr>
      </w:pPr>
      <w:r w:rsidRPr="00F63BAF">
        <w:rPr>
          <w:rFonts w:eastAsia="Calibri" w:cs="Arial"/>
          <w:sz w:val="18"/>
          <w:szCs w:val="18"/>
          <w:vertAlign w:val="superscript"/>
          <w:lang w:eastAsia="en-US"/>
        </w:rPr>
        <w:t>4</w:t>
      </w:r>
      <w:r w:rsidRPr="00F63BAF">
        <w:rPr>
          <w:rFonts w:eastAsia="Calibri" w:cs="Arial"/>
          <w:sz w:val="18"/>
          <w:szCs w:val="18"/>
          <w:lang w:eastAsia="en-US"/>
        </w:rPr>
        <w:tab/>
        <w:t>The number of specimens can be adjusted upwards to assure ample sample material for the expected analysis, depending on the actual size class available.</w:t>
      </w:r>
    </w:p>
    <w:p w14:paraId="39019F81" w14:textId="77777777" w:rsidR="00FC360C" w:rsidRPr="00F63BAF" w:rsidRDefault="00FC360C" w:rsidP="002F237A">
      <w:pPr>
        <w:pStyle w:val="Heading3"/>
      </w:pPr>
      <w:r w:rsidRPr="00F63BAF">
        <w:br w:type="page"/>
      </w:r>
      <w:bookmarkStart w:id="49" w:name="_Toc511217352"/>
      <w:r w:rsidRPr="00F63BAF">
        <w:t>4.3.2</w:t>
      </w:r>
      <w:r w:rsidRPr="00F63BAF">
        <w:tab/>
        <w:t>Sampling area</w:t>
      </w:r>
      <w:bookmarkEnd w:id="49"/>
    </w:p>
    <w:p w14:paraId="0E50EEEF" w14:textId="77777777" w:rsidR="00FC360C" w:rsidRPr="00F63BAF" w:rsidRDefault="00FC360C" w:rsidP="00935187">
      <w:pPr>
        <w:pStyle w:val="Heading4"/>
      </w:pPr>
      <w:r w:rsidRPr="00F63BAF">
        <w:t>Fish</w:t>
      </w:r>
    </w:p>
    <w:p w14:paraId="51EAFCD9" w14:textId="77777777" w:rsidR="00FC360C" w:rsidRPr="00F63BAF" w:rsidRDefault="00FC360C" w:rsidP="00FC360C">
      <w:pPr>
        <w:spacing w:after="140"/>
        <w:rPr>
          <w:rFonts w:cs="Arial"/>
        </w:rPr>
      </w:pPr>
      <w:r w:rsidRPr="00F63BAF">
        <w:rPr>
          <w:rFonts w:cs="Arial"/>
        </w:rPr>
        <w:t>31.</w:t>
      </w:r>
      <w:r w:rsidRPr="00F63BAF">
        <w:rPr>
          <w:rFonts w:cs="Arial"/>
        </w:rPr>
        <w:tab/>
        <w:t>Samples should be collected from as many locations as necessary to fulfil the objectives of the programme, taking into account the representativeness of the area with regard to spatial variability in contaminant concentrations.</w:t>
      </w:r>
    </w:p>
    <w:p w14:paraId="3EF2E93F" w14:textId="77777777" w:rsidR="00FC360C" w:rsidRPr="00F63BAF" w:rsidRDefault="00FC360C" w:rsidP="00935187">
      <w:pPr>
        <w:pStyle w:val="Heading4"/>
      </w:pPr>
      <w:r w:rsidRPr="00F63BAF">
        <w:t>Shellfish</w:t>
      </w:r>
    </w:p>
    <w:p w14:paraId="07EAFC9E" w14:textId="77777777" w:rsidR="00FC360C" w:rsidRPr="00F63BAF" w:rsidRDefault="00FC360C" w:rsidP="00FC360C">
      <w:pPr>
        <w:spacing w:after="140"/>
        <w:rPr>
          <w:rFonts w:cs="Arial"/>
        </w:rPr>
      </w:pPr>
      <w:r w:rsidRPr="00F63BAF">
        <w:rPr>
          <w:rFonts w:cs="Arial"/>
        </w:rPr>
        <w:t>32.</w:t>
      </w:r>
      <w:r w:rsidRPr="00F63BAF">
        <w:rPr>
          <w:rFonts w:cs="Arial"/>
        </w:rPr>
        <w:tab/>
        <w:t>Samples should be collected from as many locations as necessary to fulfil the objectives of the programme, taking into account the representativeness of the area with regard to spatial variability in contaminant concentrations. Samples should preferably be collected from sub-tidal regions, otherwise as near to the low water spring tide level as possible. They should be collected as near to the same depth and exposure (i.e. in terms of light and wave action) as possible in order to reduce variability in contaminant uptake. The boundary of the sampling site must be specified. At those locations where suitable natural populations are not available, caged mussels may be used.</w:t>
      </w:r>
    </w:p>
    <w:p w14:paraId="5CE9EDFF" w14:textId="77777777" w:rsidR="00FC360C" w:rsidRPr="00F63BAF" w:rsidRDefault="00FC360C" w:rsidP="00935187">
      <w:pPr>
        <w:pStyle w:val="Heading4"/>
      </w:pPr>
      <w:r w:rsidRPr="00F63BAF">
        <w:t>Seabird eggs</w:t>
      </w:r>
    </w:p>
    <w:p w14:paraId="155C3D1C" w14:textId="77777777" w:rsidR="00FC360C" w:rsidRPr="00F63BAF" w:rsidRDefault="00FC360C" w:rsidP="00FC360C">
      <w:pPr>
        <w:spacing w:after="140"/>
        <w:rPr>
          <w:rFonts w:cs="Arial"/>
        </w:rPr>
      </w:pPr>
      <w:r w:rsidRPr="00F63BAF">
        <w:rPr>
          <w:rFonts w:cs="Arial"/>
        </w:rPr>
        <w:t>33.</w:t>
      </w:r>
      <w:r w:rsidRPr="00F63BAF">
        <w:rPr>
          <w:rFonts w:cs="Arial"/>
        </w:rPr>
        <w:tab/>
        <w:t>Sampling sites should reflect important breeding areas. To collect the necessary number of eggs over the period of the monitoring programme sampling sites should be chosen where sufficient numbers of pairs of birds can be expected to breed for the required number of years. Both coastal sites adjacent to the open sea and known “hot spots” such as estuaries should be included.</w:t>
      </w:r>
    </w:p>
    <w:p w14:paraId="0EA11D1D" w14:textId="77777777" w:rsidR="00FC360C" w:rsidRPr="00F63BAF" w:rsidRDefault="00FC360C" w:rsidP="002F237A">
      <w:pPr>
        <w:pStyle w:val="Heading3"/>
      </w:pPr>
      <w:bookmarkStart w:id="50" w:name="_Toc511217353"/>
      <w:r w:rsidRPr="00F63BAF">
        <w:t>4.3.3</w:t>
      </w:r>
      <w:r w:rsidRPr="00F63BAF">
        <w:tab/>
        <w:t>Sampling period</w:t>
      </w:r>
      <w:bookmarkEnd w:id="50"/>
    </w:p>
    <w:p w14:paraId="55E68F04" w14:textId="77777777" w:rsidR="00FC360C" w:rsidRPr="00F63BAF" w:rsidRDefault="00FC360C" w:rsidP="00935187">
      <w:pPr>
        <w:pStyle w:val="Heading4"/>
      </w:pPr>
      <w:r w:rsidRPr="00F63BAF">
        <w:t>Fish</w:t>
      </w:r>
    </w:p>
    <w:p w14:paraId="0909701D" w14:textId="39A500CC" w:rsidR="00FC360C" w:rsidRPr="00F63BAF" w:rsidRDefault="00FC360C" w:rsidP="00FC360C">
      <w:pPr>
        <w:spacing w:after="140"/>
        <w:rPr>
          <w:rFonts w:cs="Arial"/>
        </w:rPr>
      </w:pPr>
      <w:r w:rsidRPr="00F63BAF">
        <w:rPr>
          <w:rFonts w:cs="Arial"/>
        </w:rPr>
        <w:t>34.</w:t>
      </w:r>
      <w:r w:rsidRPr="00F63BAF">
        <w:rPr>
          <w:rFonts w:cs="Arial"/>
        </w:rPr>
        <w:tab/>
        <w:t>Sampling should take place when fish are in a stable physiological state and, in any case, outside the period of spawning. See Table 3 for further guidance.</w:t>
      </w:r>
    </w:p>
    <w:p w14:paraId="4A1EABFA" w14:textId="77777777" w:rsidR="00FC360C" w:rsidRPr="00F63BAF" w:rsidRDefault="00FC360C" w:rsidP="00935187">
      <w:pPr>
        <w:pStyle w:val="Heading4"/>
      </w:pPr>
      <w:r w:rsidRPr="00F63BAF">
        <w:t>Shellfish</w:t>
      </w:r>
    </w:p>
    <w:p w14:paraId="15B86C71" w14:textId="0A1C5C97" w:rsidR="00FC360C" w:rsidRPr="00F63BAF" w:rsidRDefault="00FC360C" w:rsidP="00FC360C">
      <w:pPr>
        <w:spacing w:after="140"/>
        <w:rPr>
          <w:rFonts w:cs="Arial"/>
        </w:rPr>
      </w:pPr>
      <w:r w:rsidRPr="00F63BAF">
        <w:rPr>
          <w:rFonts w:cs="Arial"/>
        </w:rPr>
        <w:t>35.</w:t>
      </w:r>
      <w:r w:rsidRPr="00F63BAF">
        <w:rPr>
          <w:rFonts w:cs="Arial"/>
        </w:rPr>
        <w:tab/>
        <w:t>Sampling should take place during late autumn/early winter when mussels are in a more stable physiological state and, in any case, during a period before spawning. Gametogenesis and spawning generally occur in late spring to early summer, when individuals may lose up to 50% of their soft tissue weight. Table 3 give guidance on spawning periods.</w:t>
      </w:r>
    </w:p>
    <w:p w14:paraId="5F24DDA0" w14:textId="77777777" w:rsidR="00FC360C" w:rsidRPr="00F63BAF" w:rsidRDefault="00FC360C" w:rsidP="00935187">
      <w:pPr>
        <w:pStyle w:val="Heading4"/>
      </w:pPr>
      <w:r w:rsidRPr="00F63BAF">
        <w:t>Seabird eggs</w:t>
      </w:r>
    </w:p>
    <w:p w14:paraId="24573445" w14:textId="77777777" w:rsidR="00FC360C" w:rsidRPr="00F63BAF" w:rsidRDefault="00FC360C" w:rsidP="00FC360C">
      <w:pPr>
        <w:spacing w:after="140"/>
        <w:rPr>
          <w:rFonts w:cs="Arial"/>
        </w:rPr>
      </w:pPr>
      <w:r w:rsidRPr="00F63BAF">
        <w:rPr>
          <w:rFonts w:cs="Arial"/>
        </w:rPr>
        <w:t>36.</w:t>
      </w:r>
      <w:r w:rsidRPr="00F63BAF">
        <w:rPr>
          <w:rFonts w:cs="Arial"/>
        </w:rPr>
        <w:tab/>
        <w:t>Eggs should be sampled during the species-specific, year-specific and site-specific peak of the first laying cycle within the year. This generally occurs in May/June. Only fresh eggs should be taken from full clutches. For each species, site and year, 10 eggs should be sampled with one egg taken randomly from each of 10 clutches from the first laying cycle within the year.</w:t>
      </w:r>
    </w:p>
    <w:p w14:paraId="407CF92F" w14:textId="77777777" w:rsidR="00FC360C" w:rsidRPr="00F63BAF" w:rsidRDefault="00FC360C" w:rsidP="002F237A">
      <w:pPr>
        <w:pStyle w:val="Heading2"/>
        <w:rPr>
          <w:lang w:val="en-GB"/>
        </w:rPr>
      </w:pPr>
      <w:bookmarkStart w:id="51" w:name="_Toc240875557"/>
      <w:bookmarkStart w:id="52" w:name="_Toc511217354"/>
      <w:r w:rsidRPr="00F63BAF">
        <w:rPr>
          <w:lang w:val="en-GB"/>
        </w:rPr>
        <w:t>4.4</w:t>
      </w:r>
      <w:r w:rsidRPr="00F63BAF">
        <w:rPr>
          <w:lang w:val="en-GB"/>
        </w:rPr>
        <w:tab/>
        <w:t>Sampling strategy for biological effects monitoring</w:t>
      </w:r>
      <w:bookmarkEnd w:id="51"/>
      <w:bookmarkEnd w:id="52"/>
    </w:p>
    <w:p w14:paraId="157049CE" w14:textId="77777777" w:rsidR="00FC360C" w:rsidRPr="00F63BAF" w:rsidRDefault="00FC360C" w:rsidP="00FC360C">
      <w:pPr>
        <w:tabs>
          <w:tab w:val="left" w:pos="540"/>
        </w:tabs>
        <w:rPr>
          <w:rFonts w:cs="Arial"/>
        </w:rPr>
      </w:pPr>
      <w:r w:rsidRPr="00F63BAF">
        <w:rPr>
          <w:rFonts w:cs="Arial"/>
        </w:rPr>
        <w:t>37.</w:t>
      </w:r>
      <w:r w:rsidRPr="00F63BAF">
        <w:rPr>
          <w:rFonts w:cs="Arial"/>
        </w:rPr>
        <w:tab/>
        <w:t xml:space="preserve">The sampling strategy will, in all cases, depend on the biological effect(s) to be studied. No general guidelines can therefore be given. For more details see specific guidelines (References: </w:t>
      </w:r>
      <w:r w:rsidR="007D149A">
        <w:t>OSPAR</w:t>
      </w:r>
      <w:r w:rsidRPr="00F63BAF">
        <w:t xml:space="preserve"> Guidelines for General Biological Effects Monitoring. </w:t>
      </w:r>
      <w:proofErr w:type="gramStart"/>
      <w:r w:rsidRPr="00F63BAF">
        <w:t>OSPAR Ref. No. 1997-7 and Guidelines for contaminant specific biological effects monitoring.</w:t>
      </w:r>
      <w:proofErr w:type="gramEnd"/>
      <w:r w:rsidRPr="00F63BAF">
        <w:t xml:space="preserve"> OSPAR Ref. No. 2008-9</w:t>
      </w:r>
      <w:r w:rsidRPr="00F63BAF">
        <w:rPr>
          <w:rFonts w:cs="Arial"/>
        </w:rPr>
        <w:t>).</w:t>
      </w:r>
    </w:p>
    <w:p w14:paraId="0FCC337D" w14:textId="77777777" w:rsidR="00FC360C" w:rsidRPr="00F63BAF" w:rsidRDefault="00FC360C" w:rsidP="00FC360C">
      <w:pPr>
        <w:spacing w:after="140"/>
        <w:rPr>
          <w:rFonts w:cs="Arial"/>
        </w:rPr>
      </w:pPr>
    </w:p>
    <w:p w14:paraId="27DFF91C" w14:textId="77777777" w:rsidR="00FC360C" w:rsidRPr="00F63BAF" w:rsidRDefault="00FC360C" w:rsidP="002F237A">
      <w:pPr>
        <w:pStyle w:val="Heading1"/>
      </w:pPr>
      <w:bookmarkStart w:id="53" w:name="_Toc240875558"/>
      <w:bookmarkStart w:id="54" w:name="_Toc511217355"/>
      <w:r w:rsidRPr="00F63BAF">
        <w:t>5.</w:t>
      </w:r>
      <w:r w:rsidRPr="00F63BAF">
        <w:tab/>
        <w:t>Field sampling and sampling equipment</w:t>
      </w:r>
      <w:bookmarkEnd w:id="53"/>
      <w:bookmarkEnd w:id="54"/>
    </w:p>
    <w:p w14:paraId="56647193" w14:textId="77777777" w:rsidR="00FC360C" w:rsidRPr="00F63BAF" w:rsidRDefault="00FC360C" w:rsidP="002F237A">
      <w:pPr>
        <w:pStyle w:val="Heading2"/>
        <w:rPr>
          <w:lang w:val="en-GB"/>
        </w:rPr>
      </w:pPr>
      <w:bookmarkStart w:id="55" w:name="_Toc240875559"/>
      <w:bookmarkStart w:id="56" w:name="_Toc511217356"/>
      <w:r w:rsidRPr="00F63BAF">
        <w:rPr>
          <w:lang w:val="en-GB"/>
        </w:rPr>
        <w:t>5.1</w:t>
      </w:r>
      <w:r w:rsidRPr="00F63BAF">
        <w:rPr>
          <w:lang w:val="en-GB"/>
        </w:rPr>
        <w:tab/>
        <w:t>Fish</w:t>
      </w:r>
      <w:bookmarkEnd w:id="55"/>
      <w:bookmarkEnd w:id="56"/>
    </w:p>
    <w:p w14:paraId="6665FC67" w14:textId="77777777" w:rsidR="00FC360C" w:rsidRPr="00F63BAF" w:rsidRDefault="00FC360C" w:rsidP="00FC360C">
      <w:pPr>
        <w:spacing w:after="140"/>
        <w:rPr>
          <w:rFonts w:cs="Arial"/>
        </w:rPr>
      </w:pPr>
      <w:r w:rsidRPr="00F63BAF">
        <w:rPr>
          <w:rFonts w:cs="Arial"/>
        </w:rPr>
        <w:t>38.</w:t>
      </w:r>
      <w:r w:rsidRPr="00F63BAF">
        <w:rPr>
          <w:rFonts w:cs="Arial"/>
        </w:rPr>
        <w:tab/>
        <w:t>Fish can be sampled from either research vessels or commercial vessels. The former is the preferred option, since research vessels are likely to have better facilities for processing and storing scientific samples. In both cases, the following precautions must be taken when selecting samples from the trawl catch to ensure that contamination is kept to a minimum:</w:t>
      </w:r>
    </w:p>
    <w:p w14:paraId="7190D9C0" w14:textId="77777777" w:rsidR="00FC360C" w:rsidRPr="00F63BAF" w:rsidRDefault="00FC360C" w:rsidP="00FC360C">
      <w:pPr>
        <w:numPr>
          <w:ilvl w:val="0"/>
          <w:numId w:val="37"/>
        </w:numPr>
        <w:tabs>
          <w:tab w:val="clear" w:pos="567"/>
          <w:tab w:val="clear" w:pos="1134"/>
          <w:tab w:val="clear" w:pos="1701"/>
          <w:tab w:val="clear" w:pos="2268"/>
          <w:tab w:val="left" w:pos="357"/>
          <w:tab w:val="left" w:pos="1418"/>
        </w:tabs>
        <w:spacing w:after="140"/>
        <w:ind w:left="1145" w:hanging="425"/>
        <w:rPr>
          <w:rFonts w:cs="Arial"/>
        </w:rPr>
      </w:pPr>
      <w:r w:rsidRPr="00F63BAF">
        <w:rPr>
          <w:rFonts w:cs="Arial"/>
        </w:rPr>
        <w:t>trained personnel must be present when a trawl comes on board to ensure that the sample can be isolated from possible sources of contamination during the release of fish from the net;</w:t>
      </w:r>
    </w:p>
    <w:p w14:paraId="5CFE8EE3" w14:textId="77777777" w:rsidR="00FC360C" w:rsidRPr="00F63BAF" w:rsidRDefault="00FC360C" w:rsidP="00FC360C">
      <w:pPr>
        <w:numPr>
          <w:ilvl w:val="0"/>
          <w:numId w:val="37"/>
        </w:numPr>
        <w:tabs>
          <w:tab w:val="clear" w:pos="567"/>
          <w:tab w:val="clear" w:pos="1134"/>
          <w:tab w:val="clear" w:pos="1701"/>
          <w:tab w:val="clear" w:pos="2268"/>
          <w:tab w:val="left" w:pos="357"/>
          <w:tab w:val="left" w:pos="1418"/>
        </w:tabs>
        <w:spacing w:after="140"/>
        <w:ind w:left="1145" w:hanging="425"/>
        <w:rPr>
          <w:rFonts w:cs="Arial"/>
        </w:rPr>
      </w:pPr>
      <w:r w:rsidRPr="00F63BAF">
        <w:rPr>
          <w:rFonts w:cs="Arial"/>
        </w:rPr>
        <w:t>fish which are visibly damaged or in bad condition must not be selected;</w:t>
      </w:r>
    </w:p>
    <w:p w14:paraId="2CBC8949" w14:textId="77777777" w:rsidR="00FC360C" w:rsidRPr="00F63BAF" w:rsidRDefault="00FC360C" w:rsidP="00FC360C">
      <w:pPr>
        <w:numPr>
          <w:ilvl w:val="0"/>
          <w:numId w:val="37"/>
        </w:numPr>
        <w:tabs>
          <w:tab w:val="clear" w:pos="567"/>
          <w:tab w:val="clear" w:pos="1134"/>
          <w:tab w:val="clear" w:pos="1701"/>
          <w:tab w:val="clear" w:pos="2268"/>
          <w:tab w:val="left" w:pos="357"/>
          <w:tab w:val="left" w:pos="1418"/>
        </w:tabs>
        <w:spacing w:after="140"/>
        <w:ind w:left="1145" w:hanging="425"/>
        <w:rPr>
          <w:rFonts w:cs="Arial"/>
        </w:rPr>
      </w:pPr>
      <w:proofErr w:type="gramStart"/>
      <w:r w:rsidRPr="00F63BAF">
        <w:rPr>
          <w:rFonts w:cs="Arial"/>
        </w:rPr>
        <w:t>clean</w:t>
      </w:r>
      <w:proofErr w:type="gramEnd"/>
      <w:r w:rsidRPr="00F63BAF">
        <w:rPr>
          <w:rFonts w:cs="Arial"/>
        </w:rPr>
        <w:t xml:space="preserve"> containers should be available on deck to hold the samples temporarily before they are taken to the ship’s laboratory. Containers used for holding fish collected from the ship’s normal trawling operations must not be used;</w:t>
      </w:r>
    </w:p>
    <w:p w14:paraId="57EB81CC" w14:textId="77777777" w:rsidR="00FC360C" w:rsidRPr="00F63BAF" w:rsidRDefault="00FC360C" w:rsidP="00FC360C">
      <w:pPr>
        <w:numPr>
          <w:ilvl w:val="0"/>
          <w:numId w:val="37"/>
        </w:numPr>
        <w:tabs>
          <w:tab w:val="clear" w:pos="567"/>
          <w:tab w:val="clear" w:pos="1134"/>
          <w:tab w:val="clear" w:pos="1701"/>
          <w:tab w:val="clear" w:pos="2268"/>
          <w:tab w:val="left" w:pos="357"/>
          <w:tab w:val="left" w:pos="1418"/>
        </w:tabs>
        <w:spacing w:after="140"/>
        <w:ind w:left="1145" w:hanging="425"/>
        <w:rPr>
          <w:rFonts w:cs="Arial"/>
        </w:rPr>
      </w:pPr>
      <w:proofErr w:type="gramStart"/>
      <w:r w:rsidRPr="00F63BAF">
        <w:rPr>
          <w:rFonts w:cs="Arial"/>
        </w:rPr>
        <w:t>personnel</w:t>
      </w:r>
      <w:proofErr w:type="gramEnd"/>
      <w:r w:rsidRPr="00F63BAF">
        <w:rPr>
          <w:rFonts w:cs="Arial"/>
        </w:rPr>
        <w:t xml:space="preserve"> must wear clean gloves when the samples are taken from the net. The samples should be transferred to the ships laboratory as quickly as possible and rinsed with clean sea water to remove any material adhering to the surface;</w:t>
      </w:r>
    </w:p>
    <w:p w14:paraId="00DF4582" w14:textId="77777777" w:rsidR="00FC360C" w:rsidRPr="00F63BAF" w:rsidRDefault="00FC360C" w:rsidP="00FC360C">
      <w:pPr>
        <w:numPr>
          <w:ilvl w:val="0"/>
          <w:numId w:val="37"/>
        </w:numPr>
        <w:tabs>
          <w:tab w:val="clear" w:pos="567"/>
          <w:tab w:val="clear" w:pos="1134"/>
          <w:tab w:val="clear" w:pos="1701"/>
          <w:tab w:val="clear" w:pos="2268"/>
          <w:tab w:val="left" w:pos="357"/>
          <w:tab w:val="left" w:pos="1418"/>
        </w:tabs>
        <w:spacing w:after="140"/>
        <w:ind w:left="1145" w:hanging="425"/>
        <w:rPr>
          <w:rFonts w:cs="Arial"/>
        </w:rPr>
      </w:pPr>
      <w:r w:rsidRPr="00F63BAF">
        <w:rPr>
          <w:rFonts w:cs="Arial"/>
        </w:rPr>
        <w:t>equivalent precautions should be taken on modern fisheries research vessels, when the catch is released from the net directly into facilities below deck;</w:t>
      </w:r>
    </w:p>
    <w:p w14:paraId="107A29E7" w14:textId="77777777" w:rsidR="00FC360C" w:rsidRPr="00F63BAF" w:rsidRDefault="00FC360C" w:rsidP="00FC360C">
      <w:pPr>
        <w:numPr>
          <w:ilvl w:val="0"/>
          <w:numId w:val="37"/>
        </w:numPr>
        <w:tabs>
          <w:tab w:val="clear" w:pos="567"/>
          <w:tab w:val="clear" w:pos="1134"/>
          <w:tab w:val="clear" w:pos="1701"/>
          <w:tab w:val="clear" w:pos="2268"/>
          <w:tab w:val="left" w:pos="357"/>
          <w:tab w:val="left" w:pos="1418"/>
        </w:tabs>
        <w:spacing w:after="140"/>
        <w:ind w:left="1145" w:hanging="425"/>
        <w:rPr>
          <w:rFonts w:cs="Arial"/>
        </w:rPr>
      </w:pPr>
      <w:proofErr w:type="gramStart"/>
      <w:r w:rsidRPr="00F63BAF">
        <w:rPr>
          <w:rFonts w:cs="Arial"/>
        </w:rPr>
        <w:t>only</w:t>
      </w:r>
      <w:proofErr w:type="gramEnd"/>
      <w:r w:rsidRPr="00F63BAF">
        <w:rPr>
          <w:rFonts w:cs="Arial"/>
        </w:rPr>
        <w:t xml:space="preserve"> material suitable for the subsequent analyses should be retained for storage (see Technical Annexes 1 and 2 for guidance on appropriate storage containers).</w:t>
      </w:r>
    </w:p>
    <w:p w14:paraId="39A633B3" w14:textId="77777777" w:rsidR="00FC360C" w:rsidRPr="00F63BAF" w:rsidRDefault="00FC360C" w:rsidP="00FC360C">
      <w:pPr>
        <w:spacing w:after="140"/>
        <w:rPr>
          <w:rFonts w:cs="Arial"/>
        </w:rPr>
      </w:pPr>
      <w:r w:rsidRPr="00F63BAF">
        <w:rPr>
          <w:rFonts w:cs="Arial"/>
        </w:rPr>
        <w:t>39.</w:t>
      </w:r>
      <w:r w:rsidRPr="00F63BAF">
        <w:rPr>
          <w:rFonts w:cs="Arial"/>
        </w:rPr>
        <w:tab/>
        <w:t>Suitable fishing gear should be used to ensure that the catch reflects the target population. The trawling time should not exceed one hour and the trawling speed should be as slow as possible to reduce damage and stress to the fish. Details of the requirements for recording the relevant sampling parameters are given in Technical Annexes 1 and 2.</w:t>
      </w:r>
    </w:p>
    <w:p w14:paraId="381A2285" w14:textId="77777777" w:rsidR="00FC360C" w:rsidRPr="00F63BAF" w:rsidRDefault="00FC360C" w:rsidP="002F237A">
      <w:pPr>
        <w:pStyle w:val="Heading2"/>
        <w:rPr>
          <w:lang w:val="en-GB"/>
        </w:rPr>
      </w:pPr>
      <w:bookmarkStart w:id="57" w:name="_Toc240875560"/>
      <w:bookmarkStart w:id="58" w:name="_Toc511217357"/>
      <w:r w:rsidRPr="00F63BAF">
        <w:rPr>
          <w:lang w:val="en-GB"/>
        </w:rPr>
        <w:t>5.2</w:t>
      </w:r>
      <w:r w:rsidRPr="00F63BAF">
        <w:rPr>
          <w:lang w:val="en-GB"/>
        </w:rPr>
        <w:tab/>
        <w:t>Shellfish</w:t>
      </w:r>
      <w:bookmarkEnd w:id="57"/>
      <w:bookmarkEnd w:id="58"/>
    </w:p>
    <w:p w14:paraId="5DAB2B38" w14:textId="77777777" w:rsidR="00FC360C" w:rsidRPr="00F63BAF" w:rsidRDefault="00FC360C" w:rsidP="00FC360C">
      <w:pPr>
        <w:spacing w:after="140"/>
        <w:rPr>
          <w:rFonts w:cs="Arial"/>
        </w:rPr>
      </w:pPr>
      <w:r w:rsidRPr="00F63BAF">
        <w:rPr>
          <w:rFonts w:cs="Arial"/>
        </w:rPr>
        <w:t>40.</w:t>
      </w:r>
      <w:r w:rsidRPr="00F63BAF">
        <w:rPr>
          <w:rFonts w:cs="Arial"/>
        </w:rPr>
        <w:tab/>
        <w:t>Only those individuals that are free of fouling and bored shells should be sampled. When collecting mussels by ship, a commercial mussel dredge can be used. When collecting mussels by hand, personnel should wear gloves. Clean containers consisting of material suitable for the subsequent analyses should be used for transportation. Details of the requirements for recording the relevant sampling parameters and information on sampling methods are given in Technical Annexes 1 and 2.</w:t>
      </w:r>
    </w:p>
    <w:p w14:paraId="0AA5FA8F" w14:textId="77777777" w:rsidR="00FC360C" w:rsidRPr="00F63BAF" w:rsidRDefault="00FC360C" w:rsidP="002F237A">
      <w:pPr>
        <w:pStyle w:val="Heading2"/>
        <w:rPr>
          <w:lang w:val="en-GB"/>
        </w:rPr>
      </w:pPr>
      <w:bookmarkStart w:id="59" w:name="_Toc240875561"/>
      <w:bookmarkStart w:id="60" w:name="_Toc511217358"/>
      <w:r w:rsidRPr="00F63BAF">
        <w:rPr>
          <w:lang w:val="en-GB"/>
        </w:rPr>
        <w:t>5.3</w:t>
      </w:r>
      <w:r w:rsidRPr="00F63BAF">
        <w:rPr>
          <w:lang w:val="en-GB"/>
        </w:rPr>
        <w:tab/>
        <w:t>Seabird eggs</w:t>
      </w:r>
      <w:bookmarkEnd w:id="59"/>
      <w:bookmarkEnd w:id="60"/>
    </w:p>
    <w:p w14:paraId="1C89F30E" w14:textId="77777777" w:rsidR="00FC360C" w:rsidRPr="00F63BAF" w:rsidRDefault="00FC360C" w:rsidP="00FC360C">
      <w:pPr>
        <w:spacing w:after="140"/>
        <w:rPr>
          <w:rFonts w:cs="Arial"/>
        </w:rPr>
      </w:pPr>
      <w:r w:rsidRPr="00F63BAF">
        <w:rPr>
          <w:rFonts w:cs="Arial"/>
        </w:rPr>
        <w:t>41.</w:t>
      </w:r>
      <w:r w:rsidRPr="00F63BAF">
        <w:rPr>
          <w:rFonts w:cs="Arial"/>
        </w:rPr>
        <w:tab/>
        <w:t>The equipment required, details of the requirements for recording the relevant sampling parameters, and information on sampling methods are specified in Technical Annexes 1 and 2.</w:t>
      </w:r>
    </w:p>
    <w:p w14:paraId="733E0EEA" w14:textId="77777777" w:rsidR="00FC360C" w:rsidRPr="00F63BAF" w:rsidRDefault="00FC360C" w:rsidP="002F237A">
      <w:pPr>
        <w:pStyle w:val="Heading1"/>
      </w:pPr>
      <w:bookmarkStart w:id="61" w:name="_Toc240875562"/>
      <w:bookmarkStart w:id="62" w:name="_Toc511217359"/>
      <w:r w:rsidRPr="00F63BAF">
        <w:t>6.</w:t>
      </w:r>
      <w:r w:rsidRPr="00F63BAF">
        <w:tab/>
        <w:t>Storage and pre-treatment</w:t>
      </w:r>
      <w:bookmarkEnd w:id="61"/>
      <w:bookmarkEnd w:id="62"/>
    </w:p>
    <w:p w14:paraId="2ECF1501" w14:textId="77777777" w:rsidR="00FC360C" w:rsidRPr="00F63BAF" w:rsidRDefault="00FC360C" w:rsidP="00FC360C">
      <w:pPr>
        <w:spacing w:after="140"/>
        <w:rPr>
          <w:rFonts w:cs="Arial"/>
        </w:rPr>
      </w:pPr>
      <w:r w:rsidRPr="00F63BAF">
        <w:rPr>
          <w:rFonts w:cs="Arial"/>
        </w:rPr>
        <w:t>42.</w:t>
      </w:r>
      <w:r w:rsidRPr="00F63BAF">
        <w:rPr>
          <w:rFonts w:cs="Arial"/>
        </w:rPr>
        <w:tab/>
        <w:t>Samples should be analysed as soon as practicable after sampling in order to obtain reliable results. Experience has shown that freezing will degrade soft tissues. Long-term storage and samples for biological effects studies therefore require special conditions. Further advice on archiving and storage techniques used in maintaining biological tissues and other environmental samples for future contaminant analyses can be found in Technical Annexes 1 and 2 and in Tema Nord (1995). Details of the requirements for recording the storage and pre-treatment parameters are given in Technical Annexes 1 and 2.</w:t>
      </w:r>
    </w:p>
    <w:p w14:paraId="596593B7" w14:textId="77777777" w:rsidR="00FC360C" w:rsidRPr="00F63BAF" w:rsidRDefault="00FC360C" w:rsidP="002F237A">
      <w:pPr>
        <w:pStyle w:val="Heading2"/>
        <w:rPr>
          <w:lang w:val="en-GB"/>
        </w:rPr>
      </w:pPr>
      <w:bookmarkStart w:id="63" w:name="_Toc240875563"/>
      <w:bookmarkStart w:id="64" w:name="_Toc511217360"/>
      <w:r w:rsidRPr="00F63BAF">
        <w:rPr>
          <w:lang w:val="en-GB"/>
        </w:rPr>
        <w:t>6.1</w:t>
      </w:r>
      <w:r w:rsidRPr="00F63BAF">
        <w:rPr>
          <w:lang w:val="en-GB"/>
        </w:rPr>
        <w:tab/>
        <w:t>Fish</w:t>
      </w:r>
      <w:bookmarkEnd w:id="63"/>
      <w:bookmarkEnd w:id="64"/>
    </w:p>
    <w:p w14:paraId="28E0B0D8" w14:textId="77777777" w:rsidR="00FC360C" w:rsidRPr="00F63BAF" w:rsidRDefault="00FC360C" w:rsidP="00FC360C">
      <w:pPr>
        <w:spacing w:after="140"/>
        <w:rPr>
          <w:rFonts w:cs="Arial"/>
        </w:rPr>
      </w:pPr>
      <w:r w:rsidRPr="00F63BAF">
        <w:rPr>
          <w:rFonts w:cs="Arial"/>
        </w:rPr>
        <w:t>43.</w:t>
      </w:r>
      <w:r w:rsidRPr="00F63BAF">
        <w:rPr>
          <w:rFonts w:cs="Arial"/>
        </w:rPr>
        <w:tab/>
        <w:t xml:space="preserve">If conditions allow, samples should be dissected immediately after collection; sub-samples of particular tissue should be removed and deep-frozen. Freezing undissected fish, particularly large ones, may cause soft tissues to degrade and may result in uncontrollable losses of the determinands in the tissue or cross-contamination from other deteriorating tissues. When there are no shipboard laboratories suitable for processing work, warranting the necessary precautionary conditions or </w:t>
      </w:r>
      <w:r w:rsidR="00812784" w:rsidRPr="00F63BAF">
        <w:rPr>
          <w:rFonts w:cs="Arial"/>
        </w:rPr>
        <w:t>person</w:t>
      </w:r>
      <w:r w:rsidR="00812784">
        <w:rPr>
          <w:rFonts w:cs="Arial"/>
        </w:rPr>
        <w:t>n</w:t>
      </w:r>
      <w:r w:rsidR="00812784" w:rsidRPr="00F63BAF">
        <w:rPr>
          <w:rFonts w:cs="Arial"/>
        </w:rPr>
        <w:t>el</w:t>
      </w:r>
      <w:r w:rsidR="00812784">
        <w:rPr>
          <w:rFonts w:cs="Arial"/>
        </w:rPr>
        <w:t xml:space="preserve"> on board are</w:t>
      </w:r>
      <w:r w:rsidRPr="00F63BAF">
        <w:rPr>
          <w:rFonts w:cs="Arial"/>
        </w:rPr>
        <w:t xml:space="preserve"> not trained for such work, samples of ungutted fish should be preserved by deep freezing, preferably shock freezing to </w:t>
      </w:r>
      <w:r w:rsidRPr="00F63BAF">
        <w:rPr>
          <w:rFonts w:cs="Arial"/>
        </w:rPr>
        <w:noBreakHyphen/>
        <w:t xml:space="preserve">20°C or lower as soon as practicable after collection. Sub-samples for enzymatic tests to be performed in parallel with contaminant analysis, must be stored in liquid nitrogen and analysed as soon as possible after the cruise. Only materials appropriate for the intended analytical techniques should be retained for storage (see Technical Annexes 1 and 2). </w:t>
      </w:r>
    </w:p>
    <w:p w14:paraId="4EED0E62" w14:textId="77777777" w:rsidR="00FC360C" w:rsidRPr="00F63BAF" w:rsidRDefault="00FC360C" w:rsidP="00FC360C">
      <w:pPr>
        <w:spacing w:after="140"/>
        <w:rPr>
          <w:rFonts w:cs="Arial"/>
        </w:rPr>
      </w:pPr>
      <w:r w:rsidRPr="00F63BAF">
        <w:rPr>
          <w:rFonts w:cs="Arial"/>
        </w:rPr>
        <w:t>44.</w:t>
      </w:r>
      <w:r w:rsidRPr="00F63BAF">
        <w:rPr>
          <w:rFonts w:cs="Arial"/>
        </w:rPr>
        <w:tab/>
        <w:t xml:space="preserve">When pooling samples, an equivalent quantity of tissue must be taken from each fish, </w:t>
      </w:r>
      <w:r w:rsidRPr="00F63BAF">
        <w:rPr>
          <w:rFonts w:cs="Arial"/>
          <w:i/>
        </w:rPr>
        <w:t>e.g.</w:t>
      </w:r>
      <w:r w:rsidRPr="00F63BAF">
        <w:rPr>
          <w:rFonts w:cs="Arial"/>
        </w:rPr>
        <w:t xml:space="preserve"> a whole fillet from every fish. If the total quantity of tissue obtained would be too large to be handled conveniently, the tissue may be sub-sampled, but a fixed proportion of each tissue must then be taken, </w:t>
      </w:r>
      <w:r w:rsidRPr="00F63BAF">
        <w:rPr>
          <w:rFonts w:cs="Arial"/>
          <w:i/>
        </w:rPr>
        <w:t>e.g.</w:t>
      </w:r>
      <w:r w:rsidRPr="00F63BAF">
        <w:rPr>
          <w:rFonts w:cs="Arial"/>
        </w:rPr>
        <w:t xml:space="preserve"> 10% of the whole fish for muscle or 10% of each whole liver. This may cause an increase in the inter-individual variability, as contaminants are not equally distributed across the entire tissue. So the sub-sample should be taken from the same part of the organ/muscle of each individual.</w:t>
      </w:r>
    </w:p>
    <w:p w14:paraId="774D9D1D" w14:textId="77777777" w:rsidR="00FC360C" w:rsidRPr="00F63BAF" w:rsidRDefault="00FC360C" w:rsidP="002F237A">
      <w:pPr>
        <w:pStyle w:val="Heading2"/>
        <w:rPr>
          <w:lang w:val="en-GB"/>
        </w:rPr>
      </w:pPr>
      <w:bookmarkStart w:id="65" w:name="_Toc240875564"/>
      <w:bookmarkStart w:id="66" w:name="_Toc511217361"/>
      <w:r w:rsidRPr="00F63BAF">
        <w:rPr>
          <w:lang w:val="en-GB"/>
        </w:rPr>
        <w:t>6.2</w:t>
      </w:r>
      <w:r w:rsidRPr="00F63BAF">
        <w:rPr>
          <w:lang w:val="en-GB"/>
        </w:rPr>
        <w:tab/>
        <w:t>Shellfish</w:t>
      </w:r>
      <w:bookmarkEnd w:id="65"/>
      <w:bookmarkEnd w:id="66"/>
    </w:p>
    <w:p w14:paraId="779167BB" w14:textId="77777777" w:rsidR="00FC360C" w:rsidRPr="00F63BAF" w:rsidRDefault="00FC360C" w:rsidP="00FC360C">
      <w:pPr>
        <w:spacing w:after="140"/>
        <w:rPr>
          <w:rFonts w:cs="Arial"/>
        </w:rPr>
      </w:pPr>
      <w:r w:rsidRPr="00F63BAF">
        <w:rPr>
          <w:rFonts w:cs="Arial"/>
        </w:rPr>
        <w:t>45.</w:t>
      </w:r>
      <w:r w:rsidRPr="00F63BAF">
        <w:rPr>
          <w:rFonts w:cs="Arial"/>
        </w:rPr>
        <w:tab/>
        <w:t>Mussels should be depurated prior to preservation and analysis. This is to facilitate the discharge of unassimilated particles in the mantle cavity or the gut that might contaminate the sample. This is especially important for mussels collected in water with high turbidity or on silt/clay bottoms. Whether or not the sample has been depurated prior to storage and analysis should be reported. Mussels should be shucked while still alive and opened with minimum tissue damage. The soft tissue samples should be analysed immediately or stored at temperatures below -20°C.</w:t>
      </w:r>
    </w:p>
    <w:p w14:paraId="20455710" w14:textId="77777777" w:rsidR="00FC360C" w:rsidRPr="00F63BAF" w:rsidRDefault="00FC360C" w:rsidP="002F237A">
      <w:pPr>
        <w:pStyle w:val="Heading2"/>
        <w:rPr>
          <w:lang w:val="en-GB"/>
        </w:rPr>
      </w:pPr>
      <w:bookmarkStart w:id="67" w:name="_Toc240875565"/>
      <w:bookmarkStart w:id="68" w:name="_Toc511217362"/>
      <w:r w:rsidRPr="00F63BAF">
        <w:rPr>
          <w:lang w:val="en-GB"/>
        </w:rPr>
        <w:t>6.3</w:t>
      </w:r>
      <w:r w:rsidRPr="00F63BAF">
        <w:rPr>
          <w:lang w:val="en-GB"/>
        </w:rPr>
        <w:tab/>
        <w:t>Seabird eggs</w:t>
      </w:r>
      <w:bookmarkEnd w:id="67"/>
      <w:bookmarkEnd w:id="68"/>
    </w:p>
    <w:p w14:paraId="1F29CA78" w14:textId="77777777" w:rsidR="00FC360C" w:rsidRPr="00F63BAF" w:rsidRDefault="00FC360C" w:rsidP="00FC360C">
      <w:pPr>
        <w:spacing w:after="140"/>
        <w:rPr>
          <w:rFonts w:cs="Arial"/>
        </w:rPr>
      </w:pPr>
      <w:r w:rsidRPr="00F63BAF">
        <w:rPr>
          <w:rFonts w:cs="Arial"/>
        </w:rPr>
        <w:t>46.</w:t>
      </w:r>
      <w:r w:rsidRPr="00F63BAF">
        <w:rPr>
          <w:rFonts w:cs="Arial"/>
        </w:rPr>
        <w:tab/>
        <w:t>To avoid deterioration, eggs should be frozen soon after collection and transported frozen to the laboratory. Details of the preparation of the eggs for subsequent chemical analysis are described in Technical Annexes 1 and 2.</w:t>
      </w:r>
    </w:p>
    <w:p w14:paraId="21492647" w14:textId="77777777" w:rsidR="00FC360C" w:rsidRPr="00F63BAF" w:rsidRDefault="00FC360C" w:rsidP="002F237A">
      <w:pPr>
        <w:pStyle w:val="Heading1"/>
      </w:pPr>
      <w:bookmarkStart w:id="69" w:name="_Toc240875566"/>
      <w:bookmarkStart w:id="70" w:name="_Toc511217363"/>
      <w:r w:rsidRPr="00F63BAF">
        <w:t>7.</w:t>
      </w:r>
      <w:r w:rsidRPr="00F63BAF">
        <w:tab/>
        <w:t>Analytical procedures</w:t>
      </w:r>
      <w:bookmarkEnd w:id="69"/>
      <w:bookmarkEnd w:id="70"/>
    </w:p>
    <w:p w14:paraId="0E4E2C9D" w14:textId="77777777" w:rsidR="00FC360C" w:rsidRPr="00F63BAF" w:rsidRDefault="00FC360C" w:rsidP="00FC360C">
      <w:pPr>
        <w:spacing w:after="140"/>
        <w:rPr>
          <w:rFonts w:cs="Arial"/>
        </w:rPr>
      </w:pPr>
      <w:r w:rsidRPr="00F63BAF">
        <w:rPr>
          <w:rFonts w:cs="Arial"/>
        </w:rPr>
        <w:t>47.</w:t>
      </w:r>
      <w:r w:rsidRPr="00F63BAF">
        <w:rPr>
          <w:rFonts w:cs="Arial"/>
        </w:rPr>
        <w:tab/>
        <w:t>Details of the requirements for recording the relevant parameters are given in Technical Annexes 1 and 2.</w:t>
      </w:r>
    </w:p>
    <w:p w14:paraId="68124D10" w14:textId="77777777" w:rsidR="00FC360C" w:rsidRPr="00F63BAF" w:rsidRDefault="00FC360C" w:rsidP="002F237A">
      <w:pPr>
        <w:pStyle w:val="Heading2"/>
        <w:rPr>
          <w:lang w:val="en-GB"/>
        </w:rPr>
      </w:pPr>
      <w:bookmarkStart w:id="71" w:name="_Toc240875567"/>
      <w:bookmarkStart w:id="72" w:name="_Toc511217364"/>
      <w:r w:rsidRPr="00F63BAF">
        <w:rPr>
          <w:lang w:val="en-GB"/>
        </w:rPr>
        <w:t>7.1</w:t>
      </w:r>
      <w:r w:rsidRPr="00F63BAF">
        <w:rPr>
          <w:lang w:val="en-GB"/>
        </w:rPr>
        <w:tab/>
        <w:t>Organic contaminants</w:t>
      </w:r>
      <w:bookmarkEnd w:id="71"/>
      <w:bookmarkEnd w:id="72"/>
    </w:p>
    <w:p w14:paraId="21234A56" w14:textId="0E44AE68" w:rsidR="00FC360C" w:rsidRPr="00F63BAF" w:rsidRDefault="00FC360C" w:rsidP="00FC360C">
      <w:pPr>
        <w:spacing w:after="140"/>
        <w:rPr>
          <w:rFonts w:cs="Arial"/>
        </w:rPr>
      </w:pPr>
      <w:r w:rsidRPr="00F63BAF">
        <w:rPr>
          <w:rFonts w:cs="Arial"/>
        </w:rPr>
        <w:t>48.</w:t>
      </w:r>
      <w:r w:rsidRPr="00F63BAF">
        <w:rPr>
          <w:rFonts w:cs="Arial"/>
        </w:rPr>
        <w:tab/>
        <w:t>Procedures for the analysis of organic contaminants in biota include homogenisation, drying, extraction with organic solvents, removal of lipids, clean up, fractionation, followed by separation and detection of single compounds by means of gas chromatography with electron capture (GC-ECD) or mass-spectrometry (GC-MS, GC-MS</w:t>
      </w:r>
      <w:r w:rsidRPr="00F63BAF">
        <w:rPr>
          <w:rFonts w:cs="Arial"/>
          <w:vertAlign w:val="superscript"/>
        </w:rPr>
        <w:t>n</w:t>
      </w:r>
      <w:r w:rsidRPr="00F63BAF">
        <w:rPr>
          <w:rFonts w:cs="Arial"/>
        </w:rPr>
        <w:t>) or lipid ch</w:t>
      </w:r>
      <w:r w:rsidR="00953614">
        <w:rPr>
          <w:rFonts w:cs="Arial"/>
        </w:rPr>
        <w:t>romatography coupled with mass-</w:t>
      </w:r>
      <w:r w:rsidRPr="00F63BAF">
        <w:rPr>
          <w:rFonts w:cs="Arial"/>
        </w:rPr>
        <w:t>spectrometry (LC-MS, LC-MS</w:t>
      </w:r>
      <w:r w:rsidRPr="00F63BAF">
        <w:rPr>
          <w:rFonts w:cs="Arial"/>
          <w:vertAlign w:val="superscript"/>
        </w:rPr>
        <w:t>n</w:t>
      </w:r>
      <w:r w:rsidRPr="00F63BAF">
        <w:rPr>
          <w:rFonts w:cs="Arial"/>
        </w:rPr>
        <w:t xml:space="preserve">). The total fat weight should be determined, where sufficient material is available. The extractable lipid weight should also be determined on the extract used for organohalogen compound analyses. For tissue containing more than 10-15% of lipids, the results of both total fat and extractable lipid weight are comparable within acceptable limits. Particularly for small amounts of tissue available for analysis, sharing the sample for separate fat determination may result in an insufficient amount for the determination of the analytes and so should be avoided. </w:t>
      </w:r>
    </w:p>
    <w:p w14:paraId="61E791D1" w14:textId="77777777" w:rsidR="00FC360C" w:rsidRPr="00F63BAF" w:rsidRDefault="00FC360C" w:rsidP="00FC360C">
      <w:pPr>
        <w:spacing w:after="140"/>
        <w:rPr>
          <w:rFonts w:cs="Arial"/>
        </w:rPr>
      </w:pPr>
      <w:r w:rsidRPr="00F63BAF">
        <w:rPr>
          <w:rFonts w:cs="Arial"/>
        </w:rPr>
        <w:t>Results should be reported on a wet weight basis, along with the total fat and/or extractable lipid weight (in percentage). This will make it possible to recalculate values on both fat and lipid bases. Detailed information is given in Technical Annex 1.</w:t>
      </w:r>
    </w:p>
    <w:p w14:paraId="0BD1F132" w14:textId="77777777" w:rsidR="00FC360C" w:rsidRPr="00F63BAF" w:rsidRDefault="00FC360C" w:rsidP="002F237A">
      <w:pPr>
        <w:pStyle w:val="Heading2"/>
        <w:rPr>
          <w:lang w:val="en-GB"/>
        </w:rPr>
      </w:pPr>
      <w:bookmarkStart w:id="73" w:name="_Toc240875568"/>
      <w:bookmarkStart w:id="74" w:name="_Toc511217365"/>
      <w:r w:rsidRPr="00F63BAF">
        <w:rPr>
          <w:lang w:val="en-GB"/>
        </w:rPr>
        <w:t>7.2</w:t>
      </w:r>
      <w:r w:rsidRPr="00F63BAF">
        <w:rPr>
          <w:lang w:val="en-GB"/>
        </w:rPr>
        <w:tab/>
        <w:t>Metals</w:t>
      </w:r>
      <w:bookmarkEnd w:id="73"/>
      <w:bookmarkEnd w:id="74"/>
    </w:p>
    <w:p w14:paraId="101EBEB8" w14:textId="77777777" w:rsidR="00FC360C" w:rsidRPr="00F63BAF" w:rsidRDefault="00FC360C" w:rsidP="00FC360C">
      <w:pPr>
        <w:spacing w:after="140"/>
        <w:rPr>
          <w:rFonts w:cs="Arial"/>
        </w:rPr>
      </w:pPr>
      <w:r w:rsidRPr="00F63BAF">
        <w:rPr>
          <w:rFonts w:cs="Arial"/>
        </w:rPr>
        <w:t>49.</w:t>
      </w:r>
      <w:r w:rsidRPr="00F63BAF">
        <w:rPr>
          <w:rFonts w:cs="Arial"/>
        </w:rPr>
        <w:tab/>
        <w:t>Analysis of trace metals in biota generally includes homogenisation, drying, decomposition, dissolution, matrix separation and detection using element</w:t>
      </w:r>
      <w:r w:rsidRPr="00F63BAF">
        <w:rPr>
          <w:rFonts w:cs="Arial"/>
        </w:rPr>
        <w:noBreakHyphen/>
        <w:t>specific spectrometric instrumental procedures (</w:t>
      </w:r>
      <w:r w:rsidRPr="00F63BAF">
        <w:rPr>
          <w:rFonts w:cs="Arial"/>
          <w:i/>
        </w:rPr>
        <w:t>e.g.</w:t>
      </w:r>
      <w:r w:rsidRPr="00F63BAF">
        <w:rPr>
          <w:rFonts w:cs="Arial"/>
        </w:rPr>
        <w:t xml:space="preserve"> AAS, ICP-OES, ICP-MS, TXRF,).</w:t>
      </w:r>
      <w:r w:rsidR="00812784">
        <w:rPr>
          <w:rFonts w:cs="Arial"/>
        </w:rPr>
        <w:t xml:space="preserve"> </w:t>
      </w:r>
      <w:r w:rsidRPr="00F63BAF">
        <w:rPr>
          <w:rFonts w:cs="Arial"/>
        </w:rPr>
        <w:t>Recently developed spectrometric devices aim to reduce the often costly and time consuming sample preparation by applying direct methods without preceding matrix separation and decomposition steps. The results should be reported on a wet weight basis along with the dry weight percentage. Detailed information is given in Technical Annex 2.</w:t>
      </w:r>
    </w:p>
    <w:p w14:paraId="06874B20" w14:textId="77777777" w:rsidR="00FC360C" w:rsidRPr="00F63BAF" w:rsidRDefault="00FC360C" w:rsidP="002F237A">
      <w:pPr>
        <w:pStyle w:val="Heading1"/>
      </w:pPr>
      <w:bookmarkStart w:id="75" w:name="_Toc240875569"/>
      <w:bookmarkStart w:id="76" w:name="_Toc511217366"/>
      <w:r w:rsidRPr="00F63BAF">
        <w:t>8.</w:t>
      </w:r>
      <w:r w:rsidRPr="00F63BAF">
        <w:tab/>
        <w:t>Quality assurance</w:t>
      </w:r>
      <w:bookmarkEnd w:id="75"/>
      <w:bookmarkEnd w:id="76"/>
    </w:p>
    <w:p w14:paraId="0F59B989" w14:textId="77777777" w:rsidR="00FC360C" w:rsidRPr="00F63BAF" w:rsidRDefault="00FC360C" w:rsidP="00FC360C">
      <w:pPr>
        <w:spacing w:after="140"/>
        <w:rPr>
          <w:rFonts w:cs="Arial"/>
        </w:rPr>
      </w:pPr>
      <w:r w:rsidRPr="00F63BAF">
        <w:rPr>
          <w:rFonts w:cs="Arial"/>
        </w:rPr>
        <w:t>50.</w:t>
      </w:r>
      <w:r w:rsidRPr="00F63BAF">
        <w:rPr>
          <w:rFonts w:cs="Arial"/>
        </w:rPr>
        <w:tab/>
        <w:t>Quality assurance (QA) is the relevant part of the work related to all procedures from sampling to the final instrumental analytical measurement, within a quality management system required to ensure the consistent delivery of quality controlled information. All procedures must be evaluated and controlled on a regular basis. For this purpose a QA scheme must be established in each laboratory. This includes participation in inter</w:t>
      </w:r>
      <w:r w:rsidR="00812784">
        <w:rPr>
          <w:rFonts w:cs="Arial"/>
        </w:rPr>
        <w:t xml:space="preserve"> </w:t>
      </w:r>
      <w:r w:rsidRPr="00F63BAF">
        <w:rPr>
          <w:rFonts w:cs="Arial"/>
        </w:rPr>
        <w:t>laboratory proficiency testing schemes, preferably at an international level, to ensure the long-term stability of the laboratory’s performance, the use of reference materials and the maintenance of all required documentation.</w:t>
      </w:r>
    </w:p>
    <w:p w14:paraId="002F6503" w14:textId="77777777" w:rsidR="00FC360C" w:rsidRPr="00F63BAF" w:rsidRDefault="00FC360C" w:rsidP="00FC360C">
      <w:pPr>
        <w:spacing w:after="140"/>
        <w:rPr>
          <w:rFonts w:cs="Arial"/>
        </w:rPr>
      </w:pPr>
      <w:r w:rsidRPr="00F63BAF">
        <w:rPr>
          <w:rFonts w:cs="Arial"/>
        </w:rPr>
        <w:t>51.</w:t>
      </w:r>
      <w:r w:rsidRPr="00F63BAF">
        <w:rPr>
          <w:rFonts w:cs="Arial"/>
        </w:rPr>
        <w:tab/>
        <w:t>To minimise the risk of contamination or the loss of determinands during sampling, storage, pre-treatment or analysis (and so to avoid the generation of false data) QA measures should be applied to the sample from first contact to final measurement and data reporting. All detailed QA data should be recorded in accordance with the QA procedures laid down in the relevant documents. Laboratories should work according to EN 17025.</w:t>
      </w:r>
    </w:p>
    <w:p w14:paraId="3542C5F5" w14:textId="77777777" w:rsidR="00FC360C" w:rsidRPr="00F63BAF" w:rsidRDefault="00FC360C" w:rsidP="002F237A">
      <w:pPr>
        <w:pStyle w:val="Heading1"/>
      </w:pPr>
      <w:bookmarkStart w:id="77" w:name="_Toc240875570"/>
      <w:bookmarkStart w:id="78" w:name="_Toc511217367"/>
      <w:r w:rsidRPr="00F63BAF">
        <w:t>9.</w:t>
      </w:r>
      <w:r w:rsidRPr="00F63BAF">
        <w:tab/>
        <w:t>Data reporting</w:t>
      </w:r>
      <w:bookmarkEnd w:id="77"/>
      <w:bookmarkEnd w:id="78"/>
    </w:p>
    <w:p w14:paraId="5DB125BD" w14:textId="77777777" w:rsidR="00FC360C" w:rsidRPr="00F63BAF" w:rsidRDefault="00FC360C" w:rsidP="00FC360C">
      <w:pPr>
        <w:spacing w:after="140"/>
        <w:rPr>
          <w:rFonts w:cs="Arial"/>
        </w:rPr>
      </w:pPr>
      <w:r w:rsidRPr="00F63BAF">
        <w:rPr>
          <w:rFonts w:cs="Arial"/>
        </w:rPr>
        <w:t>52.</w:t>
      </w:r>
      <w:r w:rsidRPr="00F63BAF">
        <w:rPr>
          <w:rFonts w:cs="Arial"/>
        </w:rPr>
        <w:tab/>
        <w:t>Data reporting, including QA information, should be in accordance with the requirements set by the relevant OSPAR bodies to ensure that all information for the assessment procedure to be applied are available,</w:t>
      </w:r>
      <w:r w:rsidR="00812784">
        <w:rPr>
          <w:rFonts w:cs="Arial"/>
        </w:rPr>
        <w:t xml:space="preserve"> </w:t>
      </w:r>
      <w:r w:rsidRPr="00F63BAF">
        <w:rPr>
          <w:rFonts w:cs="Arial"/>
        </w:rPr>
        <w:t>and using the latest ICES reporting formats to ensure an efficient and controlled data storage and processing procedure. Information on the ICES data base is available via the ICES-Website (see references).</w:t>
      </w:r>
    </w:p>
    <w:p w14:paraId="7001B4CD" w14:textId="77777777" w:rsidR="00FC360C" w:rsidRPr="00F63BAF" w:rsidRDefault="00FC360C" w:rsidP="002F237A">
      <w:pPr>
        <w:pStyle w:val="Heading1"/>
      </w:pPr>
      <w:bookmarkStart w:id="79" w:name="_Toc240875571"/>
      <w:bookmarkStart w:id="80" w:name="_Toc511217368"/>
      <w:r w:rsidRPr="00F63BAF">
        <w:t>10.</w:t>
      </w:r>
      <w:r w:rsidRPr="00F63BAF">
        <w:tab/>
        <w:t>References</w:t>
      </w:r>
      <w:bookmarkEnd w:id="79"/>
      <w:bookmarkEnd w:id="80"/>
    </w:p>
    <w:p w14:paraId="0C8200F4" w14:textId="77777777" w:rsidR="00FC360C" w:rsidRPr="00F63BAF" w:rsidRDefault="00FC360C" w:rsidP="00FC360C">
      <w:pPr>
        <w:autoSpaceDE w:val="0"/>
        <w:autoSpaceDN w:val="0"/>
        <w:adjustRightInd w:val="0"/>
        <w:spacing w:after="140"/>
        <w:rPr>
          <w:rFonts w:eastAsia="Calibri" w:cs="Arial"/>
          <w:lang w:eastAsia="de-DE"/>
        </w:rPr>
      </w:pPr>
      <w:proofErr w:type="gramStart"/>
      <w:r w:rsidRPr="00F63BAF">
        <w:rPr>
          <w:rFonts w:eastAsia="Calibri" w:cs="Arial"/>
          <w:bCs/>
          <w:color w:val="000000"/>
          <w:lang w:eastAsia="de-DE"/>
        </w:rPr>
        <w:t>EC, 2000.</w:t>
      </w:r>
      <w:proofErr w:type="gramEnd"/>
      <w:r w:rsidRPr="00F63BAF">
        <w:rPr>
          <w:rFonts w:eastAsia="Calibri" w:cs="Arial"/>
          <w:bCs/>
          <w:color w:val="000000"/>
          <w:lang w:eastAsia="de-DE"/>
        </w:rPr>
        <w:t xml:space="preserve"> </w:t>
      </w:r>
      <w:proofErr w:type="gramStart"/>
      <w:r w:rsidRPr="00F63BAF">
        <w:rPr>
          <w:rFonts w:eastAsia="Calibri" w:cs="Arial"/>
          <w:lang w:eastAsia="de-DE"/>
        </w:rPr>
        <w:t>Directive 2000/60/EC of the European Parliament and of the Council of 23 October 2000 establishing a framework for Community action in the field of water policy.</w:t>
      </w:r>
      <w:proofErr w:type="gramEnd"/>
      <w:r w:rsidRPr="00F63BAF">
        <w:rPr>
          <w:rFonts w:eastAsia="Calibri" w:cs="Arial"/>
          <w:lang w:eastAsia="de-DE"/>
        </w:rPr>
        <w:t xml:space="preserve"> </w:t>
      </w:r>
      <w:proofErr w:type="gramStart"/>
      <w:r w:rsidRPr="00F63BAF">
        <w:rPr>
          <w:rFonts w:eastAsia="Calibri" w:cs="Arial"/>
          <w:lang w:eastAsia="de-DE"/>
        </w:rPr>
        <w:t>Official Journal of the European Communities L 327/1-72.</w:t>
      </w:r>
      <w:proofErr w:type="gramEnd"/>
      <w:r w:rsidRPr="00F63BAF">
        <w:rPr>
          <w:rFonts w:eastAsia="Calibri" w:cs="Arial"/>
          <w:lang w:eastAsia="de-DE"/>
        </w:rPr>
        <w:t xml:space="preserve"> </w:t>
      </w:r>
      <w:r w:rsidRPr="00F63BAF">
        <w:rPr>
          <w:rFonts w:eastAsia="Calibri" w:cs="Arial"/>
          <w:lang w:eastAsia="de-DE"/>
        </w:rPr>
        <w:br/>
      </w:r>
      <w:hyperlink r:id="rId22" w:history="1">
        <w:r w:rsidRPr="00F63BAF">
          <w:rPr>
            <w:rFonts w:eastAsia="Calibri" w:cs="Arial"/>
            <w:color w:val="0000FF"/>
            <w:u w:val="single"/>
            <w:lang w:eastAsia="de-DE"/>
          </w:rPr>
          <w:t>http://eur-lex.europa.eu/LexUriServ/LexUriServ.do?uri=OJ:L:2000:327:0001:0072:EN:PDF</w:t>
        </w:r>
      </w:hyperlink>
    </w:p>
    <w:p w14:paraId="726B5A71" w14:textId="77777777" w:rsidR="00FC360C" w:rsidRPr="00F63BAF" w:rsidRDefault="00FC360C" w:rsidP="00FC360C">
      <w:pPr>
        <w:autoSpaceDE w:val="0"/>
        <w:autoSpaceDN w:val="0"/>
        <w:adjustRightInd w:val="0"/>
        <w:spacing w:after="140"/>
        <w:rPr>
          <w:rFonts w:eastAsia="Calibri" w:cs="Arial"/>
          <w:bCs/>
          <w:color w:val="000000"/>
          <w:lang w:eastAsia="de-DE"/>
        </w:rPr>
      </w:pPr>
      <w:proofErr w:type="gramStart"/>
      <w:r w:rsidRPr="00F63BAF">
        <w:rPr>
          <w:rFonts w:eastAsia="Calibri" w:cs="Arial"/>
          <w:bCs/>
          <w:color w:val="000000"/>
          <w:lang w:eastAsia="de-DE"/>
        </w:rPr>
        <w:t>EC, 2008.</w:t>
      </w:r>
      <w:proofErr w:type="gramEnd"/>
      <w:r w:rsidRPr="00F63BAF">
        <w:rPr>
          <w:rFonts w:eastAsia="Calibri" w:cs="Arial"/>
          <w:bCs/>
          <w:color w:val="000000"/>
          <w:lang w:eastAsia="de-DE"/>
        </w:rPr>
        <w:t xml:space="preserve"> </w:t>
      </w:r>
      <w:r w:rsidRPr="00F63BAF">
        <w:rPr>
          <w:rFonts w:eastAsia="Calibri" w:cs="Arial"/>
          <w:bCs/>
          <w:lang w:eastAsia="de-DE"/>
        </w:rPr>
        <w:t xml:space="preserve">Directive 2008/105/EC </w:t>
      </w:r>
      <w:r w:rsidRPr="00F63BAF">
        <w:rPr>
          <w:rFonts w:eastAsia="Calibri" w:cs="Arial"/>
          <w:lang w:eastAsia="de-DE"/>
        </w:rPr>
        <w:t xml:space="preserve">of the European Parliament and of the Council </w:t>
      </w:r>
      <w:r w:rsidRPr="00F63BAF">
        <w:rPr>
          <w:rFonts w:eastAsia="Calibri" w:cs="Arial"/>
          <w:bCs/>
          <w:lang w:eastAsia="de-DE"/>
        </w:rPr>
        <w:t xml:space="preserve">of 16 December 2008 on environmental quality standards in the field of water policy, amending and subsequently repealing Council Directives 82/176/EEC, 83/513/EEC, 84/156/EEC, 84/491/EEC, 86/280/EEC and amending Directive 2000/60/EC of the European Parliament and of the Council. </w:t>
      </w:r>
      <w:r w:rsidRPr="00F63BAF">
        <w:rPr>
          <w:rFonts w:eastAsia="Calibri" w:cs="Arial"/>
          <w:lang w:eastAsia="de-DE"/>
        </w:rPr>
        <w:t>Official Journal of the European Union L 348/84-97</w:t>
      </w:r>
    </w:p>
    <w:p w14:paraId="1B799E09" w14:textId="77777777" w:rsidR="00FC360C" w:rsidRPr="00F63BAF" w:rsidRDefault="00FC360C" w:rsidP="00FC360C">
      <w:pPr>
        <w:autoSpaceDE w:val="0"/>
        <w:autoSpaceDN w:val="0"/>
        <w:adjustRightInd w:val="0"/>
        <w:rPr>
          <w:rFonts w:eastAsia="Calibri" w:cs="Arial"/>
          <w:lang w:eastAsia="de-DE"/>
        </w:rPr>
      </w:pPr>
      <w:proofErr w:type="gramStart"/>
      <w:r w:rsidRPr="00F63BAF">
        <w:rPr>
          <w:rFonts w:eastAsia="Calibri" w:cs="Arial"/>
          <w:lang w:eastAsia="en-US"/>
        </w:rPr>
        <w:t>EC, 2008.</w:t>
      </w:r>
      <w:proofErr w:type="gramEnd"/>
      <w:r w:rsidRPr="00F63BAF">
        <w:rPr>
          <w:rFonts w:eastAsia="Calibri" w:cs="Arial"/>
          <w:lang w:eastAsia="en-US"/>
        </w:rPr>
        <w:t xml:space="preserve"> </w:t>
      </w:r>
      <w:r w:rsidRPr="00F63BAF">
        <w:rPr>
          <w:rFonts w:eastAsia="Calibri" w:cs="Arial"/>
          <w:lang w:eastAsia="de-DE"/>
        </w:rPr>
        <w:t xml:space="preserve">Directive 2008/56/EC of the European Parliament and of the Council of 17 June 2008 establishing a framework for community action in the field of marine environmental policy (Marine Strategy Framework Directive). </w:t>
      </w:r>
      <w:proofErr w:type="gramStart"/>
      <w:r w:rsidRPr="00F63BAF">
        <w:rPr>
          <w:rFonts w:eastAsia="Calibri" w:cs="Arial"/>
          <w:color w:val="231F20"/>
          <w:lang w:eastAsia="de-DE"/>
        </w:rPr>
        <w:t>Official Journal of the European Union L164/19-40.</w:t>
      </w:r>
      <w:proofErr w:type="gramEnd"/>
      <w:r w:rsidRPr="00F63BAF">
        <w:rPr>
          <w:rFonts w:eastAsia="Calibri" w:cs="Arial"/>
          <w:lang w:eastAsia="de-DE"/>
        </w:rPr>
        <w:t xml:space="preserve"> </w:t>
      </w:r>
    </w:p>
    <w:p w14:paraId="23B071D9" w14:textId="77777777" w:rsidR="00FC360C" w:rsidRPr="00F63BAF" w:rsidRDefault="0098261C" w:rsidP="00FC360C">
      <w:pPr>
        <w:autoSpaceDE w:val="0"/>
        <w:autoSpaceDN w:val="0"/>
        <w:adjustRightInd w:val="0"/>
        <w:spacing w:after="140"/>
        <w:rPr>
          <w:rFonts w:eastAsia="Calibri" w:cs="Arial"/>
          <w:color w:val="0000FF"/>
          <w:u w:val="single"/>
          <w:lang w:eastAsia="de-DE"/>
        </w:rPr>
      </w:pPr>
      <w:hyperlink r:id="rId23" w:history="1">
        <w:r w:rsidR="00FC360C" w:rsidRPr="00F63BAF">
          <w:rPr>
            <w:rFonts w:eastAsia="Calibri" w:cs="Arial"/>
            <w:color w:val="0000FF"/>
            <w:u w:val="single"/>
            <w:lang w:eastAsia="de-DE"/>
          </w:rPr>
          <w:t>http://eur-lex.europa.eu/LexUriServ/LexUriServ.do?uri=OJ:L:2008:164:0019:0040:EN:PDF</w:t>
        </w:r>
      </w:hyperlink>
    </w:p>
    <w:p w14:paraId="430C5C9C" w14:textId="77777777" w:rsidR="00FC360C" w:rsidRPr="00F63BAF" w:rsidRDefault="00FC360C" w:rsidP="00FC360C">
      <w:pPr>
        <w:autoSpaceDE w:val="0"/>
        <w:autoSpaceDN w:val="0"/>
        <w:adjustRightInd w:val="0"/>
        <w:spacing w:after="140"/>
        <w:rPr>
          <w:rFonts w:eastAsia="Calibri" w:cs="Arial"/>
          <w:lang w:eastAsia="de-DE"/>
        </w:rPr>
      </w:pPr>
      <w:proofErr w:type="gramStart"/>
      <w:r w:rsidRPr="00F63BAF">
        <w:rPr>
          <w:rFonts w:eastAsia="Calibri" w:cs="Arial"/>
          <w:lang w:eastAsia="en-US"/>
        </w:rPr>
        <w:t>EC, 2010.</w:t>
      </w:r>
      <w:proofErr w:type="gramEnd"/>
      <w:r w:rsidRPr="00F63BAF">
        <w:rPr>
          <w:rFonts w:eastAsia="Calibri" w:cs="Arial"/>
          <w:lang w:eastAsia="en-US"/>
        </w:rPr>
        <w:t xml:space="preserve"> </w:t>
      </w:r>
      <w:r w:rsidRPr="00F63BAF">
        <w:rPr>
          <w:rFonts w:eastAsia="Calibri" w:cs="Arial"/>
          <w:bCs/>
          <w:lang w:eastAsia="de-DE"/>
        </w:rPr>
        <w:t xml:space="preserve">Report on the recommendations for the Good Environmental Status of European Seas regarding contaminants and pollution effects under the </w:t>
      </w:r>
      <w:r w:rsidRPr="00F63BAF">
        <w:rPr>
          <w:rFonts w:eastAsia="Calibri" w:cs="Arial"/>
          <w:lang w:eastAsia="de-DE"/>
        </w:rPr>
        <w:t>Marine Strategy Framework Directive. MSFD GES Task Group 8</w:t>
      </w:r>
    </w:p>
    <w:p w14:paraId="4C49B126" w14:textId="77777777" w:rsidR="00FC360C" w:rsidRPr="00F63BAF" w:rsidRDefault="00FC360C" w:rsidP="00FC360C">
      <w:pPr>
        <w:spacing w:after="140"/>
        <w:rPr>
          <w:rFonts w:cs="Arial"/>
        </w:rPr>
      </w:pPr>
      <w:r w:rsidRPr="00F63BAF">
        <w:rPr>
          <w:rFonts w:cs="Arial"/>
        </w:rPr>
        <w:t xml:space="preserve">Gilbert, R.O., 1987. </w:t>
      </w:r>
      <w:proofErr w:type="gramStart"/>
      <w:r w:rsidRPr="00F63BAF">
        <w:rPr>
          <w:rFonts w:cs="Arial"/>
        </w:rPr>
        <w:t>Statistical Methods for Environmental Pollution Monitoring.</w:t>
      </w:r>
      <w:proofErr w:type="gramEnd"/>
      <w:r w:rsidRPr="00F63BAF">
        <w:rPr>
          <w:rFonts w:cs="Arial"/>
        </w:rPr>
        <w:t xml:space="preserve"> Van Nostrand Reinhold, New York.</w:t>
      </w:r>
    </w:p>
    <w:p w14:paraId="421DEEE6" w14:textId="77777777" w:rsidR="00FC360C" w:rsidRPr="00F63BAF" w:rsidRDefault="00FC360C" w:rsidP="00FC360C">
      <w:pPr>
        <w:autoSpaceDE w:val="0"/>
        <w:autoSpaceDN w:val="0"/>
        <w:adjustRightInd w:val="0"/>
        <w:spacing w:after="140"/>
        <w:rPr>
          <w:rFonts w:eastAsia="Calibri" w:cs="Arial"/>
          <w:lang w:eastAsia="en-US"/>
        </w:rPr>
      </w:pPr>
      <w:r w:rsidRPr="00F63BAF">
        <w:rPr>
          <w:rFonts w:eastAsia="Calibri" w:cs="Arial"/>
          <w:lang w:eastAsia="en-US"/>
        </w:rPr>
        <w:t xml:space="preserve">ICES: Data submenue under: ICES: </w:t>
      </w:r>
      <w:hyperlink r:id="rId24" w:history="1">
        <w:r w:rsidRPr="00F63BAF">
          <w:rPr>
            <w:rFonts w:eastAsia="Calibri" w:cs="Arial"/>
            <w:color w:val="0000FF"/>
            <w:u w:val="single"/>
            <w:lang w:eastAsia="en-US"/>
          </w:rPr>
          <w:t>http://www.ices.dk/indexfla.asp</w:t>
        </w:r>
      </w:hyperlink>
      <w:r w:rsidRPr="00F63BAF">
        <w:rPr>
          <w:rFonts w:eastAsia="Calibri" w:cs="Arial"/>
          <w:lang w:eastAsia="en-US"/>
        </w:rPr>
        <w:t xml:space="preserve"> </w:t>
      </w:r>
    </w:p>
    <w:p w14:paraId="1162BD35" w14:textId="77777777" w:rsidR="00FC360C" w:rsidRPr="00F63BAF" w:rsidRDefault="00FC360C" w:rsidP="00FC360C">
      <w:pPr>
        <w:spacing w:after="140"/>
        <w:rPr>
          <w:rFonts w:cs="Arial"/>
        </w:rPr>
      </w:pPr>
      <w:r w:rsidRPr="00F63BAF">
        <w:rPr>
          <w:rFonts w:cs="Arial"/>
        </w:rPr>
        <w:t xml:space="preserve">Nicholson, M.D., Fryer, R.J. and Larsen, J.R., 1997. </w:t>
      </w:r>
      <w:proofErr w:type="gramStart"/>
      <w:r w:rsidRPr="00F63BAF">
        <w:rPr>
          <w:rFonts w:cs="Arial"/>
        </w:rPr>
        <w:t>A Robust Method for Analysing Contaminant Trend Monitoring Data.</w:t>
      </w:r>
      <w:proofErr w:type="gramEnd"/>
      <w:r w:rsidRPr="00F63BAF">
        <w:rPr>
          <w:rFonts w:cs="Arial"/>
        </w:rPr>
        <w:t xml:space="preserve"> </w:t>
      </w:r>
      <w:proofErr w:type="gramStart"/>
      <w:r w:rsidRPr="00F63BAF">
        <w:rPr>
          <w:rFonts w:cs="Arial"/>
        </w:rPr>
        <w:t>ICES Techniques in Marine Environmental Sciences, No. 20.</w:t>
      </w:r>
      <w:proofErr w:type="gramEnd"/>
      <w:r w:rsidRPr="00F63BAF">
        <w:rPr>
          <w:rFonts w:cs="Arial"/>
        </w:rPr>
        <w:t xml:space="preserve"> </w:t>
      </w:r>
      <w:proofErr w:type="gramStart"/>
      <w:r w:rsidRPr="00F63BAF">
        <w:rPr>
          <w:rFonts w:cs="Arial"/>
        </w:rPr>
        <w:t>12 pp.</w:t>
      </w:r>
      <w:proofErr w:type="gramEnd"/>
    </w:p>
    <w:p w14:paraId="140150F4" w14:textId="77777777" w:rsidR="00FC360C" w:rsidRPr="00F63BAF" w:rsidRDefault="00FC360C" w:rsidP="00FC360C">
      <w:pPr>
        <w:spacing w:after="140"/>
        <w:rPr>
          <w:rFonts w:cs="Arial"/>
        </w:rPr>
      </w:pPr>
      <w:r w:rsidRPr="00F63BAF">
        <w:rPr>
          <w:rFonts w:cs="Arial"/>
        </w:rPr>
        <w:t>OSPAR, 2010: Joint Assessment and Monitoring Programme 2010 – 2014. OSPAR Agreement 2010-4</w:t>
      </w:r>
    </w:p>
    <w:p w14:paraId="118B6B0C" w14:textId="77777777" w:rsidR="00FC360C" w:rsidRPr="00F63BAF" w:rsidRDefault="00FC360C" w:rsidP="00FC360C">
      <w:pPr>
        <w:spacing w:after="140"/>
        <w:outlineLvl w:val="3"/>
        <w:rPr>
          <w:rFonts w:cs="Arial"/>
          <w:bCs/>
          <w:lang w:eastAsia="en-US"/>
        </w:rPr>
      </w:pPr>
      <w:r w:rsidRPr="00F63BAF">
        <w:rPr>
          <w:rFonts w:cs="Arial"/>
          <w:bCs/>
          <w:lang w:eastAsia="en-US"/>
        </w:rPr>
        <w:t>OSPAR, 2009: Background Document on CEMP Assessment Criteria for the QSR 2010. Publication No. 461978-1-907390-08-1</w:t>
      </w:r>
    </w:p>
    <w:p w14:paraId="2C966D00" w14:textId="77777777" w:rsidR="00FC360C" w:rsidRPr="00F63BAF" w:rsidRDefault="00FC360C" w:rsidP="00FC360C">
      <w:pPr>
        <w:spacing w:after="140"/>
        <w:outlineLvl w:val="3"/>
        <w:rPr>
          <w:rFonts w:cs="Arial"/>
          <w:b/>
          <w:bCs/>
          <w:lang w:eastAsia="en-US"/>
        </w:rPr>
      </w:pPr>
      <w:r w:rsidRPr="00F63BAF">
        <w:rPr>
          <w:rFonts w:cs="Arial"/>
          <w:bCs/>
          <w:lang w:eastAsia="en-US"/>
        </w:rPr>
        <w:t>OSPAR, 2008: CEMP Assessment Manual: Co-ordinated Environmental Monitoring Programme Assessment Manual for contaminants in sediment and biota. Publication No. 377978-1-906840-18-1</w:t>
      </w:r>
    </w:p>
    <w:p w14:paraId="21E050F9" w14:textId="77777777" w:rsidR="00FC360C" w:rsidRPr="00F63BAF" w:rsidRDefault="00FC360C" w:rsidP="00FC360C">
      <w:pPr>
        <w:spacing w:after="140"/>
      </w:pPr>
      <w:r w:rsidRPr="00F63BAF">
        <w:rPr>
          <w:rFonts w:cs="Arial"/>
        </w:rPr>
        <w:t xml:space="preserve">Tema Nord, 1995. </w:t>
      </w:r>
      <w:proofErr w:type="gramStart"/>
      <w:r w:rsidRPr="00F63BAF">
        <w:rPr>
          <w:rFonts w:cs="Arial"/>
        </w:rPr>
        <w:t>Manual for Nordic Environmental Specimen Banking.</w:t>
      </w:r>
      <w:proofErr w:type="gramEnd"/>
    </w:p>
    <w:p w14:paraId="358F2E3C" w14:textId="77777777" w:rsidR="00FC360C" w:rsidRPr="00F63BAF" w:rsidRDefault="00FC360C" w:rsidP="0009083A">
      <w:pPr>
        <w:pStyle w:val="Title"/>
      </w:pPr>
      <w:r w:rsidRPr="00F63BAF">
        <w:br w:type="page"/>
      </w:r>
      <w:bookmarkStart w:id="81" w:name="_Toc511217369"/>
      <w:bookmarkEnd w:id="15"/>
      <w:r w:rsidRPr="00F63BAF">
        <w:t>Technical Annex 1: Analysis of organic contaminants in biota</w:t>
      </w:r>
      <w:bookmarkEnd w:id="81"/>
      <w:r w:rsidRPr="00F63BAF">
        <w:t xml:space="preserve"> </w:t>
      </w:r>
    </w:p>
    <w:p w14:paraId="50ED7C1A" w14:textId="77777777" w:rsidR="00FC360C" w:rsidRPr="00F63BAF" w:rsidRDefault="00FC360C" w:rsidP="00FC360C">
      <w:r w:rsidRPr="00F63BAF">
        <w:t xml:space="preserve">This annex is intended as a supplement to the general OSPAR </w:t>
      </w:r>
      <w:r w:rsidR="007D149A">
        <w:t>CEMP</w:t>
      </w:r>
      <w:r w:rsidRPr="00F63BAF">
        <w:t xml:space="preserve"> guidelines. The Annex applies to analysis of all types of organic contaminants but is an overview and is not intended as a complete description or a substitute for detailed instructions. Advice and recommendations given in documents prepared through the QUASIMEME project (Quality Assurance of Information for Marine Environmental Monitoring i</w:t>
      </w:r>
      <w:r w:rsidR="0009083A" w:rsidRPr="00F63BAF">
        <w:t>n Europe) are frequently cited.</w:t>
      </w:r>
    </w:p>
    <w:p w14:paraId="41BED626" w14:textId="77777777" w:rsidR="00FC360C" w:rsidRPr="00F63BAF" w:rsidRDefault="00FC360C" w:rsidP="0009083A">
      <w:pPr>
        <w:pStyle w:val="Heading1"/>
      </w:pPr>
      <w:bookmarkStart w:id="82" w:name="_Toc511217370"/>
      <w:r w:rsidRPr="00F63BAF">
        <w:t>1.</w:t>
      </w:r>
      <w:r w:rsidRPr="00F63BAF">
        <w:tab/>
        <w:t>Species</w:t>
      </w:r>
      <w:bookmarkEnd w:id="82"/>
    </w:p>
    <w:p w14:paraId="512A4E70" w14:textId="77777777" w:rsidR="00FC360C" w:rsidRPr="00F63BAF" w:rsidRDefault="00FC360C" w:rsidP="0009083A">
      <w:pPr>
        <w:pStyle w:val="Heading2"/>
        <w:rPr>
          <w:lang w:val="en-GB"/>
        </w:rPr>
      </w:pPr>
      <w:bookmarkStart w:id="83" w:name="_Toc511217371"/>
      <w:r w:rsidRPr="00F63BAF">
        <w:rPr>
          <w:lang w:val="en-GB"/>
        </w:rPr>
        <w:t>1.1</w:t>
      </w:r>
      <w:r w:rsidRPr="00F63BAF">
        <w:rPr>
          <w:lang w:val="en-GB"/>
        </w:rPr>
        <w:tab/>
        <w:t>Fish and shellfish</w:t>
      </w:r>
      <w:bookmarkEnd w:id="83"/>
    </w:p>
    <w:p w14:paraId="5F100856" w14:textId="77777777" w:rsidR="00FC360C" w:rsidRPr="00F63BAF" w:rsidRDefault="00FC360C" w:rsidP="0009083A">
      <w:pPr>
        <w:pStyle w:val="Heading3"/>
      </w:pPr>
      <w:bookmarkStart w:id="84" w:name="_Toc511217372"/>
      <w:r w:rsidRPr="00F63BAF">
        <w:t>1.1.1</w:t>
      </w:r>
      <w:r w:rsidRPr="00F63BAF">
        <w:tab/>
        <w:t>Criteria for the selection of species for temporal trend monitoring</w:t>
      </w:r>
      <w:bookmarkEnd w:id="84"/>
    </w:p>
    <w:p w14:paraId="051CA96E" w14:textId="77777777" w:rsidR="00FC360C" w:rsidRPr="00F63BAF" w:rsidRDefault="00FC360C" w:rsidP="00FC360C">
      <w:pPr>
        <w:rPr>
          <w:b/>
        </w:rPr>
      </w:pPr>
      <w:r w:rsidRPr="00F63BAF">
        <w:t>Species for temporal trend monitoring can only be selected in the light of information on fish</w:t>
      </w:r>
      <w:r w:rsidRPr="00F63BAF">
        <w:rPr>
          <w:b/>
        </w:rPr>
        <w:t xml:space="preserve"> </w:t>
      </w:r>
      <w:r w:rsidRPr="00F63BAF">
        <w:t>stock composition and history. It is essential that long time series with one species are obtained. Care should be taken that the sample is representative of the population and can be repeated annually. Fish and shellfish species currently used for trend monitoring are listed in Tables 1 and 2 of the main guidelines.</w:t>
      </w:r>
      <w:r w:rsidRPr="00F63BAF">
        <w:rPr>
          <w:b/>
        </w:rPr>
        <w:t xml:space="preserve"> </w:t>
      </w:r>
    </w:p>
    <w:p w14:paraId="379CA0CD" w14:textId="77777777" w:rsidR="00FC360C" w:rsidRPr="00F63BAF" w:rsidRDefault="00FC360C" w:rsidP="0009083A">
      <w:pPr>
        <w:pStyle w:val="Heading3"/>
      </w:pPr>
      <w:bookmarkStart w:id="85" w:name="_Toc511217373"/>
      <w:r w:rsidRPr="00F63BAF">
        <w:t>1.1.2</w:t>
      </w:r>
      <w:r w:rsidRPr="00F63BAF">
        <w:tab/>
        <w:t>Criteria for the selection of species for spatial distribution monitoring</w:t>
      </w:r>
      <w:bookmarkEnd w:id="85"/>
    </w:p>
    <w:p w14:paraId="0ED1A906" w14:textId="77777777" w:rsidR="00FC360C" w:rsidRPr="00F63BAF" w:rsidRDefault="00FC360C" w:rsidP="00FC360C">
      <w:r w:rsidRPr="00F63BAF">
        <w:t xml:space="preserve">In order to standardise results the first choice species </w:t>
      </w:r>
      <w:r w:rsidRPr="00F63BAF">
        <w:rPr>
          <w:i/>
        </w:rPr>
        <w:t>Limanda limanda</w:t>
      </w:r>
      <w:r w:rsidRPr="00F63BAF">
        <w:t xml:space="preserve">, </w:t>
      </w:r>
      <w:r w:rsidRPr="00F63BAF">
        <w:rPr>
          <w:i/>
        </w:rPr>
        <w:t>Gadus morhua</w:t>
      </w:r>
      <w:r w:rsidRPr="00F63BAF">
        <w:t xml:space="preserve"> and </w:t>
      </w:r>
      <w:r w:rsidRPr="00F63BAF">
        <w:rPr>
          <w:i/>
        </w:rPr>
        <w:t xml:space="preserve">Mytilus edulis </w:t>
      </w:r>
      <w:r w:rsidRPr="00F63BAF">
        <w:t xml:space="preserve">or </w:t>
      </w:r>
      <w:r w:rsidRPr="00F63BAF">
        <w:rPr>
          <w:i/>
        </w:rPr>
        <w:t>Mytilus galloprovincialis</w:t>
      </w:r>
      <w:r w:rsidRPr="00F63BAF">
        <w:t xml:space="preserve"> should be used whenever possible. The second choice species </w:t>
      </w:r>
      <w:r w:rsidRPr="00F63BAF">
        <w:rPr>
          <w:i/>
        </w:rPr>
        <w:t>Merlangius merlangus, Merluccius merluccius, Platichthys flesus</w:t>
      </w:r>
      <w:r w:rsidRPr="00F63BAF">
        <w:t xml:space="preserve"> and </w:t>
      </w:r>
      <w:r w:rsidRPr="00F63BAF">
        <w:rPr>
          <w:i/>
        </w:rPr>
        <w:t>Crassostrea gigas</w:t>
      </w:r>
      <w:r w:rsidRPr="00F63BAF">
        <w:t xml:space="preserve"> should only be used when none of the first choice species are available. </w:t>
      </w:r>
    </w:p>
    <w:p w14:paraId="1C4E08C6" w14:textId="77777777" w:rsidR="00FC360C" w:rsidRPr="00F63BAF" w:rsidRDefault="00FC360C" w:rsidP="00FC360C">
      <w:r w:rsidRPr="00F63BAF">
        <w:t>First choice species</w:t>
      </w:r>
    </w:p>
    <w:p w14:paraId="78B3533E" w14:textId="77777777" w:rsidR="00FC360C" w:rsidRPr="00F63BAF" w:rsidRDefault="00FC360C" w:rsidP="00FC360C">
      <w:pPr>
        <w:rPr>
          <w:b/>
        </w:rPr>
      </w:pPr>
      <w:r w:rsidRPr="00F63BAF">
        <w:rPr>
          <w:i/>
        </w:rPr>
        <w:t>Limanda limanda</w:t>
      </w:r>
      <w:r w:rsidRPr="00F63BAF">
        <w:rPr>
          <w:b/>
        </w:rPr>
        <w:t xml:space="preserve"> (dab)</w:t>
      </w:r>
    </w:p>
    <w:p w14:paraId="128D5E06" w14:textId="77777777" w:rsidR="00FC360C" w:rsidRPr="00F63BAF" w:rsidRDefault="00FC360C" w:rsidP="00FC360C">
      <w:r w:rsidRPr="00F63BAF">
        <w:t>Dab is a ground dwelling species confined to the shelf seas. It has replaced the previously recommended plaice and flounder for the following reasons:</w:t>
      </w:r>
    </w:p>
    <w:p w14:paraId="545CC041" w14:textId="77777777" w:rsidR="00FC360C" w:rsidRPr="00F63BAF" w:rsidRDefault="00FC360C" w:rsidP="00FC360C">
      <w:pPr>
        <w:numPr>
          <w:ilvl w:val="0"/>
          <w:numId w:val="30"/>
        </w:numPr>
        <w:tabs>
          <w:tab w:val="clear" w:pos="567"/>
          <w:tab w:val="clear" w:pos="1134"/>
          <w:tab w:val="clear" w:pos="1701"/>
          <w:tab w:val="clear" w:pos="2268"/>
          <w:tab w:val="left" w:pos="357"/>
        </w:tabs>
        <w:spacing w:after="0" w:line="280" w:lineRule="atLeast"/>
        <w:ind w:left="714" w:hanging="357"/>
      </w:pPr>
      <w:r w:rsidRPr="00F63BAF">
        <w:t>its migration is less pronounced, thus it is more likely to represent the area in which it is caught;</w:t>
      </w:r>
    </w:p>
    <w:p w14:paraId="054860AC" w14:textId="77777777" w:rsidR="00FC360C" w:rsidRPr="00F63BAF" w:rsidRDefault="00FC360C" w:rsidP="00FC360C">
      <w:pPr>
        <w:numPr>
          <w:ilvl w:val="0"/>
          <w:numId w:val="30"/>
        </w:numPr>
        <w:tabs>
          <w:tab w:val="clear" w:pos="567"/>
          <w:tab w:val="clear" w:pos="1134"/>
          <w:tab w:val="clear" w:pos="1701"/>
          <w:tab w:val="clear" w:pos="2268"/>
          <w:tab w:val="left" w:pos="357"/>
        </w:tabs>
        <w:spacing w:after="0" w:line="280" w:lineRule="atLeast"/>
        <w:ind w:left="714" w:hanging="357"/>
      </w:pPr>
      <w:proofErr w:type="gramStart"/>
      <w:r w:rsidRPr="00F63BAF">
        <w:t>it</w:t>
      </w:r>
      <w:proofErr w:type="gramEnd"/>
      <w:r w:rsidRPr="00F63BAF">
        <w:t xml:space="preserve"> has been used successfully in disease studies, thus complementary information from such studies would be available (in fish disease studies a length range for individual fish of 20</w:t>
      </w:r>
      <w:r w:rsidRPr="00F63BAF">
        <w:noBreakHyphen/>
        <w:t>25 cm is used).</w:t>
      </w:r>
    </w:p>
    <w:p w14:paraId="44B15EE8" w14:textId="77777777" w:rsidR="00FC360C" w:rsidRPr="00F63BAF" w:rsidRDefault="00FC360C" w:rsidP="00FC360C">
      <w:r w:rsidRPr="00F63BAF">
        <w:t>The southern distribution limit of dab is the north coast of Spain.</w:t>
      </w:r>
    </w:p>
    <w:p w14:paraId="6392BB80" w14:textId="77777777" w:rsidR="00FC360C" w:rsidRPr="00F63BAF" w:rsidRDefault="00FC360C" w:rsidP="00FC360C">
      <w:pPr>
        <w:rPr>
          <w:b/>
        </w:rPr>
      </w:pPr>
      <w:r w:rsidRPr="00F63BAF">
        <w:rPr>
          <w:i/>
        </w:rPr>
        <w:t>Gadus morhua</w:t>
      </w:r>
      <w:r w:rsidRPr="00F63BAF">
        <w:rPr>
          <w:b/>
        </w:rPr>
        <w:t xml:space="preserve"> (cod)</w:t>
      </w:r>
    </w:p>
    <w:p w14:paraId="0F3019CF" w14:textId="77777777" w:rsidR="0009083A" w:rsidRPr="00F63BAF" w:rsidRDefault="00FC360C" w:rsidP="00FC360C">
      <w:r w:rsidRPr="00F63BAF">
        <w:t>Cod normally live near the seabed but may also be pelagic. Cod occur in coastal areas and to 600 m depth. Cod may also be found in the open ocean and so may also be used for monitoring oceanic regions of the Maritime Area. The southern distribution limit of cod is at 45°N. A sampling size range of 30</w:t>
      </w:r>
      <w:r w:rsidRPr="00F63BAF">
        <w:noBreakHyphen/>
        <w:t>45 cm is specified because cod of that size and age tend to</w:t>
      </w:r>
      <w:r w:rsidR="0009083A" w:rsidRPr="00F63BAF">
        <w:t xml:space="preserve"> feed on a fairly uniform diet.</w:t>
      </w:r>
    </w:p>
    <w:p w14:paraId="435ADACA" w14:textId="77777777" w:rsidR="00FC360C" w:rsidRPr="00F63BAF" w:rsidRDefault="00FC360C" w:rsidP="00FC360C">
      <w:r w:rsidRPr="00F63BAF">
        <w:rPr>
          <w:i/>
        </w:rPr>
        <w:br w:type="page"/>
        <w:t>Mytilus sp</w:t>
      </w:r>
      <w:r w:rsidRPr="00F63BAF">
        <w:rPr>
          <w:b/>
        </w:rPr>
        <w:t>. (mussel)</w:t>
      </w:r>
    </w:p>
    <w:p w14:paraId="0F8840E4" w14:textId="298876C4" w:rsidR="00FC360C" w:rsidRPr="00F63BAF" w:rsidRDefault="00FC360C" w:rsidP="00FC360C">
      <w:r w:rsidRPr="00F63BAF">
        <w:rPr>
          <w:i/>
        </w:rPr>
        <w:t>Mytilus edulis</w:t>
      </w:r>
      <w:r w:rsidRPr="00F63BAF">
        <w:t xml:space="preserve"> occurs in shallow waters along almost all coasts of the Contracting Parties. It is therefore suitable for monitoring in nearshore waters. </w:t>
      </w:r>
      <w:r w:rsidR="007C1D17" w:rsidRPr="00F63BAF">
        <w:t xml:space="preserve">No distinction is made between </w:t>
      </w:r>
      <w:r w:rsidR="007C1D17" w:rsidRPr="00F63BAF">
        <w:rPr>
          <w:i/>
        </w:rPr>
        <w:t>Mytilus edulis</w:t>
      </w:r>
      <w:r w:rsidR="007C1D17">
        <w:t>,</w:t>
      </w:r>
      <w:r w:rsidR="007C1D17" w:rsidRPr="00F63BAF">
        <w:t xml:space="preserve"> </w:t>
      </w:r>
      <w:r w:rsidR="007C1D17" w:rsidRPr="007C1D17">
        <w:rPr>
          <w:i/>
        </w:rPr>
        <w:t>Mytilus Trossulus</w:t>
      </w:r>
      <w:r w:rsidR="007C1D17" w:rsidRPr="007C1D17">
        <w:t xml:space="preserve"> </w:t>
      </w:r>
      <w:r w:rsidR="007C1D17" w:rsidRPr="00F63BAF">
        <w:t xml:space="preserve">and </w:t>
      </w:r>
      <w:r w:rsidR="007C1D17" w:rsidRPr="00F63BAF">
        <w:rPr>
          <w:i/>
        </w:rPr>
        <w:t>Mytilus galloprovincialis</w:t>
      </w:r>
      <w:r w:rsidR="007C1D17" w:rsidRPr="00F63BAF">
        <w:t xml:space="preserve"> </w:t>
      </w:r>
      <w:r w:rsidR="007C1D17" w:rsidRPr="007C1D17">
        <w:t>along the Atlantic coasts but their hybridi</w:t>
      </w:r>
      <w:r w:rsidR="007C1D17">
        <w:t>s</w:t>
      </w:r>
      <w:r w:rsidR="007C1D17" w:rsidRPr="007C1D17">
        <w:t>ation could potentially influence the capacity of bioaccumulation and biotransformation of the chemical contaminants. It seems relevant to develop the measure of this parameter by means of genet</w:t>
      </w:r>
      <w:r w:rsidR="007C1D17">
        <w:t>ic markers to integrate the</w:t>
      </w:r>
      <w:r w:rsidR="007C1D17" w:rsidRPr="007C1D17">
        <w:t>s</w:t>
      </w:r>
      <w:r w:rsidR="007C1D17">
        <w:t>e</w:t>
      </w:r>
      <w:r w:rsidR="007C1D17" w:rsidRPr="007C1D17">
        <w:t xml:space="preserve"> parameters into monitoring where it may occur</w:t>
      </w:r>
      <w:r w:rsidRPr="00F63BAF">
        <w:t>. A sampling size range of 3</w:t>
      </w:r>
      <w:r w:rsidRPr="00F63BAF">
        <w:noBreakHyphen/>
        <w:t>6 cm is specified to ensure availability throughout the whole maritime area.</w:t>
      </w:r>
    </w:p>
    <w:p w14:paraId="792E2592" w14:textId="77777777" w:rsidR="00FC360C" w:rsidRPr="00F63BAF" w:rsidRDefault="00FC360C" w:rsidP="00FC360C">
      <w:pPr>
        <w:rPr>
          <w:b/>
        </w:rPr>
      </w:pPr>
      <w:r w:rsidRPr="00F63BAF">
        <w:rPr>
          <w:b/>
        </w:rPr>
        <w:t>Second choice species</w:t>
      </w:r>
    </w:p>
    <w:p w14:paraId="7A643B76" w14:textId="77777777" w:rsidR="00FC360C" w:rsidRPr="00F63BAF" w:rsidRDefault="00FC360C" w:rsidP="0009083A">
      <w:r w:rsidRPr="00F63BAF">
        <w:rPr>
          <w:i/>
        </w:rPr>
        <w:t>Platichthys flesus</w:t>
      </w:r>
      <w:r w:rsidRPr="00F63BAF">
        <w:t xml:space="preserve"> (flounder)</w:t>
      </w:r>
    </w:p>
    <w:p w14:paraId="724A0D95" w14:textId="77777777" w:rsidR="00FC360C" w:rsidRPr="00F63BAF" w:rsidRDefault="00FC360C" w:rsidP="00FC360C">
      <w:r w:rsidRPr="00F63BAF">
        <w:t xml:space="preserve">The distribution of flounder extends further south than that of dab and might therefore represent the flatfish of choice for certain Portuguese coastal areas and Spain’s </w:t>
      </w:r>
      <w:r w:rsidR="003F2F06" w:rsidRPr="00F63BAF">
        <w:t>northwestern</w:t>
      </w:r>
      <w:r w:rsidRPr="00F63BAF">
        <w:t xml:space="preserve"> coastal areas. Flounder is not suitable for monitoring in open sea areas due to its migration pattern. A sampling size range of 15</w:t>
      </w:r>
      <w:r w:rsidRPr="00F63BAF">
        <w:noBreakHyphen/>
        <w:t>35 cm ensures individu</w:t>
      </w:r>
      <w:r w:rsidR="0009083A" w:rsidRPr="00F63BAF">
        <w:t>als of the 2</w:t>
      </w:r>
      <w:r w:rsidR="0009083A" w:rsidRPr="00F63BAF">
        <w:noBreakHyphen/>
        <w:t xml:space="preserve">3 year age class. </w:t>
      </w:r>
    </w:p>
    <w:p w14:paraId="1DF806BD" w14:textId="77777777" w:rsidR="00FC360C" w:rsidRPr="00F63BAF" w:rsidRDefault="00FC360C" w:rsidP="0009083A">
      <w:r w:rsidRPr="00F63BAF">
        <w:rPr>
          <w:i/>
        </w:rPr>
        <w:t>Merlangius merlangus</w:t>
      </w:r>
      <w:r w:rsidRPr="00F63BAF">
        <w:t xml:space="preserve"> (whiting)</w:t>
      </w:r>
    </w:p>
    <w:p w14:paraId="4F275301" w14:textId="77777777" w:rsidR="00FC360C" w:rsidRPr="00F63BAF" w:rsidRDefault="00FC360C" w:rsidP="00FC360C">
      <w:r w:rsidRPr="00F63BAF">
        <w:t xml:space="preserve">Whiting can be caught in coastal waters and </w:t>
      </w:r>
      <w:r w:rsidR="003F2F06">
        <w:t xml:space="preserve">up </w:t>
      </w:r>
      <w:r w:rsidRPr="00F63BAF">
        <w:t>to 200 m depth. Its distribution is from Portugal to Iceland and Norway, thus covering all the maritime area subject to monitoring by Contracting Parties. It is a suitable substitute for Cod. The sampling size range, 20</w:t>
      </w:r>
      <w:r w:rsidRPr="00F63BAF">
        <w:noBreakHyphen/>
        <w:t>35 cm, may need adjustment in the light of future experience.</w:t>
      </w:r>
    </w:p>
    <w:p w14:paraId="32A83F1B" w14:textId="77777777" w:rsidR="00FC360C" w:rsidRPr="00F63BAF" w:rsidRDefault="00FC360C" w:rsidP="0009083A">
      <w:r w:rsidRPr="00F63BAF">
        <w:rPr>
          <w:i/>
        </w:rPr>
        <w:t>Merluccius merluccius</w:t>
      </w:r>
      <w:r w:rsidRPr="00F63BAF">
        <w:t xml:space="preserve"> (hake)</w:t>
      </w:r>
    </w:p>
    <w:p w14:paraId="7B89BE4E" w14:textId="77777777" w:rsidR="00FC360C" w:rsidRPr="00F63BAF" w:rsidRDefault="00FC360C" w:rsidP="00FC360C">
      <w:r w:rsidRPr="00F63BAF">
        <w:t>Hake live at 100</w:t>
      </w:r>
      <w:r w:rsidRPr="00F63BAF">
        <w:noBreakHyphen/>
        <w:t>300 m along the shelf margins. The sampling size range is 20</w:t>
      </w:r>
      <w:r w:rsidRPr="00F63BAF">
        <w:noBreakHyphen/>
        <w:t xml:space="preserve">35 cm. The sampling size interval suggested is arbitrary and may need adjustment in </w:t>
      </w:r>
      <w:r w:rsidR="0009083A" w:rsidRPr="00F63BAF">
        <w:t>the light of future experience.</w:t>
      </w:r>
    </w:p>
    <w:p w14:paraId="6E56ABD2" w14:textId="77777777" w:rsidR="00FC360C" w:rsidRPr="00F63BAF" w:rsidRDefault="00FC360C" w:rsidP="0009083A">
      <w:r w:rsidRPr="00F63BAF">
        <w:rPr>
          <w:i/>
        </w:rPr>
        <w:t>Crassostrea gigas</w:t>
      </w:r>
      <w:r w:rsidRPr="00F63BAF">
        <w:t xml:space="preserve"> (Pacific oyster)</w:t>
      </w:r>
    </w:p>
    <w:p w14:paraId="0E0A904D" w14:textId="77777777" w:rsidR="00FC360C" w:rsidRPr="00F63BAF" w:rsidRDefault="00FC360C" w:rsidP="00FC360C">
      <w:r w:rsidRPr="00F63BAF">
        <w:t xml:space="preserve">The Pacific oyster should be sampled in areas where </w:t>
      </w:r>
      <w:r w:rsidRPr="00F63BAF">
        <w:rPr>
          <w:i/>
        </w:rPr>
        <w:t xml:space="preserve">Mytilus sp. </w:t>
      </w:r>
      <w:r w:rsidRPr="00F63BAF">
        <w:t>is not available. The sampling size should be within the length range 9</w:t>
      </w:r>
      <w:r w:rsidRPr="00F63BAF">
        <w:noBreakHyphen/>
        <w:t xml:space="preserve">14 cm to ensure individuals of the 2 </w:t>
      </w:r>
      <w:r w:rsidR="0009083A" w:rsidRPr="00F63BAF">
        <w:t>year age class.</w:t>
      </w:r>
    </w:p>
    <w:p w14:paraId="464E9AEF" w14:textId="77777777" w:rsidR="00FC360C" w:rsidRPr="00F63BAF" w:rsidRDefault="00FC360C" w:rsidP="0009083A">
      <w:pPr>
        <w:pStyle w:val="Heading2"/>
        <w:rPr>
          <w:lang w:val="en-GB"/>
        </w:rPr>
      </w:pPr>
      <w:bookmarkStart w:id="86" w:name="_Toc511217374"/>
      <w:r w:rsidRPr="00F63BAF">
        <w:rPr>
          <w:lang w:val="en-GB"/>
        </w:rPr>
        <w:t>1.2</w:t>
      </w:r>
      <w:r w:rsidRPr="00F63BAF">
        <w:rPr>
          <w:lang w:val="en-GB"/>
        </w:rPr>
        <w:tab/>
        <w:t>Seabirds</w:t>
      </w:r>
      <w:bookmarkEnd w:id="86"/>
    </w:p>
    <w:p w14:paraId="509AAF2B" w14:textId="77777777" w:rsidR="00FC360C" w:rsidRPr="00F63BAF" w:rsidRDefault="00FC360C" w:rsidP="00FC360C">
      <w:r w:rsidRPr="00F63BAF">
        <w:t xml:space="preserve">Relevant references concerning the use of seabirds in contaminant monitoring programmes include Gilbertson, 1987; Becker, 1989 and 1991; Becker </w:t>
      </w:r>
      <w:r w:rsidRPr="00F63BAF">
        <w:rPr>
          <w:i/>
        </w:rPr>
        <w:t>et al.</w:t>
      </w:r>
      <w:r w:rsidRPr="00F63BAF">
        <w:t xml:space="preserve">, 1991 and 1992; Walker, 1992 and Bignert </w:t>
      </w:r>
      <w:r w:rsidRPr="00F63BAF">
        <w:rPr>
          <w:i/>
        </w:rPr>
        <w:t>et al.</w:t>
      </w:r>
      <w:r w:rsidR="0009083A" w:rsidRPr="00F63BAF">
        <w:t>, 1995.</w:t>
      </w:r>
    </w:p>
    <w:p w14:paraId="593EF77C" w14:textId="77777777" w:rsidR="00FC360C" w:rsidRPr="00F63BAF" w:rsidRDefault="00FC360C" w:rsidP="0009083A">
      <w:r w:rsidRPr="00F63BAF">
        <w:rPr>
          <w:i/>
        </w:rPr>
        <w:t>Sterna hirundo</w:t>
      </w:r>
      <w:r w:rsidRPr="00F63BAF">
        <w:t xml:space="preserve"> (common tern)</w:t>
      </w:r>
    </w:p>
    <w:p w14:paraId="5FA93B58" w14:textId="77777777" w:rsidR="00FC360C" w:rsidRPr="00F63BAF" w:rsidRDefault="00FC360C" w:rsidP="00FC360C">
      <w:r w:rsidRPr="00F63BAF">
        <w:t xml:space="preserve">The common tern is widely distributed over the European and North American Atlantic coasts as well as the Baltic Sea, but does not occur in Iceland. It feeds in marine, brackish and fresh waters. </w:t>
      </w:r>
    </w:p>
    <w:p w14:paraId="7A567D00" w14:textId="77777777" w:rsidR="00FC360C" w:rsidRPr="00F63BAF" w:rsidRDefault="00FC360C" w:rsidP="0009083A">
      <w:r w:rsidRPr="00F63BAF">
        <w:rPr>
          <w:i/>
        </w:rPr>
        <w:t>Haematopus ostralegus</w:t>
      </w:r>
      <w:r w:rsidRPr="00F63BAF">
        <w:t xml:space="preserve"> (oystercatcher)</w:t>
      </w:r>
    </w:p>
    <w:p w14:paraId="630667A1" w14:textId="77777777" w:rsidR="00FC360C" w:rsidRPr="00F63BAF" w:rsidRDefault="00FC360C" w:rsidP="00FC360C">
      <w:r w:rsidRPr="00F63BAF">
        <w:t xml:space="preserve">The oystercatcher is widely distributed along the coasts of the North-west Atlantic, including Iceland, and also occurs in the Baltic Sea. The species is not strictly </w:t>
      </w:r>
      <w:proofErr w:type="gramStart"/>
      <w:r w:rsidRPr="00F63BAF">
        <w:t>marine</w:t>
      </w:r>
      <w:proofErr w:type="gramEnd"/>
      <w:r w:rsidRPr="00F63BAF">
        <w:t xml:space="preserve"> as it also feeds inland. It feeds on benthos. In contrast to other seabirds, nest sites are access</w:t>
      </w:r>
      <w:r w:rsidR="0009083A" w:rsidRPr="00F63BAF">
        <w:t>ible and the eggs within reach.</w:t>
      </w:r>
    </w:p>
    <w:p w14:paraId="07C2646F" w14:textId="77777777" w:rsidR="00FC360C" w:rsidRPr="00F63BAF" w:rsidRDefault="00FC360C" w:rsidP="0009083A">
      <w:r w:rsidRPr="00F63BAF">
        <w:rPr>
          <w:i/>
        </w:rPr>
        <w:t xml:space="preserve">Uria aalge </w:t>
      </w:r>
      <w:r w:rsidRPr="00F63BAF">
        <w:t>(guillemot)</w:t>
      </w:r>
    </w:p>
    <w:p w14:paraId="47939ABD" w14:textId="77777777" w:rsidR="00FC360C" w:rsidRPr="00F63BAF" w:rsidRDefault="00FC360C" w:rsidP="00FC360C">
      <w:r w:rsidRPr="00F63BAF">
        <w:t>The guillemot feeds in the open sea and nests on the coasts of northern Europe, in the Baltic Sea a</w:t>
      </w:r>
      <w:r w:rsidR="0009083A" w:rsidRPr="00F63BAF">
        <w:t>nd on the North American coast.</w:t>
      </w:r>
    </w:p>
    <w:p w14:paraId="04A42925" w14:textId="77777777" w:rsidR="00FC360C" w:rsidRPr="00F63BAF" w:rsidRDefault="00FC360C" w:rsidP="0009083A">
      <w:pPr>
        <w:pStyle w:val="Heading1"/>
      </w:pPr>
      <w:bookmarkStart w:id="87" w:name="_Toc511217375"/>
      <w:r w:rsidRPr="00F63BAF">
        <w:t>2.</w:t>
      </w:r>
      <w:r w:rsidRPr="00F63BAF">
        <w:tab/>
        <w:t>Sampling</w:t>
      </w:r>
      <w:bookmarkEnd w:id="87"/>
    </w:p>
    <w:p w14:paraId="28CB13CF" w14:textId="77777777" w:rsidR="00FC360C" w:rsidRPr="00F63BAF" w:rsidRDefault="00FC360C" w:rsidP="00FC360C">
      <w:r w:rsidRPr="00F63BAF">
        <w:t xml:space="preserve">Two alternative sampling strategies are described: sampling to minimise natural variability and length-stratified sampling. References of relevance to sampling and statistics include Gilbert, 1987; Bignert </w:t>
      </w:r>
      <w:r w:rsidRPr="00F63BAF">
        <w:rPr>
          <w:i/>
        </w:rPr>
        <w:t>et al.</w:t>
      </w:r>
      <w:r w:rsidRPr="00F63BAF">
        <w:t xml:space="preserve">, 1993 and 1994; Tema Nord, 1995 and Nicholson </w:t>
      </w:r>
      <w:r w:rsidRPr="00F63BAF">
        <w:rPr>
          <w:i/>
        </w:rPr>
        <w:t>et al.</w:t>
      </w:r>
      <w:r w:rsidR="0009083A" w:rsidRPr="00F63BAF">
        <w:t>, 1996 and 1997.</w:t>
      </w:r>
    </w:p>
    <w:p w14:paraId="11C3BBDA" w14:textId="77777777" w:rsidR="00FC360C" w:rsidRPr="00F63BAF" w:rsidRDefault="00FC360C" w:rsidP="0009083A">
      <w:pPr>
        <w:pStyle w:val="Heading2"/>
        <w:rPr>
          <w:lang w:val="en-GB"/>
        </w:rPr>
      </w:pPr>
      <w:bookmarkStart w:id="88" w:name="_Toc511217376"/>
      <w:r w:rsidRPr="00F63BAF">
        <w:rPr>
          <w:lang w:val="en-GB"/>
        </w:rPr>
        <w:t>2.1</w:t>
      </w:r>
      <w:r w:rsidRPr="00F63BAF">
        <w:rPr>
          <w:lang w:val="en-GB"/>
        </w:rPr>
        <w:tab/>
        <w:t>Sampling to minimise natural variability</w:t>
      </w:r>
      <w:bookmarkEnd w:id="88"/>
    </w:p>
    <w:p w14:paraId="1D0A50E5" w14:textId="77777777" w:rsidR="00FC360C" w:rsidRPr="00F63BAF" w:rsidRDefault="00FC360C" w:rsidP="00FC360C">
      <w:r w:rsidRPr="00F63BAF">
        <w:t xml:space="preserve">Gain in precision of the contaminant data can be obtained by minimising variance from the biological covariables. For fish, this can be achieved by sampling and analysing individually at least 12 young fish of the same sex, </w:t>
      </w:r>
      <w:r w:rsidRPr="00F63BAF">
        <w:rPr>
          <w:i/>
        </w:rPr>
        <w:t>e.g.</w:t>
      </w:r>
      <w:r w:rsidRPr="00F63BAF">
        <w:t xml:space="preserve"> 2-3 year old female fish. For shellfish, a sample should be collected with the number of individuals large enough to be divided into at least 3 equal pools with each pool consisting of at least 20 animals and enough soft tissue for all analyses. The length of the individuals collected should be constant from year to year at each station, or should at least fall within a very narrow range, </w:t>
      </w:r>
      <w:r w:rsidRPr="00F63BAF">
        <w:rPr>
          <w:i/>
        </w:rPr>
        <w:t>e.g.</w:t>
      </w:r>
      <w:r w:rsidRPr="00F63BAF">
        <w:t xml:space="preserve"> within 5 mm. To reflect recent levels of contamination, young individuals should be chosen. In selecting the sample, care should be taken to ensure that it is representative of the population and th</w:t>
      </w:r>
      <w:r w:rsidR="0009083A" w:rsidRPr="00F63BAF">
        <w:t>at it can be obtained annually.</w:t>
      </w:r>
    </w:p>
    <w:p w14:paraId="2FCE2B99" w14:textId="77777777" w:rsidR="00FC360C" w:rsidRPr="00F63BAF" w:rsidRDefault="00FC360C" w:rsidP="0009083A">
      <w:pPr>
        <w:pStyle w:val="Heading2"/>
        <w:rPr>
          <w:lang w:val="en-GB"/>
        </w:rPr>
      </w:pPr>
      <w:bookmarkStart w:id="89" w:name="_Toc511217377"/>
      <w:r w:rsidRPr="00F63BAF">
        <w:rPr>
          <w:lang w:val="en-GB"/>
        </w:rPr>
        <w:t>2.2</w:t>
      </w:r>
      <w:r w:rsidRPr="00F63BAF">
        <w:rPr>
          <w:lang w:val="en-GB"/>
        </w:rPr>
        <w:tab/>
        <w:t>Length-stratified sampling</w:t>
      </w:r>
      <w:bookmarkEnd w:id="89"/>
    </w:p>
    <w:p w14:paraId="136B4E39" w14:textId="77777777" w:rsidR="00FC360C" w:rsidRPr="00F63BAF" w:rsidRDefault="00FC360C" w:rsidP="00FC360C">
      <w:r w:rsidRPr="00F63BAF">
        <w:t>Where successfully ongoing, length-stratified t</w:t>
      </w:r>
      <w:r w:rsidR="0009083A" w:rsidRPr="00F63BAF">
        <w:t>ime series should be continued.</w:t>
      </w:r>
    </w:p>
    <w:p w14:paraId="16A498AE" w14:textId="77777777" w:rsidR="00FC360C" w:rsidRPr="00F63BAF" w:rsidRDefault="00FC360C" w:rsidP="0009083A">
      <w:pPr>
        <w:pStyle w:val="Heading3"/>
      </w:pPr>
      <w:bookmarkStart w:id="90" w:name="_Toc511217378"/>
      <w:r w:rsidRPr="00F63BAF">
        <w:t>2.2.1</w:t>
      </w:r>
      <w:r w:rsidRPr="00F63BAF">
        <w:tab/>
        <w:t>Fish</w:t>
      </w:r>
      <w:bookmarkEnd w:id="90"/>
    </w:p>
    <w:p w14:paraId="438218FD" w14:textId="77777777" w:rsidR="00FC360C" w:rsidRPr="00F63BAF" w:rsidRDefault="00FC360C" w:rsidP="00FC360C">
      <w:r w:rsidRPr="00F63BAF">
        <w:t xml:space="preserve">Gain in precision of the contaminant data can also be obtained from stratification using biological variables. Although several biological parameters are appropriate, length appears to be the parameter which can most easily be applied onshore and at sea and which has also been shown to be significant in many analyses. Much discussion has been devoted as to whether simple linear or log-linear (multiplicative) models give the better fit. General experience with other fish and other types of data indicate a preference for the log-normal model at least for the present. As the length dependence of the contaminant concentration is not well understood, sampling should keep the length/contaminant relationship under constant surveillance, </w:t>
      </w:r>
      <w:r w:rsidRPr="00F63BAF">
        <w:rPr>
          <w:i/>
        </w:rPr>
        <w:t>i.e.</w:t>
      </w:r>
      <w:r w:rsidRPr="00F63BAF">
        <w:t xml:space="preserve"> the entire length range should be covered evenly. Care should be taken that the samples are not unduly clustered within a particular length interval. More length intervals could be used and the test of the hypothesised contaminant/length relationship becomes stronger if the lengths are evenly distributed. It is essential to keep the length stratification identical from one year to the next. The length range should be defined on the basis of practical considerations. For fish, the upper limit should be chosen in such a way that at least 5 fish in the largest length interval can easily be found. The length stratification should be determined in such a way that it can be maintained over many years. The length interval should be at least 2 cm in size. The length range should be split into 5 length intervals, which are of equal size after log transformation. For example, if the length range is 18</w:t>
      </w:r>
      <w:r w:rsidRPr="00F63BAF">
        <w:noBreakHyphen/>
        <w:t xml:space="preserve">36 cm, then the interval boundaries could be </w:t>
      </w:r>
      <w:r w:rsidR="0009083A" w:rsidRPr="00F63BAF">
        <w:t>(rounded to 01 cm) as follows:</w:t>
      </w:r>
    </w:p>
    <w:p w14:paraId="71056A37" w14:textId="77777777" w:rsidR="00FC360C" w:rsidRPr="00F63BAF" w:rsidRDefault="00B33CCD" w:rsidP="00FC360C">
      <w:r>
        <w:tab/>
        <w:t>18 – 20.7</w:t>
      </w:r>
      <w:r>
        <w:tab/>
        <w:t>20.</w:t>
      </w:r>
      <w:r w:rsidR="00FC360C" w:rsidRPr="00F63BAF">
        <w:t>8-23</w:t>
      </w:r>
      <w:r>
        <w:t>.</w:t>
      </w:r>
      <w:r w:rsidR="00FC360C" w:rsidRPr="00F63BAF">
        <w:t>8</w:t>
      </w:r>
      <w:r w:rsidR="00FC360C" w:rsidRPr="00F63BAF">
        <w:tab/>
        <w:t>23</w:t>
      </w:r>
      <w:r>
        <w:t>.</w:t>
      </w:r>
      <w:r w:rsidR="00FC360C" w:rsidRPr="00F63BAF">
        <w:t>9-27</w:t>
      </w:r>
      <w:r>
        <w:t>.</w:t>
      </w:r>
      <w:r w:rsidR="00FC360C" w:rsidRPr="00F63BAF">
        <w:t>3</w:t>
      </w:r>
      <w:r w:rsidR="00FC360C" w:rsidRPr="00F63BAF">
        <w:tab/>
        <w:t>27</w:t>
      </w:r>
      <w:r>
        <w:t>.</w:t>
      </w:r>
      <w:r w:rsidR="00FC360C" w:rsidRPr="00F63BAF">
        <w:t>4-31</w:t>
      </w:r>
      <w:r>
        <w:t>.</w:t>
      </w:r>
      <w:r w:rsidR="00FC360C" w:rsidRPr="00F63BAF">
        <w:t>3</w:t>
      </w:r>
      <w:r w:rsidR="00FC360C" w:rsidRPr="00F63BAF">
        <w:tab/>
        <w:t>31</w:t>
      </w:r>
      <w:r>
        <w:t>.</w:t>
      </w:r>
      <w:r w:rsidR="00FC360C" w:rsidRPr="00F63BAF">
        <w:t>4-36</w:t>
      </w:r>
      <w:r>
        <w:t>.0</w:t>
      </w:r>
      <w:r w:rsidR="00FC360C" w:rsidRPr="00F63BAF">
        <w:t xml:space="preserve"> cm.</w:t>
      </w:r>
    </w:p>
    <w:p w14:paraId="77C8A4AE" w14:textId="77777777" w:rsidR="00FC360C" w:rsidRPr="00F63BAF" w:rsidRDefault="00FC360C" w:rsidP="0009083A">
      <w:pPr>
        <w:pStyle w:val="Heading3"/>
      </w:pPr>
      <w:bookmarkStart w:id="91" w:name="_Toc511217379"/>
      <w:r w:rsidRPr="00F63BAF">
        <w:t>2.2.2</w:t>
      </w:r>
      <w:r w:rsidRPr="00F63BAF">
        <w:tab/>
        <w:t>Shellfish</w:t>
      </w:r>
      <w:bookmarkEnd w:id="91"/>
    </w:p>
    <w:p w14:paraId="6762AC35" w14:textId="77777777" w:rsidR="00FC360C" w:rsidRPr="00F63BAF" w:rsidRDefault="00FC360C" w:rsidP="00FC360C">
      <w:r w:rsidRPr="00F63BAF">
        <w:t>For shellfish, the upper limit should be chosen in such a way that at least 20 mussels in the largest length interval can easily be found. The length stratification should be determined in such a way that it can be maintained over many years. The length interval should be at least 5 mm in size. The length range should be split into at least 3 length intervals (small, medium and large) which are of equal size after log transformation. For example, if the length range is 40</w:t>
      </w:r>
      <w:r w:rsidRPr="00F63BAF">
        <w:noBreakHyphen/>
        <w:t>70 mm, then the interval boundaries could be (rounde</w:t>
      </w:r>
      <w:r w:rsidR="0009083A" w:rsidRPr="00F63BAF">
        <w:t>d to 1 mm) as follows:</w:t>
      </w:r>
    </w:p>
    <w:p w14:paraId="4F7556FA" w14:textId="77777777" w:rsidR="00FC360C" w:rsidRPr="003F2F06" w:rsidRDefault="00FC360C" w:rsidP="00FC360C">
      <w:pPr>
        <w:pStyle w:val="List3"/>
        <w:tabs>
          <w:tab w:val="num" w:pos="648"/>
        </w:tabs>
        <w:spacing w:after="0"/>
        <w:ind w:left="648" w:right="288" w:hanging="360"/>
        <w:jc w:val="both"/>
        <w:rPr>
          <w:rFonts w:ascii="Calibri" w:hAnsi="Calibri"/>
          <w:lang w:val="en-GB"/>
        </w:rPr>
      </w:pPr>
      <w:r w:rsidRPr="003F2F06">
        <w:rPr>
          <w:rFonts w:ascii="Calibri" w:hAnsi="Calibri"/>
          <w:lang w:val="en-GB"/>
        </w:rPr>
        <w:t xml:space="preserve">5 intervals: </w:t>
      </w:r>
      <w:r w:rsidRPr="003F2F06">
        <w:rPr>
          <w:rFonts w:ascii="Calibri" w:hAnsi="Calibri"/>
          <w:lang w:val="en-GB"/>
        </w:rPr>
        <w:tab/>
        <w:t>40 - 45</w:t>
      </w:r>
      <w:r w:rsidRPr="003F2F06">
        <w:rPr>
          <w:rFonts w:ascii="Calibri" w:hAnsi="Calibri"/>
          <w:lang w:val="en-GB"/>
        </w:rPr>
        <w:tab/>
        <w:t>46 - 50</w:t>
      </w:r>
      <w:r w:rsidRPr="003F2F06">
        <w:rPr>
          <w:rFonts w:ascii="Calibri" w:hAnsi="Calibri"/>
          <w:lang w:val="en-GB"/>
        </w:rPr>
        <w:tab/>
        <w:t>51 - 56</w:t>
      </w:r>
      <w:r w:rsidRPr="003F2F06">
        <w:rPr>
          <w:rFonts w:ascii="Calibri" w:hAnsi="Calibri"/>
          <w:lang w:val="en-GB"/>
        </w:rPr>
        <w:tab/>
        <w:t>57 - 63</w:t>
      </w:r>
      <w:r w:rsidRPr="003F2F06">
        <w:rPr>
          <w:rFonts w:ascii="Calibri" w:hAnsi="Calibri"/>
          <w:lang w:val="en-GB"/>
        </w:rPr>
        <w:tab/>
        <w:t>64 - 70</w:t>
      </w:r>
    </w:p>
    <w:p w14:paraId="639699F9" w14:textId="77777777" w:rsidR="00FC360C" w:rsidRPr="003F2F06" w:rsidRDefault="00FC360C" w:rsidP="00FC360C">
      <w:pPr>
        <w:pStyle w:val="List3"/>
        <w:tabs>
          <w:tab w:val="num" w:pos="648"/>
        </w:tabs>
        <w:spacing w:after="0"/>
        <w:ind w:left="648" w:right="288" w:hanging="360"/>
        <w:jc w:val="both"/>
        <w:rPr>
          <w:rFonts w:ascii="Calibri" w:hAnsi="Calibri"/>
          <w:lang w:val="en-GB"/>
        </w:rPr>
      </w:pPr>
      <w:r w:rsidRPr="003F2F06">
        <w:rPr>
          <w:rFonts w:ascii="Calibri" w:hAnsi="Calibri"/>
          <w:lang w:val="en-GB"/>
        </w:rPr>
        <w:t xml:space="preserve">3 intervals: </w:t>
      </w:r>
      <w:r w:rsidRPr="003F2F06">
        <w:rPr>
          <w:rFonts w:ascii="Calibri" w:hAnsi="Calibri"/>
          <w:lang w:val="en-GB"/>
        </w:rPr>
        <w:tab/>
        <w:t>40 - 48</w:t>
      </w:r>
      <w:r w:rsidRPr="003F2F06">
        <w:rPr>
          <w:rFonts w:ascii="Calibri" w:hAnsi="Calibri"/>
          <w:lang w:val="en-GB"/>
        </w:rPr>
        <w:tab/>
        <w:t>49 - 58</w:t>
      </w:r>
      <w:r w:rsidRPr="003F2F06">
        <w:rPr>
          <w:rFonts w:ascii="Calibri" w:hAnsi="Calibri"/>
          <w:lang w:val="en-GB"/>
        </w:rPr>
        <w:tab/>
        <w:t>59 – 70</w:t>
      </w:r>
    </w:p>
    <w:p w14:paraId="239DC78A" w14:textId="77777777" w:rsidR="00FC360C" w:rsidRPr="00F63BAF" w:rsidRDefault="00FC360C" w:rsidP="00FC360C">
      <w:pPr>
        <w:pStyle w:val="List3"/>
        <w:tabs>
          <w:tab w:val="num" w:pos="648"/>
        </w:tabs>
        <w:spacing w:after="0"/>
        <w:ind w:left="648" w:right="288" w:hanging="360"/>
        <w:jc w:val="both"/>
        <w:rPr>
          <w:rFonts w:ascii="Calibri" w:hAnsi="Calibri"/>
          <w:szCs w:val="20"/>
          <w:lang w:val="en-GB"/>
        </w:rPr>
      </w:pPr>
    </w:p>
    <w:p w14:paraId="76FCCA0D" w14:textId="77777777" w:rsidR="00FC360C" w:rsidRPr="00F63BAF" w:rsidRDefault="00FC360C" w:rsidP="0009083A">
      <w:pPr>
        <w:pStyle w:val="Heading2"/>
        <w:rPr>
          <w:lang w:val="en-GB"/>
        </w:rPr>
      </w:pPr>
      <w:bookmarkStart w:id="92" w:name="_Toc511217380"/>
      <w:r w:rsidRPr="00F63BAF">
        <w:rPr>
          <w:lang w:val="en-GB"/>
        </w:rPr>
        <w:t>2.3</w:t>
      </w:r>
      <w:r w:rsidRPr="00F63BAF">
        <w:rPr>
          <w:lang w:val="en-GB"/>
        </w:rPr>
        <w:tab/>
        <w:t>Seabird eggs</w:t>
      </w:r>
      <w:bookmarkEnd w:id="92"/>
    </w:p>
    <w:p w14:paraId="5AE05B84" w14:textId="77777777" w:rsidR="00FC360C" w:rsidRPr="00F63BAF" w:rsidRDefault="00FC360C" w:rsidP="0009083A">
      <w:pPr>
        <w:pStyle w:val="Heading3"/>
      </w:pPr>
      <w:bookmarkStart w:id="93" w:name="_Toc511217381"/>
      <w:r w:rsidRPr="00F63BAF">
        <w:t>2.3.1</w:t>
      </w:r>
      <w:r w:rsidRPr="00F63BAF">
        <w:tab/>
        <w:t>Permission</w:t>
      </w:r>
      <w:bookmarkEnd w:id="93"/>
    </w:p>
    <w:p w14:paraId="6C23CE76" w14:textId="77777777" w:rsidR="00FC360C" w:rsidRPr="00F63BAF" w:rsidRDefault="00FC360C" w:rsidP="00FC360C">
      <w:r w:rsidRPr="00F63BAF">
        <w:t>Permission to collect the eggs must be received from the app</w:t>
      </w:r>
      <w:r w:rsidR="0009083A" w:rsidRPr="00F63BAF">
        <w:t xml:space="preserve">ropriate national authorities. </w:t>
      </w:r>
    </w:p>
    <w:p w14:paraId="34B47A35" w14:textId="77777777" w:rsidR="00FC360C" w:rsidRPr="00F63BAF" w:rsidRDefault="00FC360C" w:rsidP="0009083A">
      <w:pPr>
        <w:pStyle w:val="Heading3"/>
      </w:pPr>
      <w:bookmarkStart w:id="94" w:name="_Toc511217382"/>
      <w:r w:rsidRPr="00F63BAF">
        <w:t>2.3.2</w:t>
      </w:r>
      <w:r w:rsidRPr="00F63BAF">
        <w:tab/>
        <w:t>Sampling period and frequency</w:t>
      </w:r>
      <w:bookmarkEnd w:id="94"/>
    </w:p>
    <w:p w14:paraId="0AC1081E" w14:textId="77777777" w:rsidR="00FC360C" w:rsidRPr="00F63BAF" w:rsidRDefault="00FC360C" w:rsidP="00FC360C">
      <w:r w:rsidRPr="00F63BAF">
        <w:t xml:space="preserve">Eggs should be sampled annually at each site in May or June. Only clutches from the first laying cycle within a </w:t>
      </w:r>
      <w:r w:rsidR="0009083A" w:rsidRPr="00F63BAF">
        <w:t>single year should be selected.</w:t>
      </w:r>
    </w:p>
    <w:p w14:paraId="2A61179A" w14:textId="77777777" w:rsidR="00FC360C" w:rsidRPr="00F63BAF" w:rsidRDefault="00FC360C" w:rsidP="0009083A">
      <w:pPr>
        <w:pStyle w:val="Heading3"/>
      </w:pPr>
      <w:bookmarkStart w:id="95" w:name="_Toc511217383"/>
      <w:r w:rsidRPr="00F63BAF">
        <w:t>2.3.3</w:t>
      </w:r>
      <w:r w:rsidRPr="00F63BAF">
        <w:tab/>
        <w:t>Number of eggs and sampling procedure</w:t>
      </w:r>
      <w:bookmarkEnd w:id="95"/>
    </w:p>
    <w:p w14:paraId="69D34B54" w14:textId="77777777" w:rsidR="00FC360C" w:rsidRPr="00F63BAF" w:rsidRDefault="00FC360C" w:rsidP="00FC360C">
      <w:r w:rsidRPr="00F63BAF">
        <w:t>Eggs should only be taken from full clutches (</w:t>
      </w:r>
      <w:r w:rsidRPr="00F63BAF">
        <w:rPr>
          <w:i/>
        </w:rPr>
        <w:t>i.e.</w:t>
      </w:r>
      <w:r w:rsidRPr="00F63BAF">
        <w:t xml:space="preserve"> common tern 3 eggs, oystercatcher 3</w:t>
      </w:r>
      <w:r w:rsidRPr="00F63BAF">
        <w:noBreakHyphen/>
        <w:t>4 eggs). Eggs should not be taken from abandoned clutches. Only one egg should be taken from each clutch. Ten eggs should be selected in total (</w:t>
      </w:r>
      <w:r w:rsidRPr="00F63BAF">
        <w:rPr>
          <w:i/>
        </w:rPr>
        <w:t>i.e.</w:t>
      </w:r>
      <w:r w:rsidRPr="00F63BAF">
        <w:t xml:space="preserve"> one egg from 10 separate clutches) and it is important to choose the egg from each clutch randomly. As the eggs must be fresh (</w:t>
      </w:r>
      <w:r w:rsidRPr="00F63BAF">
        <w:rPr>
          <w:i/>
        </w:rPr>
        <w:t>i.e.</w:t>
      </w:r>
      <w:r w:rsidRPr="00F63BAF">
        <w:t> between 1</w:t>
      </w:r>
      <w:r w:rsidRPr="00F63BAF">
        <w:noBreakHyphen/>
        <w:t>5 days incubation) information about the incubation stage of each egg is required. Two methods are recommended fo</w:t>
      </w:r>
      <w:r w:rsidR="0009083A" w:rsidRPr="00F63BAF">
        <w:t>r determining incubation stage:</w:t>
      </w:r>
    </w:p>
    <w:p w14:paraId="69FDD44B" w14:textId="77777777" w:rsidR="00FC360C" w:rsidRPr="00F63BAF" w:rsidRDefault="00FC360C" w:rsidP="0009083A">
      <w:pPr>
        <w:pStyle w:val="List3"/>
        <w:numPr>
          <w:ilvl w:val="0"/>
          <w:numId w:val="31"/>
        </w:numPr>
        <w:spacing w:line="276" w:lineRule="auto"/>
        <w:ind w:right="288"/>
        <w:jc w:val="both"/>
        <w:rPr>
          <w:rFonts w:ascii="Calibri" w:hAnsi="Calibri" w:cs="Arial"/>
          <w:szCs w:val="20"/>
          <w:lang w:val="en-GB"/>
        </w:rPr>
      </w:pPr>
      <w:proofErr w:type="gramStart"/>
      <w:r w:rsidRPr="00F63BAF">
        <w:rPr>
          <w:rFonts w:ascii="Calibri" w:hAnsi="Calibri" w:cs="Arial"/>
          <w:szCs w:val="20"/>
          <w:lang w:val="en-GB"/>
        </w:rPr>
        <w:t>locate</w:t>
      </w:r>
      <w:proofErr w:type="gramEnd"/>
      <w:r w:rsidRPr="00F63BAF">
        <w:rPr>
          <w:rFonts w:ascii="Calibri" w:hAnsi="Calibri" w:cs="Arial"/>
          <w:szCs w:val="20"/>
          <w:lang w:val="en-GB"/>
        </w:rPr>
        <w:t xml:space="preserve"> 12</w:t>
      </w:r>
      <w:r w:rsidRPr="00F63BAF">
        <w:rPr>
          <w:rFonts w:ascii="Calibri" w:hAnsi="Calibri" w:cs="Arial"/>
          <w:szCs w:val="20"/>
          <w:lang w:val="en-GB"/>
        </w:rPr>
        <w:noBreakHyphen/>
        <w:t>15 clutches containing one egg only and mark these by placing a peg about 1 m from the nest. Check the clutches every other day until they are complete. Take one egg randomly from the completed clutch;</w:t>
      </w:r>
    </w:p>
    <w:p w14:paraId="49C627F9" w14:textId="77777777" w:rsidR="00FC360C" w:rsidRPr="00F63BAF" w:rsidRDefault="00FC360C" w:rsidP="0009083A">
      <w:pPr>
        <w:pStyle w:val="List3"/>
        <w:numPr>
          <w:ilvl w:val="0"/>
          <w:numId w:val="31"/>
        </w:numPr>
        <w:spacing w:line="276" w:lineRule="auto"/>
        <w:ind w:right="288"/>
        <w:jc w:val="both"/>
        <w:rPr>
          <w:rFonts w:ascii="Calibri" w:hAnsi="Calibri" w:cs="Arial"/>
          <w:szCs w:val="20"/>
          <w:lang w:val="en-GB"/>
        </w:rPr>
      </w:pPr>
      <w:r w:rsidRPr="00F63BAF">
        <w:rPr>
          <w:rFonts w:ascii="Calibri" w:hAnsi="Calibri" w:cs="Arial"/>
          <w:szCs w:val="20"/>
          <w:lang w:val="en-GB"/>
        </w:rPr>
        <w:t>fill a 1 litre plastic beaker with water and place the egg in the water:</w:t>
      </w:r>
    </w:p>
    <w:p w14:paraId="51F8566B" w14:textId="77777777" w:rsidR="00FC360C" w:rsidRPr="00F63BAF" w:rsidRDefault="00FC360C" w:rsidP="0009083A">
      <w:pPr>
        <w:pStyle w:val="List2"/>
        <w:numPr>
          <w:ilvl w:val="0"/>
          <w:numId w:val="32"/>
        </w:numPr>
        <w:spacing w:line="276" w:lineRule="auto"/>
        <w:ind w:right="288"/>
        <w:jc w:val="both"/>
        <w:rPr>
          <w:rFonts w:ascii="Calibri" w:hAnsi="Calibri" w:cs="Arial"/>
          <w:szCs w:val="20"/>
          <w:lang w:val="en-GB"/>
        </w:rPr>
      </w:pPr>
      <w:r w:rsidRPr="00F63BAF">
        <w:rPr>
          <w:rFonts w:ascii="Calibri" w:hAnsi="Calibri" w:cs="Arial"/>
          <w:szCs w:val="20"/>
          <w:lang w:val="en-GB"/>
        </w:rPr>
        <w:t>fresh eggs (</w:t>
      </w:r>
      <w:r w:rsidRPr="00F63BAF">
        <w:rPr>
          <w:rFonts w:ascii="Calibri" w:hAnsi="Calibri" w:cs="Arial"/>
          <w:i/>
          <w:szCs w:val="20"/>
          <w:lang w:val="en-GB"/>
        </w:rPr>
        <w:t>i.e.</w:t>
      </w:r>
      <w:r w:rsidRPr="00F63BAF">
        <w:rPr>
          <w:rFonts w:ascii="Calibri" w:hAnsi="Calibri" w:cs="Arial"/>
          <w:szCs w:val="20"/>
          <w:lang w:val="en-GB"/>
        </w:rPr>
        <w:t xml:space="preserve"> of 1</w:t>
      </w:r>
      <w:r w:rsidRPr="00F63BAF">
        <w:rPr>
          <w:rFonts w:ascii="Calibri" w:hAnsi="Calibri" w:cs="Arial"/>
          <w:szCs w:val="20"/>
          <w:lang w:val="en-GB"/>
        </w:rPr>
        <w:noBreakHyphen/>
        <w:t>2 days incubation) will lie on the bottom with the long axis parallel to the bottom;</w:t>
      </w:r>
    </w:p>
    <w:p w14:paraId="3F183457" w14:textId="77777777" w:rsidR="00FC360C" w:rsidRPr="00F63BAF" w:rsidRDefault="00FC360C" w:rsidP="0009083A">
      <w:pPr>
        <w:pStyle w:val="List2"/>
        <w:numPr>
          <w:ilvl w:val="0"/>
          <w:numId w:val="32"/>
        </w:numPr>
        <w:spacing w:line="276" w:lineRule="auto"/>
        <w:ind w:right="288"/>
        <w:jc w:val="both"/>
        <w:rPr>
          <w:rFonts w:ascii="Calibri" w:hAnsi="Calibri" w:cs="Arial"/>
          <w:szCs w:val="20"/>
          <w:lang w:val="en-GB"/>
        </w:rPr>
      </w:pPr>
      <w:r w:rsidRPr="00F63BAF">
        <w:rPr>
          <w:rFonts w:ascii="Calibri" w:hAnsi="Calibri" w:cs="Arial"/>
          <w:szCs w:val="20"/>
          <w:lang w:val="en-GB"/>
        </w:rPr>
        <w:t>eggs of 3</w:t>
      </w:r>
      <w:r w:rsidRPr="00F63BAF">
        <w:rPr>
          <w:rFonts w:ascii="Calibri" w:hAnsi="Calibri" w:cs="Arial"/>
          <w:szCs w:val="20"/>
          <w:lang w:val="en-GB"/>
        </w:rPr>
        <w:noBreakHyphen/>
        <w:t>6 days incubation will rest with the small end on the bottom of the beaker and the long axis forming an angle of 30-45°;</w:t>
      </w:r>
    </w:p>
    <w:p w14:paraId="1E9CD5E8" w14:textId="77777777" w:rsidR="00FC360C" w:rsidRPr="00F63BAF" w:rsidRDefault="00FC360C" w:rsidP="0009083A">
      <w:pPr>
        <w:pStyle w:val="List2"/>
        <w:numPr>
          <w:ilvl w:val="0"/>
          <w:numId w:val="32"/>
        </w:numPr>
        <w:spacing w:line="276" w:lineRule="auto"/>
        <w:ind w:right="288"/>
        <w:jc w:val="both"/>
        <w:rPr>
          <w:rFonts w:ascii="Calibri" w:hAnsi="Calibri" w:cs="Arial"/>
          <w:szCs w:val="20"/>
          <w:lang w:val="en-GB"/>
        </w:rPr>
      </w:pPr>
      <w:proofErr w:type="gramStart"/>
      <w:r w:rsidRPr="00F63BAF">
        <w:rPr>
          <w:rFonts w:ascii="Calibri" w:hAnsi="Calibri" w:cs="Arial"/>
          <w:szCs w:val="20"/>
          <w:lang w:val="en-GB"/>
        </w:rPr>
        <w:t>eggs</w:t>
      </w:r>
      <w:proofErr w:type="gramEnd"/>
      <w:r w:rsidRPr="00F63BAF">
        <w:rPr>
          <w:rFonts w:ascii="Calibri" w:hAnsi="Calibri" w:cs="Arial"/>
          <w:szCs w:val="20"/>
          <w:lang w:val="en-GB"/>
        </w:rPr>
        <w:t xml:space="preserve"> which float or stand vertically with the small end on the bottom are of more than 7 days incubation and should not be selected.</w:t>
      </w:r>
    </w:p>
    <w:p w14:paraId="01C6F921" w14:textId="77777777" w:rsidR="00FC360C" w:rsidRPr="00F63BAF" w:rsidRDefault="00FC360C" w:rsidP="00FC360C">
      <w:r w:rsidRPr="00F63BAF">
        <w:t>Each nest from which an egg has been taken should be marked, using a peg or some other type of marker, to ensure that a second egg is not taken. While still in the field the egg selected should be put into a numbered plastic egg box. The number of the box should be written on the shell of the egg in soft pencil. The clutch size from which the egg was taken, the nest number and the sampling date</w:t>
      </w:r>
      <w:r w:rsidR="0009083A" w:rsidRPr="00F63BAF">
        <w:t xml:space="preserve"> should be recorded.</w:t>
      </w:r>
    </w:p>
    <w:p w14:paraId="49502448" w14:textId="77777777" w:rsidR="00FC360C" w:rsidRPr="00F63BAF" w:rsidRDefault="00FC360C" w:rsidP="0009083A">
      <w:pPr>
        <w:pStyle w:val="Heading3"/>
      </w:pPr>
      <w:bookmarkStart w:id="96" w:name="_Toc511217384"/>
      <w:r w:rsidRPr="00F63BAF">
        <w:t>2.3.4</w:t>
      </w:r>
      <w:r w:rsidRPr="00F63BAF">
        <w:tab/>
        <w:t>Materials</w:t>
      </w:r>
      <w:bookmarkEnd w:id="96"/>
      <w:r w:rsidRPr="00F63BAF">
        <w:t xml:space="preserve"> </w:t>
      </w:r>
    </w:p>
    <w:p w14:paraId="228CA7F7" w14:textId="77777777" w:rsidR="00FC360C" w:rsidRPr="00F63BAF" w:rsidRDefault="00FC360C" w:rsidP="00FC360C">
      <w:r w:rsidRPr="00F63BAF">
        <w:t>For each species, area and year the following are required:</w:t>
      </w:r>
    </w:p>
    <w:p w14:paraId="091475FE" w14:textId="77777777" w:rsidR="00FC360C" w:rsidRPr="00F63BAF" w:rsidRDefault="00FC360C" w:rsidP="00AB2B8C">
      <w:pPr>
        <w:pStyle w:val="ListBullet"/>
        <w:numPr>
          <w:ilvl w:val="0"/>
          <w:numId w:val="11"/>
        </w:numPr>
        <w:tabs>
          <w:tab w:val="clear" w:pos="340"/>
          <w:tab w:val="num" w:pos="648"/>
        </w:tabs>
        <w:spacing w:before="120" w:after="0" w:line="276" w:lineRule="auto"/>
        <w:ind w:left="646" w:right="289" w:hanging="357"/>
        <w:rPr>
          <w:rFonts w:ascii="Calibri" w:hAnsi="Calibri"/>
        </w:rPr>
      </w:pPr>
      <w:r w:rsidRPr="00F63BAF">
        <w:rPr>
          <w:rFonts w:ascii="Calibri" w:hAnsi="Calibri"/>
        </w:rPr>
        <w:t>nest pegs;</w:t>
      </w:r>
    </w:p>
    <w:p w14:paraId="70FF3AC8" w14:textId="77777777" w:rsidR="00FC360C" w:rsidRPr="00F63BAF" w:rsidRDefault="00FC360C" w:rsidP="00AB2B8C">
      <w:pPr>
        <w:pStyle w:val="ListBullet"/>
        <w:numPr>
          <w:ilvl w:val="0"/>
          <w:numId w:val="11"/>
        </w:numPr>
        <w:tabs>
          <w:tab w:val="clear" w:pos="340"/>
          <w:tab w:val="num" w:pos="648"/>
        </w:tabs>
        <w:spacing w:before="120" w:after="0" w:line="276" w:lineRule="auto"/>
        <w:ind w:left="646" w:right="289" w:hanging="357"/>
        <w:rPr>
          <w:rFonts w:ascii="Calibri" w:hAnsi="Calibri"/>
        </w:rPr>
      </w:pPr>
      <w:r w:rsidRPr="00F63BAF">
        <w:rPr>
          <w:rFonts w:ascii="Calibri" w:hAnsi="Calibri"/>
        </w:rPr>
        <w:t>a non-toxic, waterproof marker;</w:t>
      </w:r>
    </w:p>
    <w:p w14:paraId="0A7EFCA0" w14:textId="77777777" w:rsidR="00FC360C" w:rsidRPr="00F63BAF" w:rsidRDefault="00FC360C" w:rsidP="00AB2B8C">
      <w:pPr>
        <w:pStyle w:val="ListBullet"/>
        <w:numPr>
          <w:ilvl w:val="0"/>
          <w:numId w:val="11"/>
        </w:numPr>
        <w:tabs>
          <w:tab w:val="clear" w:pos="340"/>
          <w:tab w:val="num" w:pos="648"/>
        </w:tabs>
        <w:spacing w:before="120" w:after="0" w:line="276" w:lineRule="auto"/>
        <w:ind w:left="646" w:right="289" w:hanging="357"/>
        <w:rPr>
          <w:rFonts w:ascii="Calibri" w:hAnsi="Calibri"/>
        </w:rPr>
      </w:pPr>
      <w:r w:rsidRPr="00F63BAF">
        <w:rPr>
          <w:rFonts w:ascii="Calibri" w:hAnsi="Calibri"/>
        </w:rPr>
        <w:t>a 1 litre plastic beaker;</w:t>
      </w:r>
    </w:p>
    <w:p w14:paraId="44AE443E" w14:textId="77777777" w:rsidR="00FC360C" w:rsidRPr="00F63BAF" w:rsidRDefault="00FC360C" w:rsidP="00AB2B8C">
      <w:pPr>
        <w:pStyle w:val="ListBullet"/>
        <w:numPr>
          <w:ilvl w:val="0"/>
          <w:numId w:val="11"/>
        </w:numPr>
        <w:tabs>
          <w:tab w:val="clear" w:pos="340"/>
          <w:tab w:val="num" w:pos="648"/>
        </w:tabs>
        <w:spacing w:before="120" w:after="0" w:line="276" w:lineRule="auto"/>
        <w:ind w:left="646" w:right="289" w:hanging="357"/>
        <w:rPr>
          <w:rFonts w:ascii="Calibri" w:hAnsi="Calibri"/>
        </w:rPr>
      </w:pPr>
      <w:proofErr w:type="gramStart"/>
      <w:r w:rsidRPr="00F63BAF">
        <w:rPr>
          <w:rFonts w:ascii="Calibri" w:hAnsi="Calibri"/>
        </w:rPr>
        <w:t>numbered</w:t>
      </w:r>
      <w:proofErr w:type="gramEnd"/>
      <w:r w:rsidRPr="00F63BAF">
        <w:rPr>
          <w:rFonts w:ascii="Calibri" w:hAnsi="Calibri"/>
        </w:rPr>
        <w:t xml:space="preserve"> egg boxes (</w:t>
      </w:r>
      <w:r w:rsidRPr="00F63BAF">
        <w:rPr>
          <w:rFonts w:ascii="Calibri" w:hAnsi="Calibri"/>
          <w:i/>
        </w:rPr>
        <w:t>e.g.</w:t>
      </w:r>
      <w:r w:rsidRPr="00F63BAF">
        <w:rPr>
          <w:rFonts w:ascii="Calibri" w:hAnsi="Calibri"/>
        </w:rPr>
        <w:t xml:space="preserve"> for oystercatcher: 100 ml, polypropylene polyethylene, ø 55*73 mm, and for common tern: 50 ml, polystyrol/ polyethylene, ø 41*49 mm).</w:t>
      </w:r>
    </w:p>
    <w:p w14:paraId="6C7CC840" w14:textId="77777777" w:rsidR="00FC360C" w:rsidRPr="00F63BAF" w:rsidRDefault="00FC360C" w:rsidP="00AB2B8C">
      <w:pPr>
        <w:pStyle w:val="Heading1"/>
      </w:pPr>
      <w:bookmarkStart w:id="97" w:name="_Toc511217385"/>
      <w:r w:rsidRPr="00F63BAF">
        <w:t>3.</w:t>
      </w:r>
      <w:r w:rsidRPr="00F63BAF">
        <w:tab/>
        <w:t>Transportation</w:t>
      </w:r>
      <w:bookmarkEnd w:id="97"/>
    </w:p>
    <w:p w14:paraId="0A1B3544" w14:textId="77777777" w:rsidR="00FC360C" w:rsidRPr="00F63BAF" w:rsidRDefault="00FC360C" w:rsidP="00AB2B8C">
      <w:pPr>
        <w:pStyle w:val="Heading2"/>
        <w:rPr>
          <w:lang w:val="en-GB"/>
        </w:rPr>
      </w:pPr>
      <w:bookmarkStart w:id="98" w:name="_Toc511217386"/>
      <w:r w:rsidRPr="00F63BAF">
        <w:rPr>
          <w:lang w:val="en-GB"/>
        </w:rPr>
        <w:t>3.1</w:t>
      </w:r>
      <w:r w:rsidRPr="00F63BAF">
        <w:rPr>
          <w:lang w:val="en-GB"/>
        </w:rPr>
        <w:tab/>
        <w:t>Fish and shellfish</w:t>
      </w:r>
      <w:bookmarkEnd w:id="98"/>
    </w:p>
    <w:p w14:paraId="50D7287A" w14:textId="77777777" w:rsidR="00FC360C" w:rsidRPr="00F63BAF" w:rsidRDefault="00FC360C" w:rsidP="00FC360C">
      <w:pPr>
        <w:rPr>
          <w:szCs w:val="22"/>
        </w:rPr>
      </w:pPr>
      <w:r w:rsidRPr="00F63BAF">
        <w:t xml:space="preserve">Samples should be kept cool and frozen at &lt; -20°C as soon as possible after collection. Length and weight should be determined before freezing. Live mussels should be transported in closed containers at temperatures between 5 </w:t>
      </w:r>
      <w:r w:rsidRPr="00F63BAF">
        <w:noBreakHyphen/>
        <w:t xml:space="preserve"> 15°C, preferably &lt; 10°C. Frozen samples should be transported in closed containers at temperatures </w:t>
      </w:r>
      <w:r w:rsidRPr="00F63BAF">
        <w:sym w:font="Symbol" w:char="F03C"/>
      </w:r>
      <w:r w:rsidRPr="00F63BAF">
        <w:t xml:space="preserve"> -20°C. More rigorous conditions will be necessary for samples taken for biological effects monitoring, </w:t>
      </w:r>
      <w:r w:rsidRPr="00F63BAF">
        <w:rPr>
          <w:i/>
        </w:rPr>
        <w:t>e.g.</w:t>
      </w:r>
      <w:r w:rsidRPr="00F63BAF">
        <w:t xml:space="preserve"> storage in liquid nitrogen.</w:t>
      </w:r>
    </w:p>
    <w:p w14:paraId="6938A1B1" w14:textId="77777777" w:rsidR="00FC360C" w:rsidRPr="00F63BAF" w:rsidRDefault="00FC360C" w:rsidP="00AB2B8C">
      <w:pPr>
        <w:pStyle w:val="Heading2"/>
        <w:rPr>
          <w:lang w:val="en-GB"/>
        </w:rPr>
      </w:pPr>
      <w:bookmarkStart w:id="99" w:name="_Toc511217387"/>
      <w:r w:rsidRPr="00F63BAF">
        <w:rPr>
          <w:lang w:val="en-GB"/>
        </w:rPr>
        <w:t>3.2</w:t>
      </w:r>
      <w:r w:rsidRPr="00F63BAF">
        <w:rPr>
          <w:lang w:val="en-GB"/>
        </w:rPr>
        <w:tab/>
        <w:t>Seabird eggs</w:t>
      </w:r>
      <w:bookmarkEnd w:id="99"/>
    </w:p>
    <w:p w14:paraId="3C9FE72E" w14:textId="77777777" w:rsidR="00FC360C" w:rsidRPr="00F63BAF" w:rsidRDefault="00FC360C" w:rsidP="00FC360C">
      <w:r w:rsidRPr="00F63BAF">
        <w:t>Eggs should be kept cool and frozen at -18°C as soo</w:t>
      </w:r>
      <w:r w:rsidR="00AB2B8C" w:rsidRPr="00F63BAF">
        <w:t>n as possible after collection.</w:t>
      </w:r>
    </w:p>
    <w:p w14:paraId="5D74AE6B" w14:textId="77777777" w:rsidR="00FC360C" w:rsidRPr="00F63BAF" w:rsidRDefault="00FC360C" w:rsidP="00AB2B8C">
      <w:pPr>
        <w:pStyle w:val="Heading1"/>
      </w:pPr>
      <w:bookmarkStart w:id="100" w:name="_Toc511217388"/>
      <w:r w:rsidRPr="00F63BAF">
        <w:t>4.</w:t>
      </w:r>
      <w:r w:rsidRPr="00F63BAF">
        <w:tab/>
        <w:t>Pre-treatment and storage</w:t>
      </w:r>
      <w:bookmarkEnd w:id="100"/>
    </w:p>
    <w:p w14:paraId="60542F7D" w14:textId="77777777" w:rsidR="00FC360C" w:rsidRPr="00F63BAF" w:rsidRDefault="00FC360C" w:rsidP="00AB2B8C">
      <w:pPr>
        <w:pStyle w:val="Heading2"/>
        <w:rPr>
          <w:lang w:val="en-GB"/>
        </w:rPr>
      </w:pPr>
      <w:bookmarkStart w:id="101" w:name="_Toc511217389"/>
      <w:r w:rsidRPr="00F63BAF">
        <w:rPr>
          <w:lang w:val="en-GB"/>
        </w:rPr>
        <w:t>4.1</w:t>
      </w:r>
      <w:r w:rsidRPr="00F63BAF">
        <w:rPr>
          <w:lang w:val="en-GB"/>
        </w:rPr>
        <w:tab/>
        <w:t>Contamination</w:t>
      </w:r>
      <w:bookmarkEnd w:id="101"/>
    </w:p>
    <w:p w14:paraId="18AEA87A" w14:textId="77777777" w:rsidR="00FC360C" w:rsidRPr="00F63BAF" w:rsidRDefault="00FC360C" w:rsidP="00FC360C">
      <w:r w:rsidRPr="00F63BAF">
        <w:t>Sample contamination may occur during sampling, sample handling, pre-treatment and analysis (Oehlenschläger, 1994), due to the environment, the containers or packing material used, the instruments used during sample preparation or from the chemical reagents used during the analytical procedures. The risk of contamination is particularly high for dioxin-like PCBs which occur at ultra-trace levels in the environment. Controlled conditions are therefore required for all procedures, including the dissection of fish organs on board ship. One way of minimising the risk is to conduct dissection in a clean area, such as within a laminar-flow hood away fro</w:t>
      </w:r>
      <w:r w:rsidR="00AB2B8C" w:rsidRPr="00F63BAF">
        <w:t>m the deck areas of the vessel.</w:t>
      </w:r>
    </w:p>
    <w:p w14:paraId="7F821088" w14:textId="77777777" w:rsidR="00FC360C" w:rsidRPr="00F63BAF" w:rsidRDefault="00FC360C" w:rsidP="00AB2B8C">
      <w:pPr>
        <w:pStyle w:val="Heading2"/>
        <w:rPr>
          <w:lang w:val="en-GB"/>
        </w:rPr>
      </w:pPr>
      <w:bookmarkStart w:id="102" w:name="_Toc511217390"/>
      <w:r w:rsidRPr="00F63BAF">
        <w:rPr>
          <w:lang w:val="en-GB"/>
        </w:rPr>
        <w:t>4.2</w:t>
      </w:r>
      <w:r w:rsidRPr="00F63BAF">
        <w:rPr>
          <w:lang w:val="en-GB"/>
        </w:rPr>
        <w:tab/>
        <w:t>Fish</w:t>
      </w:r>
      <w:bookmarkEnd w:id="102"/>
    </w:p>
    <w:p w14:paraId="3BC124CC" w14:textId="77777777" w:rsidR="00FC360C" w:rsidRPr="00F63BAF" w:rsidRDefault="00FC360C" w:rsidP="00AB2B8C">
      <w:pPr>
        <w:pStyle w:val="Heading3"/>
      </w:pPr>
      <w:bookmarkStart w:id="103" w:name="_Toc511217391"/>
      <w:r w:rsidRPr="00F63BAF">
        <w:t>4.2.1</w:t>
      </w:r>
      <w:r w:rsidRPr="00F63BAF">
        <w:tab/>
        <w:t>Dissection and storage</w:t>
      </w:r>
      <w:bookmarkEnd w:id="103"/>
    </w:p>
    <w:p w14:paraId="7BAD7575" w14:textId="77777777" w:rsidR="00FC360C" w:rsidRPr="00F63BAF" w:rsidRDefault="00FC360C" w:rsidP="00FC360C">
      <w:r w:rsidRPr="00F63BAF">
        <w:t>Ungutted fish should be wrapped separately in suitable material (</w:t>
      </w:r>
      <w:r w:rsidRPr="00F63BAF">
        <w:rPr>
          <w:i/>
        </w:rPr>
        <w:t>e.g.</w:t>
      </w:r>
      <w:r w:rsidRPr="00F63BAF">
        <w:t xml:space="preserve"> pre-cleaned aluminium foil) and frozen. Plastic materials, except polyethylene or polytetrafluorethylene, must not be used (</w:t>
      </w:r>
      <w:r w:rsidRPr="00F63BAF">
        <w:rPr>
          <w:i/>
        </w:rPr>
        <w:t>cf.</w:t>
      </w:r>
      <w:r w:rsidRPr="00F63BAF">
        <w:t> Smedes and de Boer, 1994). The frozen samples should be stored in suitable containers to avoid damage. Sub-samples (</w:t>
      </w:r>
      <w:r w:rsidRPr="00F63BAF">
        <w:rPr>
          <w:i/>
        </w:rPr>
        <w:t>e.g.</w:t>
      </w:r>
      <w:r w:rsidRPr="00F63BAF">
        <w:t xml:space="preserve"> of liver) should be stored in pre-cleaned containers made of glass (</w:t>
      </w:r>
      <w:r w:rsidRPr="00F63BAF">
        <w:rPr>
          <w:i/>
        </w:rPr>
        <w:t>e.g.</w:t>
      </w:r>
      <w:r w:rsidRPr="00F63BAF">
        <w:t xml:space="preserve"> borosilicate glass), stainless steel or aluminium, or should be wrapped in pre-cleaned aluminium foil and frozen quickly in liquid nitrogen or a blast freezer. The individual samples should be clearly labelled and stored together in a suitable container placed in a deep freeze at &lt; -20°C until analysis. Sub-samples for enzyme tests should be stored in vials suitable for storage in liquid nitrogen, labelled clearly and stored in liquid nitrogen until a</w:t>
      </w:r>
      <w:r w:rsidR="00AB2B8C" w:rsidRPr="00F63BAF">
        <w:t>nalysis.</w:t>
      </w:r>
    </w:p>
    <w:p w14:paraId="487FF10E" w14:textId="77777777" w:rsidR="00FC360C" w:rsidRPr="00F63BAF" w:rsidRDefault="00FC360C" w:rsidP="00FC360C">
      <w:r w:rsidRPr="00F63BAF">
        <w:t>When samples are processed at sea the dissection must be done by trained personnel preferably on a clean bench wearing clean gloves and using clean stainless steel knives. Stainless steel tweezers are recommended for holding tissues during dissection. After each sample has been prepared, the tools should be cleaned. Washing in acetone or alcohol and high purity wate</w:t>
      </w:r>
      <w:r w:rsidR="00AB2B8C" w:rsidRPr="00F63BAF">
        <w:t>r is the procedure recommended.</w:t>
      </w:r>
    </w:p>
    <w:p w14:paraId="6F4F811F" w14:textId="77777777" w:rsidR="00FC360C" w:rsidRPr="00F63BAF" w:rsidRDefault="00FC360C" w:rsidP="00AB2B8C">
      <w:pPr>
        <w:pStyle w:val="Heading3"/>
      </w:pPr>
      <w:bookmarkStart w:id="104" w:name="_Toc511217392"/>
      <w:r w:rsidRPr="00F63BAF">
        <w:t>4.2.2</w:t>
      </w:r>
      <w:r w:rsidRPr="00F63BAF">
        <w:tab/>
        <w:t>Sub-sampling</w:t>
      </w:r>
      <w:bookmarkEnd w:id="104"/>
    </w:p>
    <w:p w14:paraId="581976B3" w14:textId="77777777" w:rsidR="00FC360C" w:rsidRPr="00F63BAF" w:rsidRDefault="00FC360C" w:rsidP="00FC360C">
      <w:r w:rsidRPr="00F63BAF">
        <w:t xml:space="preserve">To sample fish muscle, care should be taken to avoid including any epidermis or subcutaneous fatty tissue in the sample. Samples should be taken underneath the red muscle layer. In order to ensure uniformity, the right side dorso-lateral muscle should be sampled. If possible, the entire right dorsal lateral filet should be homogenised and sub-samples taken for replicate dry weight and contaminant determinations. If however the amount of material to be homogenised would be too large, a specific portion of the dorsal musculature should be chosen. It is recommended that the portion of the muscle lying directly under the first dorsal fin be used in this case. As both fat and water content vary significantly in the muscle tissue from the anterior to the caudal muscle of the fish, in order to ensure comparability it is important to obtain the same portion of the muscle tissue for each sample (see Oehlenschläger, 1994). </w:t>
      </w:r>
    </w:p>
    <w:p w14:paraId="63EB955B" w14:textId="77777777" w:rsidR="00FC360C" w:rsidRPr="00F63BAF" w:rsidRDefault="00FC360C" w:rsidP="00FC360C">
      <w:r w:rsidRPr="00F63BAF">
        <w:t>When dissecting the liver, care should be taken to avoid contamination from other organs. The whole liver should be homogenised or freeze-dried. If however the amount of material homogenised was too large, a specific portion of the liver should be chosen in order to ensure comparability.</w:t>
      </w:r>
    </w:p>
    <w:p w14:paraId="5FCDA637" w14:textId="77777777" w:rsidR="00FC360C" w:rsidRPr="00F63BAF" w:rsidRDefault="00FC360C" w:rsidP="00FC360C">
      <w:r w:rsidRPr="00F63BAF">
        <w:t xml:space="preserve">Where pooling of tissues is necessary, an equivalent quantity of tissue must be taken from each fish, </w:t>
      </w:r>
      <w:r w:rsidRPr="00F63BAF">
        <w:rPr>
          <w:i/>
        </w:rPr>
        <w:t>e.g.</w:t>
      </w:r>
      <w:r w:rsidRPr="00F63BAF">
        <w:t xml:space="preserve"> a whole fillet from every fish. If the total quantity of tissue so yielded would be too large to be handled conveniently, the tissue may be sub-sampled, but a fixed proportion of each tissue must then be taken, </w:t>
      </w:r>
      <w:r w:rsidRPr="00F63BAF">
        <w:rPr>
          <w:i/>
        </w:rPr>
        <w:t>e.g.</w:t>
      </w:r>
      <w:r w:rsidRPr="00F63BAF">
        <w:t xml:space="preserve"> 10% of each whole fillet or 10% of each whole liver or for muscle tissue 10% of the fish.</w:t>
      </w:r>
    </w:p>
    <w:p w14:paraId="6F6E63DE" w14:textId="77777777" w:rsidR="00FC360C" w:rsidRPr="00F63BAF" w:rsidRDefault="00FC360C" w:rsidP="00FC360C">
      <w:r w:rsidRPr="00F63BAF">
        <w:t>Personnel must be capable of identifying and removing the desired organs according to the requirements of the investigations.</w:t>
      </w:r>
    </w:p>
    <w:p w14:paraId="78FA3E52" w14:textId="77777777" w:rsidR="00FC360C" w:rsidRPr="00F63BAF" w:rsidRDefault="00FC360C" w:rsidP="00AB2B8C">
      <w:pPr>
        <w:pStyle w:val="Heading2"/>
        <w:rPr>
          <w:lang w:val="en-GB"/>
        </w:rPr>
      </w:pPr>
      <w:bookmarkStart w:id="105" w:name="_Toc511217393"/>
      <w:r w:rsidRPr="00F63BAF">
        <w:rPr>
          <w:lang w:val="en-GB"/>
        </w:rPr>
        <w:t>4.3</w:t>
      </w:r>
      <w:r w:rsidRPr="00F63BAF">
        <w:rPr>
          <w:lang w:val="en-GB"/>
        </w:rPr>
        <w:tab/>
        <w:t>Shellfish</w:t>
      </w:r>
      <w:bookmarkEnd w:id="105"/>
    </w:p>
    <w:p w14:paraId="3335C79A" w14:textId="77777777" w:rsidR="00FC360C" w:rsidRPr="00F63BAF" w:rsidRDefault="00FC360C" w:rsidP="00AB2B8C">
      <w:pPr>
        <w:pStyle w:val="Heading3"/>
      </w:pPr>
      <w:bookmarkStart w:id="106" w:name="_Toc511217394"/>
      <w:r w:rsidRPr="00F63BAF">
        <w:t>4.3.1</w:t>
      </w:r>
      <w:r w:rsidRPr="00F63BAF">
        <w:tab/>
        <w:t>Depuration</w:t>
      </w:r>
      <w:bookmarkEnd w:id="106"/>
    </w:p>
    <w:p w14:paraId="31372382" w14:textId="77777777" w:rsidR="00FC360C" w:rsidRPr="00F63BAF" w:rsidRDefault="00FC360C" w:rsidP="00FC360C">
      <w:r w:rsidRPr="00F63BAF">
        <w:t>Mussels should be placed on a polyethylene tray elevated above the bottom of a glass aquarium. The aquarium should be filled with filtered sub-surface sea water collected from the same site as the samples and which has not been subject to contamination from point sources if possible. The aquarium should be aerated and the mussels left for 20</w:t>
      </w:r>
      <w:r w:rsidRPr="00F63BAF">
        <w:noBreakHyphen/>
        <w:t>24 hours at water temperatures and salinity close to those from which the samples were removed.</w:t>
      </w:r>
    </w:p>
    <w:p w14:paraId="2B59ED6C" w14:textId="77777777" w:rsidR="00FC360C" w:rsidRPr="00F63BAF" w:rsidRDefault="00FC360C" w:rsidP="00AB2B8C">
      <w:pPr>
        <w:pStyle w:val="Heading3"/>
      </w:pPr>
      <w:bookmarkStart w:id="107" w:name="_Toc511217395"/>
      <w:r w:rsidRPr="00F63BAF">
        <w:t>4.3.2</w:t>
      </w:r>
      <w:r w:rsidRPr="00F63BAF">
        <w:tab/>
        <w:t>Opening of the shells</w:t>
      </w:r>
      <w:bookmarkEnd w:id="107"/>
    </w:p>
    <w:p w14:paraId="33F60EBE" w14:textId="77777777" w:rsidR="00FC360C" w:rsidRPr="00F63BAF" w:rsidRDefault="00FC360C" w:rsidP="00FC360C">
      <w:r w:rsidRPr="00F63BAF">
        <w:t>Mussels should be shucked live and opened with minimum tissue damage by detaching the adductor muscles from the interior of one valve. The mussels should be inverted and allowed to drain on a clean towel or funnel for at least 5 minutes in order to minimise influence on dry weight determinations.</w:t>
      </w:r>
    </w:p>
    <w:p w14:paraId="01A065F2" w14:textId="77777777" w:rsidR="00FC360C" w:rsidRPr="00F63BAF" w:rsidRDefault="00FC360C" w:rsidP="00AB2B8C">
      <w:pPr>
        <w:pStyle w:val="Heading3"/>
      </w:pPr>
      <w:bookmarkStart w:id="108" w:name="_Toc511217396"/>
      <w:r w:rsidRPr="00F63BAF">
        <w:t>4.3.3</w:t>
      </w:r>
      <w:r w:rsidRPr="00F63BAF">
        <w:tab/>
        <w:t>Dissection and storage</w:t>
      </w:r>
      <w:bookmarkEnd w:id="108"/>
    </w:p>
    <w:p w14:paraId="01739D01" w14:textId="77777777" w:rsidR="00FC360C" w:rsidRPr="00F63BAF" w:rsidRDefault="00FC360C" w:rsidP="00FC360C">
      <w:r w:rsidRPr="00F63BAF">
        <w:t>The soft tissues should be removed and deep frozen (&lt; -20</w:t>
      </w:r>
      <w:r w:rsidRPr="00F63BAF">
        <w:sym w:font="Symbol" w:char="F0B0"/>
      </w:r>
      <w:r w:rsidRPr="00F63BAF">
        <w:t xml:space="preserve">C) as soon as possible in containers appropriate to the intended analysis. The dissection of the soft tissue must be done under clean conditions on a clean bench by trained personnel, wearing clean gloves and using clean stainless steel knives. After each sample has been prepared, the tools should be cleaned. Washing in acetone or alcohol and high purity water is recommended. When the analysis is eventually undertaken, all fluids that may initially separate on thawing should be included with the materials homogenised. Homogenisation should be performed immediately prior to </w:t>
      </w:r>
      <w:r w:rsidR="00AB2B8C" w:rsidRPr="00F63BAF">
        <w:t>any sub-dividing of the sample.</w:t>
      </w:r>
    </w:p>
    <w:p w14:paraId="4B5AE9A9" w14:textId="77777777" w:rsidR="00FC360C" w:rsidRPr="00F63BAF" w:rsidRDefault="00FC360C" w:rsidP="00AB2B8C">
      <w:pPr>
        <w:pStyle w:val="Heading2"/>
        <w:rPr>
          <w:lang w:val="en-GB"/>
        </w:rPr>
      </w:pPr>
      <w:bookmarkStart w:id="109" w:name="_Toc511217397"/>
      <w:r w:rsidRPr="00F63BAF">
        <w:rPr>
          <w:lang w:val="en-GB"/>
        </w:rPr>
        <w:t>4.4</w:t>
      </w:r>
      <w:r w:rsidRPr="00F63BAF">
        <w:rPr>
          <w:lang w:val="en-GB"/>
        </w:rPr>
        <w:tab/>
        <w:t>Seabird eggs</w:t>
      </w:r>
      <w:bookmarkEnd w:id="109"/>
    </w:p>
    <w:p w14:paraId="79C2C381" w14:textId="77777777" w:rsidR="00FC360C" w:rsidRPr="00F63BAF" w:rsidRDefault="00FC360C" w:rsidP="0064018C">
      <w:r w:rsidRPr="00F63BAF">
        <w:t>Before thawing, each egg should be placed in a previously weighed goblet. The weight of the egg (to the nearest 0.1 g inclusive of shell), the length of the egg between poles and the breadth of the egg at the equator (to the nearest 0.1 mm using callipers) should be recorded. The egg should then be opened (if this has not already happened during thawing) and the content carefully separated from the shell. If the egg contains an embryo, the eye diameter or the “crown-tail” length of the embryo should be measured (to the nearest 0.1 mm using callipers). The content of the egg (</w:t>
      </w:r>
      <w:r w:rsidRPr="00F63BAF">
        <w:rPr>
          <w:i/>
        </w:rPr>
        <w:t>i.e.</w:t>
      </w:r>
      <w:r w:rsidRPr="00F63BAF">
        <w:t xml:space="preserve"> the albumen and yolk) should be weighed (to the nearest 0.1 g) and homogenised in the same goblet for each egg (</w:t>
      </w:r>
      <w:r w:rsidRPr="00F63BAF">
        <w:rPr>
          <w:i/>
        </w:rPr>
        <w:t>e.g.</w:t>
      </w:r>
      <w:r w:rsidRPr="00F63BAF">
        <w:t xml:space="preserve"> by an Ultra Turrax). Any sub-sampling should be done immediately after homogenisation. The samples can then be analysed or deep frozen for later analysis. The shell (including the shell-skin) should be washed with water and dried in laboratory air for at least a week before weighing (to the nearest 0.01 g). The shell thickness should be measured at three points along the egg equator.</w:t>
      </w:r>
    </w:p>
    <w:p w14:paraId="3FD32BEB" w14:textId="77777777" w:rsidR="00FC360C" w:rsidRPr="00F63BAF" w:rsidRDefault="00FC360C" w:rsidP="00AB2B8C">
      <w:pPr>
        <w:pStyle w:val="Title"/>
      </w:pPr>
      <w:bookmarkStart w:id="110" w:name="_Toc511217398"/>
      <w:r w:rsidRPr="00F63BAF">
        <w:t>Technical Annex 2: Metals</w:t>
      </w:r>
      <w:bookmarkEnd w:id="110"/>
    </w:p>
    <w:p w14:paraId="23489A2F" w14:textId="77777777" w:rsidR="00FC360C" w:rsidRPr="00F63BAF" w:rsidRDefault="00FC360C" w:rsidP="00AB2B8C">
      <w:r w:rsidRPr="00F63BAF">
        <w:t>This annex is intended as a supplement to the general guidelines. It is not a complete description or a substitute for detailed analytical instructions. Advice and recommendations given in documents prepared through the QUASIMEME project (Quality Assurance of Information for Marine Environmental Monitoring in Europe) are frequently cited.</w:t>
      </w:r>
    </w:p>
    <w:p w14:paraId="334FBF50" w14:textId="77777777" w:rsidR="00FC360C" w:rsidRPr="00F63BAF" w:rsidRDefault="00FC360C" w:rsidP="00F63BAF">
      <w:pPr>
        <w:pStyle w:val="Heading1"/>
      </w:pPr>
      <w:bookmarkStart w:id="111" w:name="_Toc511217399"/>
      <w:r w:rsidRPr="00F63BAF">
        <w:t>1.</w:t>
      </w:r>
      <w:r w:rsidRPr="00F63BAF">
        <w:tab/>
        <w:t>Species</w:t>
      </w:r>
      <w:bookmarkEnd w:id="111"/>
    </w:p>
    <w:p w14:paraId="156B296C" w14:textId="77777777" w:rsidR="00FC360C" w:rsidRPr="00F63BAF" w:rsidRDefault="00FC360C" w:rsidP="00F63BAF">
      <w:pPr>
        <w:pStyle w:val="Heading2"/>
        <w:rPr>
          <w:lang w:val="en-GB"/>
        </w:rPr>
      </w:pPr>
      <w:bookmarkStart w:id="112" w:name="_Toc511217400"/>
      <w:r w:rsidRPr="00F63BAF">
        <w:rPr>
          <w:lang w:val="en-GB"/>
        </w:rPr>
        <w:t>1.1</w:t>
      </w:r>
      <w:r w:rsidRPr="00F63BAF">
        <w:rPr>
          <w:lang w:val="en-GB"/>
        </w:rPr>
        <w:tab/>
        <w:t>Fish and shellfish</w:t>
      </w:r>
      <w:bookmarkEnd w:id="112"/>
    </w:p>
    <w:p w14:paraId="4B20C10B" w14:textId="77777777" w:rsidR="00FC360C" w:rsidRPr="00F63BAF" w:rsidRDefault="00FC360C" w:rsidP="00F63BAF">
      <w:pPr>
        <w:pStyle w:val="Heading3"/>
      </w:pPr>
      <w:bookmarkStart w:id="113" w:name="_Toc511217401"/>
      <w:r w:rsidRPr="00F63BAF">
        <w:t>1.1.1</w:t>
      </w:r>
      <w:r w:rsidRPr="00F63BAF">
        <w:tab/>
        <w:t>Criteria for the selection of species for temporal trend monitoring</w:t>
      </w:r>
      <w:bookmarkEnd w:id="113"/>
    </w:p>
    <w:p w14:paraId="429A8E4D" w14:textId="77777777" w:rsidR="00FC360C" w:rsidRPr="00F63BAF" w:rsidRDefault="00FC360C" w:rsidP="00FC360C">
      <w:pPr>
        <w:pStyle w:val="BodyText"/>
        <w:rPr>
          <w:rFonts w:ascii="Calibri" w:hAnsi="Calibri"/>
          <w:sz w:val="22"/>
          <w:szCs w:val="22"/>
        </w:rPr>
      </w:pPr>
      <w:r w:rsidRPr="00F63BAF">
        <w:rPr>
          <w:rFonts w:ascii="Calibri" w:hAnsi="Calibri"/>
          <w:sz w:val="22"/>
          <w:szCs w:val="22"/>
        </w:rPr>
        <w:t>Species for temporal trend monitoring can only be selected in the light of information on fish stock composition and history. It is essential that long time series with one species are obtained. Care should be taken that the sample is representative of the population and can be repeated annually. Fish and shellfish species currently used for trend monitoring are listed in Tables 1 and 2 of the main guidelines.</w:t>
      </w:r>
    </w:p>
    <w:p w14:paraId="3E51E881" w14:textId="77777777" w:rsidR="00FC360C" w:rsidRPr="00F63BAF" w:rsidRDefault="00FC360C" w:rsidP="00F63BAF">
      <w:pPr>
        <w:pStyle w:val="Heading3"/>
      </w:pPr>
      <w:bookmarkStart w:id="114" w:name="_Toc511217402"/>
      <w:r w:rsidRPr="00F63BAF">
        <w:t>1.1.2</w:t>
      </w:r>
      <w:r w:rsidRPr="00F63BAF">
        <w:tab/>
        <w:t>Criteria for the selection of species for spatial distribution monitoring</w:t>
      </w:r>
      <w:bookmarkEnd w:id="114"/>
    </w:p>
    <w:p w14:paraId="6751701B" w14:textId="77777777" w:rsidR="00FC360C" w:rsidRPr="00F63BAF" w:rsidRDefault="00FC360C" w:rsidP="00FC360C">
      <w:pPr>
        <w:pStyle w:val="BodyText"/>
        <w:rPr>
          <w:rFonts w:ascii="Calibri" w:hAnsi="Calibri"/>
          <w:sz w:val="22"/>
          <w:szCs w:val="22"/>
        </w:rPr>
      </w:pPr>
      <w:r w:rsidRPr="00F63BAF">
        <w:rPr>
          <w:rFonts w:ascii="Calibri" w:hAnsi="Calibri"/>
          <w:sz w:val="22"/>
          <w:szCs w:val="22"/>
        </w:rPr>
        <w:t xml:space="preserve">To standardise results the first choice species Limanda limanda, Gadus morhua and Mytilus edulis or M. galloprovincialis should be used if possible. The second choice species Merlangius merlangus, Merluccius merluccius, Platichthys flesus and Crassostrea gigas should only be used when none of the first choice species are available. </w:t>
      </w:r>
    </w:p>
    <w:p w14:paraId="3A46B472" w14:textId="77777777" w:rsidR="00FC360C" w:rsidRPr="00F63BAF" w:rsidRDefault="00FC360C" w:rsidP="00FC360C">
      <w:pPr>
        <w:pStyle w:val="BodyText"/>
        <w:rPr>
          <w:rFonts w:ascii="Calibri" w:hAnsi="Calibri"/>
          <w:b/>
          <w:sz w:val="22"/>
          <w:szCs w:val="22"/>
        </w:rPr>
      </w:pPr>
      <w:r w:rsidRPr="00F63BAF">
        <w:rPr>
          <w:rFonts w:ascii="Calibri" w:hAnsi="Calibri"/>
          <w:b/>
          <w:sz w:val="22"/>
          <w:szCs w:val="22"/>
        </w:rPr>
        <w:t>First choice species</w:t>
      </w:r>
    </w:p>
    <w:p w14:paraId="45853DD3" w14:textId="77777777" w:rsidR="00FC360C" w:rsidRPr="00F63BAF" w:rsidRDefault="00FC360C" w:rsidP="00FC360C">
      <w:pPr>
        <w:pStyle w:val="BodyText"/>
        <w:rPr>
          <w:rFonts w:ascii="Calibri" w:hAnsi="Calibri"/>
          <w:i/>
          <w:sz w:val="22"/>
          <w:szCs w:val="22"/>
        </w:rPr>
      </w:pPr>
      <w:r w:rsidRPr="00F63BAF">
        <w:rPr>
          <w:rFonts w:ascii="Calibri" w:hAnsi="Calibri"/>
          <w:i/>
          <w:sz w:val="22"/>
          <w:szCs w:val="22"/>
        </w:rPr>
        <w:t>Limanda limanda (dab)</w:t>
      </w:r>
    </w:p>
    <w:p w14:paraId="23A19B46" w14:textId="77777777" w:rsidR="00FC360C" w:rsidRPr="00F63BAF" w:rsidRDefault="00FC360C" w:rsidP="00FC360C">
      <w:pPr>
        <w:pStyle w:val="BodyText"/>
        <w:rPr>
          <w:rFonts w:ascii="Calibri" w:hAnsi="Calibri"/>
          <w:sz w:val="22"/>
          <w:szCs w:val="22"/>
        </w:rPr>
      </w:pPr>
      <w:r w:rsidRPr="00F63BAF">
        <w:rPr>
          <w:rFonts w:ascii="Calibri" w:hAnsi="Calibri"/>
          <w:sz w:val="22"/>
          <w:szCs w:val="22"/>
        </w:rPr>
        <w:t>Dab is a ground dwelling species confined to the shelf seas. It has replaced the previously recommended plaice and flounder for the following reasons:</w:t>
      </w:r>
    </w:p>
    <w:p w14:paraId="09CE9B2F" w14:textId="77777777" w:rsidR="00FC360C" w:rsidRPr="00F63BAF" w:rsidRDefault="00FC360C" w:rsidP="00FC360C">
      <w:pPr>
        <w:pStyle w:val="BodyText"/>
        <w:ind w:left="720" w:hanging="720"/>
        <w:rPr>
          <w:rFonts w:ascii="Calibri" w:hAnsi="Calibri"/>
          <w:sz w:val="22"/>
          <w:szCs w:val="22"/>
        </w:rPr>
      </w:pPr>
      <w:r w:rsidRPr="00F63BAF">
        <w:rPr>
          <w:rFonts w:ascii="Calibri" w:hAnsi="Calibri"/>
          <w:sz w:val="22"/>
          <w:szCs w:val="22"/>
        </w:rPr>
        <w:tab/>
      </w:r>
      <w:proofErr w:type="gramStart"/>
      <w:r w:rsidRPr="00F63BAF">
        <w:rPr>
          <w:rFonts w:ascii="Calibri" w:hAnsi="Calibri"/>
          <w:sz w:val="22"/>
          <w:szCs w:val="22"/>
        </w:rPr>
        <w:t>a</w:t>
      </w:r>
      <w:proofErr w:type="gramEnd"/>
      <w:r w:rsidRPr="00F63BAF">
        <w:rPr>
          <w:rFonts w:ascii="Calibri" w:hAnsi="Calibri"/>
          <w:sz w:val="22"/>
          <w:szCs w:val="22"/>
        </w:rPr>
        <w:t>.</w:t>
      </w:r>
      <w:r w:rsidRPr="00F63BAF">
        <w:rPr>
          <w:rFonts w:ascii="Calibri" w:hAnsi="Calibri"/>
          <w:sz w:val="22"/>
          <w:szCs w:val="22"/>
        </w:rPr>
        <w:tab/>
        <w:t>its migration is less pronounced, thus it is more likely to represent the area in which it is caught;</w:t>
      </w:r>
    </w:p>
    <w:p w14:paraId="562409E1" w14:textId="77777777" w:rsidR="00FC360C" w:rsidRPr="00F63BAF" w:rsidRDefault="00FC360C" w:rsidP="00FC360C">
      <w:pPr>
        <w:pStyle w:val="BodyText"/>
        <w:ind w:left="720" w:hanging="720"/>
        <w:rPr>
          <w:rFonts w:ascii="Calibri" w:hAnsi="Calibri"/>
          <w:sz w:val="22"/>
          <w:szCs w:val="22"/>
        </w:rPr>
      </w:pPr>
      <w:r w:rsidRPr="00F63BAF">
        <w:rPr>
          <w:rFonts w:ascii="Calibri" w:hAnsi="Calibri"/>
          <w:sz w:val="22"/>
          <w:szCs w:val="22"/>
        </w:rPr>
        <w:tab/>
      </w:r>
      <w:proofErr w:type="gramStart"/>
      <w:r w:rsidRPr="00F63BAF">
        <w:rPr>
          <w:rFonts w:ascii="Calibri" w:hAnsi="Calibri"/>
          <w:sz w:val="22"/>
          <w:szCs w:val="22"/>
        </w:rPr>
        <w:t>b</w:t>
      </w:r>
      <w:proofErr w:type="gramEnd"/>
      <w:r w:rsidRPr="00F63BAF">
        <w:rPr>
          <w:rFonts w:ascii="Calibri" w:hAnsi="Calibri"/>
          <w:sz w:val="22"/>
          <w:szCs w:val="22"/>
        </w:rPr>
        <w:t>.</w:t>
      </w:r>
      <w:r w:rsidRPr="00F63BAF">
        <w:rPr>
          <w:rFonts w:ascii="Calibri" w:hAnsi="Calibri"/>
          <w:sz w:val="22"/>
          <w:szCs w:val="22"/>
        </w:rPr>
        <w:tab/>
        <w:t>it has been used successfully in disease studies, thus complementary information from such studies would be available (in fish disease studies a length range for individual fish of 20</w:t>
      </w:r>
      <w:r w:rsidRPr="00F63BAF">
        <w:rPr>
          <w:rFonts w:ascii="Calibri" w:hAnsi="Calibri"/>
          <w:sz w:val="22"/>
          <w:szCs w:val="22"/>
        </w:rPr>
        <w:noBreakHyphen/>
        <w:t>25 cm is used).</w:t>
      </w:r>
    </w:p>
    <w:p w14:paraId="3F9BD23B" w14:textId="77777777" w:rsidR="00FC360C" w:rsidRPr="00F63BAF" w:rsidRDefault="00FC360C" w:rsidP="00FC360C">
      <w:pPr>
        <w:pStyle w:val="BodyText"/>
        <w:rPr>
          <w:rFonts w:ascii="Calibri" w:hAnsi="Calibri"/>
          <w:sz w:val="22"/>
          <w:szCs w:val="22"/>
        </w:rPr>
      </w:pPr>
      <w:r w:rsidRPr="00F63BAF">
        <w:rPr>
          <w:rFonts w:ascii="Calibri" w:hAnsi="Calibri"/>
          <w:sz w:val="22"/>
          <w:szCs w:val="22"/>
        </w:rPr>
        <w:t>The southern distribution limit of dab is the north coast of Spain.</w:t>
      </w:r>
    </w:p>
    <w:p w14:paraId="57DD04F0" w14:textId="77777777" w:rsidR="00FC360C" w:rsidRPr="00F63BAF" w:rsidRDefault="00FC360C" w:rsidP="00FC360C">
      <w:pPr>
        <w:pStyle w:val="BodyText"/>
        <w:rPr>
          <w:rFonts w:ascii="Calibri" w:hAnsi="Calibri"/>
          <w:i/>
          <w:sz w:val="22"/>
          <w:szCs w:val="22"/>
        </w:rPr>
      </w:pPr>
      <w:r w:rsidRPr="00F63BAF">
        <w:rPr>
          <w:rFonts w:ascii="Calibri" w:hAnsi="Calibri"/>
          <w:i/>
          <w:sz w:val="22"/>
          <w:szCs w:val="22"/>
        </w:rPr>
        <w:t>Gadus morhua (cod)</w:t>
      </w:r>
    </w:p>
    <w:p w14:paraId="55134D6B" w14:textId="77777777" w:rsidR="00FC360C" w:rsidRPr="00F63BAF" w:rsidRDefault="00FC360C" w:rsidP="00FC360C">
      <w:pPr>
        <w:pStyle w:val="BodyText"/>
        <w:rPr>
          <w:rFonts w:ascii="Calibri" w:hAnsi="Calibri"/>
          <w:sz w:val="22"/>
          <w:szCs w:val="22"/>
        </w:rPr>
      </w:pPr>
      <w:r w:rsidRPr="00F63BAF">
        <w:rPr>
          <w:rFonts w:ascii="Calibri" w:hAnsi="Calibri"/>
          <w:sz w:val="22"/>
          <w:szCs w:val="22"/>
        </w:rPr>
        <w:t>Cod normally live near the seabed but may also be pelagic. Cod occur in coastal areas and to 600 m depth. Cod may also be found in the open ocean and so may also be used for monitoring oceanic regions of the Maritime Area. The southern distribution limit of cod is at 45°N. A sampling size range of 30</w:t>
      </w:r>
      <w:r w:rsidRPr="00F63BAF">
        <w:rPr>
          <w:rFonts w:ascii="Calibri" w:hAnsi="Calibri"/>
          <w:sz w:val="22"/>
          <w:szCs w:val="22"/>
        </w:rPr>
        <w:noBreakHyphen/>
        <w:t>45 cm is specified because cod of that size and age tend to feed on a fairly uniform diet.</w:t>
      </w:r>
    </w:p>
    <w:p w14:paraId="608DE0BB" w14:textId="77777777" w:rsidR="00FC360C" w:rsidRPr="00F63BAF" w:rsidRDefault="00FC360C" w:rsidP="00FC360C">
      <w:pPr>
        <w:pStyle w:val="BodyText"/>
        <w:rPr>
          <w:rFonts w:ascii="Calibri" w:hAnsi="Calibri"/>
          <w:sz w:val="22"/>
          <w:szCs w:val="22"/>
        </w:rPr>
      </w:pPr>
      <w:r w:rsidRPr="00F63BAF">
        <w:rPr>
          <w:rFonts w:ascii="Calibri" w:hAnsi="Calibri"/>
          <w:i/>
          <w:sz w:val="22"/>
          <w:szCs w:val="22"/>
        </w:rPr>
        <w:t>Mytilus sp</w:t>
      </w:r>
      <w:r w:rsidRPr="00F63BAF">
        <w:rPr>
          <w:rFonts w:ascii="Calibri" w:hAnsi="Calibri"/>
          <w:sz w:val="22"/>
          <w:szCs w:val="22"/>
        </w:rPr>
        <w:t>. (mussel)</w:t>
      </w:r>
    </w:p>
    <w:p w14:paraId="3DF33E20" w14:textId="77777777" w:rsidR="00FC360C" w:rsidRPr="00F63BAF" w:rsidRDefault="00FC360C" w:rsidP="00FC360C">
      <w:pPr>
        <w:pStyle w:val="BodyText"/>
        <w:rPr>
          <w:rFonts w:ascii="Calibri" w:hAnsi="Calibri"/>
          <w:sz w:val="22"/>
          <w:szCs w:val="22"/>
        </w:rPr>
      </w:pPr>
      <w:r w:rsidRPr="00F63BAF">
        <w:rPr>
          <w:rFonts w:ascii="Calibri" w:hAnsi="Calibri"/>
          <w:i/>
          <w:sz w:val="22"/>
          <w:szCs w:val="22"/>
        </w:rPr>
        <w:t>Mytilus edulis</w:t>
      </w:r>
      <w:r w:rsidRPr="00F63BAF">
        <w:rPr>
          <w:rFonts w:ascii="Calibri" w:hAnsi="Calibri"/>
          <w:sz w:val="22"/>
          <w:szCs w:val="22"/>
        </w:rPr>
        <w:t xml:space="preserve"> occurs in shallow waters along almost all coasts of the Contracting Parties. It is therefore suitable for monitoring in nearshore waters. No distinction is made between M. edulis and M. galloprovincialis because the latter, which may occur along Spanish and Portuguese coasts, cannot easily be discerned from </w:t>
      </w:r>
      <w:r w:rsidRPr="00F63BAF">
        <w:rPr>
          <w:rFonts w:ascii="Calibri" w:hAnsi="Calibri"/>
          <w:i/>
          <w:sz w:val="22"/>
          <w:szCs w:val="22"/>
        </w:rPr>
        <w:t>M. edulis</w:t>
      </w:r>
      <w:r w:rsidRPr="00F63BAF">
        <w:rPr>
          <w:rFonts w:ascii="Calibri" w:hAnsi="Calibri"/>
          <w:sz w:val="22"/>
          <w:szCs w:val="22"/>
        </w:rPr>
        <w:t>. A sampling size range of 3</w:t>
      </w:r>
      <w:r w:rsidRPr="00F63BAF">
        <w:rPr>
          <w:rFonts w:ascii="Calibri" w:hAnsi="Calibri"/>
          <w:sz w:val="22"/>
          <w:szCs w:val="22"/>
        </w:rPr>
        <w:noBreakHyphen/>
        <w:t xml:space="preserve">6 cm is specified to ensure availability throughout the whole maritime area. For monitoring in polluted areas, mussels may be transplanted from an unpolluted area and then left in the polluted area (Benedicto et al., 2011; Søndergaard et al., 2011) for e.g. one year before sampling and analyses. The results will reflect the last </w:t>
      </w:r>
      <w:proofErr w:type="gramStart"/>
      <w:r w:rsidRPr="00F63BAF">
        <w:rPr>
          <w:rFonts w:ascii="Calibri" w:hAnsi="Calibri"/>
          <w:sz w:val="22"/>
          <w:szCs w:val="22"/>
        </w:rPr>
        <w:t>years</w:t>
      </w:r>
      <w:proofErr w:type="gramEnd"/>
      <w:r w:rsidRPr="00F63BAF">
        <w:rPr>
          <w:rFonts w:ascii="Calibri" w:hAnsi="Calibri"/>
          <w:sz w:val="22"/>
          <w:szCs w:val="22"/>
        </w:rPr>
        <w:t xml:space="preserve"> contamination in contrast to resident mussels that will reflect several years of contamination.</w:t>
      </w:r>
    </w:p>
    <w:p w14:paraId="37A32373" w14:textId="77777777" w:rsidR="00FC360C" w:rsidRPr="00F63BAF" w:rsidRDefault="00FC360C" w:rsidP="00FC360C">
      <w:pPr>
        <w:pStyle w:val="BodyText"/>
        <w:rPr>
          <w:rFonts w:ascii="Calibri" w:hAnsi="Calibri"/>
          <w:b/>
          <w:sz w:val="22"/>
          <w:szCs w:val="22"/>
        </w:rPr>
      </w:pPr>
      <w:r w:rsidRPr="00F63BAF">
        <w:rPr>
          <w:rFonts w:ascii="Calibri" w:hAnsi="Calibri"/>
          <w:b/>
          <w:sz w:val="22"/>
          <w:szCs w:val="22"/>
        </w:rPr>
        <w:t>Second choice species</w:t>
      </w:r>
    </w:p>
    <w:p w14:paraId="0893B3BE" w14:textId="77777777" w:rsidR="00FC360C" w:rsidRPr="00F63BAF" w:rsidRDefault="00FC360C" w:rsidP="00FC360C">
      <w:pPr>
        <w:pStyle w:val="BodyText"/>
        <w:rPr>
          <w:rFonts w:ascii="Calibri" w:hAnsi="Calibri"/>
          <w:sz w:val="22"/>
          <w:szCs w:val="22"/>
        </w:rPr>
      </w:pPr>
      <w:r w:rsidRPr="00F63BAF">
        <w:rPr>
          <w:rFonts w:ascii="Calibri" w:hAnsi="Calibri"/>
          <w:i/>
          <w:sz w:val="22"/>
          <w:szCs w:val="22"/>
        </w:rPr>
        <w:t>Platichthys flesus</w:t>
      </w:r>
      <w:r w:rsidRPr="00F63BAF">
        <w:rPr>
          <w:rFonts w:ascii="Calibri" w:hAnsi="Calibri"/>
          <w:sz w:val="22"/>
          <w:szCs w:val="22"/>
        </w:rPr>
        <w:t xml:space="preserve"> (flounder)</w:t>
      </w:r>
    </w:p>
    <w:p w14:paraId="25634602" w14:textId="77777777" w:rsidR="00FC360C" w:rsidRPr="00F63BAF" w:rsidRDefault="00FC360C" w:rsidP="00FC360C">
      <w:pPr>
        <w:pStyle w:val="BodyText"/>
        <w:rPr>
          <w:rFonts w:ascii="Calibri" w:hAnsi="Calibri"/>
          <w:sz w:val="22"/>
          <w:szCs w:val="22"/>
        </w:rPr>
      </w:pPr>
      <w:r w:rsidRPr="00F63BAF">
        <w:rPr>
          <w:rFonts w:ascii="Calibri" w:hAnsi="Calibri"/>
          <w:sz w:val="22"/>
          <w:szCs w:val="22"/>
        </w:rPr>
        <w:t>The distribution of flounder extends further south than that of dab and might therefore represent the flatfish of choice for certain Portuguese coastal areas and Spain’s northwestern coastal areas. Flounder is not suitable for monitoring in open sea areas due to its migration pattern. A sampling size range of 15</w:t>
      </w:r>
      <w:r w:rsidRPr="00F63BAF">
        <w:rPr>
          <w:rFonts w:ascii="Calibri" w:hAnsi="Calibri"/>
          <w:sz w:val="22"/>
          <w:szCs w:val="22"/>
        </w:rPr>
        <w:noBreakHyphen/>
        <w:t>35 cm ensures individuals of the 2-year age class.</w:t>
      </w:r>
    </w:p>
    <w:p w14:paraId="6C81873A" w14:textId="77777777" w:rsidR="00FC360C" w:rsidRPr="00F63BAF" w:rsidRDefault="00FC360C" w:rsidP="00FC360C">
      <w:pPr>
        <w:pStyle w:val="BodyText"/>
        <w:rPr>
          <w:rFonts w:ascii="Calibri" w:hAnsi="Calibri"/>
          <w:sz w:val="22"/>
          <w:szCs w:val="22"/>
        </w:rPr>
      </w:pPr>
      <w:r w:rsidRPr="00F63BAF">
        <w:rPr>
          <w:rFonts w:ascii="Calibri" w:hAnsi="Calibri"/>
          <w:i/>
          <w:sz w:val="22"/>
          <w:szCs w:val="22"/>
        </w:rPr>
        <w:t>Merlangius merlangus</w:t>
      </w:r>
      <w:r w:rsidRPr="00F63BAF">
        <w:rPr>
          <w:rFonts w:ascii="Calibri" w:hAnsi="Calibri"/>
          <w:sz w:val="22"/>
          <w:szCs w:val="22"/>
        </w:rPr>
        <w:t xml:space="preserve"> (whiting)</w:t>
      </w:r>
    </w:p>
    <w:p w14:paraId="402DA75E" w14:textId="77777777" w:rsidR="00FC360C" w:rsidRPr="00F63BAF" w:rsidRDefault="00FC360C" w:rsidP="00FC360C">
      <w:pPr>
        <w:pStyle w:val="BodyText"/>
        <w:rPr>
          <w:rFonts w:ascii="Calibri" w:hAnsi="Calibri"/>
          <w:sz w:val="22"/>
          <w:szCs w:val="22"/>
        </w:rPr>
      </w:pPr>
      <w:r w:rsidRPr="00F63BAF">
        <w:rPr>
          <w:rFonts w:ascii="Calibri" w:hAnsi="Calibri"/>
          <w:sz w:val="22"/>
          <w:szCs w:val="22"/>
        </w:rPr>
        <w:t>Whiting can be caught in coastal waters and</w:t>
      </w:r>
      <w:r w:rsidR="00975554">
        <w:rPr>
          <w:rFonts w:ascii="Calibri" w:hAnsi="Calibri"/>
          <w:sz w:val="22"/>
          <w:szCs w:val="22"/>
        </w:rPr>
        <w:t xml:space="preserve"> up</w:t>
      </w:r>
      <w:r w:rsidRPr="00F63BAF">
        <w:rPr>
          <w:rFonts w:ascii="Calibri" w:hAnsi="Calibri"/>
          <w:sz w:val="22"/>
          <w:szCs w:val="22"/>
        </w:rPr>
        <w:t xml:space="preserve"> to 200 m depth. Its distribution is from Portugal to Iceland and Norway, thus covering all the maritime area subject to monitoring by Contracting Parties. It is a suitable substitute for cod. The sampling size range, 20</w:t>
      </w:r>
      <w:r w:rsidRPr="00F63BAF">
        <w:rPr>
          <w:rFonts w:ascii="Calibri" w:hAnsi="Calibri"/>
          <w:sz w:val="22"/>
          <w:szCs w:val="22"/>
        </w:rPr>
        <w:noBreakHyphen/>
        <w:t>35 cm, may need adjustment in the light of future experience.</w:t>
      </w:r>
    </w:p>
    <w:p w14:paraId="327A9F2F" w14:textId="77777777" w:rsidR="00FC360C" w:rsidRPr="00F63BAF" w:rsidRDefault="00FC360C" w:rsidP="00FC360C">
      <w:pPr>
        <w:pStyle w:val="BodyText"/>
        <w:rPr>
          <w:rFonts w:ascii="Calibri" w:hAnsi="Calibri"/>
          <w:sz w:val="22"/>
          <w:szCs w:val="22"/>
        </w:rPr>
      </w:pPr>
      <w:r w:rsidRPr="00F63BAF">
        <w:rPr>
          <w:rFonts w:ascii="Calibri" w:hAnsi="Calibri"/>
          <w:i/>
          <w:sz w:val="22"/>
          <w:szCs w:val="22"/>
        </w:rPr>
        <w:t>Merluccius merluccius</w:t>
      </w:r>
      <w:r w:rsidRPr="00F63BAF">
        <w:rPr>
          <w:rFonts w:ascii="Calibri" w:hAnsi="Calibri"/>
          <w:sz w:val="22"/>
          <w:szCs w:val="22"/>
        </w:rPr>
        <w:t xml:space="preserve"> (hake)</w:t>
      </w:r>
    </w:p>
    <w:p w14:paraId="2539A657" w14:textId="77777777" w:rsidR="00FC360C" w:rsidRPr="00F63BAF" w:rsidRDefault="00FC360C" w:rsidP="00FC360C">
      <w:pPr>
        <w:pStyle w:val="BodyText"/>
        <w:rPr>
          <w:rFonts w:ascii="Calibri" w:hAnsi="Calibri"/>
          <w:sz w:val="22"/>
          <w:szCs w:val="22"/>
        </w:rPr>
      </w:pPr>
      <w:r w:rsidRPr="00F63BAF">
        <w:rPr>
          <w:rFonts w:ascii="Calibri" w:hAnsi="Calibri"/>
          <w:sz w:val="22"/>
          <w:szCs w:val="22"/>
        </w:rPr>
        <w:t>Hake live at 100</w:t>
      </w:r>
      <w:r w:rsidRPr="00F63BAF">
        <w:rPr>
          <w:rFonts w:ascii="Calibri" w:hAnsi="Calibri"/>
          <w:sz w:val="22"/>
          <w:szCs w:val="22"/>
        </w:rPr>
        <w:noBreakHyphen/>
        <w:t>300 m along the shelf margins. The sampling size range is 20</w:t>
      </w:r>
      <w:r w:rsidRPr="00F63BAF">
        <w:rPr>
          <w:rFonts w:ascii="Calibri" w:hAnsi="Calibri"/>
          <w:sz w:val="22"/>
          <w:szCs w:val="22"/>
        </w:rPr>
        <w:noBreakHyphen/>
        <w:t>35 cm. The sampling size interval suggested is arbitrary and may need adjustment in the light of future experience.</w:t>
      </w:r>
    </w:p>
    <w:p w14:paraId="2FAF3066" w14:textId="77777777" w:rsidR="00FC360C" w:rsidRPr="00F63BAF" w:rsidRDefault="00FC360C" w:rsidP="00FC360C">
      <w:pPr>
        <w:pStyle w:val="BodyText"/>
        <w:rPr>
          <w:rFonts w:ascii="Calibri" w:hAnsi="Calibri"/>
          <w:sz w:val="22"/>
          <w:szCs w:val="22"/>
        </w:rPr>
      </w:pPr>
      <w:r w:rsidRPr="00F63BAF">
        <w:rPr>
          <w:rFonts w:ascii="Calibri" w:hAnsi="Calibri"/>
          <w:i/>
          <w:sz w:val="22"/>
          <w:szCs w:val="22"/>
        </w:rPr>
        <w:t>Crassostrea gigas</w:t>
      </w:r>
      <w:r w:rsidRPr="00F63BAF">
        <w:rPr>
          <w:rFonts w:ascii="Calibri" w:hAnsi="Calibri"/>
          <w:sz w:val="22"/>
          <w:szCs w:val="22"/>
        </w:rPr>
        <w:t xml:space="preserve"> (Pacific oyster)</w:t>
      </w:r>
    </w:p>
    <w:p w14:paraId="6EE075E5" w14:textId="77777777" w:rsidR="00FC360C" w:rsidRPr="00F63BAF" w:rsidRDefault="00FC360C" w:rsidP="00FC360C">
      <w:pPr>
        <w:pStyle w:val="BodyText"/>
        <w:rPr>
          <w:rFonts w:ascii="Calibri" w:hAnsi="Calibri"/>
          <w:sz w:val="22"/>
          <w:szCs w:val="22"/>
        </w:rPr>
      </w:pPr>
      <w:r w:rsidRPr="00F63BAF">
        <w:rPr>
          <w:rFonts w:ascii="Calibri" w:hAnsi="Calibri"/>
          <w:sz w:val="22"/>
          <w:szCs w:val="22"/>
        </w:rPr>
        <w:t>The Pacific oyster should be sampled in areas where Mytilus sp. is not available. The sampling size should be within the length range 9</w:t>
      </w:r>
      <w:r w:rsidRPr="00F63BAF">
        <w:rPr>
          <w:rFonts w:ascii="Calibri" w:hAnsi="Calibri"/>
          <w:sz w:val="22"/>
          <w:szCs w:val="22"/>
        </w:rPr>
        <w:noBreakHyphen/>
        <w:t>14 cm to ensure individuals of the 2 year age class.</w:t>
      </w:r>
    </w:p>
    <w:p w14:paraId="3417BEEA" w14:textId="77777777" w:rsidR="00FC360C" w:rsidRPr="00F63BAF" w:rsidRDefault="00FC360C" w:rsidP="00F63BAF">
      <w:pPr>
        <w:pStyle w:val="Heading2"/>
        <w:rPr>
          <w:lang w:val="en-GB"/>
        </w:rPr>
      </w:pPr>
      <w:bookmarkStart w:id="115" w:name="_Toc511217403"/>
      <w:r w:rsidRPr="00F63BAF">
        <w:rPr>
          <w:lang w:val="en-GB"/>
        </w:rPr>
        <w:t>1.2</w:t>
      </w:r>
      <w:r w:rsidRPr="00F63BAF">
        <w:rPr>
          <w:lang w:val="en-GB"/>
        </w:rPr>
        <w:tab/>
        <w:t>Seabirds</w:t>
      </w:r>
      <w:bookmarkEnd w:id="115"/>
    </w:p>
    <w:p w14:paraId="0E03E011" w14:textId="77777777" w:rsidR="00FC360C" w:rsidRPr="00F63BAF" w:rsidRDefault="00FC360C" w:rsidP="00FC360C">
      <w:pPr>
        <w:rPr>
          <w:szCs w:val="22"/>
        </w:rPr>
      </w:pPr>
      <w:r w:rsidRPr="00F63BAF">
        <w:rPr>
          <w:szCs w:val="22"/>
        </w:rPr>
        <w:t>Relevant references concerning the use of seabirds in contaminant monitoring programmes include Gilbertson (1987), Becker (1989; 1991); Becker et al. (1991; 1992), Walker (1992), Herzke et al. (2009), Miljeteig et al. (2009) and Dittmann et al. (2012).</w:t>
      </w:r>
    </w:p>
    <w:p w14:paraId="45B7A379" w14:textId="77777777" w:rsidR="00FC360C" w:rsidRPr="00F63BAF" w:rsidRDefault="00FC360C" w:rsidP="00FC360C">
      <w:pPr>
        <w:pStyle w:val="BodyText"/>
        <w:rPr>
          <w:rFonts w:ascii="Calibri" w:hAnsi="Calibri"/>
          <w:sz w:val="22"/>
          <w:szCs w:val="22"/>
        </w:rPr>
      </w:pPr>
      <w:r w:rsidRPr="00F63BAF">
        <w:rPr>
          <w:rFonts w:ascii="Calibri" w:hAnsi="Calibri"/>
          <w:i/>
          <w:sz w:val="22"/>
          <w:szCs w:val="22"/>
        </w:rPr>
        <w:t>Sterna hirundo</w:t>
      </w:r>
      <w:r w:rsidRPr="00F63BAF">
        <w:rPr>
          <w:rFonts w:ascii="Calibri" w:hAnsi="Calibri"/>
          <w:sz w:val="22"/>
          <w:szCs w:val="22"/>
        </w:rPr>
        <w:t xml:space="preserve"> (common tern)</w:t>
      </w:r>
    </w:p>
    <w:p w14:paraId="310734BF" w14:textId="77777777" w:rsidR="00FC360C" w:rsidRPr="00F63BAF" w:rsidRDefault="00FC360C" w:rsidP="00FC360C">
      <w:pPr>
        <w:pStyle w:val="BodyText"/>
        <w:rPr>
          <w:rFonts w:ascii="Calibri" w:hAnsi="Calibri"/>
          <w:sz w:val="22"/>
          <w:szCs w:val="22"/>
        </w:rPr>
      </w:pPr>
      <w:r w:rsidRPr="00F63BAF">
        <w:rPr>
          <w:rFonts w:ascii="Calibri" w:hAnsi="Calibri"/>
          <w:sz w:val="22"/>
          <w:szCs w:val="22"/>
        </w:rPr>
        <w:t xml:space="preserve">The common tern is widely distributed over the European and North American Atlantic coasts as well as the Baltic Sea, but does not occur in Iceland. It feeds in marine, brackish, and fresh waters. </w:t>
      </w:r>
    </w:p>
    <w:p w14:paraId="7C7F4A6A" w14:textId="77777777" w:rsidR="00FC360C" w:rsidRPr="00F63BAF" w:rsidRDefault="00FC360C" w:rsidP="00FC360C">
      <w:pPr>
        <w:pStyle w:val="BodyText"/>
        <w:rPr>
          <w:rFonts w:ascii="Calibri" w:hAnsi="Calibri"/>
          <w:sz w:val="22"/>
          <w:szCs w:val="22"/>
        </w:rPr>
      </w:pPr>
      <w:r w:rsidRPr="00F63BAF">
        <w:rPr>
          <w:rFonts w:ascii="Calibri" w:hAnsi="Calibri"/>
          <w:i/>
          <w:sz w:val="22"/>
          <w:szCs w:val="22"/>
        </w:rPr>
        <w:t>Haematopus ostralegus</w:t>
      </w:r>
      <w:r w:rsidRPr="00F63BAF">
        <w:rPr>
          <w:rFonts w:ascii="Calibri" w:hAnsi="Calibri"/>
          <w:sz w:val="22"/>
          <w:szCs w:val="22"/>
        </w:rPr>
        <w:t xml:space="preserve"> (oystercatcher)</w:t>
      </w:r>
    </w:p>
    <w:p w14:paraId="3A56CC34" w14:textId="77777777" w:rsidR="00FC360C" w:rsidRPr="00F63BAF" w:rsidRDefault="00FC360C" w:rsidP="00FC360C">
      <w:pPr>
        <w:pStyle w:val="BodyText"/>
        <w:rPr>
          <w:rFonts w:ascii="Calibri" w:hAnsi="Calibri"/>
          <w:sz w:val="22"/>
          <w:szCs w:val="22"/>
        </w:rPr>
      </w:pPr>
      <w:r w:rsidRPr="00F63BAF">
        <w:rPr>
          <w:rFonts w:ascii="Calibri" w:hAnsi="Calibri"/>
          <w:sz w:val="22"/>
          <w:szCs w:val="22"/>
        </w:rPr>
        <w:t xml:space="preserve">The oystercatcher is widely distributed along the coasts of the North-west Atlantic, including Iceland, and also occurs in the Baltic Sea. The species is not strictly </w:t>
      </w:r>
      <w:proofErr w:type="gramStart"/>
      <w:r w:rsidRPr="00F63BAF">
        <w:rPr>
          <w:rFonts w:ascii="Calibri" w:hAnsi="Calibri"/>
          <w:sz w:val="22"/>
          <w:szCs w:val="22"/>
        </w:rPr>
        <w:t>marine</w:t>
      </w:r>
      <w:proofErr w:type="gramEnd"/>
      <w:r w:rsidRPr="00F63BAF">
        <w:rPr>
          <w:rFonts w:ascii="Calibri" w:hAnsi="Calibri"/>
          <w:sz w:val="22"/>
          <w:szCs w:val="22"/>
        </w:rPr>
        <w:t xml:space="preserve"> as it also feeds inland. It feeds on benthos. In contrast to other seabirds, nest sites are accessible and the eggs within reach.</w:t>
      </w:r>
    </w:p>
    <w:p w14:paraId="2EE4BEEF" w14:textId="77777777" w:rsidR="00FC360C" w:rsidRPr="00F63BAF" w:rsidRDefault="00FC360C" w:rsidP="00FC360C">
      <w:pPr>
        <w:pStyle w:val="BodyText"/>
        <w:rPr>
          <w:rFonts w:ascii="Calibri" w:hAnsi="Calibri"/>
          <w:sz w:val="22"/>
          <w:szCs w:val="22"/>
        </w:rPr>
      </w:pPr>
      <w:r w:rsidRPr="00F63BAF">
        <w:rPr>
          <w:rFonts w:ascii="Calibri" w:hAnsi="Calibri"/>
          <w:i/>
          <w:sz w:val="22"/>
          <w:szCs w:val="22"/>
        </w:rPr>
        <w:t xml:space="preserve">Uria aalge </w:t>
      </w:r>
      <w:r w:rsidRPr="00F63BAF">
        <w:rPr>
          <w:rFonts w:ascii="Calibri" w:hAnsi="Calibri"/>
          <w:sz w:val="22"/>
          <w:szCs w:val="22"/>
        </w:rPr>
        <w:t>(guillemot)</w:t>
      </w:r>
    </w:p>
    <w:p w14:paraId="187D9AB6" w14:textId="77777777" w:rsidR="00FC360C" w:rsidRPr="00F63BAF" w:rsidRDefault="00FC360C" w:rsidP="00FC360C">
      <w:pPr>
        <w:pStyle w:val="BodyText"/>
        <w:rPr>
          <w:rFonts w:ascii="Calibri" w:hAnsi="Calibri"/>
          <w:sz w:val="22"/>
          <w:szCs w:val="22"/>
        </w:rPr>
      </w:pPr>
      <w:r w:rsidRPr="00F63BAF">
        <w:rPr>
          <w:rFonts w:ascii="Calibri" w:hAnsi="Calibri"/>
          <w:sz w:val="22"/>
          <w:szCs w:val="22"/>
        </w:rPr>
        <w:t>The guillemot feeds in the open sea and nests on the coasts of northern Europe, in the Baltic Sea and on the North American coast.</w:t>
      </w:r>
    </w:p>
    <w:p w14:paraId="25A50153" w14:textId="77777777" w:rsidR="00FC360C" w:rsidRPr="00F63BAF" w:rsidRDefault="00FC360C" w:rsidP="00F63BAF">
      <w:pPr>
        <w:pStyle w:val="Heading1"/>
      </w:pPr>
      <w:bookmarkStart w:id="116" w:name="_Toc511217404"/>
      <w:r w:rsidRPr="00F63BAF">
        <w:t>2.</w:t>
      </w:r>
      <w:r w:rsidRPr="00F63BAF">
        <w:tab/>
        <w:t>Sampling</w:t>
      </w:r>
      <w:bookmarkEnd w:id="116"/>
    </w:p>
    <w:p w14:paraId="46309263" w14:textId="77777777" w:rsidR="00FC360C" w:rsidRPr="00F63BAF" w:rsidRDefault="00FC360C" w:rsidP="00FC360C">
      <w:pPr>
        <w:pStyle w:val="BodyText"/>
        <w:rPr>
          <w:rFonts w:ascii="Calibri" w:hAnsi="Calibri"/>
          <w:sz w:val="22"/>
          <w:szCs w:val="22"/>
        </w:rPr>
      </w:pPr>
      <w:r w:rsidRPr="00F63BAF">
        <w:rPr>
          <w:rFonts w:ascii="Calibri" w:hAnsi="Calibri"/>
          <w:sz w:val="22"/>
          <w:szCs w:val="22"/>
        </w:rPr>
        <w:t>Two alternative sampling strategies are described: sampling to minimise natural variability and length-stratified sampling.</w:t>
      </w:r>
    </w:p>
    <w:p w14:paraId="506CB382" w14:textId="77777777" w:rsidR="00FC360C" w:rsidRPr="00F63BAF" w:rsidRDefault="00FC360C" w:rsidP="00F63BAF">
      <w:pPr>
        <w:pStyle w:val="Heading2"/>
        <w:rPr>
          <w:lang w:val="en-GB"/>
        </w:rPr>
      </w:pPr>
      <w:bookmarkStart w:id="117" w:name="_Toc511217405"/>
      <w:r w:rsidRPr="00F63BAF">
        <w:rPr>
          <w:lang w:val="en-GB"/>
        </w:rPr>
        <w:t>2.1</w:t>
      </w:r>
      <w:r w:rsidRPr="00F63BAF">
        <w:rPr>
          <w:lang w:val="en-GB"/>
        </w:rPr>
        <w:tab/>
        <w:t>Sampling to minimise natural variability</w:t>
      </w:r>
      <w:bookmarkEnd w:id="117"/>
    </w:p>
    <w:p w14:paraId="752F705E" w14:textId="77777777" w:rsidR="00FC360C" w:rsidRPr="00F63BAF" w:rsidRDefault="00FC360C" w:rsidP="00F63BAF">
      <w:r w:rsidRPr="00F63BAF">
        <w:t xml:space="preserve">Gain in precision of the contaminant data can be obtained by minimising variance from the biological covariables. For fish, this can be achieved by sampling and analysing individually at least 12 young fish of the same sex, </w:t>
      </w:r>
      <w:r w:rsidRPr="00F63BAF">
        <w:rPr>
          <w:i/>
        </w:rPr>
        <w:t>e.g.</w:t>
      </w:r>
      <w:r w:rsidRPr="00F63BAF">
        <w:t xml:space="preserve"> 2-3 year old female fish. To assist the selection of the relevant length range in order to find individuals of the recommended age, it is advised to produce specific species and region related correlation graphs by use of existing data from the respective monitoring data base. An example is given in Appendix 1. </w:t>
      </w:r>
    </w:p>
    <w:p w14:paraId="37F6C6CD" w14:textId="77777777" w:rsidR="00FC360C" w:rsidRPr="00F63BAF" w:rsidRDefault="00FC360C" w:rsidP="00F63BAF">
      <w:r w:rsidRPr="00F63BAF">
        <w:t xml:space="preserve">For shellfish, a sample should be collected with the number of individuals large enough to be divided into at least 3 equal pools with each pool consisting of at least 20 animals and enough soft tissue for all analyses. The length of the individuals collected should be constant from year to year at each station, or should at least fall within a very narrow range, </w:t>
      </w:r>
      <w:r w:rsidRPr="00F63BAF">
        <w:rPr>
          <w:i/>
        </w:rPr>
        <w:t>e.g.</w:t>
      </w:r>
      <w:r w:rsidRPr="00F63BAF">
        <w:t xml:space="preserve"> within 5 mm. To reflect recent levels of contamination, young individuals should be chosen. In selecting the sample, care should be taken to ensure that it is representative of the population and that it can be obtained annually.</w:t>
      </w:r>
    </w:p>
    <w:p w14:paraId="11357BAB" w14:textId="77777777" w:rsidR="00FC360C" w:rsidRPr="00F63BAF" w:rsidRDefault="00FC360C" w:rsidP="00F63BAF">
      <w:pPr>
        <w:pStyle w:val="Heading2"/>
        <w:rPr>
          <w:szCs w:val="22"/>
          <w:lang w:val="en-GB"/>
        </w:rPr>
      </w:pPr>
      <w:bookmarkStart w:id="118" w:name="_Toc511217406"/>
      <w:r w:rsidRPr="00F63BAF">
        <w:rPr>
          <w:szCs w:val="22"/>
          <w:lang w:val="en-GB"/>
        </w:rPr>
        <w:t>2.2</w:t>
      </w:r>
      <w:r w:rsidRPr="00F63BAF">
        <w:rPr>
          <w:szCs w:val="22"/>
          <w:lang w:val="en-GB"/>
        </w:rPr>
        <w:tab/>
        <w:t>Length-stratified sampling</w:t>
      </w:r>
      <w:bookmarkEnd w:id="118"/>
    </w:p>
    <w:p w14:paraId="4BD616C1" w14:textId="77777777" w:rsidR="00FC360C" w:rsidRPr="00F63BAF" w:rsidRDefault="00FC360C" w:rsidP="00FC360C">
      <w:pPr>
        <w:pStyle w:val="BodyText"/>
        <w:rPr>
          <w:rFonts w:ascii="Calibri" w:hAnsi="Calibri"/>
          <w:sz w:val="22"/>
          <w:szCs w:val="22"/>
        </w:rPr>
      </w:pPr>
      <w:r w:rsidRPr="00F63BAF">
        <w:rPr>
          <w:rFonts w:ascii="Calibri" w:hAnsi="Calibri"/>
          <w:sz w:val="22"/>
          <w:szCs w:val="22"/>
        </w:rPr>
        <w:t>Where successfully ongoing, length-stratified time series should be continued.</w:t>
      </w:r>
    </w:p>
    <w:p w14:paraId="6F33B676" w14:textId="77777777" w:rsidR="00FC360C" w:rsidRPr="00F63BAF" w:rsidRDefault="00FC360C" w:rsidP="00F63BAF">
      <w:pPr>
        <w:pStyle w:val="Heading3"/>
      </w:pPr>
      <w:bookmarkStart w:id="119" w:name="_Toc511217407"/>
      <w:r w:rsidRPr="00F63BAF">
        <w:t>2.2.1</w:t>
      </w:r>
      <w:r w:rsidRPr="00F63BAF">
        <w:tab/>
        <w:t>Fish</w:t>
      </w:r>
      <w:bookmarkEnd w:id="119"/>
    </w:p>
    <w:p w14:paraId="2DEBD098" w14:textId="77777777" w:rsidR="00FC360C" w:rsidRPr="00F63BAF" w:rsidRDefault="00FC360C" w:rsidP="00FC360C">
      <w:pPr>
        <w:pStyle w:val="BodyText"/>
        <w:rPr>
          <w:rFonts w:ascii="Calibri" w:hAnsi="Calibri"/>
          <w:sz w:val="22"/>
          <w:szCs w:val="22"/>
        </w:rPr>
      </w:pPr>
      <w:r w:rsidRPr="00F63BAF">
        <w:rPr>
          <w:rFonts w:ascii="Calibri" w:hAnsi="Calibri"/>
          <w:sz w:val="22"/>
          <w:szCs w:val="22"/>
        </w:rPr>
        <w:t xml:space="preserve">Gain in precision of the contaminant data can also be obtained from stratification using biological variables. Although several biological parameters are appropriate length appears to be the parameter which can most easily be applied onshore and at sea and which has also been shown to be significant in many analyses. Much discussion has been devoted as to whether simple linear or log-linear (multiplicative) models give the better fit. General experience with other fish and other types of data indicate a preference for the log-normal model at least for the present. </w:t>
      </w:r>
    </w:p>
    <w:p w14:paraId="4AAE1748" w14:textId="77777777" w:rsidR="00FC360C" w:rsidRPr="00F63BAF" w:rsidRDefault="00FC360C" w:rsidP="00FC360C">
      <w:pPr>
        <w:pStyle w:val="BodyText"/>
        <w:rPr>
          <w:rFonts w:ascii="Calibri" w:hAnsi="Calibri"/>
          <w:sz w:val="22"/>
          <w:szCs w:val="22"/>
        </w:rPr>
      </w:pPr>
      <w:r w:rsidRPr="00F63BAF">
        <w:rPr>
          <w:rFonts w:ascii="Calibri" w:hAnsi="Calibri"/>
          <w:sz w:val="22"/>
          <w:szCs w:val="22"/>
        </w:rPr>
        <w:t>As the length dependence of the contaminant concentration is not well understood, sampling should keep the length/contaminant relationship under constant surveillance, i.e. the entire length range should be covered evenly. Care should be taken that the samples are not unduly clustered within a particular length</w:t>
      </w:r>
      <w:r w:rsidRPr="00F63BAF">
        <w:rPr>
          <w:rFonts w:ascii="Calibri" w:hAnsi="Calibri"/>
          <w:sz w:val="22"/>
          <w:szCs w:val="22"/>
        </w:rPr>
        <w:noBreakHyphen/>
        <w:t>interval. More length intervals could be used and the test of the hypothesised contaminant/length relationship becomes stronger if the lengths are evenly distributed. It is essential to keep the length stratification identical from one year to the next. The length range should be defined on the basis of practical considerations. For fish, the upper limit should be chosen in such a way that at least 5 fish in the largest length interval can easily be found. The length stratification should be determined in such a way that it can be maintained over many years. The length interval should be at least 2 cm in size. The length range should be split into 5 length intervals, which are of equal size after log transformation. For example, if the length range is 18</w:t>
      </w:r>
      <w:r w:rsidRPr="00F63BAF">
        <w:rPr>
          <w:rFonts w:ascii="Calibri" w:hAnsi="Calibri"/>
          <w:sz w:val="22"/>
          <w:szCs w:val="22"/>
        </w:rPr>
        <w:noBreakHyphen/>
        <w:t>36 cm, then the interval boundaries could b</w:t>
      </w:r>
      <w:r w:rsidR="00B33CCD">
        <w:rPr>
          <w:rFonts w:ascii="Calibri" w:hAnsi="Calibri"/>
          <w:sz w:val="22"/>
          <w:szCs w:val="22"/>
        </w:rPr>
        <w:t>e (rounded to 0.</w:t>
      </w:r>
      <w:r w:rsidRPr="00F63BAF">
        <w:rPr>
          <w:rFonts w:ascii="Calibri" w:hAnsi="Calibri"/>
          <w:sz w:val="22"/>
          <w:szCs w:val="22"/>
        </w:rPr>
        <w:t>1 cm) as follows:</w:t>
      </w:r>
    </w:p>
    <w:p w14:paraId="13C00A9D" w14:textId="77777777" w:rsidR="00FC360C" w:rsidRPr="00F63BAF" w:rsidRDefault="00FC360C" w:rsidP="00FC360C">
      <w:pPr>
        <w:pStyle w:val="BodyText"/>
        <w:rPr>
          <w:rFonts w:ascii="Calibri" w:hAnsi="Calibri"/>
          <w:sz w:val="22"/>
          <w:szCs w:val="22"/>
        </w:rPr>
      </w:pPr>
      <w:r w:rsidRPr="00F63BAF">
        <w:rPr>
          <w:rFonts w:ascii="Calibri" w:hAnsi="Calibri"/>
          <w:sz w:val="22"/>
          <w:szCs w:val="22"/>
        </w:rPr>
        <w:tab/>
        <w:t xml:space="preserve">18 </w:t>
      </w:r>
      <w:r w:rsidR="00B33CCD">
        <w:rPr>
          <w:rFonts w:ascii="Calibri" w:hAnsi="Calibri"/>
          <w:sz w:val="22"/>
          <w:szCs w:val="22"/>
        </w:rPr>
        <w:t>–</w:t>
      </w:r>
      <w:r w:rsidRPr="00F63BAF">
        <w:rPr>
          <w:rFonts w:ascii="Calibri" w:hAnsi="Calibri"/>
          <w:sz w:val="22"/>
          <w:szCs w:val="22"/>
        </w:rPr>
        <w:t xml:space="preserve"> 20</w:t>
      </w:r>
      <w:r w:rsidR="00B33CCD">
        <w:rPr>
          <w:rFonts w:ascii="Calibri" w:hAnsi="Calibri"/>
          <w:sz w:val="22"/>
          <w:szCs w:val="22"/>
        </w:rPr>
        <w:t>.</w:t>
      </w:r>
      <w:r w:rsidRPr="00F63BAF">
        <w:rPr>
          <w:rFonts w:ascii="Calibri" w:hAnsi="Calibri"/>
          <w:sz w:val="22"/>
          <w:szCs w:val="22"/>
        </w:rPr>
        <w:t>7</w:t>
      </w:r>
      <w:r w:rsidRPr="00F63BAF">
        <w:rPr>
          <w:rFonts w:ascii="Calibri" w:hAnsi="Calibri"/>
          <w:sz w:val="22"/>
          <w:szCs w:val="22"/>
        </w:rPr>
        <w:tab/>
        <w:t>20</w:t>
      </w:r>
      <w:r w:rsidR="00B33CCD">
        <w:rPr>
          <w:rFonts w:ascii="Calibri" w:hAnsi="Calibri"/>
          <w:sz w:val="22"/>
          <w:szCs w:val="22"/>
        </w:rPr>
        <w:t>.</w:t>
      </w:r>
      <w:r w:rsidRPr="00F63BAF">
        <w:rPr>
          <w:rFonts w:ascii="Calibri" w:hAnsi="Calibri"/>
          <w:sz w:val="22"/>
          <w:szCs w:val="22"/>
        </w:rPr>
        <w:t>8-23</w:t>
      </w:r>
      <w:r w:rsidR="00B33CCD">
        <w:rPr>
          <w:rFonts w:ascii="Calibri" w:hAnsi="Calibri"/>
          <w:sz w:val="22"/>
          <w:szCs w:val="22"/>
        </w:rPr>
        <w:t>.</w:t>
      </w:r>
      <w:r w:rsidRPr="00F63BAF">
        <w:rPr>
          <w:rFonts w:ascii="Calibri" w:hAnsi="Calibri"/>
          <w:sz w:val="22"/>
          <w:szCs w:val="22"/>
        </w:rPr>
        <w:t>8</w:t>
      </w:r>
      <w:r w:rsidRPr="00F63BAF">
        <w:rPr>
          <w:rFonts w:ascii="Calibri" w:hAnsi="Calibri"/>
          <w:sz w:val="22"/>
          <w:szCs w:val="22"/>
        </w:rPr>
        <w:tab/>
        <w:t>23</w:t>
      </w:r>
      <w:r w:rsidR="00B33CCD">
        <w:rPr>
          <w:rFonts w:ascii="Calibri" w:hAnsi="Calibri"/>
          <w:sz w:val="22"/>
          <w:szCs w:val="22"/>
        </w:rPr>
        <w:t>.</w:t>
      </w:r>
      <w:r w:rsidRPr="00F63BAF">
        <w:rPr>
          <w:rFonts w:ascii="Calibri" w:hAnsi="Calibri"/>
          <w:sz w:val="22"/>
          <w:szCs w:val="22"/>
        </w:rPr>
        <w:t>9-27</w:t>
      </w:r>
      <w:r w:rsidR="00B33CCD">
        <w:rPr>
          <w:rFonts w:ascii="Calibri" w:hAnsi="Calibri"/>
          <w:sz w:val="22"/>
          <w:szCs w:val="22"/>
        </w:rPr>
        <w:t>.</w:t>
      </w:r>
      <w:r w:rsidRPr="00F63BAF">
        <w:rPr>
          <w:rFonts w:ascii="Calibri" w:hAnsi="Calibri"/>
          <w:sz w:val="22"/>
          <w:szCs w:val="22"/>
        </w:rPr>
        <w:t>3</w:t>
      </w:r>
      <w:r w:rsidRPr="00F63BAF">
        <w:rPr>
          <w:rFonts w:ascii="Calibri" w:hAnsi="Calibri"/>
          <w:sz w:val="22"/>
          <w:szCs w:val="22"/>
        </w:rPr>
        <w:tab/>
        <w:t>27</w:t>
      </w:r>
      <w:r w:rsidR="00B33CCD">
        <w:rPr>
          <w:rFonts w:ascii="Calibri" w:hAnsi="Calibri"/>
          <w:sz w:val="22"/>
          <w:szCs w:val="22"/>
        </w:rPr>
        <w:t>.</w:t>
      </w:r>
      <w:r w:rsidRPr="00F63BAF">
        <w:rPr>
          <w:rFonts w:ascii="Calibri" w:hAnsi="Calibri"/>
          <w:sz w:val="22"/>
          <w:szCs w:val="22"/>
        </w:rPr>
        <w:t>4-31</w:t>
      </w:r>
      <w:r w:rsidR="00B33CCD">
        <w:rPr>
          <w:rFonts w:ascii="Calibri" w:hAnsi="Calibri"/>
          <w:sz w:val="22"/>
          <w:szCs w:val="22"/>
        </w:rPr>
        <w:t>.</w:t>
      </w:r>
      <w:r w:rsidRPr="00F63BAF">
        <w:rPr>
          <w:rFonts w:ascii="Calibri" w:hAnsi="Calibri"/>
          <w:sz w:val="22"/>
          <w:szCs w:val="22"/>
        </w:rPr>
        <w:t>3</w:t>
      </w:r>
      <w:r w:rsidRPr="00F63BAF">
        <w:rPr>
          <w:rFonts w:ascii="Calibri" w:hAnsi="Calibri"/>
          <w:sz w:val="22"/>
          <w:szCs w:val="22"/>
        </w:rPr>
        <w:tab/>
        <w:t>31</w:t>
      </w:r>
      <w:r w:rsidR="00B33CCD">
        <w:rPr>
          <w:rFonts w:ascii="Calibri" w:hAnsi="Calibri"/>
          <w:sz w:val="22"/>
          <w:szCs w:val="22"/>
        </w:rPr>
        <w:t>.</w:t>
      </w:r>
      <w:r w:rsidRPr="00F63BAF">
        <w:rPr>
          <w:rFonts w:ascii="Calibri" w:hAnsi="Calibri"/>
          <w:sz w:val="22"/>
          <w:szCs w:val="22"/>
        </w:rPr>
        <w:t>4-36 cm.</w:t>
      </w:r>
    </w:p>
    <w:p w14:paraId="4963DA43" w14:textId="77777777" w:rsidR="00FC360C" w:rsidRPr="00F63BAF" w:rsidRDefault="00FC360C" w:rsidP="00776C13">
      <w:pPr>
        <w:pStyle w:val="Heading3"/>
      </w:pPr>
      <w:bookmarkStart w:id="120" w:name="_Toc511217408"/>
      <w:r w:rsidRPr="00F63BAF">
        <w:t>2.2.2</w:t>
      </w:r>
      <w:r w:rsidRPr="00F63BAF">
        <w:tab/>
        <w:t>Shellfish</w:t>
      </w:r>
      <w:bookmarkEnd w:id="120"/>
    </w:p>
    <w:p w14:paraId="16B92325" w14:textId="77777777" w:rsidR="00FC360C" w:rsidRPr="00F63BAF" w:rsidRDefault="00FC360C" w:rsidP="00FC360C">
      <w:pPr>
        <w:pStyle w:val="BodyText"/>
        <w:rPr>
          <w:rFonts w:ascii="Calibri" w:hAnsi="Calibri"/>
          <w:sz w:val="22"/>
          <w:szCs w:val="22"/>
        </w:rPr>
      </w:pPr>
      <w:r w:rsidRPr="00F63BAF">
        <w:rPr>
          <w:rFonts w:ascii="Calibri" w:hAnsi="Calibri"/>
          <w:sz w:val="22"/>
          <w:szCs w:val="22"/>
        </w:rPr>
        <w:t>For shellfish, the upper limit should be chosen in such a way that at least 20 mussels in the largest length interval can easily be found. The length stratification should be determined in such a way that it can be maintained over many years. The length interval should be at least 5 mm in size. The length range should be split into at least 3 length intervals (small, medium and large) which are of equal size after log transformation. For example, if the length range is 40</w:t>
      </w:r>
      <w:r w:rsidRPr="00F63BAF">
        <w:rPr>
          <w:rFonts w:ascii="Calibri" w:hAnsi="Calibri"/>
          <w:sz w:val="22"/>
          <w:szCs w:val="22"/>
        </w:rPr>
        <w:noBreakHyphen/>
        <w:t>70 mm, then the interval boundaries could be (rounded to 1 mm) as follows:</w:t>
      </w:r>
    </w:p>
    <w:p w14:paraId="5785FE02" w14:textId="77777777" w:rsidR="00FC360C" w:rsidRPr="00F63BAF" w:rsidRDefault="00FC360C" w:rsidP="00FC360C">
      <w:pPr>
        <w:pStyle w:val="BodyText"/>
        <w:tabs>
          <w:tab w:val="left" w:pos="1134"/>
        </w:tabs>
        <w:ind w:left="567"/>
        <w:rPr>
          <w:rFonts w:ascii="Calibri" w:hAnsi="Calibri"/>
          <w:sz w:val="22"/>
          <w:szCs w:val="22"/>
        </w:rPr>
      </w:pPr>
      <w:r w:rsidRPr="00F63BAF">
        <w:rPr>
          <w:rFonts w:ascii="Calibri" w:hAnsi="Calibri"/>
          <w:sz w:val="22"/>
          <w:szCs w:val="22"/>
        </w:rPr>
        <w:t>a.</w:t>
      </w:r>
      <w:r w:rsidRPr="00F63BAF">
        <w:rPr>
          <w:rFonts w:ascii="Calibri" w:hAnsi="Calibri"/>
          <w:sz w:val="22"/>
          <w:szCs w:val="22"/>
        </w:rPr>
        <w:tab/>
        <w:t xml:space="preserve">5 intervals: </w:t>
      </w:r>
      <w:r w:rsidRPr="00F63BAF">
        <w:rPr>
          <w:rFonts w:ascii="Calibri" w:hAnsi="Calibri"/>
          <w:sz w:val="22"/>
          <w:szCs w:val="22"/>
        </w:rPr>
        <w:tab/>
        <w:t>40 - 45</w:t>
      </w:r>
      <w:r w:rsidRPr="00F63BAF">
        <w:rPr>
          <w:rFonts w:ascii="Calibri" w:hAnsi="Calibri"/>
          <w:sz w:val="22"/>
          <w:szCs w:val="22"/>
        </w:rPr>
        <w:tab/>
        <w:t>46 - 50</w:t>
      </w:r>
      <w:r w:rsidRPr="00F63BAF">
        <w:rPr>
          <w:rFonts w:ascii="Calibri" w:hAnsi="Calibri"/>
          <w:sz w:val="22"/>
          <w:szCs w:val="22"/>
        </w:rPr>
        <w:tab/>
        <w:t>51 - 56</w:t>
      </w:r>
      <w:r w:rsidRPr="00F63BAF">
        <w:rPr>
          <w:rFonts w:ascii="Calibri" w:hAnsi="Calibri"/>
          <w:sz w:val="22"/>
          <w:szCs w:val="22"/>
        </w:rPr>
        <w:tab/>
        <w:t>57 - 63</w:t>
      </w:r>
      <w:r w:rsidRPr="00F63BAF">
        <w:rPr>
          <w:rFonts w:ascii="Calibri" w:hAnsi="Calibri"/>
          <w:sz w:val="22"/>
          <w:szCs w:val="22"/>
        </w:rPr>
        <w:tab/>
        <w:t>64 - 70</w:t>
      </w:r>
    </w:p>
    <w:p w14:paraId="4A6E7C13" w14:textId="77777777" w:rsidR="00FC360C" w:rsidRPr="00F63BAF" w:rsidRDefault="00FC360C" w:rsidP="00FC360C">
      <w:pPr>
        <w:pStyle w:val="BodyText"/>
        <w:tabs>
          <w:tab w:val="left" w:pos="1134"/>
        </w:tabs>
        <w:ind w:left="567"/>
        <w:rPr>
          <w:rFonts w:ascii="Calibri" w:hAnsi="Calibri"/>
          <w:sz w:val="22"/>
          <w:szCs w:val="22"/>
        </w:rPr>
      </w:pPr>
      <w:r w:rsidRPr="00F63BAF">
        <w:rPr>
          <w:rFonts w:ascii="Calibri" w:hAnsi="Calibri"/>
          <w:sz w:val="22"/>
          <w:szCs w:val="22"/>
        </w:rPr>
        <w:t>b.</w:t>
      </w:r>
      <w:r w:rsidRPr="00F63BAF">
        <w:rPr>
          <w:rFonts w:ascii="Calibri" w:hAnsi="Calibri"/>
          <w:sz w:val="22"/>
          <w:szCs w:val="22"/>
        </w:rPr>
        <w:tab/>
        <w:t xml:space="preserve">3 intervals: </w:t>
      </w:r>
      <w:r w:rsidRPr="00F63BAF">
        <w:rPr>
          <w:rFonts w:ascii="Calibri" w:hAnsi="Calibri"/>
          <w:sz w:val="22"/>
          <w:szCs w:val="22"/>
        </w:rPr>
        <w:tab/>
        <w:t>40 - 48</w:t>
      </w:r>
      <w:r w:rsidRPr="00F63BAF">
        <w:rPr>
          <w:rFonts w:ascii="Calibri" w:hAnsi="Calibri"/>
          <w:sz w:val="22"/>
          <w:szCs w:val="22"/>
        </w:rPr>
        <w:tab/>
        <w:t>49 - 58</w:t>
      </w:r>
      <w:r w:rsidRPr="00F63BAF">
        <w:rPr>
          <w:rFonts w:ascii="Calibri" w:hAnsi="Calibri"/>
          <w:sz w:val="22"/>
          <w:szCs w:val="22"/>
        </w:rPr>
        <w:tab/>
        <w:t>59 – 70.</w:t>
      </w:r>
    </w:p>
    <w:p w14:paraId="0B9ACD95" w14:textId="77777777" w:rsidR="00FC360C" w:rsidRPr="00F63BAF" w:rsidRDefault="00FC360C" w:rsidP="00776C13">
      <w:pPr>
        <w:pStyle w:val="Heading2"/>
      </w:pPr>
      <w:bookmarkStart w:id="121" w:name="_Toc511217409"/>
      <w:r w:rsidRPr="00F63BAF">
        <w:t>2.3</w:t>
      </w:r>
      <w:r w:rsidRPr="00F63BAF">
        <w:tab/>
        <w:t>Seabird eggs</w:t>
      </w:r>
      <w:bookmarkEnd w:id="121"/>
    </w:p>
    <w:p w14:paraId="4CCD7717" w14:textId="77777777" w:rsidR="00FC360C" w:rsidRPr="00F63BAF" w:rsidRDefault="00FC360C" w:rsidP="00776C13">
      <w:pPr>
        <w:pStyle w:val="Heading3"/>
      </w:pPr>
      <w:bookmarkStart w:id="122" w:name="_Toc511217410"/>
      <w:r w:rsidRPr="00F63BAF">
        <w:t>2.3.1</w:t>
      </w:r>
      <w:r w:rsidRPr="00F63BAF">
        <w:tab/>
        <w:t>Permission</w:t>
      </w:r>
      <w:bookmarkEnd w:id="122"/>
    </w:p>
    <w:p w14:paraId="015E7C69" w14:textId="77777777" w:rsidR="00FC360C" w:rsidRPr="00F63BAF" w:rsidRDefault="00FC360C" w:rsidP="00FC360C">
      <w:pPr>
        <w:pStyle w:val="BodyText"/>
        <w:rPr>
          <w:rFonts w:ascii="Calibri" w:hAnsi="Calibri"/>
          <w:sz w:val="22"/>
          <w:szCs w:val="22"/>
        </w:rPr>
      </w:pPr>
      <w:r w:rsidRPr="00F63BAF">
        <w:rPr>
          <w:rFonts w:ascii="Calibri" w:hAnsi="Calibri"/>
          <w:sz w:val="22"/>
          <w:szCs w:val="22"/>
        </w:rPr>
        <w:t xml:space="preserve">Permission to collect the eggs must be received from the appropriate national authorities. </w:t>
      </w:r>
    </w:p>
    <w:p w14:paraId="20D76D76" w14:textId="77777777" w:rsidR="00FC360C" w:rsidRPr="00F63BAF" w:rsidRDefault="00FC360C" w:rsidP="00776C13">
      <w:pPr>
        <w:pStyle w:val="Heading3"/>
      </w:pPr>
      <w:bookmarkStart w:id="123" w:name="_Toc511217411"/>
      <w:r w:rsidRPr="00F63BAF">
        <w:t>2.3.2</w:t>
      </w:r>
      <w:r w:rsidRPr="00F63BAF">
        <w:tab/>
        <w:t>Sampling period and frequency</w:t>
      </w:r>
      <w:bookmarkEnd w:id="123"/>
    </w:p>
    <w:p w14:paraId="038F0CE2" w14:textId="77777777" w:rsidR="00FC360C" w:rsidRPr="00F63BAF" w:rsidRDefault="00FC360C" w:rsidP="00FC360C">
      <w:pPr>
        <w:pStyle w:val="BodyText"/>
        <w:rPr>
          <w:rFonts w:ascii="Calibri" w:hAnsi="Calibri"/>
          <w:sz w:val="22"/>
          <w:szCs w:val="22"/>
        </w:rPr>
      </w:pPr>
      <w:r w:rsidRPr="00F63BAF">
        <w:rPr>
          <w:rFonts w:ascii="Calibri" w:hAnsi="Calibri"/>
          <w:sz w:val="22"/>
          <w:szCs w:val="22"/>
        </w:rPr>
        <w:t>Eggs should be sampled annually at each site in May or June. Only clutches from the first laying cycle within a single year should be selected.</w:t>
      </w:r>
    </w:p>
    <w:p w14:paraId="21EDDDE2" w14:textId="77777777" w:rsidR="00FC360C" w:rsidRPr="00F63BAF" w:rsidRDefault="00FC360C" w:rsidP="00776C13">
      <w:pPr>
        <w:pStyle w:val="Heading3"/>
      </w:pPr>
      <w:bookmarkStart w:id="124" w:name="_Toc511217412"/>
      <w:r w:rsidRPr="00F63BAF">
        <w:t>2.3.3</w:t>
      </w:r>
      <w:r w:rsidRPr="00F63BAF">
        <w:tab/>
        <w:t>Number of eggs and sampling procedure</w:t>
      </w:r>
      <w:bookmarkEnd w:id="124"/>
    </w:p>
    <w:p w14:paraId="3D65E388" w14:textId="77777777" w:rsidR="00FC360C" w:rsidRPr="00F63BAF" w:rsidRDefault="00FC360C" w:rsidP="00FC360C">
      <w:pPr>
        <w:pStyle w:val="BodyText"/>
        <w:rPr>
          <w:rFonts w:ascii="Calibri" w:hAnsi="Calibri"/>
          <w:sz w:val="22"/>
          <w:szCs w:val="22"/>
        </w:rPr>
      </w:pPr>
      <w:r w:rsidRPr="00F63BAF">
        <w:rPr>
          <w:rFonts w:ascii="Calibri" w:hAnsi="Calibri"/>
          <w:sz w:val="22"/>
          <w:szCs w:val="22"/>
        </w:rPr>
        <w:t>Eggs should only be taken from full clutches (i.e. common tern 3 eggs, oystercatcher 3</w:t>
      </w:r>
      <w:r w:rsidRPr="00F63BAF">
        <w:rPr>
          <w:rFonts w:ascii="Calibri" w:hAnsi="Calibri"/>
          <w:sz w:val="22"/>
          <w:szCs w:val="22"/>
        </w:rPr>
        <w:noBreakHyphen/>
        <w:t>4 eggs). Eggs should not be taken from abandoned clutches. Only one egg should be taken from each clutch. Ten eggs should be selected in total (i.e. one egg from 10 separate clutches) and it is important to choose the egg from each clutch randomly. As the eggs must be fresh (i.e. between 1</w:t>
      </w:r>
      <w:r w:rsidRPr="00F63BAF">
        <w:rPr>
          <w:rFonts w:ascii="Calibri" w:hAnsi="Calibri"/>
          <w:sz w:val="22"/>
          <w:szCs w:val="22"/>
        </w:rPr>
        <w:noBreakHyphen/>
        <w:t>5 days incubation) information about the incubation stage of each egg is required. Two methods are recommended for determining incubation stage:</w:t>
      </w:r>
    </w:p>
    <w:p w14:paraId="08D6B1FD" w14:textId="77777777" w:rsidR="00FC360C" w:rsidRPr="00F63BAF" w:rsidRDefault="00FC360C" w:rsidP="00FC360C">
      <w:pPr>
        <w:pStyle w:val="BodyText"/>
        <w:tabs>
          <w:tab w:val="clear" w:pos="357"/>
          <w:tab w:val="left" w:pos="1134"/>
        </w:tabs>
        <w:ind w:left="1134" w:hanging="567"/>
        <w:rPr>
          <w:rFonts w:ascii="Calibri" w:hAnsi="Calibri"/>
          <w:sz w:val="22"/>
          <w:szCs w:val="22"/>
        </w:rPr>
      </w:pPr>
      <w:proofErr w:type="gramStart"/>
      <w:r w:rsidRPr="00F63BAF">
        <w:rPr>
          <w:rFonts w:ascii="Calibri" w:hAnsi="Calibri"/>
          <w:sz w:val="22"/>
          <w:szCs w:val="22"/>
        </w:rPr>
        <w:t>a</w:t>
      </w:r>
      <w:proofErr w:type="gramEnd"/>
      <w:r w:rsidRPr="00F63BAF">
        <w:rPr>
          <w:rFonts w:ascii="Calibri" w:hAnsi="Calibri"/>
          <w:sz w:val="22"/>
          <w:szCs w:val="22"/>
        </w:rPr>
        <w:t>.</w:t>
      </w:r>
      <w:r w:rsidRPr="00F63BAF">
        <w:rPr>
          <w:rFonts w:ascii="Calibri" w:hAnsi="Calibri"/>
          <w:sz w:val="22"/>
          <w:szCs w:val="22"/>
        </w:rPr>
        <w:tab/>
        <w:t>locate 12</w:t>
      </w:r>
      <w:r w:rsidRPr="00F63BAF">
        <w:rPr>
          <w:rFonts w:ascii="Calibri" w:hAnsi="Calibri"/>
          <w:sz w:val="22"/>
          <w:szCs w:val="22"/>
        </w:rPr>
        <w:noBreakHyphen/>
        <w:t>15 clutches containing one egg only and mark these by placing a peg about 1 m from the nest. Check the clutches every other day until they are complete. Take one egg randomly from the completed clutch;</w:t>
      </w:r>
    </w:p>
    <w:p w14:paraId="2F76DCFA" w14:textId="77777777" w:rsidR="00FC360C" w:rsidRPr="00F63BAF" w:rsidRDefault="00FC360C" w:rsidP="00FC360C">
      <w:pPr>
        <w:pStyle w:val="BodyText"/>
        <w:tabs>
          <w:tab w:val="clear" w:pos="357"/>
          <w:tab w:val="left" w:pos="1134"/>
        </w:tabs>
        <w:ind w:left="1134" w:hanging="567"/>
        <w:rPr>
          <w:rFonts w:ascii="Calibri" w:hAnsi="Calibri"/>
          <w:sz w:val="22"/>
          <w:szCs w:val="22"/>
        </w:rPr>
      </w:pPr>
      <w:proofErr w:type="gramStart"/>
      <w:r w:rsidRPr="00F63BAF">
        <w:rPr>
          <w:rFonts w:ascii="Calibri" w:hAnsi="Calibri"/>
          <w:sz w:val="22"/>
          <w:szCs w:val="22"/>
        </w:rPr>
        <w:t>b</w:t>
      </w:r>
      <w:proofErr w:type="gramEnd"/>
      <w:r w:rsidRPr="00F63BAF">
        <w:rPr>
          <w:rFonts w:ascii="Calibri" w:hAnsi="Calibri"/>
          <w:sz w:val="22"/>
          <w:szCs w:val="22"/>
        </w:rPr>
        <w:t>.</w:t>
      </w:r>
      <w:r w:rsidRPr="00F63BAF">
        <w:rPr>
          <w:rFonts w:ascii="Calibri" w:hAnsi="Calibri"/>
          <w:sz w:val="22"/>
          <w:szCs w:val="22"/>
        </w:rPr>
        <w:tab/>
        <w:t>fill a 1 litre plastic beaker with water and place the egg in the water:</w:t>
      </w:r>
    </w:p>
    <w:p w14:paraId="7E0820C8" w14:textId="77777777" w:rsidR="00FC360C" w:rsidRPr="00F63BAF" w:rsidRDefault="00FC360C" w:rsidP="00FC360C">
      <w:pPr>
        <w:pStyle w:val="BodyText"/>
        <w:ind w:left="1701" w:hanging="567"/>
        <w:rPr>
          <w:rFonts w:ascii="Calibri" w:hAnsi="Calibri"/>
          <w:sz w:val="22"/>
          <w:szCs w:val="22"/>
        </w:rPr>
      </w:pPr>
      <w:proofErr w:type="gramStart"/>
      <w:r w:rsidRPr="00F63BAF">
        <w:rPr>
          <w:rFonts w:ascii="Calibri" w:hAnsi="Calibri"/>
          <w:sz w:val="22"/>
          <w:szCs w:val="22"/>
        </w:rPr>
        <w:t>i</w:t>
      </w:r>
      <w:proofErr w:type="gramEnd"/>
      <w:r w:rsidRPr="00F63BAF">
        <w:rPr>
          <w:rFonts w:ascii="Calibri" w:hAnsi="Calibri"/>
          <w:sz w:val="22"/>
          <w:szCs w:val="22"/>
        </w:rPr>
        <w:t>.</w:t>
      </w:r>
      <w:r w:rsidRPr="00F63BAF">
        <w:rPr>
          <w:rFonts w:ascii="Calibri" w:hAnsi="Calibri"/>
          <w:sz w:val="22"/>
          <w:szCs w:val="22"/>
        </w:rPr>
        <w:tab/>
        <w:t>fresh eggs (</w:t>
      </w:r>
      <w:r w:rsidRPr="00F63BAF">
        <w:rPr>
          <w:rFonts w:ascii="Calibri" w:hAnsi="Calibri"/>
          <w:i/>
          <w:sz w:val="22"/>
          <w:szCs w:val="22"/>
        </w:rPr>
        <w:t>i.e.</w:t>
      </w:r>
      <w:r w:rsidRPr="00F63BAF">
        <w:rPr>
          <w:rFonts w:ascii="Calibri" w:hAnsi="Calibri"/>
          <w:sz w:val="22"/>
          <w:szCs w:val="22"/>
        </w:rPr>
        <w:t xml:space="preserve"> of 1</w:t>
      </w:r>
      <w:r w:rsidRPr="00F63BAF">
        <w:rPr>
          <w:rFonts w:ascii="Calibri" w:hAnsi="Calibri"/>
          <w:sz w:val="22"/>
          <w:szCs w:val="22"/>
        </w:rPr>
        <w:noBreakHyphen/>
        <w:t>2 days incubation) will lie on the bottom with the long axis parallel to the bottom;</w:t>
      </w:r>
    </w:p>
    <w:p w14:paraId="18DEA12E" w14:textId="77777777" w:rsidR="00FC360C" w:rsidRPr="00F63BAF" w:rsidRDefault="00FC360C" w:rsidP="00FC360C">
      <w:pPr>
        <w:pStyle w:val="BodyText"/>
        <w:ind w:left="1701" w:hanging="567"/>
        <w:rPr>
          <w:rFonts w:ascii="Calibri" w:hAnsi="Calibri"/>
          <w:sz w:val="22"/>
          <w:szCs w:val="22"/>
        </w:rPr>
      </w:pPr>
      <w:r w:rsidRPr="00F63BAF">
        <w:rPr>
          <w:rFonts w:ascii="Calibri" w:hAnsi="Calibri"/>
          <w:sz w:val="22"/>
          <w:szCs w:val="22"/>
        </w:rPr>
        <w:t>ii.</w:t>
      </w:r>
      <w:r w:rsidRPr="00F63BAF">
        <w:rPr>
          <w:rFonts w:ascii="Calibri" w:hAnsi="Calibri"/>
          <w:sz w:val="22"/>
          <w:szCs w:val="22"/>
        </w:rPr>
        <w:tab/>
      </w:r>
      <w:proofErr w:type="gramStart"/>
      <w:r w:rsidRPr="00F63BAF">
        <w:rPr>
          <w:rFonts w:ascii="Calibri" w:hAnsi="Calibri"/>
          <w:sz w:val="22"/>
          <w:szCs w:val="22"/>
        </w:rPr>
        <w:t>eggs</w:t>
      </w:r>
      <w:proofErr w:type="gramEnd"/>
      <w:r w:rsidRPr="00F63BAF">
        <w:rPr>
          <w:rFonts w:ascii="Calibri" w:hAnsi="Calibri"/>
          <w:sz w:val="22"/>
          <w:szCs w:val="22"/>
        </w:rPr>
        <w:t xml:space="preserve"> of 3</w:t>
      </w:r>
      <w:r w:rsidRPr="00F63BAF">
        <w:rPr>
          <w:rFonts w:ascii="Calibri" w:hAnsi="Calibri"/>
          <w:sz w:val="22"/>
          <w:szCs w:val="22"/>
        </w:rPr>
        <w:noBreakHyphen/>
        <w:t>6 days incubation will rest with the small end on the bottom of the beaker and the long axis forming an angle of 30-45°;</w:t>
      </w:r>
    </w:p>
    <w:p w14:paraId="2FDA1364" w14:textId="77777777" w:rsidR="00FC360C" w:rsidRPr="00F63BAF" w:rsidRDefault="00FC360C" w:rsidP="00FC360C">
      <w:pPr>
        <w:pStyle w:val="BodyText"/>
        <w:ind w:left="1701" w:hanging="567"/>
        <w:rPr>
          <w:rFonts w:ascii="Calibri" w:hAnsi="Calibri"/>
          <w:sz w:val="22"/>
          <w:szCs w:val="22"/>
        </w:rPr>
      </w:pPr>
      <w:r w:rsidRPr="00F63BAF">
        <w:rPr>
          <w:rFonts w:ascii="Calibri" w:hAnsi="Calibri"/>
          <w:sz w:val="22"/>
          <w:szCs w:val="22"/>
        </w:rPr>
        <w:t>iii.</w:t>
      </w:r>
      <w:r w:rsidRPr="00F63BAF">
        <w:rPr>
          <w:rFonts w:ascii="Calibri" w:hAnsi="Calibri"/>
          <w:sz w:val="22"/>
          <w:szCs w:val="22"/>
        </w:rPr>
        <w:tab/>
      </w:r>
      <w:proofErr w:type="gramStart"/>
      <w:r w:rsidRPr="00F63BAF">
        <w:rPr>
          <w:rFonts w:ascii="Calibri" w:hAnsi="Calibri"/>
          <w:sz w:val="22"/>
          <w:szCs w:val="22"/>
        </w:rPr>
        <w:t>eggs</w:t>
      </w:r>
      <w:proofErr w:type="gramEnd"/>
      <w:r w:rsidRPr="00F63BAF">
        <w:rPr>
          <w:rFonts w:ascii="Calibri" w:hAnsi="Calibri"/>
          <w:sz w:val="22"/>
          <w:szCs w:val="22"/>
        </w:rPr>
        <w:t xml:space="preserve"> which float or stand vertically with the small end on the bottom are of more than 7 days incubation and should not be selected.</w:t>
      </w:r>
    </w:p>
    <w:p w14:paraId="5C26A736" w14:textId="77777777" w:rsidR="00FC360C" w:rsidRPr="00F63BAF" w:rsidRDefault="00FC360C" w:rsidP="00FC360C">
      <w:pPr>
        <w:pStyle w:val="BodyText"/>
        <w:rPr>
          <w:rFonts w:ascii="Calibri" w:hAnsi="Calibri"/>
          <w:sz w:val="22"/>
          <w:szCs w:val="22"/>
        </w:rPr>
      </w:pPr>
      <w:r w:rsidRPr="00F63BAF">
        <w:rPr>
          <w:rFonts w:ascii="Calibri" w:hAnsi="Calibri"/>
          <w:sz w:val="22"/>
          <w:szCs w:val="22"/>
        </w:rPr>
        <w:t>Each nest from which an egg has been taken should be marked, using a peg or some other type of marker, to ensure that a second egg is not taken. While still in the field the egg selected should be put into a numbered plastic egg box. The number of the box should be written on the shell of the egg in soft pencil. The clutch size from which the egg was taken, the nest number and the sampling date should be recorded.</w:t>
      </w:r>
    </w:p>
    <w:p w14:paraId="51E9B22F" w14:textId="77777777" w:rsidR="00FC360C" w:rsidRPr="00F63BAF" w:rsidRDefault="00FC360C" w:rsidP="00776C13">
      <w:pPr>
        <w:pStyle w:val="Heading3"/>
      </w:pPr>
      <w:bookmarkStart w:id="125" w:name="_Toc511217413"/>
      <w:r w:rsidRPr="00F63BAF">
        <w:t>2.3.4</w:t>
      </w:r>
      <w:r w:rsidRPr="00F63BAF">
        <w:tab/>
        <w:t>Materials</w:t>
      </w:r>
      <w:bookmarkEnd w:id="125"/>
    </w:p>
    <w:p w14:paraId="0D65A0AD" w14:textId="77777777" w:rsidR="00FC360C" w:rsidRPr="00F63BAF" w:rsidRDefault="00FC360C" w:rsidP="00FC360C">
      <w:pPr>
        <w:pStyle w:val="BodyText"/>
        <w:rPr>
          <w:rFonts w:ascii="Calibri" w:hAnsi="Calibri"/>
          <w:sz w:val="22"/>
          <w:szCs w:val="22"/>
        </w:rPr>
      </w:pPr>
      <w:r w:rsidRPr="00F63BAF">
        <w:rPr>
          <w:rFonts w:ascii="Calibri" w:hAnsi="Calibri"/>
          <w:sz w:val="22"/>
          <w:szCs w:val="22"/>
        </w:rPr>
        <w:t>For each species, area and year the following are required:</w:t>
      </w:r>
    </w:p>
    <w:p w14:paraId="0ED1BA08" w14:textId="77777777" w:rsidR="00FC360C" w:rsidRPr="00F63BAF" w:rsidRDefault="00FC360C" w:rsidP="00FC360C">
      <w:pPr>
        <w:pStyle w:val="BodyText"/>
        <w:numPr>
          <w:ilvl w:val="0"/>
          <w:numId w:val="13"/>
        </w:numPr>
        <w:rPr>
          <w:rFonts w:ascii="Calibri" w:hAnsi="Calibri"/>
          <w:sz w:val="22"/>
          <w:szCs w:val="22"/>
        </w:rPr>
      </w:pPr>
      <w:r w:rsidRPr="00F63BAF">
        <w:rPr>
          <w:rFonts w:ascii="Calibri" w:hAnsi="Calibri"/>
          <w:sz w:val="22"/>
          <w:szCs w:val="22"/>
        </w:rPr>
        <w:t>nest pegs;</w:t>
      </w:r>
    </w:p>
    <w:p w14:paraId="1EDA8CB1" w14:textId="77777777" w:rsidR="00FC360C" w:rsidRPr="00F63BAF" w:rsidRDefault="00FC360C" w:rsidP="00FC360C">
      <w:pPr>
        <w:pStyle w:val="BodyText"/>
        <w:numPr>
          <w:ilvl w:val="0"/>
          <w:numId w:val="13"/>
        </w:numPr>
        <w:rPr>
          <w:rFonts w:ascii="Calibri" w:hAnsi="Calibri"/>
          <w:sz w:val="22"/>
          <w:szCs w:val="22"/>
        </w:rPr>
      </w:pPr>
      <w:r w:rsidRPr="00F63BAF">
        <w:rPr>
          <w:rFonts w:ascii="Calibri" w:hAnsi="Calibri"/>
          <w:sz w:val="22"/>
          <w:szCs w:val="22"/>
        </w:rPr>
        <w:t>a non-toxic, waterproof marker;</w:t>
      </w:r>
    </w:p>
    <w:p w14:paraId="4154163A" w14:textId="77777777" w:rsidR="00FC360C" w:rsidRPr="00F63BAF" w:rsidRDefault="00FC360C" w:rsidP="00FC360C">
      <w:pPr>
        <w:pStyle w:val="BodyText"/>
        <w:numPr>
          <w:ilvl w:val="0"/>
          <w:numId w:val="13"/>
        </w:numPr>
        <w:rPr>
          <w:rFonts w:ascii="Calibri" w:hAnsi="Calibri"/>
          <w:sz w:val="22"/>
          <w:szCs w:val="22"/>
        </w:rPr>
      </w:pPr>
      <w:r w:rsidRPr="00F63BAF">
        <w:rPr>
          <w:rFonts w:ascii="Calibri" w:hAnsi="Calibri"/>
          <w:sz w:val="22"/>
          <w:szCs w:val="22"/>
        </w:rPr>
        <w:t>a 1 litre plastic beaker;</w:t>
      </w:r>
    </w:p>
    <w:p w14:paraId="51E58430" w14:textId="77777777" w:rsidR="00FC360C" w:rsidRPr="00F63BAF" w:rsidRDefault="00FC360C" w:rsidP="00FC360C">
      <w:pPr>
        <w:pStyle w:val="BodyText"/>
        <w:numPr>
          <w:ilvl w:val="0"/>
          <w:numId w:val="13"/>
        </w:numPr>
        <w:rPr>
          <w:rFonts w:ascii="Calibri" w:hAnsi="Calibri"/>
          <w:sz w:val="22"/>
          <w:szCs w:val="22"/>
        </w:rPr>
      </w:pPr>
      <w:proofErr w:type="gramStart"/>
      <w:r w:rsidRPr="00F63BAF">
        <w:rPr>
          <w:rFonts w:ascii="Calibri" w:hAnsi="Calibri"/>
          <w:sz w:val="22"/>
          <w:szCs w:val="22"/>
        </w:rPr>
        <w:t>numbered</w:t>
      </w:r>
      <w:proofErr w:type="gramEnd"/>
      <w:r w:rsidRPr="00F63BAF">
        <w:rPr>
          <w:rFonts w:ascii="Calibri" w:hAnsi="Calibri"/>
          <w:sz w:val="22"/>
          <w:szCs w:val="22"/>
        </w:rPr>
        <w:t xml:space="preserve"> egg boxes (e.g. for oystercatcher: 100 ml, polypropylene polyethylene, ø 55*73 mm, and for common tern: 50 ml, polystyrol/polyethylene, ø 41*49 mm).</w:t>
      </w:r>
    </w:p>
    <w:p w14:paraId="6D0D0C76" w14:textId="77777777" w:rsidR="00FC360C" w:rsidRPr="00F63BAF" w:rsidRDefault="00FC360C" w:rsidP="00F63BAF">
      <w:pPr>
        <w:pStyle w:val="Heading1"/>
      </w:pPr>
      <w:bookmarkStart w:id="126" w:name="_Toc511217414"/>
      <w:r w:rsidRPr="00F63BAF">
        <w:t>3.</w:t>
      </w:r>
      <w:r w:rsidRPr="00F63BAF">
        <w:tab/>
        <w:t>Transportation</w:t>
      </w:r>
      <w:bookmarkEnd w:id="126"/>
    </w:p>
    <w:p w14:paraId="28A401B5" w14:textId="77777777" w:rsidR="00FC360C" w:rsidRPr="00776C13" w:rsidRDefault="00FC360C" w:rsidP="00776C13">
      <w:pPr>
        <w:pStyle w:val="Heading2"/>
      </w:pPr>
      <w:bookmarkStart w:id="127" w:name="_Toc511217415"/>
      <w:r w:rsidRPr="00776C13">
        <w:t>3.1</w:t>
      </w:r>
      <w:r w:rsidRPr="00776C13">
        <w:tab/>
        <w:t>Fish and shellfish</w:t>
      </w:r>
      <w:bookmarkEnd w:id="127"/>
    </w:p>
    <w:p w14:paraId="36E23387" w14:textId="77777777" w:rsidR="00FC360C" w:rsidRPr="00776C13" w:rsidRDefault="00FC360C" w:rsidP="00FC360C">
      <w:pPr>
        <w:pStyle w:val="BodyText"/>
        <w:rPr>
          <w:rFonts w:ascii="Calibri" w:hAnsi="Calibri"/>
          <w:sz w:val="22"/>
          <w:szCs w:val="22"/>
        </w:rPr>
      </w:pPr>
      <w:r w:rsidRPr="00776C13">
        <w:rPr>
          <w:rFonts w:ascii="Calibri" w:hAnsi="Calibri"/>
          <w:sz w:val="22"/>
          <w:szCs w:val="22"/>
        </w:rPr>
        <w:t>Samples should be kept cool and frozen at below -20°C as soon as possible after collection. Length and weight should be determined before freezing. Live mussels should be transported in closed containers at temperatures between 5</w:t>
      </w:r>
      <w:r w:rsidRPr="00776C13">
        <w:rPr>
          <w:rFonts w:ascii="Calibri" w:hAnsi="Calibri"/>
          <w:sz w:val="22"/>
          <w:szCs w:val="22"/>
        </w:rPr>
        <w:noBreakHyphen/>
        <w:t xml:space="preserve">15°C, preferably below 10°C. Frozen samples should be transported in closed containers at temperatures below -20°C. More rigorous conditions will be necessary for samples for biological effects monitoring, </w:t>
      </w:r>
      <w:r w:rsidRPr="00776C13">
        <w:rPr>
          <w:rFonts w:ascii="Calibri" w:hAnsi="Calibri"/>
          <w:i/>
          <w:sz w:val="22"/>
          <w:szCs w:val="22"/>
        </w:rPr>
        <w:t>e.g.</w:t>
      </w:r>
      <w:r w:rsidRPr="00776C13">
        <w:rPr>
          <w:rFonts w:ascii="Calibri" w:hAnsi="Calibri"/>
          <w:sz w:val="22"/>
          <w:szCs w:val="22"/>
        </w:rPr>
        <w:t xml:space="preserve"> storage in liquid nitrogen.</w:t>
      </w:r>
    </w:p>
    <w:p w14:paraId="1EDF936B" w14:textId="77777777" w:rsidR="00FC360C" w:rsidRPr="00776C13" w:rsidRDefault="00FC360C" w:rsidP="002F237A">
      <w:pPr>
        <w:pStyle w:val="Heading3"/>
      </w:pPr>
      <w:bookmarkStart w:id="128" w:name="_Toc511217416"/>
      <w:r w:rsidRPr="00776C13">
        <w:t>3.2</w:t>
      </w:r>
      <w:r w:rsidRPr="00776C13">
        <w:tab/>
        <w:t>Seabird eggs</w:t>
      </w:r>
      <w:bookmarkEnd w:id="128"/>
    </w:p>
    <w:p w14:paraId="02272D64" w14:textId="77777777" w:rsidR="00FC360C" w:rsidRPr="00776C13" w:rsidRDefault="00FC360C" w:rsidP="00FC360C">
      <w:pPr>
        <w:pStyle w:val="BodyText"/>
        <w:rPr>
          <w:rFonts w:ascii="Calibri" w:hAnsi="Calibri"/>
          <w:sz w:val="22"/>
          <w:szCs w:val="22"/>
        </w:rPr>
      </w:pPr>
      <w:r w:rsidRPr="00776C13">
        <w:rPr>
          <w:rFonts w:ascii="Calibri" w:hAnsi="Calibri"/>
          <w:sz w:val="22"/>
          <w:szCs w:val="22"/>
        </w:rPr>
        <w:t>Eggs should be kept cool and frozen at -18°C as soon as possible after collection.</w:t>
      </w:r>
    </w:p>
    <w:p w14:paraId="34050DAD" w14:textId="77777777" w:rsidR="00FC360C" w:rsidRPr="00F63BAF" w:rsidRDefault="00FC360C" w:rsidP="002F237A">
      <w:pPr>
        <w:pStyle w:val="Heading2"/>
        <w:rPr>
          <w:lang w:val="en-GB"/>
        </w:rPr>
      </w:pPr>
      <w:bookmarkStart w:id="129" w:name="_Toc511217417"/>
      <w:r w:rsidRPr="00F63BAF">
        <w:rPr>
          <w:lang w:val="en-GB"/>
        </w:rPr>
        <w:t>4.</w:t>
      </w:r>
      <w:r w:rsidRPr="00F63BAF">
        <w:rPr>
          <w:lang w:val="en-GB"/>
        </w:rPr>
        <w:tab/>
        <w:t>Pre-treatment and storage</w:t>
      </w:r>
      <w:bookmarkEnd w:id="129"/>
    </w:p>
    <w:p w14:paraId="40EA701B" w14:textId="77777777" w:rsidR="00FC360C" w:rsidRPr="00F63BAF" w:rsidRDefault="00FC360C" w:rsidP="002F237A">
      <w:pPr>
        <w:pStyle w:val="Heading3"/>
      </w:pPr>
      <w:bookmarkStart w:id="130" w:name="_Toc511217418"/>
      <w:r w:rsidRPr="00F63BAF">
        <w:t>4.1</w:t>
      </w:r>
      <w:r w:rsidRPr="00F63BAF">
        <w:tab/>
        <w:t>Contamination</w:t>
      </w:r>
      <w:bookmarkEnd w:id="130"/>
    </w:p>
    <w:p w14:paraId="7CDB8682" w14:textId="7BE37BCF" w:rsidR="00FC360C" w:rsidRPr="00F63BAF" w:rsidRDefault="00FC360C" w:rsidP="00FC360C">
      <w:pPr>
        <w:pStyle w:val="BodyText"/>
        <w:rPr>
          <w:rFonts w:ascii="Calibri" w:hAnsi="Calibri"/>
          <w:b/>
        </w:rPr>
      </w:pPr>
      <w:r w:rsidRPr="00F63BAF">
        <w:rPr>
          <w:rFonts w:ascii="Calibri" w:hAnsi="Calibri"/>
        </w:rPr>
        <w:t>Sample contamination may occur during sampling, sample handling, pre-treatment and analysis (Oehlenschläger, 1994a), due to the environment, the containers or packing material used, the instruments used during sample preparation or from the chemical reagents used during the analytical procedures. Controlled conditions are therefore required for all procedures, including the dissection of fish organs on board ship. Relevant references concerning clean laboratories include Moody (1982), Mitchell (1982a), Boutron (1990) and Schmidt and Gerwinski (1994).</w:t>
      </w:r>
    </w:p>
    <w:p w14:paraId="0CC42D1B" w14:textId="77777777" w:rsidR="00FC360C" w:rsidRPr="00F63BAF" w:rsidRDefault="00FC360C" w:rsidP="00776C13">
      <w:pPr>
        <w:pStyle w:val="Heading2"/>
      </w:pPr>
      <w:bookmarkStart w:id="131" w:name="_Toc511217419"/>
      <w:r w:rsidRPr="00F63BAF">
        <w:t>4.2</w:t>
      </w:r>
      <w:r w:rsidRPr="00F63BAF">
        <w:tab/>
        <w:t>Fish</w:t>
      </w:r>
      <w:bookmarkEnd w:id="131"/>
    </w:p>
    <w:p w14:paraId="5D030C4B" w14:textId="77777777" w:rsidR="00FC360C" w:rsidRPr="00F63BAF" w:rsidRDefault="00FC360C" w:rsidP="00776C13">
      <w:pPr>
        <w:pStyle w:val="Heading3"/>
      </w:pPr>
      <w:bookmarkStart w:id="132" w:name="_Toc511217420"/>
      <w:r w:rsidRPr="00F63BAF">
        <w:t>4.2.1</w:t>
      </w:r>
      <w:r w:rsidRPr="00F63BAF">
        <w:tab/>
        <w:t>Dissection, storage and drying</w:t>
      </w:r>
      <w:bookmarkEnd w:id="132"/>
    </w:p>
    <w:p w14:paraId="58FB8EE2"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Ungutted fish should be wrapped separately in suitable material (e.g. polyethylene or polytetrafluorethylene) and frozen. The frozen samples should be stored in suitable containers to avoid damage. Sub-samples (e.g. of liver) should be stored in a suitable acid-cleaned container, preferably glass, and frozen or freeze-dried immediately. During freeze-drying, sample temperature should be maintained below 0°C to avoid the loss of volatile compounds. The individual samples should be clearly labelled and stored together in a suitable container. The frozen samples should be maintained at below </w:t>
      </w:r>
      <w:r w:rsidRPr="00776C13">
        <w:rPr>
          <w:rFonts w:ascii="Calibri" w:hAnsi="Calibri"/>
          <w:sz w:val="22"/>
          <w:szCs w:val="22"/>
        </w:rPr>
        <w:noBreakHyphen/>
        <w:t xml:space="preserve">20°C until analysis. Freeze-dried samples should be stored in a dessicator. Sub-samples for enzyme tests should be stored in vials suitable for storage in liquid nitrogen, labelled clearly and stored in liquid nitrogen until analysis. </w:t>
      </w:r>
    </w:p>
    <w:p w14:paraId="45A554AF"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The dissection must always be done by trained personnel on a clean bench, wearing clean gloves and using clean stainless steel knives which may be equipped with blades made of ceramics or titanium to reduce the risk of Cr and Ni contamination. Colourless polyethylene tweezers are recommended for holding tissues during dissection. After each sample has been prepared, the tools should be cleaned regularly. The following procedure is recommended:</w:t>
      </w:r>
    </w:p>
    <w:p w14:paraId="72AE9C95" w14:textId="77777777" w:rsidR="00FC360C" w:rsidRPr="00776C13" w:rsidRDefault="00FC360C" w:rsidP="00776C13">
      <w:pPr>
        <w:pStyle w:val="BodyText"/>
        <w:numPr>
          <w:ilvl w:val="0"/>
          <w:numId w:val="22"/>
        </w:numPr>
        <w:spacing w:after="120" w:line="276" w:lineRule="auto"/>
        <w:rPr>
          <w:rFonts w:ascii="Calibri" w:hAnsi="Calibri"/>
          <w:sz w:val="22"/>
          <w:szCs w:val="22"/>
        </w:rPr>
      </w:pPr>
      <w:r w:rsidRPr="00776C13">
        <w:rPr>
          <w:rFonts w:ascii="Calibri" w:hAnsi="Calibri"/>
          <w:sz w:val="22"/>
          <w:szCs w:val="22"/>
        </w:rPr>
        <w:t>wash in acetone or alcohol and high purity water;</w:t>
      </w:r>
    </w:p>
    <w:p w14:paraId="2FB9E642" w14:textId="4B9AA781" w:rsidR="00FC360C" w:rsidRPr="0073238F" w:rsidRDefault="0073238F" w:rsidP="00776C13">
      <w:pPr>
        <w:pStyle w:val="BodyText"/>
        <w:numPr>
          <w:ilvl w:val="0"/>
          <w:numId w:val="22"/>
        </w:numPr>
        <w:spacing w:after="120" w:line="276" w:lineRule="auto"/>
        <w:rPr>
          <w:rFonts w:ascii="Calibri" w:hAnsi="Calibri"/>
          <w:sz w:val="22"/>
          <w:szCs w:val="22"/>
        </w:rPr>
      </w:pPr>
      <w:r w:rsidRPr="0073238F">
        <w:rPr>
          <w:rFonts w:ascii="Calibri" w:hAnsi="Calibri"/>
          <w:sz w:val="22"/>
          <w:szCs w:val="22"/>
        </w:rPr>
        <w:t>wash</w:t>
      </w:r>
      <w:r w:rsidR="0001507E">
        <w:rPr>
          <w:rFonts w:ascii="Calibri" w:hAnsi="Calibri"/>
          <w:sz w:val="22"/>
          <w:szCs w:val="22"/>
        </w:rPr>
        <w:t xml:space="preserve"> non-stainless steel tools</w:t>
      </w:r>
      <w:r w:rsidRPr="0073238F">
        <w:rPr>
          <w:rFonts w:ascii="Calibri" w:hAnsi="Calibri"/>
          <w:sz w:val="22"/>
          <w:szCs w:val="22"/>
        </w:rPr>
        <w:t xml:space="preserve"> in HNO</w:t>
      </w:r>
      <w:r w:rsidRPr="0073238F">
        <w:rPr>
          <w:rFonts w:ascii="Calibri" w:hAnsi="Calibri"/>
          <w:sz w:val="22"/>
          <w:szCs w:val="22"/>
          <w:vertAlign w:val="subscript"/>
        </w:rPr>
        <w:t>3</w:t>
      </w:r>
      <w:r w:rsidRPr="0073238F">
        <w:rPr>
          <w:rFonts w:ascii="Calibri" w:hAnsi="Calibri"/>
          <w:sz w:val="22"/>
          <w:szCs w:val="22"/>
        </w:rPr>
        <w:t xml:space="preserve"> p.a./high purity water diluted 1+1, (for tweezers diluted 1+6)</w:t>
      </w:r>
      <w:r w:rsidR="00FC360C" w:rsidRPr="0073238F">
        <w:rPr>
          <w:rFonts w:ascii="Calibri" w:hAnsi="Calibri"/>
          <w:sz w:val="22"/>
          <w:szCs w:val="22"/>
        </w:rPr>
        <w:t>;</w:t>
      </w:r>
    </w:p>
    <w:p w14:paraId="09C33BA2" w14:textId="77777777" w:rsidR="00FC360C" w:rsidRPr="00776C13" w:rsidRDefault="00FC360C" w:rsidP="00776C13">
      <w:pPr>
        <w:pStyle w:val="BodyText"/>
        <w:numPr>
          <w:ilvl w:val="0"/>
          <w:numId w:val="22"/>
        </w:numPr>
        <w:spacing w:after="120" w:line="276" w:lineRule="auto"/>
        <w:rPr>
          <w:rFonts w:ascii="Calibri" w:hAnsi="Calibri"/>
          <w:sz w:val="22"/>
          <w:szCs w:val="22"/>
        </w:rPr>
      </w:pPr>
      <w:proofErr w:type="gramStart"/>
      <w:r w:rsidRPr="00776C13">
        <w:rPr>
          <w:rFonts w:ascii="Calibri" w:hAnsi="Calibri"/>
          <w:sz w:val="22"/>
          <w:szCs w:val="22"/>
        </w:rPr>
        <w:t>rinse</w:t>
      </w:r>
      <w:proofErr w:type="gramEnd"/>
      <w:r w:rsidRPr="00776C13">
        <w:rPr>
          <w:rFonts w:ascii="Calibri" w:hAnsi="Calibri"/>
          <w:sz w:val="22"/>
          <w:szCs w:val="22"/>
        </w:rPr>
        <w:t xml:space="preserve"> with high purity water.</w:t>
      </w:r>
    </w:p>
    <w:p w14:paraId="21D37E89" w14:textId="77777777" w:rsidR="00FC360C" w:rsidRPr="00776C13" w:rsidRDefault="00FC360C" w:rsidP="00776C13">
      <w:pPr>
        <w:pStyle w:val="Heading3"/>
      </w:pPr>
      <w:bookmarkStart w:id="133" w:name="_Toc511217421"/>
      <w:r w:rsidRPr="00776C13">
        <w:t>4.2.2</w:t>
      </w:r>
      <w:r w:rsidRPr="00776C13">
        <w:tab/>
        <w:t>Sub-sampling</w:t>
      </w:r>
      <w:bookmarkEnd w:id="133"/>
    </w:p>
    <w:p w14:paraId="49AA0897"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To sample fish muscle, care should be taken to avoid including any epidermis or subcutaneous fatty tissue in the sample. Samples should be taken underneath the red muscle layer. In order to ensure uniformity the right side dorso-lateral muscle should be sampled. If possible, the entire right dorsal filet should be homogenised or freeze-dried and sub-samples taken for replicate dry weight and contaminant determinations. If however the amount of material to be homogenised would be too large, a specific portion of the dorsal musculature should be chosen. It is recommended that the portion of the muscle lying directly under the first dorsal fin be used in this case. As both fat and water content vary significantly in the muscle tissue from the anterior to the caudal muscle of the fish, in order to ensure comparability it is important to obtain the same portion of the muscle tissue for each sample (see Oehlenschläger, 1994b).</w:t>
      </w:r>
    </w:p>
    <w:p w14:paraId="1B1852E3" w14:textId="7BFE2AB8"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When dissecting the liver, care should be taken to avoid contamination from other organs (Viñas et al., 2012). The whole liver should be homogenised or freeze-dried. If however the amount of material homogenised would be too large, a specific portion of the liver should be chosen. In order to ensure comparability, this should always be the same part of the liver, preferably the middle par</w:t>
      </w:r>
      <w:r w:rsidR="00953614">
        <w:rPr>
          <w:rFonts w:ascii="Calibri" w:hAnsi="Calibri"/>
          <w:sz w:val="22"/>
          <w:szCs w:val="22"/>
        </w:rPr>
        <w:t>t. Liver samples can be freeze-</w:t>
      </w:r>
      <w:r w:rsidRPr="00776C13">
        <w:rPr>
          <w:rFonts w:ascii="Calibri" w:hAnsi="Calibri"/>
          <w:sz w:val="22"/>
          <w:szCs w:val="22"/>
        </w:rPr>
        <w:t>dried. However, for very fatty samples, freeze-drying can be difficult. In this case, the lipids can be extracted prior to freeze-drying. It has to be ensured that no metals are extracted together with the lipids.</w:t>
      </w:r>
    </w:p>
    <w:p w14:paraId="0F3093A1"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 xml:space="preserve">Where pooling of tissues is necessary, an equivalent quantity of tissue must be taken from each fish, </w:t>
      </w:r>
      <w:r w:rsidRPr="00776C13">
        <w:rPr>
          <w:rFonts w:ascii="Calibri" w:hAnsi="Calibri"/>
          <w:i/>
          <w:sz w:val="22"/>
          <w:szCs w:val="22"/>
        </w:rPr>
        <w:t>e.g.</w:t>
      </w:r>
      <w:r w:rsidRPr="00776C13">
        <w:rPr>
          <w:rFonts w:ascii="Calibri" w:hAnsi="Calibri"/>
          <w:sz w:val="22"/>
          <w:szCs w:val="22"/>
        </w:rPr>
        <w:t xml:space="preserve"> a whole fillet from every fish. If the total quantity of tissue so yielded would be too large to be handled conveniently, the tissue may be sub-sampled, but a fixed proportion of each tissue must then be taken, </w:t>
      </w:r>
      <w:r w:rsidRPr="00776C13">
        <w:rPr>
          <w:rFonts w:ascii="Calibri" w:hAnsi="Calibri"/>
          <w:i/>
          <w:sz w:val="22"/>
          <w:szCs w:val="22"/>
        </w:rPr>
        <w:t>e.g.</w:t>
      </w:r>
      <w:r w:rsidRPr="00776C13">
        <w:rPr>
          <w:rFonts w:ascii="Calibri" w:hAnsi="Calibri"/>
          <w:sz w:val="22"/>
          <w:szCs w:val="22"/>
        </w:rPr>
        <w:t xml:space="preserve"> 10% of each whole fillet or 10% of each whole liver or for muscle tissue 10% of the fish.</w:t>
      </w:r>
    </w:p>
    <w:p w14:paraId="559C2DB3"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Personnel must be capable of identifying and removing the desired organs according to the requirements of the investigations.</w:t>
      </w:r>
    </w:p>
    <w:p w14:paraId="63921E4B" w14:textId="77777777" w:rsidR="00FC360C" w:rsidRPr="00776C13" w:rsidRDefault="00FC360C" w:rsidP="00776C13">
      <w:pPr>
        <w:pStyle w:val="Heading2"/>
      </w:pPr>
      <w:bookmarkStart w:id="134" w:name="_Toc511217422"/>
      <w:r w:rsidRPr="00776C13">
        <w:t>4.3</w:t>
      </w:r>
      <w:r w:rsidRPr="00776C13">
        <w:tab/>
        <w:t>Shellfish</w:t>
      </w:r>
      <w:bookmarkEnd w:id="134"/>
    </w:p>
    <w:p w14:paraId="77A0FD28" w14:textId="77777777" w:rsidR="00FC360C" w:rsidRPr="00776C13" w:rsidRDefault="00FC360C" w:rsidP="00776C13">
      <w:pPr>
        <w:pStyle w:val="Heading3"/>
      </w:pPr>
      <w:bookmarkStart w:id="135" w:name="_Toc511217423"/>
      <w:r w:rsidRPr="00776C13">
        <w:t>4.3.1</w:t>
      </w:r>
      <w:r w:rsidRPr="00776C13">
        <w:tab/>
        <w:t>Depuration</w:t>
      </w:r>
      <w:bookmarkEnd w:id="135"/>
    </w:p>
    <w:p w14:paraId="761CE688"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Mussels should be placed on a polyethylene tray elevated above the bottom of a glass aquarium. The aquarium should be filled with sub-surface sea water collected from the same site as the samples and which has not been subject to contamination from point sources if possible. The aquarium should be aerated and the mussels left for 20</w:t>
      </w:r>
      <w:r w:rsidRPr="00776C13">
        <w:rPr>
          <w:rFonts w:ascii="Calibri" w:hAnsi="Calibri"/>
          <w:sz w:val="22"/>
          <w:szCs w:val="22"/>
        </w:rPr>
        <w:noBreakHyphen/>
        <w:t>24 hours at water temperatures and salinity close to those from which the samples were removed.</w:t>
      </w:r>
    </w:p>
    <w:p w14:paraId="4DC4EB1D" w14:textId="77777777" w:rsidR="00FC360C" w:rsidRPr="00776C13" w:rsidRDefault="00FC360C" w:rsidP="00776C13">
      <w:pPr>
        <w:pStyle w:val="Heading3"/>
      </w:pPr>
      <w:bookmarkStart w:id="136" w:name="_Toc511217424"/>
      <w:r w:rsidRPr="00776C13">
        <w:t>4.3.2</w:t>
      </w:r>
      <w:r w:rsidRPr="00776C13">
        <w:tab/>
        <w:t>Opening of the shells</w:t>
      </w:r>
      <w:bookmarkEnd w:id="136"/>
    </w:p>
    <w:p w14:paraId="167C8D2E"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Mussels should be shucked live and opened with minimum tissue damage by detaching the adductor muscles from the interior of one valve. The mussels should be inverted and allowed to drain on a clean towel or funnel for at least 5 minutes in order to minimise influence on dry weight determinations.</w:t>
      </w:r>
    </w:p>
    <w:p w14:paraId="4340E8CA" w14:textId="77777777" w:rsidR="00FC360C" w:rsidRPr="00776C13" w:rsidRDefault="00FC360C" w:rsidP="00776C13">
      <w:pPr>
        <w:pStyle w:val="Heading3"/>
      </w:pPr>
      <w:bookmarkStart w:id="137" w:name="_Toc511217425"/>
      <w:r w:rsidRPr="00776C13">
        <w:t>4.3.3</w:t>
      </w:r>
      <w:r w:rsidRPr="00776C13">
        <w:tab/>
        <w:t>Dissection and storage</w:t>
      </w:r>
      <w:bookmarkEnd w:id="137"/>
    </w:p>
    <w:p w14:paraId="2C2F6760"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The soft tissues should be removed and deep frozen (-20</w:t>
      </w:r>
      <w:r w:rsidRPr="00776C13">
        <w:rPr>
          <w:rFonts w:ascii="Calibri" w:hAnsi="Calibri"/>
          <w:sz w:val="22"/>
          <w:szCs w:val="22"/>
        </w:rPr>
        <w:sym w:font="Symbol" w:char="F0B0"/>
      </w:r>
      <w:r w:rsidRPr="00776C13">
        <w:rPr>
          <w:rFonts w:ascii="Calibri" w:hAnsi="Calibri"/>
          <w:sz w:val="22"/>
          <w:szCs w:val="22"/>
        </w:rPr>
        <w:t>C) as soon as possible in containers appropriate to the intended analysis. The dissection must always be done by trained personnel on a clean bench wearing clean gloves and using clean stainless steel knives which may be equipped with blades made of ceramics or titanium to reduce the risk of Cr and Ni contamination. Colourless polyethylene tweezers are recommended for holding tissues during dissection. After each sample has been prepared, the tools should be cleaned regularly. The following procedure is recommended:</w:t>
      </w:r>
    </w:p>
    <w:p w14:paraId="319D871F" w14:textId="77777777" w:rsidR="00FC360C" w:rsidRPr="00776C13" w:rsidRDefault="00FC360C" w:rsidP="00776C13">
      <w:pPr>
        <w:pStyle w:val="BodyText"/>
        <w:numPr>
          <w:ilvl w:val="0"/>
          <w:numId w:val="23"/>
        </w:numPr>
        <w:spacing w:after="120" w:line="276" w:lineRule="auto"/>
        <w:rPr>
          <w:rFonts w:ascii="Calibri" w:hAnsi="Calibri"/>
          <w:sz w:val="22"/>
          <w:szCs w:val="22"/>
        </w:rPr>
      </w:pPr>
      <w:r w:rsidRPr="00776C13">
        <w:rPr>
          <w:rFonts w:ascii="Calibri" w:hAnsi="Calibri"/>
          <w:sz w:val="22"/>
          <w:szCs w:val="22"/>
        </w:rPr>
        <w:t>wash in acetone or alcohol and high purity water;</w:t>
      </w:r>
    </w:p>
    <w:p w14:paraId="0355816A" w14:textId="61E5A339" w:rsidR="00FC360C" w:rsidRPr="0073238F" w:rsidRDefault="0073238F" w:rsidP="00776C13">
      <w:pPr>
        <w:pStyle w:val="BodyText"/>
        <w:numPr>
          <w:ilvl w:val="0"/>
          <w:numId w:val="23"/>
        </w:numPr>
        <w:spacing w:after="120" w:line="276" w:lineRule="auto"/>
        <w:rPr>
          <w:rFonts w:ascii="Calibri" w:hAnsi="Calibri"/>
          <w:sz w:val="22"/>
          <w:szCs w:val="22"/>
        </w:rPr>
      </w:pPr>
      <w:r w:rsidRPr="0073238F">
        <w:rPr>
          <w:rFonts w:ascii="Calibri" w:hAnsi="Calibri"/>
          <w:sz w:val="22"/>
          <w:szCs w:val="22"/>
        </w:rPr>
        <w:t xml:space="preserve">wash </w:t>
      </w:r>
      <w:r w:rsidR="0001507E">
        <w:rPr>
          <w:rFonts w:ascii="Calibri" w:hAnsi="Calibri"/>
          <w:sz w:val="22"/>
          <w:szCs w:val="22"/>
        </w:rPr>
        <w:t>non-stainless steel tools</w:t>
      </w:r>
      <w:r w:rsidR="0001507E" w:rsidRPr="0073238F">
        <w:rPr>
          <w:rFonts w:ascii="Calibri" w:hAnsi="Calibri"/>
          <w:sz w:val="22"/>
          <w:szCs w:val="22"/>
        </w:rPr>
        <w:t xml:space="preserve"> </w:t>
      </w:r>
      <w:r w:rsidRPr="0073238F">
        <w:rPr>
          <w:rFonts w:ascii="Calibri" w:hAnsi="Calibri"/>
          <w:sz w:val="22"/>
          <w:szCs w:val="22"/>
        </w:rPr>
        <w:t>in HNO</w:t>
      </w:r>
      <w:r w:rsidRPr="0073238F">
        <w:rPr>
          <w:rFonts w:ascii="Calibri" w:hAnsi="Calibri"/>
          <w:sz w:val="22"/>
          <w:szCs w:val="22"/>
          <w:vertAlign w:val="subscript"/>
        </w:rPr>
        <w:t xml:space="preserve">3 </w:t>
      </w:r>
      <w:r w:rsidRPr="0073238F">
        <w:rPr>
          <w:rFonts w:ascii="Calibri" w:hAnsi="Calibri"/>
          <w:sz w:val="22"/>
          <w:szCs w:val="22"/>
        </w:rPr>
        <w:t>p.a./high purity water 1+1 (for tweezers 1+6)</w:t>
      </w:r>
      <w:r w:rsidR="00FC360C" w:rsidRPr="0073238F">
        <w:rPr>
          <w:rFonts w:ascii="Calibri" w:hAnsi="Calibri"/>
          <w:sz w:val="22"/>
          <w:szCs w:val="22"/>
        </w:rPr>
        <w:t>;</w:t>
      </w:r>
    </w:p>
    <w:p w14:paraId="0252681F" w14:textId="77777777" w:rsidR="00FC360C" w:rsidRPr="00776C13" w:rsidRDefault="00FC360C" w:rsidP="00776C13">
      <w:pPr>
        <w:pStyle w:val="BodyText"/>
        <w:numPr>
          <w:ilvl w:val="0"/>
          <w:numId w:val="23"/>
        </w:numPr>
        <w:spacing w:after="120" w:line="276" w:lineRule="auto"/>
        <w:rPr>
          <w:rFonts w:ascii="Calibri" w:hAnsi="Calibri"/>
          <w:sz w:val="22"/>
          <w:szCs w:val="22"/>
        </w:rPr>
      </w:pPr>
      <w:proofErr w:type="gramStart"/>
      <w:r w:rsidRPr="00776C13">
        <w:rPr>
          <w:rFonts w:ascii="Calibri" w:hAnsi="Calibri"/>
          <w:sz w:val="22"/>
          <w:szCs w:val="22"/>
        </w:rPr>
        <w:t>rinse</w:t>
      </w:r>
      <w:proofErr w:type="gramEnd"/>
      <w:r w:rsidRPr="00776C13">
        <w:rPr>
          <w:rFonts w:ascii="Calibri" w:hAnsi="Calibri"/>
          <w:sz w:val="22"/>
          <w:szCs w:val="22"/>
        </w:rPr>
        <w:t xml:space="preserve"> with high purity water.</w:t>
      </w:r>
    </w:p>
    <w:p w14:paraId="2E7131F9" w14:textId="77777777" w:rsidR="00FC360C" w:rsidRPr="00776C13" w:rsidRDefault="00FC360C" w:rsidP="00776C13">
      <w:pPr>
        <w:pStyle w:val="Heading2"/>
      </w:pPr>
      <w:bookmarkStart w:id="138" w:name="_Toc511217426"/>
      <w:r w:rsidRPr="00776C13">
        <w:t>4.4</w:t>
      </w:r>
      <w:r w:rsidRPr="00776C13">
        <w:tab/>
        <w:t>Seabird eggs</w:t>
      </w:r>
      <w:bookmarkEnd w:id="138"/>
    </w:p>
    <w:p w14:paraId="4796E697"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Before thawing, each egg should be placed in a previously weighed goblet. The weight of the egg (to the nearest 0</w:t>
      </w:r>
      <w:r w:rsidR="00B33CCD">
        <w:rPr>
          <w:rFonts w:ascii="Calibri" w:hAnsi="Calibri"/>
          <w:sz w:val="22"/>
          <w:szCs w:val="22"/>
        </w:rPr>
        <w:t>.</w:t>
      </w:r>
      <w:r w:rsidRPr="00776C13">
        <w:rPr>
          <w:rFonts w:ascii="Calibri" w:hAnsi="Calibri"/>
          <w:sz w:val="22"/>
          <w:szCs w:val="22"/>
        </w:rPr>
        <w:t>1 g inclusive of shell), the length of the egg between poles and the breadth of the egg at the equator (to the nearest 0</w:t>
      </w:r>
      <w:r w:rsidR="00B33CCD">
        <w:rPr>
          <w:rFonts w:ascii="Calibri" w:hAnsi="Calibri"/>
          <w:sz w:val="22"/>
          <w:szCs w:val="22"/>
        </w:rPr>
        <w:t>.</w:t>
      </w:r>
      <w:r w:rsidRPr="00776C13">
        <w:rPr>
          <w:rFonts w:ascii="Calibri" w:hAnsi="Calibri"/>
          <w:sz w:val="22"/>
          <w:szCs w:val="22"/>
        </w:rPr>
        <w:t>1 mm using callipers) should be recorded. The egg should then be opened (if this has not already happened during thawing) and the content carefully separated from the shell. If the egg contains an embryo, the eye diameter or the “crown-tail” length of the embryo should be measured (to the nearest 0</w:t>
      </w:r>
      <w:r w:rsidR="00B33CCD">
        <w:rPr>
          <w:rFonts w:ascii="Calibri" w:hAnsi="Calibri"/>
          <w:sz w:val="22"/>
          <w:szCs w:val="22"/>
        </w:rPr>
        <w:t>.</w:t>
      </w:r>
      <w:r w:rsidRPr="00776C13">
        <w:rPr>
          <w:rFonts w:ascii="Calibri" w:hAnsi="Calibri"/>
          <w:sz w:val="22"/>
          <w:szCs w:val="22"/>
        </w:rPr>
        <w:t>1 mm using callipers). The content of the egg (</w:t>
      </w:r>
      <w:r w:rsidRPr="00776C13">
        <w:rPr>
          <w:rFonts w:ascii="Calibri" w:hAnsi="Calibri"/>
          <w:i/>
          <w:sz w:val="22"/>
          <w:szCs w:val="22"/>
        </w:rPr>
        <w:t>i.e.</w:t>
      </w:r>
      <w:r w:rsidRPr="00776C13">
        <w:rPr>
          <w:rFonts w:ascii="Calibri" w:hAnsi="Calibri"/>
          <w:sz w:val="22"/>
          <w:szCs w:val="22"/>
        </w:rPr>
        <w:t xml:space="preserve"> the albumen and yolk) should be weighed (to the nearest 0</w:t>
      </w:r>
      <w:r w:rsidR="00B33CCD">
        <w:rPr>
          <w:rFonts w:ascii="Calibri" w:hAnsi="Calibri"/>
          <w:sz w:val="22"/>
          <w:szCs w:val="22"/>
        </w:rPr>
        <w:t>.</w:t>
      </w:r>
      <w:r w:rsidRPr="00776C13">
        <w:rPr>
          <w:rFonts w:ascii="Calibri" w:hAnsi="Calibri"/>
          <w:sz w:val="22"/>
          <w:szCs w:val="22"/>
        </w:rPr>
        <w:t>1 g) and homogenised in the same goblet for each egg (</w:t>
      </w:r>
      <w:r w:rsidRPr="00776C13">
        <w:rPr>
          <w:rFonts w:ascii="Calibri" w:hAnsi="Calibri"/>
          <w:i/>
          <w:sz w:val="22"/>
          <w:szCs w:val="22"/>
        </w:rPr>
        <w:t>e.g.</w:t>
      </w:r>
      <w:r w:rsidRPr="00776C13">
        <w:rPr>
          <w:rFonts w:ascii="Calibri" w:hAnsi="Calibri"/>
          <w:sz w:val="22"/>
          <w:szCs w:val="22"/>
        </w:rPr>
        <w:t xml:space="preserve"> by an Ultra Turrax). Any sub-sampling should be done immediately after homogenisation. The samples can then be analysed or deep frozen for later analysis. The shell (including the shell-skin) should be washed with water and dried in laboratory air for at least a week be</w:t>
      </w:r>
      <w:r w:rsidR="00B33CCD">
        <w:rPr>
          <w:rFonts w:ascii="Calibri" w:hAnsi="Calibri"/>
          <w:sz w:val="22"/>
          <w:szCs w:val="22"/>
        </w:rPr>
        <w:t>fore weighing (to the nearest 0.</w:t>
      </w:r>
      <w:r w:rsidRPr="00776C13">
        <w:rPr>
          <w:rFonts w:ascii="Calibri" w:hAnsi="Calibri"/>
          <w:sz w:val="22"/>
          <w:szCs w:val="22"/>
        </w:rPr>
        <w:t>01 g). The shell thickness should be measured at three points along the egg equator.</w:t>
      </w:r>
    </w:p>
    <w:p w14:paraId="03190421" w14:textId="77777777" w:rsidR="00FC360C" w:rsidRPr="00F63BAF" w:rsidRDefault="00FC360C" w:rsidP="00776C13">
      <w:pPr>
        <w:pStyle w:val="Heading1"/>
      </w:pPr>
      <w:bookmarkStart w:id="139" w:name="_Toc511217427"/>
      <w:r w:rsidRPr="00F63BAF">
        <w:t>5.</w:t>
      </w:r>
      <w:r w:rsidRPr="00F63BAF">
        <w:tab/>
        <w:t>Analysis</w:t>
      </w:r>
      <w:bookmarkEnd w:id="139"/>
    </w:p>
    <w:p w14:paraId="71C00E39" w14:textId="77777777" w:rsidR="00FC360C" w:rsidRPr="00F63BAF" w:rsidRDefault="00FC360C" w:rsidP="00776C13">
      <w:pPr>
        <w:pStyle w:val="Heading2"/>
      </w:pPr>
      <w:bookmarkStart w:id="140" w:name="_Toc511217428"/>
      <w:r w:rsidRPr="00F63BAF">
        <w:t>5.1</w:t>
      </w:r>
      <w:r w:rsidRPr="00F63BAF">
        <w:tab/>
        <w:t>Preparation of equipment and reagents</w:t>
      </w:r>
      <w:bookmarkEnd w:id="140"/>
    </w:p>
    <w:p w14:paraId="6FEE8F4D" w14:textId="77777777" w:rsidR="00FC360C" w:rsidRPr="00776C13" w:rsidRDefault="00FC360C" w:rsidP="00776C13">
      <w:pPr>
        <w:rPr>
          <w:szCs w:val="22"/>
        </w:rPr>
      </w:pPr>
      <w:r w:rsidRPr="00F63BAF">
        <w:t>Glassware and Teflon equipment should be washed extensively with dilute nitric acid, distilled water and acidified metal-free deionised water, and should be rinsed immediately before use with the acids or solvents used according to the following procedure. The blank from all plastic and glassware after the purification procedure should be controlled. Acids, solvents, chemicals and adsorption materials should be free of trace metals or organometallic compounds. If not they should be purified by appropriate methods. Acids should be checked by measuring blanks using the analytical procedure applied to the samples. If necessary, the acids should be purified by distillation, preferably under sub-boiling point conditions in a quartz distillation apparatus. If appropriate, chemicals and adsorption materials should be purified by exhaustive extraction with the solvents used for extraction of the metal compounds. Care should be taken to avoid contamination from laboratory air dust particles. Relevant references concerning reagents and materials Moody et al. (1982; 1989); Tschöpel et al. (1980), Kosta (1982), Mitchell (1982b), Paulsen et al. (1989) and Luque de C</w:t>
      </w:r>
      <w:r w:rsidR="00776C13">
        <w:t>astro and Luque García (2002).</w:t>
      </w:r>
    </w:p>
    <w:p w14:paraId="2DFC71CA" w14:textId="77777777" w:rsidR="00FC360C" w:rsidRPr="00776C13" w:rsidRDefault="00FC360C" w:rsidP="00776C13">
      <w:pPr>
        <w:pStyle w:val="Heading2"/>
        <w:spacing w:before="0"/>
        <w:rPr>
          <w:szCs w:val="22"/>
        </w:rPr>
      </w:pPr>
      <w:bookmarkStart w:id="141" w:name="_Toc511217429"/>
      <w:r w:rsidRPr="00776C13">
        <w:rPr>
          <w:szCs w:val="22"/>
        </w:rPr>
        <w:t>5.2</w:t>
      </w:r>
      <w:r w:rsidRPr="00776C13">
        <w:rPr>
          <w:szCs w:val="22"/>
        </w:rPr>
        <w:tab/>
        <w:t>Dry weight determination</w:t>
      </w:r>
      <w:bookmarkEnd w:id="141"/>
    </w:p>
    <w:p w14:paraId="48A60CC0"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Dry weight determinations should be carried out by air-drying homogenised sub-samples of the material to be analysed to constant weight at 105°C. Freeze</w:t>
      </w:r>
      <w:r w:rsidRPr="00776C13">
        <w:rPr>
          <w:rFonts w:ascii="Calibri" w:hAnsi="Calibri"/>
          <w:sz w:val="22"/>
          <w:szCs w:val="22"/>
        </w:rPr>
        <w:noBreakHyphen/>
        <w:t>drying could also be used for the dry weight determination.</w:t>
      </w:r>
    </w:p>
    <w:p w14:paraId="25440EB3" w14:textId="77777777" w:rsidR="00FC360C" w:rsidRPr="00776C13" w:rsidRDefault="00FC360C" w:rsidP="00776C13">
      <w:pPr>
        <w:pStyle w:val="Heading2"/>
        <w:spacing w:before="0"/>
        <w:rPr>
          <w:szCs w:val="22"/>
        </w:rPr>
      </w:pPr>
      <w:bookmarkStart w:id="142" w:name="_Toc511217430"/>
      <w:r w:rsidRPr="00776C13">
        <w:rPr>
          <w:szCs w:val="22"/>
        </w:rPr>
        <w:t>5.3</w:t>
      </w:r>
      <w:r w:rsidRPr="00776C13">
        <w:rPr>
          <w:szCs w:val="22"/>
        </w:rPr>
        <w:tab/>
        <w:t>Determination of metals</w:t>
      </w:r>
      <w:bookmarkEnd w:id="142"/>
    </w:p>
    <w:p w14:paraId="3EF4A08D" w14:textId="77777777" w:rsidR="00FC360C" w:rsidRPr="00776C13" w:rsidRDefault="00FC360C" w:rsidP="00776C13">
      <w:pPr>
        <w:pStyle w:val="Heading3"/>
        <w:spacing w:before="0"/>
      </w:pPr>
      <w:bookmarkStart w:id="143" w:name="_Toc511217431"/>
      <w:r w:rsidRPr="00776C13">
        <w:t>5.3.1</w:t>
      </w:r>
      <w:r w:rsidRPr="00776C13">
        <w:tab/>
        <w:t>Homogenisation and drying</w:t>
      </w:r>
      <w:bookmarkEnd w:id="143"/>
    </w:p>
    <w:p w14:paraId="49C00B8D"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When the analysis is undertaken, all fluids that may initially separate on thawing should be included with the materials homogenised. Wet or freeze-dried tissues should be homogenised. Homogenisation of wet tissues should be performed immediately prior to any subdividing of the sample. Fresh tissue should be thoroughly homogenised to include any moisture and lipids that may have separated from the solid parts of the sample. Aliquots should be taken as soon as possible, either for direct analysis or for drying. When grinding samples after drying, classical techniques using a ball mill made of different materials should be used. Relevant references concerning homogenisation include Iyengar, 1976; Iyengar et al., 1977 and Klussmann et al., 1985. References concerning sample pre-treatment include Klussmann et al. (1985), Luque de Castro and Luque García (2002) and Larsen et al. (2011).</w:t>
      </w:r>
    </w:p>
    <w:p w14:paraId="67880141" w14:textId="77777777" w:rsidR="00FC360C" w:rsidRPr="00776C13" w:rsidRDefault="00FC360C" w:rsidP="00776C13">
      <w:pPr>
        <w:pStyle w:val="Heading3"/>
      </w:pPr>
      <w:bookmarkStart w:id="144" w:name="_Toc511217432"/>
      <w:r w:rsidRPr="00776C13">
        <w:t>5.3.2</w:t>
      </w:r>
      <w:r w:rsidRPr="00776C13">
        <w:tab/>
        <w:t>Digestion</w:t>
      </w:r>
      <w:bookmarkEnd w:id="144"/>
    </w:p>
    <w:p w14:paraId="67A4FD11"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The minimum requirements for the digestion procedure are the following:</w:t>
      </w:r>
    </w:p>
    <w:p w14:paraId="3F8D68F1" w14:textId="77777777" w:rsidR="00FC360C" w:rsidRPr="00776C13" w:rsidRDefault="00FC360C" w:rsidP="00776C13">
      <w:pPr>
        <w:pStyle w:val="BodyText"/>
        <w:numPr>
          <w:ilvl w:val="0"/>
          <w:numId w:val="24"/>
        </w:numPr>
        <w:spacing w:after="120" w:line="276" w:lineRule="auto"/>
        <w:rPr>
          <w:rFonts w:ascii="Calibri" w:hAnsi="Calibri"/>
          <w:sz w:val="22"/>
          <w:szCs w:val="22"/>
        </w:rPr>
      </w:pPr>
      <w:r w:rsidRPr="00776C13">
        <w:rPr>
          <w:rFonts w:ascii="Calibri" w:hAnsi="Calibri"/>
          <w:sz w:val="22"/>
          <w:szCs w:val="22"/>
        </w:rPr>
        <w:t>complete destruction of all organic material and mineralisation of the sample;</w:t>
      </w:r>
    </w:p>
    <w:p w14:paraId="2EFFB161" w14:textId="77777777" w:rsidR="00FC360C" w:rsidRPr="00776C13" w:rsidRDefault="00FC360C" w:rsidP="00776C13">
      <w:pPr>
        <w:pStyle w:val="BodyText"/>
        <w:numPr>
          <w:ilvl w:val="0"/>
          <w:numId w:val="24"/>
        </w:numPr>
        <w:spacing w:after="120" w:line="276" w:lineRule="auto"/>
        <w:rPr>
          <w:rFonts w:ascii="Calibri" w:hAnsi="Calibri"/>
          <w:sz w:val="22"/>
          <w:szCs w:val="22"/>
        </w:rPr>
      </w:pPr>
      <w:r w:rsidRPr="00776C13">
        <w:rPr>
          <w:rFonts w:ascii="Calibri" w:hAnsi="Calibri"/>
          <w:sz w:val="22"/>
          <w:szCs w:val="22"/>
        </w:rPr>
        <w:t>avoidance of loss of the elements to be determined;</w:t>
      </w:r>
    </w:p>
    <w:p w14:paraId="2244A930" w14:textId="77777777" w:rsidR="00FC360C" w:rsidRPr="00776C13" w:rsidRDefault="00FC360C" w:rsidP="00776C13">
      <w:pPr>
        <w:pStyle w:val="BodyText"/>
        <w:numPr>
          <w:ilvl w:val="0"/>
          <w:numId w:val="24"/>
        </w:numPr>
        <w:spacing w:after="120" w:line="276" w:lineRule="auto"/>
        <w:rPr>
          <w:rFonts w:ascii="Calibri" w:hAnsi="Calibri"/>
          <w:sz w:val="22"/>
          <w:szCs w:val="22"/>
        </w:rPr>
      </w:pPr>
      <w:r w:rsidRPr="00776C13">
        <w:rPr>
          <w:rFonts w:ascii="Calibri" w:hAnsi="Calibri"/>
          <w:sz w:val="22"/>
          <w:szCs w:val="22"/>
        </w:rPr>
        <w:t>avoidance of contamination;</w:t>
      </w:r>
    </w:p>
    <w:p w14:paraId="3F1B4CD6" w14:textId="77777777" w:rsidR="00FC360C" w:rsidRPr="00776C13" w:rsidRDefault="00FC360C" w:rsidP="00776C13">
      <w:pPr>
        <w:pStyle w:val="BodyText"/>
        <w:numPr>
          <w:ilvl w:val="0"/>
          <w:numId w:val="24"/>
        </w:numPr>
        <w:spacing w:after="120" w:line="276" w:lineRule="auto"/>
        <w:rPr>
          <w:rFonts w:ascii="Calibri" w:hAnsi="Calibri"/>
          <w:sz w:val="22"/>
          <w:szCs w:val="22"/>
        </w:rPr>
      </w:pPr>
      <w:r w:rsidRPr="00776C13">
        <w:rPr>
          <w:rFonts w:ascii="Calibri" w:hAnsi="Calibri"/>
          <w:sz w:val="22"/>
          <w:szCs w:val="22"/>
        </w:rPr>
        <w:t xml:space="preserve">a sampling size of minimum 200 mg dry material </w:t>
      </w:r>
      <w:r w:rsidRPr="00776C13">
        <w:rPr>
          <w:rFonts w:ascii="MS Gothic" w:eastAsia="MS Gothic" w:hAnsi="MS Gothic" w:cs="MS Gothic" w:hint="eastAsia"/>
          <w:sz w:val="22"/>
          <w:szCs w:val="22"/>
        </w:rPr>
        <w:t> </w:t>
      </w:r>
    </w:p>
    <w:p w14:paraId="155F82A4"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The following aspects should be considered as well:</w:t>
      </w:r>
    </w:p>
    <w:p w14:paraId="0C237957" w14:textId="77777777" w:rsidR="00FC360C" w:rsidRPr="00776C13" w:rsidRDefault="00FC360C" w:rsidP="00776C13">
      <w:pPr>
        <w:pStyle w:val="BodyText"/>
        <w:spacing w:after="120" w:line="276" w:lineRule="auto"/>
        <w:ind w:left="850"/>
        <w:rPr>
          <w:rFonts w:ascii="Calibri" w:hAnsi="Calibri"/>
          <w:sz w:val="22"/>
          <w:szCs w:val="22"/>
        </w:rPr>
      </w:pPr>
      <w:r w:rsidRPr="00776C13">
        <w:rPr>
          <w:rFonts w:ascii="Calibri" w:hAnsi="Calibri"/>
          <w:sz w:val="22"/>
          <w:szCs w:val="22"/>
        </w:rPr>
        <w:t xml:space="preserve">• Digestion methods will be favoured with use only small amounts of </w:t>
      </w:r>
      <w:r w:rsidR="00776C13" w:rsidRPr="00776C13">
        <w:rPr>
          <w:rFonts w:ascii="Calibri" w:hAnsi="Calibri"/>
          <w:sz w:val="22"/>
          <w:szCs w:val="22"/>
        </w:rPr>
        <w:t>ultra-pure</w:t>
      </w:r>
      <w:r w:rsidRPr="00776C13">
        <w:rPr>
          <w:rFonts w:ascii="Calibri" w:hAnsi="Calibri"/>
          <w:sz w:val="22"/>
          <w:szCs w:val="22"/>
        </w:rPr>
        <w:t xml:space="preserve"> reagents and chemicals;</w:t>
      </w:r>
    </w:p>
    <w:p w14:paraId="47F2B514" w14:textId="77777777" w:rsidR="00FC360C" w:rsidRPr="00776C13" w:rsidRDefault="00FC360C" w:rsidP="00776C13">
      <w:pPr>
        <w:pStyle w:val="BodyText"/>
        <w:spacing w:after="120" w:line="276" w:lineRule="auto"/>
        <w:ind w:left="850"/>
        <w:rPr>
          <w:rFonts w:ascii="Calibri" w:hAnsi="Calibri"/>
          <w:sz w:val="22"/>
          <w:szCs w:val="22"/>
        </w:rPr>
      </w:pPr>
      <w:r w:rsidRPr="00776C13">
        <w:rPr>
          <w:rFonts w:ascii="Calibri" w:hAnsi="Calibri"/>
          <w:sz w:val="22"/>
          <w:szCs w:val="22"/>
        </w:rPr>
        <w:t>• The method should be safe to handle (e.g. avoiding hydroperchloric acid);</w:t>
      </w:r>
    </w:p>
    <w:p w14:paraId="45199C21" w14:textId="77777777" w:rsidR="00FC360C" w:rsidRPr="00776C13" w:rsidRDefault="00FC360C" w:rsidP="00776C13">
      <w:pPr>
        <w:pStyle w:val="BodyText"/>
        <w:spacing w:after="120" w:line="276" w:lineRule="auto"/>
        <w:ind w:left="850"/>
        <w:rPr>
          <w:rFonts w:ascii="Calibri" w:hAnsi="Calibri"/>
          <w:sz w:val="22"/>
          <w:szCs w:val="22"/>
        </w:rPr>
      </w:pPr>
      <w:r w:rsidRPr="00776C13">
        <w:rPr>
          <w:rFonts w:ascii="Calibri" w:hAnsi="Calibri"/>
          <w:sz w:val="22"/>
          <w:szCs w:val="22"/>
        </w:rPr>
        <w:t>• Some methods analyse directly and dissolution is not necessary e.g. AMA-</w:t>
      </w:r>
    </w:p>
    <w:p w14:paraId="02876BFE" w14:textId="77777777" w:rsidR="00FC360C" w:rsidRPr="00776C13" w:rsidRDefault="00FC360C" w:rsidP="00776C13">
      <w:pPr>
        <w:pStyle w:val="BodyText"/>
        <w:spacing w:after="120" w:line="276" w:lineRule="auto"/>
        <w:ind w:left="850"/>
        <w:rPr>
          <w:rFonts w:ascii="Calibri" w:hAnsi="Calibri"/>
          <w:sz w:val="22"/>
          <w:szCs w:val="22"/>
        </w:rPr>
      </w:pPr>
      <w:proofErr w:type="gramStart"/>
      <w:r w:rsidRPr="00776C13">
        <w:rPr>
          <w:rFonts w:ascii="Calibri" w:hAnsi="Calibri"/>
          <w:sz w:val="22"/>
          <w:szCs w:val="22"/>
        </w:rPr>
        <w:t>254 for mercury analyses.</w:t>
      </w:r>
      <w:proofErr w:type="gramEnd"/>
    </w:p>
    <w:p w14:paraId="2046A620"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 A microwave digestion closed system is preferred for biota samples.</w:t>
      </w:r>
    </w:p>
    <w:p w14:paraId="515FCB9B"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 The use of automated procedures is preferred.</w:t>
      </w:r>
      <w:r w:rsidRPr="00776C13" w:rsidDel="007D3EE4">
        <w:rPr>
          <w:rFonts w:ascii="Calibri" w:hAnsi="Calibri"/>
          <w:sz w:val="22"/>
          <w:szCs w:val="22"/>
        </w:rPr>
        <w:t xml:space="preserve"> </w:t>
      </w:r>
    </w:p>
    <w:p w14:paraId="6312C9B4"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Trace element analysis in biological tissues normally involves digestion of the sample with acids. Very pure acids are essential to ensure acceptable blanks. If “matrix-effects” prevail after sample digestion, three strategies may be followed:</w:t>
      </w:r>
    </w:p>
    <w:p w14:paraId="62D0FAC5" w14:textId="77777777" w:rsidR="00FC360C" w:rsidRPr="00776C13" w:rsidRDefault="00FC360C" w:rsidP="00776C13">
      <w:pPr>
        <w:pStyle w:val="BodyText"/>
        <w:numPr>
          <w:ilvl w:val="0"/>
          <w:numId w:val="26"/>
        </w:numPr>
        <w:spacing w:after="120" w:line="276" w:lineRule="auto"/>
        <w:rPr>
          <w:rFonts w:ascii="Calibri" w:hAnsi="Calibri"/>
          <w:sz w:val="22"/>
          <w:szCs w:val="22"/>
        </w:rPr>
      </w:pPr>
      <w:r w:rsidRPr="00776C13">
        <w:rPr>
          <w:rFonts w:ascii="Calibri" w:hAnsi="Calibri"/>
          <w:sz w:val="22"/>
          <w:szCs w:val="22"/>
        </w:rPr>
        <w:t>standard addition for calibration;</w:t>
      </w:r>
    </w:p>
    <w:p w14:paraId="0631457D" w14:textId="77777777" w:rsidR="00FC360C" w:rsidRPr="00776C13" w:rsidRDefault="00FC360C" w:rsidP="00776C13">
      <w:pPr>
        <w:pStyle w:val="BodyText"/>
        <w:numPr>
          <w:ilvl w:val="0"/>
          <w:numId w:val="26"/>
        </w:numPr>
        <w:spacing w:after="120" w:line="276" w:lineRule="auto"/>
        <w:rPr>
          <w:rFonts w:ascii="Calibri" w:hAnsi="Calibri"/>
          <w:sz w:val="22"/>
          <w:szCs w:val="22"/>
        </w:rPr>
      </w:pPr>
      <w:r w:rsidRPr="00776C13">
        <w:rPr>
          <w:rFonts w:ascii="Calibri" w:hAnsi="Calibri"/>
          <w:sz w:val="22"/>
          <w:szCs w:val="22"/>
        </w:rPr>
        <w:t>chemical separation procedures;</w:t>
      </w:r>
    </w:p>
    <w:p w14:paraId="2B4391CC" w14:textId="77777777" w:rsidR="00FC360C" w:rsidRPr="00776C13" w:rsidRDefault="00FC360C" w:rsidP="00776C13">
      <w:pPr>
        <w:pStyle w:val="BodyText"/>
        <w:numPr>
          <w:ilvl w:val="0"/>
          <w:numId w:val="26"/>
        </w:numPr>
        <w:spacing w:after="120" w:line="276" w:lineRule="auto"/>
        <w:rPr>
          <w:rFonts w:ascii="Calibri" w:hAnsi="Calibri"/>
          <w:sz w:val="22"/>
          <w:szCs w:val="22"/>
        </w:rPr>
      </w:pPr>
      <w:proofErr w:type="gramStart"/>
      <w:r w:rsidRPr="00776C13">
        <w:rPr>
          <w:rFonts w:ascii="Calibri" w:hAnsi="Calibri"/>
          <w:sz w:val="22"/>
          <w:szCs w:val="22"/>
        </w:rPr>
        <w:t>matrix</w:t>
      </w:r>
      <w:proofErr w:type="gramEnd"/>
      <w:r w:rsidRPr="00776C13">
        <w:rPr>
          <w:rFonts w:ascii="Calibri" w:hAnsi="Calibri"/>
          <w:sz w:val="22"/>
          <w:szCs w:val="22"/>
        </w:rPr>
        <w:t xml:space="preserve"> modifiers.</w:t>
      </w:r>
    </w:p>
    <w:p w14:paraId="5A3CFA3A" w14:textId="77777777" w:rsidR="00FC360C" w:rsidRPr="00776C13" w:rsidRDefault="00FC360C" w:rsidP="00776C13">
      <w:pPr>
        <w:pStyle w:val="Heading3"/>
      </w:pPr>
      <w:bookmarkStart w:id="145" w:name="_Toc511217433"/>
      <w:r w:rsidRPr="00776C13">
        <w:t>5.3.3</w:t>
      </w:r>
      <w:r w:rsidRPr="00776C13">
        <w:tab/>
        <w:t>Instrumental determination</w:t>
      </w:r>
      <w:bookmarkEnd w:id="145"/>
    </w:p>
    <w:p w14:paraId="705868F8" w14:textId="77777777" w:rsidR="00FC360C" w:rsidRPr="00776C13" w:rsidRDefault="00FC360C" w:rsidP="00776C13">
      <w:pPr>
        <w:widowControl w:val="0"/>
        <w:autoSpaceDE w:val="0"/>
        <w:autoSpaceDN w:val="0"/>
        <w:adjustRightInd w:val="0"/>
        <w:rPr>
          <w:szCs w:val="22"/>
        </w:rPr>
      </w:pPr>
      <w:r w:rsidRPr="00776C13">
        <w:rPr>
          <w:szCs w:val="22"/>
        </w:rPr>
        <w:t xml:space="preserve">The appropriate instrumental equipment has to be chosen with regard to (i) the elements to be analysed (ii) the concentration levels to be detected (iii) the matrix and the sampling processing prior to the measurement (e.g. digestion, pre-cleaning), but for economic reasons also taken into account (iv) the typical throughput number of samples and (v) investigation and operational costs. </w:t>
      </w:r>
    </w:p>
    <w:p w14:paraId="0ABFF380" w14:textId="77777777" w:rsidR="00FC360C" w:rsidRPr="00776C13" w:rsidRDefault="00FC360C" w:rsidP="00776C13">
      <w:pPr>
        <w:widowControl w:val="0"/>
        <w:autoSpaceDE w:val="0"/>
        <w:autoSpaceDN w:val="0"/>
        <w:adjustRightInd w:val="0"/>
        <w:rPr>
          <w:szCs w:val="22"/>
        </w:rPr>
      </w:pPr>
      <w:r w:rsidRPr="00776C13">
        <w:rPr>
          <w:szCs w:val="22"/>
        </w:rPr>
        <w:t xml:space="preserve">For marine biota samples, all relevant monitoring programmes include mercury, cadmium and lead as </w:t>
      </w:r>
      <w:r w:rsidR="00776C13">
        <w:rPr>
          <w:szCs w:val="22"/>
        </w:rPr>
        <w:t>mandatory parameters. For analys</w:t>
      </w:r>
      <w:r w:rsidRPr="00776C13">
        <w:rPr>
          <w:szCs w:val="22"/>
        </w:rPr>
        <w:t xml:space="preserve">ing Cd and Pb from open sea samples, e.g. flatfish liver of dab and plaice, Graphite Furnace Atomic Absorption Spectometry (GFAAS) and ICP-MS are appropriate. For higher concentrated metals such as Cu and Zn, Flame-AAS, ICP-AES or ICP-OES (weak for Pb) and Total Refection X-Ray Spectrometry (TXRF, weak for Cd) may also be used, but are not suitable to cover all obligating measurements in the required concentration range at very low concentrations without additional preconcentrating procedures. </w:t>
      </w:r>
    </w:p>
    <w:p w14:paraId="00ED1D4B" w14:textId="77777777" w:rsidR="00FC360C" w:rsidRPr="00776C13" w:rsidRDefault="00FC360C" w:rsidP="00776C13">
      <w:pPr>
        <w:widowControl w:val="0"/>
        <w:autoSpaceDE w:val="0"/>
        <w:autoSpaceDN w:val="0"/>
        <w:adjustRightInd w:val="0"/>
        <w:rPr>
          <w:szCs w:val="22"/>
        </w:rPr>
      </w:pPr>
      <w:r w:rsidRPr="00776C13">
        <w:rPr>
          <w:szCs w:val="22"/>
        </w:rPr>
        <w:t xml:space="preserve">For mercury cold vapour AAS-systems are commonly used, as stand-alone device or addition to AAS-systems. In recent years, direct measuring systems for analysing mercury from liquid and solid samples without any </w:t>
      </w:r>
      <w:r w:rsidR="00776C13" w:rsidRPr="00776C13">
        <w:rPr>
          <w:szCs w:val="22"/>
        </w:rPr>
        <w:t>preceding</w:t>
      </w:r>
      <w:r w:rsidR="00F90B60">
        <w:rPr>
          <w:szCs w:val="22"/>
        </w:rPr>
        <w:t xml:space="preserve"> digestion have be</w:t>
      </w:r>
      <w:r w:rsidRPr="00776C13">
        <w:rPr>
          <w:szCs w:val="22"/>
        </w:rPr>
        <w:t xml:space="preserve">come available (e.g. AMA, PE SMS 100 and MLS DMA-80), which have been proven to produce accurate and reliable results. Also a GFAAS-system equipped with a solid sample (autosampler) device for direct measuring and a high-resolution continuum source has become available, which reduces the pretreatment of the samples and has only one source for all elements. Direct methods for </w:t>
      </w:r>
      <w:r w:rsidR="00F90B60">
        <w:rPr>
          <w:szCs w:val="22"/>
        </w:rPr>
        <w:t>analysing mercury using pyroly</w:t>
      </w:r>
      <w:r w:rsidRPr="00776C13">
        <w:rPr>
          <w:szCs w:val="22"/>
        </w:rPr>
        <w:t xml:space="preserve">sis combined with a gold trap and fluorescence or atomic absorption detection are sensitive enough to measure biota sample directly (Carbonell et al., 2009; Maggi et al., 2009; Torres et al., 2012). </w:t>
      </w:r>
      <w:proofErr w:type="gramStart"/>
      <w:r w:rsidRPr="00776C13">
        <w:rPr>
          <w:szCs w:val="22"/>
        </w:rPr>
        <w:t xml:space="preserve">For the detection of hydride </w:t>
      </w:r>
      <w:r w:rsidR="00F90B60">
        <w:rPr>
          <w:szCs w:val="22"/>
        </w:rPr>
        <w:t>forming elements, such as arse</w:t>
      </w:r>
      <w:r w:rsidRPr="00776C13">
        <w:rPr>
          <w:szCs w:val="22"/>
        </w:rPr>
        <w:t xml:space="preserve">nic, selenium or antimony, nearly all </w:t>
      </w:r>
      <w:r w:rsidR="00776C13" w:rsidRPr="00776C13">
        <w:rPr>
          <w:szCs w:val="22"/>
        </w:rPr>
        <w:t>manufacturers</w:t>
      </w:r>
      <w:r w:rsidRPr="00776C13">
        <w:rPr>
          <w:szCs w:val="22"/>
        </w:rPr>
        <w:t xml:space="preserve"> of AAS offer addi</w:t>
      </w:r>
      <w:r w:rsidR="00776C13">
        <w:rPr>
          <w:szCs w:val="22"/>
        </w:rPr>
        <w:t>tional hydride add-on devices.</w:t>
      </w:r>
      <w:proofErr w:type="gramEnd"/>
      <w:r w:rsidR="00776C13">
        <w:rPr>
          <w:szCs w:val="22"/>
        </w:rPr>
        <w:t xml:space="preserve"> </w:t>
      </w:r>
    </w:p>
    <w:p w14:paraId="238964AB" w14:textId="77777777" w:rsidR="00FC360C" w:rsidRPr="00F63BAF" w:rsidRDefault="00FC360C" w:rsidP="00776C13">
      <w:pPr>
        <w:pStyle w:val="Heading1"/>
      </w:pPr>
      <w:bookmarkStart w:id="146" w:name="_Toc511217434"/>
      <w:r w:rsidRPr="00F63BAF">
        <w:t>6.</w:t>
      </w:r>
      <w:r w:rsidRPr="00F63BAF">
        <w:tab/>
        <w:t>Analytical quality assurance</w:t>
      </w:r>
      <w:bookmarkEnd w:id="146"/>
    </w:p>
    <w:p w14:paraId="68E7C438"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 xml:space="preserve">The programme planners must decide on the accuracy, precision, </w:t>
      </w:r>
      <w:proofErr w:type="gramStart"/>
      <w:r w:rsidRPr="00776C13">
        <w:rPr>
          <w:rFonts w:ascii="Calibri" w:hAnsi="Calibri"/>
          <w:sz w:val="22"/>
          <w:szCs w:val="22"/>
        </w:rPr>
        <w:t>repeatability</w:t>
      </w:r>
      <w:proofErr w:type="gramEnd"/>
      <w:r w:rsidRPr="00776C13">
        <w:rPr>
          <w:rFonts w:ascii="Calibri" w:hAnsi="Calibri"/>
          <w:sz w:val="22"/>
          <w:szCs w:val="22"/>
        </w:rPr>
        <w:t>, limit of detection and limit of determination required for each specific programme. Achievable limits of determination are as follows:</w:t>
      </w:r>
    </w:p>
    <w:p w14:paraId="1E5F845B" w14:textId="77777777" w:rsidR="00FC360C" w:rsidRPr="00776C13" w:rsidRDefault="00FC360C" w:rsidP="00776C13">
      <w:pPr>
        <w:pStyle w:val="BodyText"/>
        <w:spacing w:after="120" w:line="276" w:lineRule="auto"/>
        <w:ind w:left="567"/>
        <w:rPr>
          <w:rFonts w:ascii="Calibri" w:hAnsi="Calibri"/>
          <w:sz w:val="22"/>
          <w:szCs w:val="22"/>
        </w:rPr>
      </w:pPr>
      <w:r w:rsidRPr="00776C13">
        <w:rPr>
          <w:rFonts w:ascii="Calibri" w:hAnsi="Calibri"/>
          <w:sz w:val="22"/>
          <w:szCs w:val="22"/>
        </w:rPr>
        <w:t>Cd</w:t>
      </w:r>
      <w:r w:rsidRPr="00776C13">
        <w:rPr>
          <w:rFonts w:ascii="Calibri" w:hAnsi="Calibri"/>
          <w:sz w:val="22"/>
          <w:szCs w:val="22"/>
        </w:rPr>
        <w:tab/>
        <w:t>5 </w:t>
      </w:r>
      <w:r w:rsidRPr="00776C13">
        <w:rPr>
          <w:rFonts w:ascii="Calibri" w:hAnsi="Calibri"/>
          <w:sz w:val="22"/>
          <w:szCs w:val="22"/>
        </w:rPr>
        <w:sym w:font="Symbol" w:char="F06D"/>
      </w:r>
      <w:r w:rsidRPr="00776C13">
        <w:rPr>
          <w:rFonts w:ascii="Calibri" w:hAnsi="Calibri"/>
          <w:sz w:val="22"/>
          <w:szCs w:val="22"/>
        </w:rPr>
        <w:t>g/kg wet weight;</w:t>
      </w:r>
    </w:p>
    <w:p w14:paraId="51655759" w14:textId="77777777" w:rsidR="00FC360C" w:rsidRPr="00776C13" w:rsidRDefault="00FC360C" w:rsidP="00776C13">
      <w:pPr>
        <w:pStyle w:val="BodyText"/>
        <w:spacing w:after="120" w:line="276" w:lineRule="auto"/>
        <w:ind w:left="567"/>
        <w:rPr>
          <w:rFonts w:ascii="Calibri" w:hAnsi="Calibri"/>
          <w:sz w:val="22"/>
          <w:szCs w:val="22"/>
        </w:rPr>
      </w:pPr>
      <w:r w:rsidRPr="00776C13">
        <w:rPr>
          <w:rFonts w:ascii="Calibri" w:hAnsi="Calibri"/>
          <w:sz w:val="22"/>
          <w:szCs w:val="22"/>
        </w:rPr>
        <w:t>Hg</w:t>
      </w:r>
      <w:r w:rsidRPr="00776C13">
        <w:rPr>
          <w:rFonts w:ascii="Calibri" w:hAnsi="Calibri"/>
          <w:sz w:val="22"/>
          <w:szCs w:val="22"/>
        </w:rPr>
        <w:tab/>
        <w:t>10 </w:t>
      </w:r>
      <w:r w:rsidRPr="00776C13">
        <w:rPr>
          <w:rFonts w:ascii="Calibri" w:hAnsi="Calibri"/>
          <w:sz w:val="22"/>
          <w:szCs w:val="22"/>
        </w:rPr>
        <w:sym w:font="Symbol" w:char="F06D"/>
      </w:r>
      <w:r w:rsidRPr="00776C13">
        <w:rPr>
          <w:rFonts w:ascii="Calibri" w:hAnsi="Calibri"/>
          <w:sz w:val="22"/>
          <w:szCs w:val="22"/>
        </w:rPr>
        <w:t>g/kg wet weight;</w:t>
      </w:r>
    </w:p>
    <w:p w14:paraId="37D4C554" w14:textId="77777777" w:rsidR="00FC360C" w:rsidRPr="00776C13" w:rsidRDefault="00FC360C" w:rsidP="00776C13">
      <w:pPr>
        <w:pStyle w:val="BodyText"/>
        <w:spacing w:after="120" w:line="276" w:lineRule="auto"/>
        <w:ind w:left="567"/>
        <w:rPr>
          <w:rFonts w:ascii="Calibri" w:hAnsi="Calibri"/>
          <w:sz w:val="22"/>
          <w:szCs w:val="22"/>
        </w:rPr>
      </w:pPr>
      <w:r w:rsidRPr="00776C13">
        <w:rPr>
          <w:rFonts w:ascii="Calibri" w:hAnsi="Calibri"/>
          <w:sz w:val="22"/>
          <w:szCs w:val="22"/>
        </w:rPr>
        <w:t>Pb</w:t>
      </w:r>
      <w:r w:rsidRPr="00776C13">
        <w:rPr>
          <w:rFonts w:ascii="Calibri" w:hAnsi="Calibri"/>
          <w:sz w:val="22"/>
          <w:szCs w:val="22"/>
        </w:rPr>
        <w:tab/>
        <w:t>20 </w:t>
      </w:r>
      <w:r w:rsidRPr="00776C13">
        <w:rPr>
          <w:rFonts w:ascii="Calibri" w:hAnsi="Calibri"/>
          <w:sz w:val="22"/>
          <w:szCs w:val="22"/>
        </w:rPr>
        <w:sym w:font="Symbol" w:char="F06D"/>
      </w:r>
      <w:r w:rsidRPr="00776C13">
        <w:rPr>
          <w:rFonts w:ascii="Calibri" w:hAnsi="Calibri"/>
          <w:sz w:val="22"/>
          <w:szCs w:val="22"/>
        </w:rPr>
        <w:t>g/kg wet weight;</w:t>
      </w:r>
    </w:p>
    <w:p w14:paraId="78A2F2BE" w14:textId="77777777" w:rsidR="00FC360C" w:rsidRPr="00776C13" w:rsidRDefault="00FC360C" w:rsidP="00776C13">
      <w:pPr>
        <w:pStyle w:val="BodyText"/>
        <w:spacing w:after="120" w:line="276" w:lineRule="auto"/>
        <w:ind w:left="567"/>
        <w:rPr>
          <w:rFonts w:ascii="Calibri" w:hAnsi="Calibri"/>
          <w:sz w:val="22"/>
          <w:szCs w:val="22"/>
        </w:rPr>
      </w:pPr>
      <w:r w:rsidRPr="00776C13">
        <w:rPr>
          <w:rFonts w:ascii="Calibri" w:hAnsi="Calibri"/>
          <w:sz w:val="22"/>
          <w:szCs w:val="22"/>
        </w:rPr>
        <w:t>Cu</w:t>
      </w:r>
      <w:r w:rsidRPr="00776C13">
        <w:rPr>
          <w:rFonts w:ascii="Calibri" w:hAnsi="Calibri"/>
          <w:sz w:val="22"/>
          <w:szCs w:val="22"/>
        </w:rPr>
        <w:tab/>
        <w:t>200 </w:t>
      </w:r>
      <w:r w:rsidRPr="00776C13">
        <w:rPr>
          <w:rFonts w:ascii="Calibri" w:hAnsi="Calibri"/>
          <w:sz w:val="22"/>
          <w:szCs w:val="22"/>
        </w:rPr>
        <w:sym w:font="Symbol" w:char="F06D"/>
      </w:r>
      <w:r w:rsidRPr="00776C13">
        <w:rPr>
          <w:rFonts w:ascii="Calibri" w:hAnsi="Calibri"/>
          <w:sz w:val="22"/>
          <w:szCs w:val="22"/>
        </w:rPr>
        <w:t>g/kg wet weight.</w:t>
      </w:r>
    </w:p>
    <w:p w14:paraId="1E474AF4"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Relevant references concerning QA include HELCOM (1988), QUASIMEME (1992), Harms (1994) and ICES (1995).</w:t>
      </w:r>
    </w:p>
    <w:p w14:paraId="301323B8" w14:textId="77777777" w:rsidR="00FC360C" w:rsidRPr="00776C13" w:rsidRDefault="00FC360C" w:rsidP="00776C13">
      <w:pPr>
        <w:pStyle w:val="Heading2"/>
      </w:pPr>
      <w:bookmarkStart w:id="147" w:name="_Toc511217435"/>
      <w:r w:rsidRPr="00776C13">
        <w:t>6.1</w:t>
      </w:r>
      <w:r w:rsidRPr="00776C13">
        <w:tab/>
        <w:t>Calibration and preparation of calibrands</w:t>
      </w:r>
      <w:bookmarkEnd w:id="147"/>
    </w:p>
    <w:p w14:paraId="694E22B5"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 xml:space="preserve">For calibration purposes, single element standard stock solutions at a concentration of 1000 mg/l are commercially available or can be prepared from the highest quality elements available (generally 99,999% purity) dissolved in high purity acid (usually 1 molar nitric acid). Single or mixed working element standard solutions for calibration purposes are prepared by taking aliquots of the standard stock solutions which are diluted using diluted acid as required. Both standard stock and working solutions are stored in polyethylene, borosilicate or silica volumetric flasks. Borosilicate flasks must not be cleaned with alkaline solutions or heated above 70°C. </w:t>
      </w:r>
    </w:p>
    <w:p w14:paraId="759663ED"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Working standard solutions at concentrations less than 100 µg/l should be prepared immediately before use. The actual concentration of the element should be stated on the label together with the date of the preparation of all standard solutions. The calibration procedure must meet some basic criteria or assumptions in order to give a best estimate of the true (but unknown) element content of the sample analysed. These are as follows:</w:t>
      </w:r>
    </w:p>
    <w:p w14:paraId="258463B3" w14:textId="77777777" w:rsidR="00FC360C" w:rsidRPr="00776C13" w:rsidRDefault="00FC360C" w:rsidP="00776C13">
      <w:pPr>
        <w:pStyle w:val="BodyText"/>
        <w:numPr>
          <w:ilvl w:val="0"/>
          <w:numId w:val="27"/>
        </w:numPr>
        <w:spacing w:after="120" w:line="276" w:lineRule="auto"/>
        <w:rPr>
          <w:rFonts w:ascii="Calibri" w:hAnsi="Calibri"/>
          <w:sz w:val="22"/>
          <w:szCs w:val="22"/>
        </w:rPr>
      </w:pPr>
      <w:r w:rsidRPr="00776C13">
        <w:rPr>
          <w:rFonts w:ascii="Calibri" w:hAnsi="Calibri"/>
          <w:sz w:val="22"/>
          <w:szCs w:val="22"/>
        </w:rPr>
        <w:t>the masses or concentrations of standards for the establishment of the calibration function must be prepared without bias;</w:t>
      </w:r>
    </w:p>
    <w:p w14:paraId="62F19361" w14:textId="77777777" w:rsidR="00FC360C" w:rsidRPr="00776C13" w:rsidRDefault="00FC360C" w:rsidP="00776C13">
      <w:pPr>
        <w:pStyle w:val="BodyText"/>
        <w:numPr>
          <w:ilvl w:val="0"/>
          <w:numId w:val="27"/>
        </w:numPr>
        <w:spacing w:after="120" w:line="276" w:lineRule="auto"/>
        <w:rPr>
          <w:rFonts w:ascii="Calibri" w:hAnsi="Calibri"/>
          <w:sz w:val="22"/>
          <w:szCs w:val="22"/>
        </w:rPr>
      </w:pPr>
      <w:r w:rsidRPr="00776C13">
        <w:rPr>
          <w:rFonts w:ascii="Calibri" w:hAnsi="Calibri"/>
          <w:sz w:val="22"/>
          <w:szCs w:val="22"/>
        </w:rPr>
        <w:t>the chemical and physical properties of the calibration standards must closely resemble those of the sample under investigation;</w:t>
      </w:r>
    </w:p>
    <w:p w14:paraId="68AFE9C5" w14:textId="77777777" w:rsidR="00FC360C" w:rsidRPr="00776C13" w:rsidRDefault="00FC360C" w:rsidP="00776C13">
      <w:pPr>
        <w:pStyle w:val="BodyText"/>
        <w:numPr>
          <w:ilvl w:val="0"/>
          <w:numId w:val="27"/>
        </w:numPr>
        <w:spacing w:after="120" w:line="276" w:lineRule="auto"/>
        <w:rPr>
          <w:rFonts w:ascii="Calibri" w:hAnsi="Calibri"/>
          <w:sz w:val="22"/>
          <w:szCs w:val="22"/>
        </w:rPr>
      </w:pPr>
      <w:r w:rsidRPr="00776C13">
        <w:rPr>
          <w:rFonts w:ascii="Calibri" w:hAnsi="Calibri"/>
          <w:sz w:val="22"/>
          <w:szCs w:val="22"/>
        </w:rPr>
        <w:t>sample and calibration standard must be subject to the same operational steps of the analytical procedure;</w:t>
      </w:r>
    </w:p>
    <w:p w14:paraId="3FA81C3C" w14:textId="77777777" w:rsidR="00FC360C" w:rsidRPr="00776C13" w:rsidRDefault="00FC360C" w:rsidP="00776C13">
      <w:pPr>
        <w:pStyle w:val="BodyText"/>
        <w:numPr>
          <w:ilvl w:val="0"/>
          <w:numId w:val="27"/>
        </w:numPr>
        <w:spacing w:after="120" w:line="276" w:lineRule="auto"/>
        <w:rPr>
          <w:rFonts w:ascii="Calibri" w:hAnsi="Calibri"/>
          <w:sz w:val="22"/>
          <w:szCs w:val="22"/>
        </w:rPr>
      </w:pPr>
      <w:proofErr w:type="gramStart"/>
      <w:r w:rsidRPr="00776C13">
        <w:rPr>
          <w:rFonts w:ascii="Calibri" w:hAnsi="Calibri"/>
          <w:sz w:val="22"/>
          <w:szCs w:val="22"/>
        </w:rPr>
        <w:t>signals</w:t>
      </w:r>
      <w:proofErr w:type="gramEnd"/>
      <w:r w:rsidRPr="00776C13">
        <w:rPr>
          <w:rFonts w:ascii="Calibri" w:hAnsi="Calibri"/>
          <w:sz w:val="22"/>
          <w:szCs w:val="22"/>
        </w:rPr>
        <w:t xml:space="preserve"> of repeatedly analysed calibration standards must be randomly distributed on either side of the calibration line.</w:t>
      </w:r>
    </w:p>
    <w:p w14:paraId="2F4FF254" w14:textId="77777777" w:rsidR="00FC360C" w:rsidRPr="00776C13" w:rsidRDefault="00FC360C" w:rsidP="00776C13">
      <w:pPr>
        <w:pStyle w:val="BodyText"/>
        <w:spacing w:after="120" w:line="276" w:lineRule="auto"/>
        <w:rPr>
          <w:rFonts w:ascii="Calibri" w:hAnsi="Calibri"/>
          <w:sz w:val="22"/>
          <w:szCs w:val="22"/>
        </w:rPr>
      </w:pPr>
      <w:proofErr w:type="gramStart"/>
      <w:r w:rsidRPr="00776C13">
        <w:rPr>
          <w:rFonts w:ascii="Calibri" w:hAnsi="Calibri"/>
          <w:sz w:val="22"/>
          <w:szCs w:val="22"/>
        </w:rPr>
        <w:t>Application of chemical separation procedures.</w:t>
      </w:r>
      <w:proofErr w:type="gramEnd"/>
      <w:r w:rsidRPr="00776C13">
        <w:rPr>
          <w:rFonts w:ascii="Calibri" w:hAnsi="Calibri"/>
          <w:sz w:val="22"/>
          <w:szCs w:val="22"/>
        </w:rPr>
        <w:t xml:space="preserve"> Although relatively simple standards with a minimum of matrix matching are required, separation procedures that consist of several stages are prone to systematic errors due to both uncontrollable contamination and analyte losses, respectively.</w:t>
      </w:r>
    </w:p>
    <w:p w14:paraId="291053C3" w14:textId="77777777" w:rsidR="00FC360C" w:rsidRPr="00776C13" w:rsidRDefault="00FC360C" w:rsidP="00776C13">
      <w:pPr>
        <w:pStyle w:val="Heading2"/>
      </w:pPr>
      <w:bookmarkStart w:id="148" w:name="_Toc511217436"/>
      <w:r w:rsidRPr="00776C13">
        <w:t>6.2</w:t>
      </w:r>
      <w:r w:rsidRPr="00776C13">
        <w:tab/>
        <w:t>Blanks</w:t>
      </w:r>
      <w:bookmarkEnd w:id="148"/>
    </w:p>
    <w:p w14:paraId="726A321C"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A procedural blank should be measured for each sample series and should be prepared simultaneously using the same chemicals and solvents as for the samples. Its purpose is to indicate sample contamination by interfering compounds, which will lead to errors in quantification. Detailed information how to reduce and control contamination is given by ICES (1995).</w:t>
      </w:r>
    </w:p>
    <w:p w14:paraId="6F1146F1" w14:textId="77777777" w:rsidR="00FC360C" w:rsidRPr="00776C13" w:rsidRDefault="00FC360C" w:rsidP="00776C13">
      <w:pPr>
        <w:pStyle w:val="Heading2"/>
      </w:pPr>
      <w:bookmarkStart w:id="149" w:name="_Toc511217437"/>
      <w:r w:rsidRPr="00776C13">
        <w:t>6.3</w:t>
      </w:r>
      <w:r w:rsidRPr="00776C13">
        <w:tab/>
        <w:t>Accuracy and precision</w:t>
      </w:r>
      <w:bookmarkEnd w:id="149"/>
    </w:p>
    <w:p w14:paraId="04DB859D"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A laboratory reference material (LRM), preferably a Certified Reference Material (CRM), should be included in the analyses, at least one LRM/CRM sample for each series of identically prepared samples.</w:t>
      </w:r>
    </w:p>
    <w:p w14:paraId="74A18776"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The LRM must be homogeneous, well characterised for the determinands in question and stability tests must have shown that it produces consistent results over time. The LRM should be of the same type of matrix (</w:t>
      </w:r>
      <w:r w:rsidRPr="00776C13">
        <w:rPr>
          <w:rFonts w:ascii="Calibri" w:hAnsi="Calibri"/>
          <w:i/>
          <w:sz w:val="22"/>
          <w:szCs w:val="22"/>
        </w:rPr>
        <w:t>e.g.</w:t>
      </w:r>
      <w:r w:rsidRPr="00776C13">
        <w:rPr>
          <w:rFonts w:ascii="Calibri" w:hAnsi="Calibri"/>
          <w:sz w:val="22"/>
          <w:szCs w:val="22"/>
        </w:rPr>
        <w:t xml:space="preserve"> liver, muscle tissue, fat or lean fish) as the samples, and the determinand concentrations should occur in a comparable range to those of the samples. If the range of determinand concentrations in the sample is large (&gt; factor of 5) two reference materials should be included in each batch of analyses to cover the lower and upper concentrations. It is good practice to run duplicate analyses of a reference material to check within-batch analytical variability. The use of a freeze-dried LRM is a practicable alternative to a homogenised and frozen LRM. However, the efficiency of the preceding steps such as homogenisation and drying cannot be checked. A quality control chart should be recorded for each metal</w:t>
      </w:r>
      <w:r w:rsidR="00F90B60">
        <w:rPr>
          <w:rFonts w:ascii="Calibri" w:hAnsi="Calibri"/>
          <w:sz w:val="22"/>
          <w:szCs w:val="22"/>
        </w:rPr>
        <w:t>. When introduc</w:t>
      </w:r>
      <w:r w:rsidRPr="00776C13">
        <w:rPr>
          <w:rFonts w:ascii="Calibri" w:hAnsi="Calibri"/>
          <w:sz w:val="22"/>
          <w:szCs w:val="22"/>
        </w:rPr>
        <w:t>ing a new LRM or when it is suspected from the control chart, that there is a systematic error possibly due to an alteration of the LRM, another LRM (preferably a CRM) with a matrix as close as possible to the material analysed, should be used to check the reference material. Table 1 contains information on CRMs commercially available for use in marine monitoring.</w:t>
      </w:r>
      <w:r w:rsidRPr="00776C13" w:rsidDel="00731696">
        <w:rPr>
          <w:rFonts w:ascii="Calibri" w:hAnsi="Calibri"/>
          <w:sz w:val="22"/>
          <w:szCs w:val="22"/>
        </w:rPr>
        <w:t xml:space="preserve"> </w:t>
      </w:r>
    </w:p>
    <w:p w14:paraId="73D6B93E"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b/>
          <w:sz w:val="22"/>
          <w:szCs w:val="22"/>
        </w:rPr>
        <w:t>Table 1</w:t>
      </w:r>
      <w:r w:rsidR="00776C13">
        <w:rPr>
          <w:rFonts w:ascii="Calibri" w:hAnsi="Calibri"/>
          <w:sz w:val="22"/>
          <w:szCs w:val="22"/>
        </w:rPr>
        <w:t>:</w:t>
      </w:r>
      <w:r w:rsidRPr="00776C13">
        <w:rPr>
          <w:rFonts w:ascii="Calibri" w:hAnsi="Calibri"/>
          <w:sz w:val="22"/>
          <w:szCs w:val="22"/>
        </w:rPr>
        <w:t xml:space="preserve"> Certified Reference Materials for metals in marine organisms.</w:t>
      </w:r>
    </w:p>
    <w:tbl>
      <w:tblPr>
        <w:tblW w:w="0" w:type="auto"/>
        <w:tblBorders>
          <w:top w:val="nil"/>
          <w:left w:val="nil"/>
          <w:right w:val="nil"/>
        </w:tblBorders>
        <w:tblLayout w:type="fixed"/>
        <w:tblLook w:val="0000" w:firstRow="0" w:lastRow="0" w:firstColumn="0" w:lastColumn="0" w:noHBand="0" w:noVBand="0"/>
      </w:tblPr>
      <w:tblGrid>
        <w:gridCol w:w="1857"/>
        <w:gridCol w:w="1860"/>
        <w:gridCol w:w="4278"/>
      </w:tblGrid>
      <w:tr w:rsidR="00FC360C" w:rsidRPr="00776C13" w14:paraId="381C9E3A" w14:textId="77777777" w:rsidTr="002F237A">
        <w:tc>
          <w:tcPr>
            <w:tcW w:w="185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F8D77A3"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b/>
                <w:bCs/>
                <w:color w:val="000000"/>
                <w:szCs w:val="22"/>
                <w:lang w:eastAsia="da-DK"/>
              </w:rPr>
              <w:t xml:space="preserve">Code </w:t>
            </w:r>
          </w:p>
        </w:tc>
        <w:tc>
          <w:tcPr>
            <w:tcW w:w="18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1336249"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b/>
                <w:bCs/>
                <w:color w:val="000000"/>
                <w:szCs w:val="22"/>
                <w:lang w:eastAsia="da-DK"/>
              </w:rPr>
              <w:t xml:space="preserve">Organization </w:t>
            </w:r>
          </w:p>
        </w:tc>
        <w:tc>
          <w:tcPr>
            <w:tcW w:w="42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B4E5B97"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b/>
                <w:bCs/>
                <w:color w:val="000000"/>
                <w:szCs w:val="22"/>
                <w:lang w:eastAsia="da-DK"/>
              </w:rPr>
              <w:t xml:space="preserve">Matrix </w:t>
            </w:r>
          </w:p>
        </w:tc>
      </w:tr>
      <w:tr w:rsidR="00FC360C" w:rsidRPr="00776C13" w14:paraId="45BA2A53" w14:textId="77777777" w:rsidTr="002F237A">
        <w:tblPrEx>
          <w:tblBorders>
            <w:top w:val="none" w:sz="0" w:space="0" w:color="auto"/>
          </w:tblBorders>
        </w:tblPrEx>
        <w:tc>
          <w:tcPr>
            <w:tcW w:w="185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CEEDFFA"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 xml:space="preserve">ERM-CE278k </w:t>
            </w:r>
          </w:p>
        </w:tc>
        <w:tc>
          <w:tcPr>
            <w:tcW w:w="18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313498C"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IRMM</w:t>
            </w:r>
            <w:r w:rsidRPr="00776C13">
              <w:rPr>
                <w:rFonts w:cs="Arial"/>
                <w:color w:val="000000"/>
                <w:position w:val="13"/>
                <w:szCs w:val="22"/>
                <w:lang w:eastAsia="da-DK"/>
              </w:rPr>
              <w:t xml:space="preserve">1 </w:t>
            </w:r>
          </w:p>
        </w:tc>
        <w:tc>
          <w:tcPr>
            <w:tcW w:w="42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5F93D87"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 xml:space="preserve">Mussel tissue </w:t>
            </w:r>
          </w:p>
        </w:tc>
      </w:tr>
      <w:tr w:rsidR="00FC360C" w:rsidRPr="00776C13" w14:paraId="178B2EE7" w14:textId="77777777" w:rsidTr="002F237A">
        <w:tblPrEx>
          <w:tblBorders>
            <w:top w:val="none" w:sz="0" w:space="0" w:color="auto"/>
          </w:tblBorders>
        </w:tblPrEx>
        <w:tc>
          <w:tcPr>
            <w:tcW w:w="185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1F69A88"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 xml:space="preserve">ERM-BB422 </w:t>
            </w:r>
          </w:p>
        </w:tc>
        <w:tc>
          <w:tcPr>
            <w:tcW w:w="18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C9307DB"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 xml:space="preserve">IRMM </w:t>
            </w:r>
          </w:p>
        </w:tc>
        <w:tc>
          <w:tcPr>
            <w:tcW w:w="42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FA13C17"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 xml:space="preserve">Fish muscle </w:t>
            </w:r>
          </w:p>
        </w:tc>
      </w:tr>
      <w:tr w:rsidR="00FC360C" w:rsidRPr="00776C13" w14:paraId="7DD6B6BA" w14:textId="77777777" w:rsidTr="002F237A">
        <w:tblPrEx>
          <w:tblBorders>
            <w:top w:val="none" w:sz="0" w:space="0" w:color="auto"/>
          </w:tblBorders>
        </w:tblPrEx>
        <w:tc>
          <w:tcPr>
            <w:tcW w:w="185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19300CD"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 xml:space="preserve">BCR-463 </w:t>
            </w:r>
          </w:p>
        </w:tc>
        <w:tc>
          <w:tcPr>
            <w:tcW w:w="18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F928ABF"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 xml:space="preserve">IRMM </w:t>
            </w:r>
          </w:p>
        </w:tc>
        <w:tc>
          <w:tcPr>
            <w:tcW w:w="42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3E185CD"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 xml:space="preserve">Tuna fish </w:t>
            </w:r>
          </w:p>
        </w:tc>
      </w:tr>
      <w:tr w:rsidR="00FC360C" w:rsidRPr="00776C13" w14:paraId="6AAAEC59" w14:textId="77777777" w:rsidTr="002F237A">
        <w:tblPrEx>
          <w:tblBorders>
            <w:top w:val="none" w:sz="0" w:space="0" w:color="auto"/>
          </w:tblBorders>
        </w:tblPrEx>
        <w:tc>
          <w:tcPr>
            <w:tcW w:w="185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12CF2AF"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 xml:space="preserve">DOLT-4 </w:t>
            </w:r>
          </w:p>
        </w:tc>
        <w:tc>
          <w:tcPr>
            <w:tcW w:w="18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466F9D2"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NRC</w:t>
            </w:r>
            <w:r w:rsidRPr="00776C13">
              <w:rPr>
                <w:rFonts w:cs="Arial"/>
                <w:color w:val="000000"/>
                <w:position w:val="13"/>
                <w:szCs w:val="22"/>
                <w:lang w:eastAsia="da-DK"/>
              </w:rPr>
              <w:t xml:space="preserve">2 </w:t>
            </w:r>
          </w:p>
        </w:tc>
        <w:tc>
          <w:tcPr>
            <w:tcW w:w="42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D8AA364"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 xml:space="preserve">Dogfish liver </w:t>
            </w:r>
          </w:p>
        </w:tc>
      </w:tr>
      <w:tr w:rsidR="00FC360C" w:rsidRPr="00776C13" w14:paraId="73F5E02E" w14:textId="77777777" w:rsidTr="002F237A">
        <w:tblPrEx>
          <w:tblBorders>
            <w:top w:val="none" w:sz="0" w:space="0" w:color="auto"/>
          </w:tblBorders>
        </w:tblPrEx>
        <w:tc>
          <w:tcPr>
            <w:tcW w:w="185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A39F4F0"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 xml:space="preserve">DORM-4 </w:t>
            </w:r>
          </w:p>
        </w:tc>
        <w:tc>
          <w:tcPr>
            <w:tcW w:w="18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C767686"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 xml:space="preserve">NRC </w:t>
            </w:r>
          </w:p>
        </w:tc>
        <w:tc>
          <w:tcPr>
            <w:tcW w:w="42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7ADDCA1"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 xml:space="preserve">Fish </w:t>
            </w:r>
          </w:p>
        </w:tc>
      </w:tr>
      <w:tr w:rsidR="00FC360C" w:rsidRPr="00776C13" w14:paraId="70BC2904" w14:textId="77777777" w:rsidTr="002F237A">
        <w:tblPrEx>
          <w:tblBorders>
            <w:top w:val="none" w:sz="0" w:space="0" w:color="auto"/>
          </w:tblBorders>
        </w:tblPrEx>
        <w:tc>
          <w:tcPr>
            <w:tcW w:w="185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AA640CB"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 xml:space="preserve">LUTS-1 </w:t>
            </w:r>
          </w:p>
        </w:tc>
        <w:tc>
          <w:tcPr>
            <w:tcW w:w="18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7107DCC"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 xml:space="preserve">NRC </w:t>
            </w:r>
          </w:p>
        </w:tc>
        <w:tc>
          <w:tcPr>
            <w:tcW w:w="42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EB6AA9D"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 xml:space="preserve">Non defatted lobster hepatopancreas </w:t>
            </w:r>
          </w:p>
        </w:tc>
      </w:tr>
      <w:tr w:rsidR="00FC360C" w:rsidRPr="00776C13" w14:paraId="390F7DDF" w14:textId="77777777" w:rsidTr="002F237A">
        <w:tblPrEx>
          <w:tblBorders>
            <w:top w:val="none" w:sz="0" w:space="0" w:color="auto"/>
          </w:tblBorders>
        </w:tblPrEx>
        <w:tc>
          <w:tcPr>
            <w:tcW w:w="185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D7E7283"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 xml:space="preserve">TORT-3 </w:t>
            </w:r>
          </w:p>
        </w:tc>
        <w:tc>
          <w:tcPr>
            <w:tcW w:w="18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6FC19BA"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 xml:space="preserve">NRC </w:t>
            </w:r>
          </w:p>
        </w:tc>
        <w:tc>
          <w:tcPr>
            <w:tcW w:w="42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073E470"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 xml:space="preserve">Lobster hepatopancreas </w:t>
            </w:r>
          </w:p>
        </w:tc>
      </w:tr>
      <w:tr w:rsidR="00FC360C" w:rsidRPr="00776C13" w14:paraId="3496D613" w14:textId="77777777" w:rsidTr="002F237A">
        <w:tblPrEx>
          <w:tblBorders>
            <w:top w:val="none" w:sz="0" w:space="0" w:color="auto"/>
          </w:tblBorders>
        </w:tblPrEx>
        <w:tc>
          <w:tcPr>
            <w:tcW w:w="185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25C9E0B"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 xml:space="preserve">SRM 2976 </w:t>
            </w:r>
          </w:p>
        </w:tc>
        <w:tc>
          <w:tcPr>
            <w:tcW w:w="18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627D127"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NIST</w:t>
            </w:r>
            <w:r w:rsidRPr="00776C13">
              <w:rPr>
                <w:rFonts w:cs="Arial"/>
                <w:color w:val="000000"/>
                <w:position w:val="13"/>
                <w:szCs w:val="22"/>
                <w:lang w:eastAsia="da-DK"/>
              </w:rPr>
              <w:t xml:space="preserve">3 </w:t>
            </w:r>
          </w:p>
        </w:tc>
        <w:tc>
          <w:tcPr>
            <w:tcW w:w="42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08FB81B"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 xml:space="preserve">Mussel tissue </w:t>
            </w:r>
          </w:p>
        </w:tc>
      </w:tr>
      <w:tr w:rsidR="00FC360C" w:rsidRPr="00776C13" w14:paraId="3E452F84" w14:textId="77777777" w:rsidTr="002F237A">
        <w:tc>
          <w:tcPr>
            <w:tcW w:w="185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99F70D2"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 xml:space="preserve">SRM 1946 </w:t>
            </w:r>
          </w:p>
        </w:tc>
        <w:tc>
          <w:tcPr>
            <w:tcW w:w="18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4B7DA92"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 xml:space="preserve">NIST </w:t>
            </w:r>
          </w:p>
        </w:tc>
        <w:tc>
          <w:tcPr>
            <w:tcW w:w="42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C48C1F1"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Arial"/>
                <w:color w:val="000000"/>
                <w:szCs w:val="22"/>
                <w:lang w:eastAsia="da-DK"/>
              </w:rPr>
              <w:t xml:space="preserve">Lake fish tissue </w:t>
            </w:r>
          </w:p>
        </w:tc>
      </w:tr>
    </w:tbl>
    <w:p w14:paraId="7F3CA341"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 xml:space="preserve">1) IRMM: Institute for Reference Materials and Measurements (Europe) </w:t>
      </w:r>
    </w:p>
    <w:p w14:paraId="544FFFAE"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2)</w:t>
      </w:r>
      <w:r w:rsidR="00776C13">
        <w:rPr>
          <w:rFonts w:ascii="Calibri" w:hAnsi="Calibri"/>
          <w:sz w:val="22"/>
          <w:szCs w:val="22"/>
        </w:rPr>
        <w:t xml:space="preserve"> </w:t>
      </w:r>
      <w:r w:rsidRPr="00776C13">
        <w:rPr>
          <w:rFonts w:ascii="Calibri" w:hAnsi="Calibri"/>
          <w:sz w:val="22"/>
          <w:szCs w:val="22"/>
        </w:rPr>
        <w:t>NRC: National Research Council (Canada</w:t>
      </w:r>
      <w:proofErr w:type="gramStart"/>
      <w:r w:rsidRPr="00776C13">
        <w:rPr>
          <w:rFonts w:ascii="Calibri" w:hAnsi="Calibri"/>
          <w:sz w:val="22"/>
          <w:szCs w:val="22"/>
        </w:rPr>
        <w:t>)</w:t>
      </w:r>
      <w:r w:rsidRPr="00776C13">
        <w:rPr>
          <w:rFonts w:ascii="MS Gothic" w:eastAsia="MS Gothic" w:hAnsi="MS Gothic" w:cs="MS Gothic" w:hint="eastAsia"/>
          <w:sz w:val="22"/>
          <w:szCs w:val="22"/>
        </w:rPr>
        <w:t> </w:t>
      </w:r>
      <w:proofErr w:type="gramEnd"/>
    </w:p>
    <w:p w14:paraId="1C1094D9"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 xml:space="preserve">3) NIST: The National Institute of </w:t>
      </w:r>
      <w:r w:rsidR="00776C13">
        <w:rPr>
          <w:rFonts w:ascii="Calibri" w:hAnsi="Calibri"/>
          <w:sz w:val="22"/>
          <w:szCs w:val="22"/>
        </w:rPr>
        <w:t xml:space="preserve">Standards and Technology (USA) </w:t>
      </w:r>
    </w:p>
    <w:p w14:paraId="432B0C1E"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Additionally a duplicate of at least one sample should be run with every batch of samples. Each laboratory should participate in inter</w:t>
      </w:r>
      <w:r w:rsidR="00F90B60">
        <w:rPr>
          <w:rFonts w:ascii="Calibri" w:hAnsi="Calibri"/>
          <w:sz w:val="22"/>
          <w:szCs w:val="22"/>
        </w:rPr>
        <w:t xml:space="preserve"> </w:t>
      </w:r>
      <w:r w:rsidRPr="00776C13">
        <w:rPr>
          <w:rFonts w:ascii="Calibri" w:hAnsi="Calibri"/>
          <w:sz w:val="22"/>
          <w:szCs w:val="22"/>
        </w:rPr>
        <w:t>laboratory comparison studies and proficiency testing schemes on a regular basis, preferably at an international level.</w:t>
      </w:r>
    </w:p>
    <w:p w14:paraId="657CB915" w14:textId="77777777" w:rsidR="00FC360C" w:rsidRPr="00776C13" w:rsidRDefault="00FC360C" w:rsidP="00776C13">
      <w:pPr>
        <w:pStyle w:val="Heading2"/>
      </w:pPr>
      <w:bookmarkStart w:id="150" w:name="_Toc511217438"/>
      <w:r w:rsidRPr="00776C13">
        <w:t>6.4</w:t>
      </w:r>
      <w:r w:rsidRPr="00776C13">
        <w:tab/>
        <w:t>Data collection and transfer</w:t>
      </w:r>
      <w:bookmarkEnd w:id="150"/>
    </w:p>
    <w:p w14:paraId="7CD540D4"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Data collection, handling and transfer must take place using quality controlled procedures.</w:t>
      </w:r>
    </w:p>
    <w:p w14:paraId="1C24FBEE" w14:textId="77777777" w:rsidR="00FC360C" w:rsidRPr="00F63BAF" w:rsidRDefault="00FC360C" w:rsidP="00776C13">
      <w:pPr>
        <w:pStyle w:val="Heading1"/>
      </w:pPr>
      <w:bookmarkStart w:id="151" w:name="_Toc511217439"/>
      <w:r w:rsidRPr="00F63BAF">
        <w:t>7.</w:t>
      </w:r>
      <w:r w:rsidRPr="00F63BAF">
        <w:tab/>
        <w:t>Data recording and reporting parameters</w:t>
      </w:r>
      <w:bookmarkEnd w:id="151"/>
    </w:p>
    <w:p w14:paraId="51E19720"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Data reporting should be in accordance with the requirements for national comments and with the latest ICES reporting formats. Results should be reported according to the precision required for the programme. In practice, the number of significant figures is defined by the performance of the procedure.</w:t>
      </w:r>
    </w:p>
    <w:p w14:paraId="566F9345"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The following parameters should be recorded</w:t>
      </w:r>
      <w:r w:rsidRPr="00776C13">
        <w:rPr>
          <w:rFonts w:ascii="Calibri" w:hAnsi="Calibri" w:cs="Times"/>
          <w:color w:val="000000"/>
          <w:sz w:val="22"/>
          <w:szCs w:val="22"/>
          <w:lang w:eastAsia="da-DK"/>
        </w:rPr>
        <w:t xml:space="preserve"> </w:t>
      </w:r>
      <w:r w:rsidRPr="00776C13">
        <w:rPr>
          <w:rFonts w:ascii="Calibri" w:hAnsi="Calibri"/>
          <w:sz w:val="22"/>
          <w:szCs w:val="22"/>
        </w:rPr>
        <w:t>although they may serve different purposes, e.g. internal sampling protocols, and QA or requirements of the database of the assessing body:</w:t>
      </w:r>
    </w:p>
    <w:p w14:paraId="1171A672" w14:textId="77777777" w:rsidR="00FC360C" w:rsidRPr="00776C13" w:rsidRDefault="00FC360C" w:rsidP="00776C13">
      <w:pPr>
        <w:pStyle w:val="Heading2"/>
      </w:pPr>
      <w:r w:rsidRPr="00776C13">
        <w:br w:type="page"/>
      </w:r>
      <w:bookmarkStart w:id="152" w:name="_Toc511217440"/>
      <w:r w:rsidRPr="00776C13">
        <w:t>7.1</w:t>
      </w:r>
      <w:r w:rsidRPr="00776C13">
        <w:tab/>
        <w:t>Sampling and biological parameters</w:t>
      </w:r>
      <w:bookmarkEnd w:id="152"/>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755"/>
      </w:tblGrid>
      <w:tr w:rsidR="00FC360C" w:rsidRPr="00776C13" w14:paraId="7D58CC7A" w14:textId="77777777" w:rsidTr="002F237A">
        <w:tc>
          <w:tcPr>
            <w:tcW w:w="8755" w:type="dxa"/>
            <w:tcBorders>
              <w:top w:val="single" w:sz="6" w:space="0" w:color="auto"/>
              <w:left w:val="single" w:sz="6" w:space="0" w:color="auto"/>
              <w:bottom w:val="single" w:sz="6" w:space="0" w:color="auto"/>
              <w:right w:val="single" w:sz="6" w:space="0" w:color="auto"/>
            </w:tcBorders>
          </w:tcPr>
          <w:p w14:paraId="500B17DD" w14:textId="77777777" w:rsidR="00FC360C" w:rsidRPr="00776C13" w:rsidRDefault="00FC360C" w:rsidP="00776C13">
            <w:pPr>
              <w:pStyle w:val="hdg3"/>
              <w:spacing w:before="0" w:after="120" w:line="276" w:lineRule="auto"/>
              <w:rPr>
                <w:rFonts w:ascii="Calibri" w:hAnsi="Calibri"/>
              </w:rPr>
            </w:pPr>
            <w:r w:rsidRPr="00776C13">
              <w:rPr>
                <w:rFonts w:ascii="Calibri" w:hAnsi="Calibri"/>
              </w:rPr>
              <w:t>Fish</w:t>
            </w:r>
          </w:p>
          <w:p w14:paraId="549F58D1" w14:textId="77777777" w:rsidR="00FC360C" w:rsidRPr="00776C13" w:rsidRDefault="00FC360C" w:rsidP="00776C13">
            <w:pPr>
              <w:pStyle w:val="hdg3"/>
              <w:numPr>
                <w:ilvl w:val="0"/>
                <w:numId w:val="13"/>
              </w:numPr>
              <w:spacing w:before="0" w:after="120" w:line="276" w:lineRule="auto"/>
              <w:rPr>
                <w:rFonts w:ascii="Calibri" w:hAnsi="Calibri"/>
              </w:rPr>
            </w:pPr>
            <w:r w:rsidRPr="00776C13">
              <w:rPr>
                <w:rFonts w:ascii="Calibri" w:hAnsi="Calibri"/>
              </w:rPr>
              <w:t>location of catch (name, latitude, longitude);</w:t>
            </w:r>
          </w:p>
          <w:p w14:paraId="001F3A79" w14:textId="77777777" w:rsidR="00FC360C" w:rsidRPr="00776C13" w:rsidRDefault="00FC360C" w:rsidP="00776C13">
            <w:pPr>
              <w:pStyle w:val="hdg3"/>
              <w:numPr>
                <w:ilvl w:val="0"/>
                <w:numId w:val="13"/>
              </w:numPr>
              <w:spacing w:before="0" w:after="120" w:line="276" w:lineRule="auto"/>
              <w:rPr>
                <w:rFonts w:ascii="Calibri" w:hAnsi="Calibri"/>
              </w:rPr>
            </w:pPr>
            <w:r w:rsidRPr="00776C13">
              <w:rPr>
                <w:rFonts w:ascii="Calibri" w:hAnsi="Calibri"/>
              </w:rPr>
              <w:t>date of collection and time (start and end time of trawling operations, GMT);</w:t>
            </w:r>
          </w:p>
          <w:p w14:paraId="4912E0B0" w14:textId="77777777" w:rsidR="00FC360C" w:rsidRPr="00776C13" w:rsidRDefault="00FC360C" w:rsidP="00776C13">
            <w:pPr>
              <w:pStyle w:val="hdg3"/>
              <w:numPr>
                <w:ilvl w:val="0"/>
                <w:numId w:val="13"/>
              </w:numPr>
              <w:spacing w:before="0" w:after="120" w:line="276" w:lineRule="auto"/>
              <w:rPr>
                <w:rFonts w:ascii="Calibri" w:hAnsi="Calibri"/>
              </w:rPr>
            </w:pPr>
            <w:r w:rsidRPr="00776C13">
              <w:rPr>
                <w:rFonts w:ascii="Calibri" w:hAnsi="Calibri"/>
              </w:rPr>
              <w:t>mean trawling depth;</w:t>
            </w:r>
          </w:p>
          <w:p w14:paraId="7442AAA2" w14:textId="77777777" w:rsidR="00FC360C" w:rsidRPr="00776C13" w:rsidRDefault="00FC360C" w:rsidP="00776C13">
            <w:pPr>
              <w:pStyle w:val="hdg3"/>
              <w:numPr>
                <w:ilvl w:val="0"/>
                <w:numId w:val="13"/>
              </w:numPr>
              <w:spacing w:before="0" w:after="120" w:line="276" w:lineRule="auto"/>
              <w:rPr>
                <w:rFonts w:ascii="Calibri" w:hAnsi="Calibri"/>
              </w:rPr>
            </w:pPr>
            <w:r w:rsidRPr="00776C13">
              <w:rPr>
                <w:rFonts w:ascii="Calibri" w:hAnsi="Calibri"/>
              </w:rPr>
              <w:t>type of gear;</w:t>
            </w:r>
          </w:p>
          <w:p w14:paraId="3C990A41" w14:textId="77777777" w:rsidR="00FC360C" w:rsidRPr="00776C13" w:rsidRDefault="00FC360C" w:rsidP="00776C13">
            <w:pPr>
              <w:pStyle w:val="hdg3"/>
              <w:numPr>
                <w:ilvl w:val="0"/>
                <w:numId w:val="13"/>
              </w:numPr>
              <w:spacing w:before="0" w:after="120" w:line="276" w:lineRule="auto"/>
              <w:rPr>
                <w:rFonts w:ascii="Calibri" w:hAnsi="Calibri"/>
              </w:rPr>
            </w:pPr>
            <w:r w:rsidRPr="00776C13">
              <w:rPr>
                <w:rFonts w:ascii="Calibri" w:hAnsi="Calibri"/>
              </w:rPr>
              <w:t>irregularities and unusual conditions;</w:t>
            </w:r>
          </w:p>
          <w:p w14:paraId="562B2DC3" w14:textId="77777777" w:rsidR="00FC360C" w:rsidRPr="00776C13" w:rsidRDefault="00FC360C" w:rsidP="00776C13">
            <w:pPr>
              <w:pStyle w:val="hdg3"/>
              <w:numPr>
                <w:ilvl w:val="0"/>
                <w:numId w:val="13"/>
              </w:numPr>
              <w:spacing w:before="0" w:after="120" w:line="276" w:lineRule="auto"/>
              <w:rPr>
                <w:rFonts w:ascii="Calibri" w:hAnsi="Calibri"/>
              </w:rPr>
            </w:pPr>
            <w:r w:rsidRPr="00776C13">
              <w:rPr>
                <w:rFonts w:ascii="Calibri" w:hAnsi="Calibri"/>
              </w:rPr>
              <w:t>name and institution of sampling personnel;</w:t>
            </w:r>
          </w:p>
          <w:p w14:paraId="51877CFD" w14:textId="77777777" w:rsidR="00FC360C" w:rsidRPr="00776C13" w:rsidRDefault="00FC360C" w:rsidP="00776C13">
            <w:pPr>
              <w:pStyle w:val="hdg3"/>
              <w:numPr>
                <w:ilvl w:val="0"/>
                <w:numId w:val="13"/>
              </w:numPr>
              <w:spacing w:before="0" w:after="120" w:line="276" w:lineRule="auto"/>
              <w:rPr>
                <w:rFonts w:ascii="Calibri" w:hAnsi="Calibri"/>
              </w:rPr>
            </w:pPr>
            <w:r w:rsidRPr="00776C13">
              <w:rPr>
                <w:rFonts w:ascii="Calibri" w:hAnsi="Calibri"/>
              </w:rPr>
              <w:t>for each individual:</w:t>
            </w:r>
          </w:p>
          <w:p w14:paraId="55D2C602" w14:textId="77777777" w:rsidR="00FC360C" w:rsidRPr="00776C13" w:rsidRDefault="00FC360C" w:rsidP="00776C13">
            <w:pPr>
              <w:pStyle w:val="hdg3"/>
              <w:spacing w:before="0" w:after="120" w:line="276" w:lineRule="auto"/>
              <w:rPr>
                <w:rFonts w:ascii="Calibri" w:hAnsi="Calibri"/>
              </w:rPr>
            </w:pPr>
            <w:r w:rsidRPr="00776C13">
              <w:rPr>
                <w:rFonts w:ascii="Calibri" w:hAnsi="Calibri"/>
              </w:rPr>
              <w:t>-</w:t>
            </w:r>
            <w:r w:rsidRPr="00776C13">
              <w:rPr>
                <w:rFonts w:ascii="Calibri" w:hAnsi="Calibri"/>
              </w:rPr>
              <w:tab/>
              <w:t>the species, its length, total weight, sex, age, reproductive status (GSI);</w:t>
            </w:r>
          </w:p>
          <w:p w14:paraId="12031B3D" w14:textId="77777777" w:rsidR="00FC360C" w:rsidRPr="00776C13" w:rsidRDefault="00FC360C" w:rsidP="00776C13">
            <w:pPr>
              <w:pStyle w:val="hdg3"/>
              <w:spacing w:before="0" w:after="120" w:line="276" w:lineRule="auto"/>
              <w:rPr>
                <w:rFonts w:ascii="Calibri" w:hAnsi="Calibri"/>
              </w:rPr>
            </w:pPr>
            <w:r w:rsidRPr="00776C13">
              <w:rPr>
                <w:rFonts w:ascii="Calibri" w:hAnsi="Calibri"/>
              </w:rPr>
              <w:t>-</w:t>
            </w:r>
            <w:r w:rsidRPr="00776C13">
              <w:rPr>
                <w:rFonts w:ascii="Calibri" w:hAnsi="Calibri"/>
              </w:rPr>
              <w:tab/>
              <w:t>sample type (</w:t>
            </w:r>
            <w:r w:rsidRPr="00776C13">
              <w:rPr>
                <w:rFonts w:ascii="Calibri" w:hAnsi="Calibri"/>
                <w:i/>
              </w:rPr>
              <w:t>e.g.</w:t>
            </w:r>
            <w:r w:rsidRPr="00776C13">
              <w:rPr>
                <w:rFonts w:ascii="Calibri" w:hAnsi="Calibri"/>
              </w:rPr>
              <w:t xml:space="preserve"> muscle, liver);</w:t>
            </w:r>
          </w:p>
          <w:p w14:paraId="1C38A4D7" w14:textId="77777777" w:rsidR="00FC360C" w:rsidRPr="00776C13" w:rsidRDefault="00FC360C" w:rsidP="00776C13">
            <w:pPr>
              <w:pStyle w:val="hdg3"/>
              <w:spacing w:before="0" w:after="120" w:line="276" w:lineRule="auto"/>
              <w:rPr>
                <w:rFonts w:ascii="Calibri" w:hAnsi="Calibri"/>
              </w:rPr>
            </w:pPr>
            <w:r w:rsidRPr="00776C13">
              <w:rPr>
                <w:rFonts w:ascii="Calibri" w:hAnsi="Calibri"/>
              </w:rPr>
              <w:t>-</w:t>
            </w:r>
            <w:r w:rsidRPr="00776C13">
              <w:rPr>
                <w:rFonts w:ascii="Calibri" w:hAnsi="Calibri"/>
              </w:rPr>
              <w:tab/>
              <w:t>total tissue weight of the dissected organ;</w:t>
            </w:r>
          </w:p>
          <w:p w14:paraId="44188FFE" w14:textId="77777777" w:rsidR="00FC360C" w:rsidRPr="00776C13" w:rsidRDefault="00FC360C" w:rsidP="00776C13">
            <w:pPr>
              <w:pStyle w:val="hdg3"/>
              <w:numPr>
                <w:ilvl w:val="0"/>
                <w:numId w:val="17"/>
              </w:numPr>
              <w:spacing w:before="0" w:after="120" w:line="276" w:lineRule="auto"/>
              <w:rPr>
                <w:rFonts w:ascii="Calibri" w:hAnsi="Calibri"/>
                <w:i/>
              </w:rPr>
            </w:pPr>
            <w:proofErr w:type="gramStart"/>
            <w:r w:rsidRPr="00776C13">
              <w:rPr>
                <w:rFonts w:ascii="Calibri" w:hAnsi="Calibri"/>
              </w:rPr>
              <w:t>the</w:t>
            </w:r>
            <w:proofErr w:type="gramEnd"/>
            <w:r w:rsidRPr="00776C13">
              <w:rPr>
                <w:rFonts w:ascii="Calibri" w:hAnsi="Calibri"/>
              </w:rPr>
              <w:t xml:space="preserve"> number of individuals and data specified for pooled samples.</w:t>
            </w:r>
          </w:p>
        </w:tc>
      </w:tr>
    </w:tbl>
    <w:p w14:paraId="52A94FEB" w14:textId="77777777" w:rsidR="00FC360C" w:rsidRPr="00776C13" w:rsidRDefault="00FC360C" w:rsidP="00776C13">
      <w:pPr>
        <w:rPr>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755"/>
      </w:tblGrid>
      <w:tr w:rsidR="00FC360C" w:rsidRPr="00776C13" w14:paraId="35636C3D" w14:textId="77777777" w:rsidTr="002F237A">
        <w:tc>
          <w:tcPr>
            <w:tcW w:w="8755" w:type="dxa"/>
            <w:tcBorders>
              <w:top w:val="single" w:sz="6" w:space="0" w:color="auto"/>
              <w:left w:val="single" w:sz="6" w:space="0" w:color="auto"/>
              <w:bottom w:val="single" w:sz="6" w:space="0" w:color="auto"/>
              <w:right w:val="single" w:sz="6" w:space="0" w:color="auto"/>
            </w:tcBorders>
          </w:tcPr>
          <w:p w14:paraId="446BBDEB" w14:textId="77777777" w:rsidR="00FC360C" w:rsidRPr="00776C13" w:rsidRDefault="00FC360C" w:rsidP="00776C13">
            <w:pPr>
              <w:pStyle w:val="hdg3"/>
              <w:spacing w:before="0" w:after="120" w:line="276" w:lineRule="auto"/>
              <w:rPr>
                <w:rFonts w:ascii="Calibri" w:hAnsi="Calibri"/>
              </w:rPr>
            </w:pPr>
            <w:r w:rsidRPr="00776C13">
              <w:rPr>
                <w:rFonts w:ascii="Calibri" w:hAnsi="Calibri"/>
              </w:rPr>
              <w:t>Shellfish</w:t>
            </w:r>
          </w:p>
          <w:p w14:paraId="7461A826" w14:textId="77777777" w:rsidR="00FC360C" w:rsidRPr="00776C13" w:rsidRDefault="00FC360C" w:rsidP="00776C13">
            <w:pPr>
              <w:pStyle w:val="List"/>
              <w:numPr>
                <w:ilvl w:val="0"/>
                <w:numId w:val="13"/>
              </w:numPr>
              <w:spacing w:after="120" w:line="276" w:lineRule="auto"/>
              <w:ind w:left="284" w:hanging="284"/>
              <w:rPr>
                <w:rFonts w:ascii="Calibri" w:hAnsi="Calibri" w:cs="Arial"/>
                <w:sz w:val="22"/>
                <w:szCs w:val="22"/>
              </w:rPr>
            </w:pPr>
            <w:r w:rsidRPr="00776C13">
              <w:rPr>
                <w:rFonts w:ascii="Calibri" w:hAnsi="Calibri" w:cs="Arial"/>
                <w:sz w:val="22"/>
                <w:szCs w:val="22"/>
              </w:rPr>
              <w:t>location of sampling site (name, latitude and longitude);</w:t>
            </w:r>
          </w:p>
          <w:p w14:paraId="617CBA74" w14:textId="77777777" w:rsidR="00FC360C" w:rsidRPr="00776C13" w:rsidRDefault="00FC360C" w:rsidP="00776C13">
            <w:pPr>
              <w:pStyle w:val="List"/>
              <w:numPr>
                <w:ilvl w:val="0"/>
                <w:numId w:val="13"/>
              </w:numPr>
              <w:spacing w:after="120" w:line="276" w:lineRule="auto"/>
              <w:ind w:left="283"/>
              <w:rPr>
                <w:rFonts w:ascii="Calibri" w:hAnsi="Calibri" w:cs="Arial"/>
                <w:sz w:val="22"/>
                <w:szCs w:val="22"/>
              </w:rPr>
            </w:pPr>
            <w:r w:rsidRPr="00776C13">
              <w:rPr>
                <w:rFonts w:ascii="Calibri" w:hAnsi="Calibri" w:cs="Arial"/>
                <w:sz w:val="22"/>
                <w:szCs w:val="22"/>
              </w:rPr>
              <w:t>date and time of sampling (GMT);</w:t>
            </w:r>
          </w:p>
          <w:p w14:paraId="0909EFB3" w14:textId="77777777" w:rsidR="00FC360C" w:rsidRPr="00776C13" w:rsidRDefault="00FC360C" w:rsidP="00776C13">
            <w:pPr>
              <w:pStyle w:val="List"/>
              <w:numPr>
                <w:ilvl w:val="0"/>
                <w:numId w:val="13"/>
              </w:numPr>
              <w:spacing w:after="120" w:line="276" w:lineRule="auto"/>
              <w:ind w:left="283"/>
              <w:rPr>
                <w:rFonts w:ascii="Calibri" w:hAnsi="Calibri" w:cs="Arial"/>
                <w:sz w:val="22"/>
                <w:szCs w:val="22"/>
              </w:rPr>
            </w:pPr>
            <w:r w:rsidRPr="00776C13">
              <w:rPr>
                <w:rFonts w:ascii="Calibri" w:hAnsi="Calibri" w:cs="Arial"/>
                <w:sz w:val="22"/>
                <w:szCs w:val="22"/>
              </w:rPr>
              <w:t>sampling depth with respect to low tide (for sub-tidal sites only);</w:t>
            </w:r>
          </w:p>
          <w:p w14:paraId="5D3D6DA8" w14:textId="77777777" w:rsidR="00FC360C" w:rsidRPr="00776C13" w:rsidRDefault="00FC360C" w:rsidP="00776C13">
            <w:pPr>
              <w:pStyle w:val="List"/>
              <w:numPr>
                <w:ilvl w:val="0"/>
                <w:numId w:val="13"/>
              </w:numPr>
              <w:spacing w:after="120" w:line="276" w:lineRule="auto"/>
              <w:ind w:left="283"/>
              <w:rPr>
                <w:rFonts w:ascii="Calibri" w:hAnsi="Calibri" w:cs="Arial"/>
                <w:sz w:val="22"/>
                <w:szCs w:val="22"/>
              </w:rPr>
            </w:pPr>
            <w:r w:rsidRPr="00776C13">
              <w:rPr>
                <w:rFonts w:ascii="Calibri" w:hAnsi="Calibri" w:cs="Arial"/>
                <w:sz w:val="22"/>
                <w:szCs w:val="22"/>
              </w:rPr>
              <w:t>irregularities and unusual conditions;</w:t>
            </w:r>
          </w:p>
          <w:p w14:paraId="18A4B8C0" w14:textId="77777777" w:rsidR="00FC360C" w:rsidRPr="00776C13" w:rsidRDefault="00FC360C" w:rsidP="00776C13">
            <w:pPr>
              <w:pStyle w:val="List"/>
              <w:numPr>
                <w:ilvl w:val="0"/>
                <w:numId w:val="13"/>
              </w:numPr>
              <w:spacing w:after="120" w:line="276" w:lineRule="auto"/>
              <w:ind w:left="283"/>
              <w:rPr>
                <w:rFonts w:ascii="Calibri" w:hAnsi="Calibri" w:cs="Arial"/>
                <w:sz w:val="22"/>
                <w:szCs w:val="22"/>
              </w:rPr>
            </w:pPr>
            <w:r w:rsidRPr="00776C13">
              <w:rPr>
                <w:rFonts w:ascii="Calibri" w:hAnsi="Calibri" w:cs="Arial"/>
                <w:sz w:val="22"/>
                <w:szCs w:val="22"/>
              </w:rPr>
              <w:t>name and institution of sampling personnel;</w:t>
            </w:r>
          </w:p>
          <w:p w14:paraId="025054C0" w14:textId="77777777" w:rsidR="00FC360C" w:rsidRPr="00776C13" w:rsidRDefault="00FC360C" w:rsidP="00776C13">
            <w:pPr>
              <w:pStyle w:val="List"/>
              <w:numPr>
                <w:ilvl w:val="0"/>
                <w:numId w:val="13"/>
              </w:numPr>
              <w:spacing w:after="120" w:line="276" w:lineRule="auto"/>
              <w:ind w:left="283"/>
              <w:rPr>
                <w:rFonts w:ascii="Calibri" w:hAnsi="Calibri" w:cs="Arial"/>
                <w:sz w:val="22"/>
                <w:szCs w:val="22"/>
              </w:rPr>
            </w:pPr>
            <w:r w:rsidRPr="00776C13">
              <w:rPr>
                <w:rFonts w:ascii="Calibri" w:hAnsi="Calibri" w:cs="Arial"/>
                <w:sz w:val="22"/>
                <w:szCs w:val="22"/>
              </w:rPr>
              <w:t>number of pooled samples;</w:t>
            </w:r>
          </w:p>
          <w:p w14:paraId="5ED009AA" w14:textId="77777777" w:rsidR="00FC360C" w:rsidRPr="00776C13" w:rsidRDefault="00FC360C" w:rsidP="00776C13">
            <w:pPr>
              <w:pStyle w:val="List"/>
              <w:numPr>
                <w:ilvl w:val="0"/>
                <w:numId w:val="13"/>
              </w:numPr>
              <w:spacing w:after="120" w:line="276" w:lineRule="auto"/>
              <w:ind w:left="283"/>
              <w:rPr>
                <w:rFonts w:ascii="Calibri" w:hAnsi="Calibri" w:cs="Arial"/>
                <w:sz w:val="22"/>
                <w:szCs w:val="22"/>
              </w:rPr>
            </w:pPr>
            <w:r w:rsidRPr="00776C13">
              <w:rPr>
                <w:rFonts w:ascii="Calibri" w:hAnsi="Calibri" w:cs="Arial"/>
                <w:sz w:val="22"/>
                <w:szCs w:val="22"/>
              </w:rPr>
              <w:t>number of individuals in pool;</w:t>
            </w:r>
          </w:p>
          <w:p w14:paraId="6E0F9646" w14:textId="77777777" w:rsidR="00FC360C" w:rsidRPr="00776C13" w:rsidRDefault="00FC360C" w:rsidP="00776C13">
            <w:pPr>
              <w:pStyle w:val="List"/>
              <w:numPr>
                <w:ilvl w:val="0"/>
                <w:numId w:val="13"/>
              </w:numPr>
              <w:spacing w:after="120" w:line="276" w:lineRule="auto"/>
              <w:ind w:left="283"/>
              <w:rPr>
                <w:rFonts w:ascii="Calibri" w:hAnsi="Calibri" w:cs="Arial"/>
                <w:sz w:val="22"/>
                <w:szCs w:val="22"/>
              </w:rPr>
            </w:pPr>
            <w:r w:rsidRPr="00776C13">
              <w:rPr>
                <w:rFonts w:ascii="Calibri" w:hAnsi="Calibri" w:cs="Arial"/>
                <w:sz w:val="22"/>
                <w:szCs w:val="22"/>
              </w:rPr>
              <w:t>mean, minimum and maximum length and standard deviation;</w:t>
            </w:r>
          </w:p>
          <w:p w14:paraId="6704F244" w14:textId="77777777" w:rsidR="00FC360C" w:rsidRPr="00776C13" w:rsidRDefault="00FC360C" w:rsidP="00776C13">
            <w:pPr>
              <w:pStyle w:val="List"/>
              <w:numPr>
                <w:ilvl w:val="0"/>
                <w:numId w:val="13"/>
              </w:numPr>
              <w:spacing w:after="120" w:line="276" w:lineRule="auto"/>
              <w:ind w:left="283"/>
              <w:rPr>
                <w:rFonts w:ascii="Calibri" w:hAnsi="Calibri" w:cs="Arial"/>
                <w:sz w:val="22"/>
                <w:szCs w:val="22"/>
              </w:rPr>
            </w:pPr>
            <w:r w:rsidRPr="00776C13">
              <w:rPr>
                <w:rFonts w:ascii="Calibri" w:hAnsi="Calibri" w:cs="Arial"/>
                <w:sz w:val="22"/>
                <w:szCs w:val="22"/>
              </w:rPr>
              <w:t>mean dry shell weight;</w:t>
            </w:r>
          </w:p>
          <w:p w14:paraId="43CEF7D7" w14:textId="77777777" w:rsidR="00FC360C" w:rsidRPr="00776C13" w:rsidRDefault="00FC360C" w:rsidP="00776C13">
            <w:pPr>
              <w:pStyle w:val="List"/>
              <w:numPr>
                <w:ilvl w:val="0"/>
                <w:numId w:val="13"/>
              </w:numPr>
              <w:spacing w:after="120" w:line="276" w:lineRule="auto"/>
              <w:ind w:left="283"/>
              <w:rPr>
                <w:rFonts w:ascii="Calibri" w:hAnsi="Calibri" w:cs="Arial"/>
                <w:sz w:val="22"/>
                <w:szCs w:val="22"/>
              </w:rPr>
            </w:pPr>
            <w:r w:rsidRPr="00776C13">
              <w:rPr>
                <w:rFonts w:ascii="Calibri" w:hAnsi="Calibri" w:cs="Arial"/>
                <w:sz w:val="22"/>
                <w:szCs w:val="22"/>
              </w:rPr>
              <w:t>mean soft tissue weight (wet weight);</w:t>
            </w:r>
          </w:p>
          <w:p w14:paraId="7606C47A" w14:textId="77777777" w:rsidR="00FC360C" w:rsidRPr="00776C13" w:rsidRDefault="00FC360C" w:rsidP="00776C13">
            <w:pPr>
              <w:pStyle w:val="List"/>
              <w:numPr>
                <w:ilvl w:val="0"/>
                <w:numId w:val="13"/>
              </w:numPr>
              <w:spacing w:after="120" w:line="276" w:lineRule="auto"/>
              <w:ind w:left="283"/>
              <w:rPr>
                <w:rFonts w:ascii="Calibri" w:hAnsi="Calibri" w:cs="Arial"/>
                <w:sz w:val="22"/>
                <w:szCs w:val="22"/>
              </w:rPr>
            </w:pPr>
            <w:proofErr w:type="gramStart"/>
            <w:r w:rsidRPr="00776C13">
              <w:rPr>
                <w:rFonts w:ascii="Calibri" w:hAnsi="Calibri" w:cs="Arial"/>
                <w:sz w:val="22"/>
                <w:szCs w:val="22"/>
              </w:rPr>
              <w:t>condition</w:t>
            </w:r>
            <w:proofErr w:type="gramEnd"/>
            <w:r w:rsidRPr="00776C13">
              <w:rPr>
                <w:rFonts w:ascii="Calibri" w:hAnsi="Calibri" w:cs="Arial"/>
                <w:sz w:val="22"/>
                <w:szCs w:val="22"/>
              </w:rPr>
              <w:t xml:space="preserve"> index.</w:t>
            </w:r>
          </w:p>
          <w:p w14:paraId="7CAC6032" w14:textId="77777777" w:rsidR="00FC360C" w:rsidRPr="00776C13" w:rsidRDefault="00FC360C" w:rsidP="00776C13">
            <w:pPr>
              <w:pStyle w:val="hdg3"/>
              <w:spacing w:before="0" w:after="120" w:line="276" w:lineRule="auto"/>
              <w:rPr>
                <w:rFonts w:ascii="Calibri" w:hAnsi="Calibri"/>
              </w:rPr>
            </w:pPr>
          </w:p>
          <w:p w14:paraId="7BF3634F" w14:textId="77777777" w:rsidR="00FC360C" w:rsidRPr="00776C13" w:rsidRDefault="00FC360C" w:rsidP="00776C13">
            <w:pPr>
              <w:pStyle w:val="hdg3"/>
              <w:spacing w:before="0" w:after="120" w:line="276" w:lineRule="auto"/>
              <w:rPr>
                <w:rFonts w:ascii="Calibri" w:hAnsi="Calibri"/>
              </w:rPr>
            </w:pPr>
            <w:r w:rsidRPr="00776C13">
              <w:rPr>
                <w:rFonts w:ascii="Calibri" w:hAnsi="Calibri"/>
              </w:rPr>
              <w:t>Seabird eggs</w:t>
            </w:r>
          </w:p>
          <w:p w14:paraId="4335C55C" w14:textId="77777777" w:rsidR="00FC360C" w:rsidRPr="00776C13" w:rsidRDefault="00FC360C" w:rsidP="00776C13">
            <w:pPr>
              <w:pStyle w:val="hdg3"/>
              <w:numPr>
                <w:ilvl w:val="0"/>
                <w:numId w:val="13"/>
              </w:numPr>
              <w:spacing w:before="0" w:after="120" w:line="276" w:lineRule="auto"/>
              <w:rPr>
                <w:rFonts w:ascii="Calibri" w:hAnsi="Calibri"/>
              </w:rPr>
            </w:pPr>
            <w:r w:rsidRPr="00776C13">
              <w:rPr>
                <w:rFonts w:ascii="Calibri" w:hAnsi="Calibri"/>
              </w:rPr>
              <w:t>location of sampling site (name, latitude, longitude);</w:t>
            </w:r>
          </w:p>
          <w:p w14:paraId="00E13769" w14:textId="77777777" w:rsidR="00FC360C" w:rsidRPr="00776C13" w:rsidRDefault="00FC360C" w:rsidP="00776C13">
            <w:pPr>
              <w:pStyle w:val="hdg3"/>
              <w:numPr>
                <w:ilvl w:val="0"/>
                <w:numId w:val="13"/>
              </w:numPr>
              <w:spacing w:before="0" w:after="120" w:line="276" w:lineRule="auto"/>
              <w:rPr>
                <w:rFonts w:ascii="Calibri" w:hAnsi="Calibri"/>
              </w:rPr>
            </w:pPr>
            <w:r w:rsidRPr="00776C13">
              <w:rPr>
                <w:rFonts w:ascii="Calibri" w:hAnsi="Calibri"/>
              </w:rPr>
              <w:t>species;</w:t>
            </w:r>
          </w:p>
          <w:p w14:paraId="5B177A94" w14:textId="77777777" w:rsidR="00FC360C" w:rsidRPr="00776C13" w:rsidRDefault="00FC360C" w:rsidP="00776C13">
            <w:pPr>
              <w:pStyle w:val="hdg3"/>
              <w:numPr>
                <w:ilvl w:val="0"/>
                <w:numId w:val="13"/>
              </w:numPr>
              <w:spacing w:before="0" w:after="120" w:line="276" w:lineRule="auto"/>
              <w:rPr>
                <w:rFonts w:ascii="Calibri" w:hAnsi="Calibri"/>
              </w:rPr>
            </w:pPr>
            <w:r w:rsidRPr="00776C13">
              <w:rPr>
                <w:rFonts w:ascii="Calibri" w:hAnsi="Calibri"/>
              </w:rPr>
              <w:t>estimated number of pairs of the species breeding in the sampling area;</w:t>
            </w:r>
          </w:p>
          <w:p w14:paraId="2EC66BE4" w14:textId="77777777" w:rsidR="00FC360C" w:rsidRPr="00776C13" w:rsidRDefault="00FC360C" w:rsidP="00776C13">
            <w:pPr>
              <w:pStyle w:val="hdg3"/>
              <w:numPr>
                <w:ilvl w:val="0"/>
                <w:numId w:val="13"/>
              </w:numPr>
              <w:spacing w:before="0" w:after="120" w:line="276" w:lineRule="auto"/>
              <w:rPr>
                <w:rFonts w:ascii="Calibri" w:hAnsi="Calibri"/>
              </w:rPr>
            </w:pPr>
            <w:r w:rsidRPr="00776C13">
              <w:rPr>
                <w:rFonts w:ascii="Calibri" w:hAnsi="Calibri"/>
              </w:rPr>
              <w:t>date of collection;</w:t>
            </w:r>
          </w:p>
          <w:p w14:paraId="0D25CCE4" w14:textId="77777777" w:rsidR="00FC360C" w:rsidRPr="00776C13" w:rsidRDefault="00FC360C" w:rsidP="00776C13">
            <w:pPr>
              <w:pStyle w:val="hdg3"/>
              <w:numPr>
                <w:ilvl w:val="0"/>
                <w:numId w:val="13"/>
              </w:numPr>
              <w:spacing w:before="0" w:after="120" w:line="276" w:lineRule="auto"/>
              <w:rPr>
                <w:rFonts w:ascii="Calibri" w:hAnsi="Calibri"/>
              </w:rPr>
            </w:pPr>
            <w:r w:rsidRPr="00776C13">
              <w:rPr>
                <w:rFonts w:ascii="Calibri" w:hAnsi="Calibri"/>
              </w:rPr>
              <w:t>estimated or known laying date;</w:t>
            </w:r>
          </w:p>
          <w:p w14:paraId="7E32101B" w14:textId="77777777" w:rsidR="00FC360C" w:rsidRPr="00776C13" w:rsidRDefault="00FC360C" w:rsidP="00776C13">
            <w:pPr>
              <w:pStyle w:val="hdg3"/>
              <w:numPr>
                <w:ilvl w:val="0"/>
                <w:numId w:val="13"/>
              </w:numPr>
              <w:spacing w:before="0" w:after="120" w:line="276" w:lineRule="auto"/>
              <w:rPr>
                <w:rFonts w:ascii="Calibri" w:hAnsi="Calibri"/>
              </w:rPr>
            </w:pPr>
            <w:r w:rsidRPr="00776C13">
              <w:rPr>
                <w:rFonts w:ascii="Calibri" w:hAnsi="Calibri"/>
              </w:rPr>
              <w:t>size of clutch from which the egg was taken;</w:t>
            </w:r>
          </w:p>
          <w:p w14:paraId="61A0CE5F" w14:textId="77777777" w:rsidR="00FC360C" w:rsidRPr="00776C13" w:rsidRDefault="00FC360C" w:rsidP="00776C13">
            <w:pPr>
              <w:pStyle w:val="hdg3"/>
              <w:numPr>
                <w:ilvl w:val="0"/>
                <w:numId w:val="13"/>
              </w:numPr>
              <w:spacing w:before="0" w:after="120" w:line="276" w:lineRule="auto"/>
              <w:rPr>
                <w:rFonts w:ascii="Calibri" w:hAnsi="Calibri"/>
              </w:rPr>
            </w:pPr>
            <w:r w:rsidRPr="00776C13">
              <w:rPr>
                <w:rFonts w:ascii="Calibri" w:hAnsi="Calibri"/>
              </w:rPr>
              <w:t>number of eggs in the sample from the site;</w:t>
            </w:r>
          </w:p>
          <w:p w14:paraId="711A085F" w14:textId="77777777" w:rsidR="00FC360C" w:rsidRPr="00776C13" w:rsidRDefault="00FC360C" w:rsidP="00776C13">
            <w:pPr>
              <w:pStyle w:val="hdg3"/>
              <w:numPr>
                <w:ilvl w:val="0"/>
                <w:numId w:val="13"/>
              </w:numPr>
              <w:spacing w:before="0" w:after="120" w:line="276" w:lineRule="auto"/>
              <w:rPr>
                <w:rFonts w:ascii="Calibri" w:hAnsi="Calibri"/>
              </w:rPr>
            </w:pPr>
            <w:r w:rsidRPr="00776C13">
              <w:rPr>
                <w:rFonts w:ascii="Calibri" w:hAnsi="Calibri"/>
              </w:rPr>
              <w:t>irregularities and unusual conditions;</w:t>
            </w:r>
          </w:p>
          <w:p w14:paraId="0EC01A01" w14:textId="77777777" w:rsidR="00FC360C" w:rsidRPr="00776C13" w:rsidRDefault="00FC360C" w:rsidP="00776C13">
            <w:pPr>
              <w:pStyle w:val="hdg3"/>
              <w:numPr>
                <w:ilvl w:val="0"/>
                <w:numId w:val="13"/>
              </w:numPr>
              <w:spacing w:before="0" w:after="120" w:line="276" w:lineRule="auto"/>
              <w:rPr>
                <w:rFonts w:ascii="Calibri" w:hAnsi="Calibri"/>
              </w:rPr>
            </w:pPr>
            <w:r w:rsidRPr="00776C13">
              <w:rPr>
                <w:rFonts w:ascii="Calibri" w:hAnsi="Calibri"/>
              </w:rPr>
              <w:t>name and institution of sampling personnel;</w:t>
            </w:r>
          </w:p>
          <w:p w14:paraId="7AB244A5" w14:textId="77777777" w:rsidR="00FC360C" w:rsidRPr="00776C13" w:rsidRDefault="00FC360C" w:rsidP="00776C13">
            <w:pPr>
              <w:pStyle w:val="hdg3"/>
              <w:numPr>
                <w:ilvl w:val="0"/>
                <w:numId w:val="13"/>
              </w:numPr>
              <w:spacing w:before="0" w:after="120" w:line="276" w:lineRule="auto"/>
              <w:rPr>
                <w:rFonts w:ascii="Calibri" w:hAnsi="Calibri"/>
              </w:rPr>
            </w:pPr>
            <w:r w:rsidRPr="00776C13">
              <w:rPr>
                <w:rFonts w:ascii="Calibri" w:hAnsi="Calibri"/>
              </w:rPr>
              <w:t>for each egg:</w:t>
            </w:r>
          </w:p>
          <w:p w14:paraId="24005532" w14:textId="77777777" w:rsidR="00FC360C" w:rsidRPr="00776C13" w:rsidRDefault="00FC360C" w:rsidP="00776C13">
            <w:pPr>
              <w:pStyle w:val="hdg3"/>
              <w:spacing w:before="0" w:after="120" w:line="276" w:lineRule="auto"/>
              <w:rPr>
                <w:rFonts w:ascii="Calibri" w:hAnsi="Calibri"/>
              </w:rPr>
            </w:pPr>
            <w:r w:rsidRPr="00776C13">
              <w:rPr>
                <w:rFonts w:ascii="Calibri" w:hAnsi="Calibri"/>
              </w:rPr>
              <w:t>-</w:t>
            </w:r>
            <w:r w:rsidRPr="00776C13">
              <w:rPr>
                <w:rFonts w:ascii="Calibri" w:hAnsi="Calibri"/>
              </w:rPr>
              <w:tab/>
              <w:t>weight (to the nearest 0</w:t>
            </w:r>
            <w:r w:rsidR="00B33CCD">
              <w:rPr>
                <w:rFonts w:ascii="Calibri" w:hAnsi="Calibri"/>
              </w:rPr>
              <w:t>.</w:t>
            </w:r>
            <w:r w:rsidRPr="00776C13">
              <w:rPr>
                <w:rFonts w:ascii="Calibri" w:hAnsi="Calibri"/>
              </w:rPr>
              <w:t>1g);</w:t>
            </w:r>
          </w:p>
          <w:p w14:paraId="3BD11E54" w14:textId="77777777" w:rsidR="00FC360C" w:rsidRPr="00776C13" w:rsidRDefault="00FC360C" w:rsidP="00776C13">
            <w:pPr>
              <w:pStyle w:val="hdg3"/>
              <w:spacing w:before="0" w:after="120" w:line="276" w:lineRule="auto"/>
              <w:rPr>
                <w:rFonts w:ascii="Calibri" w:hAnsi="Calibri"/>
              </w:rPr>
            </w:pPr>
            <w:r w:rsidRPr="00776C13">
              <w:rPr>
                <w:rFonts w:ascii="Calibri" w:hAnsi="Calibri"/>
              </w:rPr>
              <w:t>-</w:t>
            </w:r>
            <w:r w:rsidRPr="00776C13">
              <w:rPr>
                <w:rFonts w:ascii="Calibri" w:hAnsi="Calibri"/>
              </w:rPr>
              <w:tab/>
              <w:t>length and breadth (between poles and the equator to the nearest 0</w:t>
            </w:r>
            <w:r w:rsidR="00B33CCD">
              <w:rPr>
                <w:rFonts w:ascii="Calibri" w:hAnsi="Calibri"/>
              </w:rPr>
              <w:t>.</w:t>
            </w:r>
            <w:r w:rsidRPr="00776C13">
              <w:rPr>
                <w:rFonts w:ascii="Calibri" w:hAnsi="Calibri"/>
              </w:rPr>
              <w:t>1mm);</w:t>
            </w:r>
          </w:p>
          <w:p w14:paraId="60855B13" w14:textId="77777777" w:rsidR="00FC360C" w:rsidRPr="00776C13" w:rsidRDefault="00FC360C" w:rsidP="00776C13">
            <w:pPr>
              <w:pStyle w:val="hdg3"/>
              <w:spacing w:before="0" w:after="120" w:line="276" w:lineRule="auto"/>
              <w:rPr>
                <w:rFonts w:ascii="Calibri" w:hAnsi="Calibri"/>
              </w:rPr>
            </w:pPr>
            <w:r w:rsidRPr="00776C13">
              <w:rPr>
                <w:rFonts w:ascii="Calibri" w:hAnsi="Calibri"/>
              </w:rPr>
              <w:t>-</w:t>
            </w:r>
            <w:r w:rsidRPr="00776C13">
              <w:rPr>
                <w:rFonts w:ascii="Calibri" w:hAnsi="Calibri"/>
              </w:rPr>
              <w:tab/>
              <w:t>content weight exclusive of shell (to the nearest 0</w:t>
            </w:r>
            <w:r w:rsidR="00B33CCD">
              <w:rPr>
                <w:rFonts w:ascii="Calibri" w:hAnsi="Calibri"/>
              </w:rPr>
              <w:t>.</w:t>
            </w:r>
            <w:r w:rsidRPr="00776C13">
              <w:rPr>
                <w:rFonts w:ascii="Calibri" w:hAnsi="Calibri"/>
              </w:rPr>
              <w:t>1g);</w:t>
            </w:r>
          </w:p>
          <w:p w14:paraId="7703CA94" w14:textId="77777777" w:rsidR="00FC360C" w:rsidRPr="00776C13" w:rsidRDefault="00FC360C" w:rsidP="00776C13">
            <w:pPr>
              <w:pStyle w:val="hdg3"/>
              <w:spacing w:before="0" w:after="120" w:line="276" w:lineRule="auto"/>
              <w:rPr>
                <w:rFonts w:ascii="Calibri" w:hAnsi="Calibri"/>
              </w:rPr>
            </w:pPr>
            <w:r w:rsidRPr="00776C13">
              <w:rPr>
                <w:rFonts w:ascii="Calibri" w:hAnsi="Calibri"/>
              </w:rPr>
              <w:t>-</w:t>
            </w:r>
            <w:r w:rsidRPr="00776C13">
              <w:rPr>
                <w:rFonts w:ascii="Calibri" w:hAnsi="Calibri"/>
              </w:rPr>
              <w:tab/>
              <w:t xml:space="preserve">shell thickness (to the nearest 5 </w:t>
            </w:r>
            <w:r w:rsidRPr="00776C13">
              <w:rPr>
                <w:rFonts w:ascii="Calibri" w:hAnsi="Calibri"/>
              </w:rPr>
              <w:sym w:font="Symbol" w:char="F06D"/>
            </w:r>
            <w:r w:rsidRPr="00776C13">
              <w:rPr>
                <w:rFonts w:ascii="Calibri" w:hAnsi="Calibri"/>
              </w:rPr>
              <w:t>m) taking the mean of triplicate measurements with a micrometer;</w:t>
            </w:r>
          </w:p>
          <w:p w14:paraId="677F986F" w14:textId="77777777" w:rsidR="00FC360C" w:rsidRPr="00776C13" w:rsidRDefault="00FC360C" w:rsidP="00776C13">
            <w:pPr>
              <w:pStyle w:val="hdg3"/>
              <w:spacing w:before="0" w:after="120" w:line="276" w:lineRule="auto"/>
              <w:rPr>
                <w:rFonts w:ascii="Calibri" w:hAnsi="Calibri"/>
              </w:rPr>
            </w:pPr>
            <w:r w:rsidRPr="00776C13">
              <w:rPr>
                <w:rFonts w:ascii="Calibri" w:hAnsi="Calibri"/>
              </w:rPr>
              <w:t>-</w:t>
            </w:r>
            <w:r w:rsidR="00B33CCD">
              <w:rPr>
                <w:rFonts w:ascii="Calibri" w:hAnsi="Calibri"/>
              </w:rPr>
              <w:tab/>
              <w:t>shell weight (to the nearest 0.</w:t>
            </w:r>
            <w:r w:rsidRPr="00776C13">
              <w:rPr>
                <w:rFonts w:ascii="Calibri" w:hAnsi="Calibri"/>
              </w:rPr>
              <w:t>01g);</w:t>
            </w:r>
          </w:p>
          <w:p w14:paraId="2507C027" w14:textId="77777777" w:rsidR="00FC360C" w:rsidRPr="00776C13" w:rsidRDefault="00FC360C" w:rsidP="00B33CCD">
            <w:pPr>
              <w:pStyle w:val="hdg3"/>
              <w:spacing w:before="0" w:after="120" w:line="276" w:lineRule="auto"/>
              <w:rPr>
                <w:rFonts w:ascii="Calibri" w:hAnsi="Calibri"/>
              </w:rPr>
            </w:pPr>
            <w:r w:rsidRPr="00776C13">
              <w:rPr>
                <w:rFonts w:ascii="Calibri" w:hAnsi="Calibri"/>
              </w:rPr>
              <w:t>-</w:t>
            </w:r>
            <w:r w:rsidRPr="00776C13">
              <w:rPr>
                <w:rFonts w:ascii="Calibri" w:hAnsi="Calibri"/>
              </w:rPr>
              <w:tab/>
            </w:r>
            <w:proofErr w:type="gramStart"/>
            <w:r w:rsidRPr="00776C13">
              <w:rPr>
                <w:rFonts w:ascii="Calibri" w:hAnsi="Calibri"/>
              </w:rPr>
              <w:t>embryo</w:t>
            </w:r>
            <w:proofErr w:type="gramEnd"/>
            <w:r w:rsidRPr="00776C13">
              <w:rPr>
                <w:rFonts w:ascii="Calibri" w:hAnsi="Calibri"/>
              </w:rPr>
              <w:t xml:space="preserve"> length (to the nearest 0</w:t>
            </w:r>
            <w:r w:rsidR="00B33CCD">
              <w:rPr>
                <w:rFonts w:ascii="Calibri" w:hAnsi="Calibri"/>
              </w:rPr>
              <w:t>.</w:t>
            </w:r>
            <w:r w:rsidRPr="00776C13">
              <w:rPr>
                <w:rFonts w:ascii="Calibri" w:hAnsi="Calibri"/>
              </w:rPr>
              <w:t>1mm) or eye diameter of the embryo (to the nearest 0</w:t>
            </w:r>
            <w:r w:rsidR="00B33CCD">
              <w:rPr>
                <w:rFonts w:ascii="Calibri" w:hAnsi="Calibri"/>
              </w:rPr>
              <w:t>.</w:t>
            </w:r>
            <w:r w:rsidRPr="00776C13">
              <w:rPr>
                <w:rFonts w:ascii="Calibri" w:hAnsi="Calibri"/>
              </w:rPr>
              <w:t>1mm).</w:t>
            </w:r>
          </w:p>
        </w:tc>
      </w:tr>
    </w:tbl>
    <w:p w14:paraId="423C325B" w14:textId="77777777" w:rsidR="00FC360C" w:rsidRPr="00776C13" w:rsidRDefault="00FC360C" w:rsidP="00776C13">
      <w:pPr>
        <w:pStyle w:val="Heading2"/>
      </w:pPr>
      <w:bookmarkStart w:id="153" w:name="_Toc511217441"/>
      <w:r w:rsidRPr="00776C13">
        <w:t>7.2</w:t>
      </w:r>
      <w:r w:rsidRPr="00776C13">
        <w:tab/>
        <w:t>Analytical and quality assurance parameters</w:t>
      </w:r>
      <w:bookmarkEnd w:id="153"/>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755"/>
      </w:tblGrid>
      <w:tr w:rsidR="00FC360C" w:rsidRPr="00776C13" w14:paraId="5BDA8EEA" w14:textId="77777777" w:rsidTr="002F237A">
        <w:tc>
          <w:tcPr>
            <w:tcW w:w="8755" w:type="dxa"/>
            <w:tcBorders>
              <w:top w:val="single" w:sz="6" w:space="0" w:color="auto"/>
              <w:left w:val="single" w:sz="6" w:space="0" w:color="auto"/>
              <w:bottom w:val="single" w:sz="6" w:space="0" w:color="auto"/>
              <w:right w:val="single" w:sz="6" w:space="0" w:color="auto"/>
            </w:tcBorders>
          </w:tcPr>
          <w:p w14:paraId="1A64B0DE" w14:textId="77777777" w:rsidR="00FC360C" w:rsidRPr="000B2293" w:rsidRDefault="00FC360C" w:rsidP="00776C13">
            <w:pPr>
              <w:pStyle w:val="hdg3"/>
              <w:numPr>
                <w:ilvl w:val="0"/>
                <w:numId w:val="13"/>
              </w:numPr>
              <w:spacing w:before="0" w:after="120" w:line="276" w:lineRule="auto"/>
              <w:rPr>
                <w:rFonts w:ascii="Calibri" w:hAnsi="Calibri"/>
              </w:rPr>
            </w:pPr>
            <w:r w:rsidRPr="00776C13">
              <w:rPr>
                <w:rFonts w:ascii="Calibri" w:hAnsi="Calibri"/>
              </w:rPr>
              <w:t xml:space="preserve">LRM and CRM results for </w:t>
            </w:r>
            <w:r w:rsidRPr="000B2293">
              <w:rPr>
                <w:rFonts w:ascii="Calibri" w:hAnsi="Calibri"/>
              </w:rPr>
              <w:t>the metals listed in section 7.3 reported on a wet weight basis;</w:t>
            </w:r>
          </w:p>
          <w:p w14:paraId="23E1E607" w14:textId="77777777" w:rsidR="00FC360C" w:rsidRPr="000B2293" w:rsidRDefault="00FC360C" w:rsidP="00776C13">
            <w:pPr>
              <w:pStyle w:val="hdg3"/>
              <w:numPr>
                <w:ilvl w:val="0"/>
                <w:numId w:val="13"/>
              </w:numPr>
              <w:spacing w:before="0" w:after="120" w:line="276" w:lineRule="auto"/>
              <w:rPr>
                <w:rFonts w:ascii="Calibri" w:hAnsi="Calibri"/>
              </w:rPr>
            </w:pPr>
            <w:r w:rsidRPr="000B2293">
              <w:rPr>
                <w:rFonts w:ascii="Calibri" w:hAnsi="Calibri"/>
              </w:rPr>
              <w:t>Uncertainty as U2 in the units of the result for use in the OSPAR assessment tool</w:t>
            </w:r>
          </w:p>
          <w:p w14:paraId="2C4268EB" w14:textId="77777777" w:rsidR="00FC360C" w:rsidRPr="00776C13" w:rsidRDefault="00FC360C" w:rsidP="00776C13">
            <w:pPr>
              <w:pStyle w:val="hdg3"/>
              <w:numPr>
                <w:ilvl w:val="0"/>
                <w:numId w:val="13"/>
              </w:numPr>
              <w:spacing w:before="0" w:after="120" w:line="276" w:lineRule="auto"/>
              <w:rPr>
                <w:rFonts w:ascii="Calibri" w:hAnsi="Calibri"/>
              </w:rPr>
            </w:pPr>
            <w:r w:rsidRPr="000B2293">
              <w:rPr>
                <w:rFonts w:ascii="Calibri" w:hAnsi="Calibri"/>
              </w:rPr>
              <w:t>mean soft tissue dry weight and method of determining water</w:t>
            </w:r>
            <w:r w:rsidRPr="00776C13">
              <w:rPr>
                <w:rFonts w:ascii="Calibri" w:hAnsi="Calibri"/>
              </w:rPr>
              <w:t xml:space="preserve"> content if this differs from air drying to constant weight at 105</w:t>
            </w:r>
            <w:r w:rsidRPr="00776C13">
              <w:rPr>
                <w:rFonts w:ascii="Calibri" w:hAnsi="Calibri"/>
              </w:rPr>
              <w:sym w:font="Symbol" w:char="F0B0"/>
            </w:r>
            <w:r w:rsidRPr="00776C13">
              <w:rPr>
                <w:rFonts w:ascii="Calibri" w:hAnsi="Calibri"/>
              </w:rPr>
              <w:t>C;</w:t>
            </w:r>
          </w:p>
          <w:p w14:paraId="0ABFD910" w14:textId="77777777" w:rsidR="00FC360C" w:rsidRPr="00776C13" w:rsidRDefault="00FC360C" w:rsidP="00776C13">
            <w:pPr>
              <w:pStyle w:val="hdg3"/>
              <w:numPr>
                <w:ilvl w:val="0"/>
                <w:numId w:val="13"/>
              </w:numPr>
              <w:spacing w:before="0" w:after="120" w:line="276" w:lineRule="auto"/>
              <w:rPr>
                <w:rFonts w:ascii="Calibri" w:hAnsi="Calibri"/>
              </w:rPr>
            </w:pPr>
            <w:r w:rsidRPr="00776C13">
              <w:rPr>
                <w:rFonts w:ascii="Calibri" w:hAnsi="Calibri"/>
              </w:rPr>
              <w:t>descriptions of the digestion and instrumental determination methods used;</w:t>
            </w:r>
          </w:p>
          <w:p w14:paraId="7CF6FE8B" w14:textId="77777777" w:rsidR="00FC360C" w:rsidRPr="00776C13" w:rsidRDefault="00FC360C" w:rsidP="00776C13">
            <w:pPr>
              <w:pStyle w:val="hdg3"/>
              <w:numPr>
                <w:ilvl w:val="0"/>
                <w:numId w:val="13"/>
              </w:numPr>
              <w:spacing w:before="0" w:after="120" w:line="276" w:lineRule="auto"/>
              <w:rPr>
                <w:rFonts w:ascii="Calibri" w:hAnsi="Calibri"/>
              </w:rPr>
            </w:pPr>
            <w:proofErr w:type="gramStart"/>
            <w:r w:rsidRPr="00776C13">
              <w:rPr>
                <w:rFonts w:ascii="Calibri" w:hAnsi="Calibri"/>
              </w:rPr>
              <w:t>the</w:t>
            </w:r>
            <w:proofErr w:type="gramEnd"/>
            <w:r w:rsidRPr="00776C13">
              <w:rPr>
                <w:rFonts w:ascii="Calibri" w:hAnsi="Calibri"/>
              </w:rPr>
              <w:t xml:space="preserve"> determination limit for each element. The limits should not exceed the values in Section 6;</w:t>
            </w:r>
          </w:p>
          <w:p w14:paraId="2A90227E" w14:textId="77777777" w:rsidR="00FC360C" w:rsidRPr="00776C13" w:rsidRDefault="00FC360C" w:rsidP="00776C13">
            <w:pPr>
              <w:pStyle w:val="hdg3"/>
              <w:numPr>
                <w:ilvl w:val="0"/>
                <w:numId w:val="13"/>
              </w:numPr>
              <w:spacing w:before="0" w:after="120" w:line="276" w:lineRule="auto"/>
              <w:rPr>
                <w:rFonts w:ascii="Calibri" w:hAnsi="Calibri"/>
              </w:rPr>
            </w:pPr>
            <w:r w:rsidRPr="00776C13">
              <w:rPr>
                <w:rFonts w:ascii="Calibri" w:hAnsi="Calibri"/>
              </w:rPr>
              <w:t>the relevant QA information according to the requirements specified in the programme;</w:t>
            </w:r>
          </w:p>
          <w:p w14:paraId="76880952" w14:textId="77777777" w:rsidR="00FC360C" w:rsidRPr="00776C13" w:rsidRDefault="00FC360C" w:rsidP="00776C13">
            <w:pPr>
              <w:pStyle w:val="hdg3"/>
              <w:numPr>
                <w:ilvl w:val="0"/>
                <w:numId w:val="18"/>
              </w:numPr>
              <w:spacing w:before="0" w:after="120" w:line="276" w:lineRule="auto"/>
              <w:rPr>
                <w:rFonts w:ascii="Calibri" w:hAnsi="Calibri"/>
              </w:rPr>
            </w:pPr>
            <w:proofErr w:type="gramStart"/>
            <w:r w:rsidRPr="00776C13">
              <w:rPr>
                <w:rFonts w:ascii="Calibri" w:hAnsi="Calibri"/>
              </w:rPr>
              <w:t>the</w:t>
            </w:r>
            <w:proofErr w:type="gramEnd"/>
            <w:r w:rsidRPr="00776C13">
              <w:rPr>
                <w:rFonts w:ascii="Calibri" w:hAnsi="Calibri"/>
              </w:rPr>
              <w:t xml:space="preserve"> mean tissue lipid weight and method of extraction could also provide valuable information.</w:t>
            </w:r>
          </w:p>
        </w:tc>
      </w:tr>
    </w:tbl>
    <w:p w14:paraId="6AA99839" w14:textId="77777777" w:rsidR="00FC360C" w:rsidRPr="00776C13" w:rsidRDefault="00FC360C" w:rsidP="00776C13">
      <w:pPr>
        <w:pStyle w:val="Heading2"/>
      </w:pPr>
      <w:bookmarkStart w:id="154" w:name="_Toc511217442"/>
      <w:r w:rsidRPr="00776C13">
        <w:t>7.3</w:t>
      </w:r>
      <w:r w:rsidRPr="00776C13">
        <w:tab/>
        <w:t>Parameters</w:t>
      </w:r>
      <w:bookmarkEnd w:id="154"/>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755"/>
      </w:tblGrid>
      <w:tr w:rsidR="00FC360C" w:rsidRPr="00776C13" w14:paraId="11357638" w14:textId="77777777" w:rsidTr="002F237A">
        <w:tc>
          <w:tcPr>
            <w:tcW w:w="8755" w:type="dxa"/>
            <w:tcBorders>
              <w:top w:val="single" w:sz="6" w:space="0" w:color="auto"/>
              <w:left w:val="single" w:sz="6" w:space="0" w:color="auto"/>
              <w:bottom w:val="single" w:sz="6" w:space="0" w:color="auto"/>
              <w:right w:val="single" w:sz="6" w:space="0" w:color="auto"/>
            </w:tcBorders>
          </w:tcPr>
          <w:p w14:paraId="0741AE28" w14:textId="77777777" w:rsidR="00FC360C" w:rsidRPr="00776C13" w:rsidRDefault="00FC360C" w:rsidP="00776C13">
            <w:pPr>
              <w:pStyle w:val="List"/>
              <w:numPr>
                <w:ilvl w:val="0"/>
                <w:numId w:val="13"/>
              </w:numPr>
              <w:spacing w:after="120" w:line="276" w:lineRule="auto"/>
              <w:ind w:left="284" w:hanging="284"/>
              <w:rPr>
                <w:rFonts w:ascii="Calibri" w:hAnsi="Calibri" w:cs="Arial"/>
                <w:sz w:val="22"/>
                <w:szCs w:val="22"/>
              </w:rPr>
            </w:pPr>
            <w:r w:rsidRPr="00776C13">
              <w:rPr>
                <w:rFonts w:ascii="Calibri" w:hAnsi="Calibri" w:cs="Arial"/>
                <w:sz w:val="22"/>
                <w:szCs w:val="22"/>
              </w:rPr>
              <w:t>Elements of interest for monitoring programmes for which these guidelines apply:</w:t>
            </w:r>
          </w:p>
          <w:p w14:paraId="7DC2FA23" w14:textId="77777777" w:rsidR="00FC360C" w:rsidRPr="00776C13" w:rsidRDefault="00FC360C" w:rsidP="00776C13">
            <w:pPr>
              <w:pStyle w:val="List"/>
              <w:spacing w:after="120" w:line="276" w:lineRule="auto"/>
              <w:ind w:left="567" w:hanging="283"/>
              <w:rPr>
                <w:rFonts w:ascii="Calibri" w:hAnsi="Calibri" w:cs="Arial"/>
                <w:sz w:val="22"/>
                <w:szCs w:val="22"/>
              </w:rPr>
            </w:pPr>
            <w:r w:rsidRPr="00776C13">
              <w:rPr>
                <w:rFonts w:ascii="Calibri" w:hAnsi="Calibri" w:cs="Arial"/>
                <w:sz w:val="22"/>
                <w:szCs w:val="22"/>
              </w:rPr>
              <w:t>-</w:t>
            </w:r>
            <w:r w:rsidRPr="00776C13">
              <w:rPr>
                <w:rFonts w:ascii="Calibri" w:hAnsi="Calibri" w:cs="Arial"/>
                <w:sz w:val="22"/>
                <w:szCs w:val="22"/>
              </w:rPr>
              <w:tab/>
              <w:t>cadmium (total);</w:t>
            </w:r>
          </w:p>
          <w:p w14:paraId="3C03071A" w14:textId="77777777" w:rsidR="00FC360C" w:rsidRPr="00776C13" w:rsidRDefault="00FC360C" w:rsidP="00776C13">
            <w:pPr>
              <w:pStyle w:val="List"/>
              <w:spacing w:after="120" w:line="276" w:lineRule="auto"/>
              <w:ind w:left="567" w:hanging="283"/>
              <w:rPr>
                <w:rFonts w:ascii="Calibri" w:hAnsi="Calibri" w:cs="Arial"/>
                <w:sz w:val="22"/>
                <w:szCs w:val="22"/>
              </w:rPr>
            </w:pPr>
            <w:r w:rsidRPr="00776C13">
              <w:rPr>
                <w:rFonts w:ascii="Calibri" w:hAnsi="Calibri" w:cs="Arial"/>
                <w:sz w:val="22"/>
                <w:szCs w:val="22"/>
              </w:rPr>
              <w:t>-</w:t>
            </w:r>
            <w:r w:rsidRPr="00776C13">
              <w:rPr>
                <w:rFonts w:ascii="Calibri" w:hAnsi="Calibri" w:cs="Arial"/>
                <w:sz w:val="22"/>
                <w:szCs w:val="22"/>
              </w:rPr>
              <w:tab/>
              <w:t>mercury (total);</w:t>
            </w:r>
          </w:p>
          <w:p w14:paraId="5B3449FC" w14:textId="77777777" w:rsidR="00FC360C" w:rsidRPr="00776C13" w:rsidRDefault="00FC360C" w:rsidP="00776C13">
            <w:pPr>
              <w:pStyle w:val="List"/>
              <w:spacing w:after="120" w:line="276" w:lineRule="auto"/>
              <w:ind w:left="567" w:hanging="283"/>
              <w:rPr>
                <w:rFonts w:ascii="Calibri" w:hAnsi="Calibri" w:cs="Arial"/>
                <w:sz w:val="22"/>
                <w:szCs w:val="22"/>
              </w:rPr>
            </w:pPr>
            <w:r w:rsidRPr="00776C13">
              <w:rPr>
                <w:rFonts w:ascii="Calibri" w:hAnsi="Calibri" w:cs="Arial"/>
                <w:sz w:val="22"/>
                <w:szCs w:val="22"/>
              </w:rPr>
              <w:t>-</w:t>
            </w:r>
            <w:r w:rsidRPr="00776C13">
              <w:rPr>
                <w:rFonts w:ascii="Calibri" w:hAnsi="Calibri" w:cs="Arial"/>
                <w:sz w:val="22"/>
                <w:szCs w:val="22"/>
              </w:rPr>
              <w:tab/>
              <w:t>lead (total);</w:t>
            </w:r>
          </w:p>
          <w:p w14:paraId="000724B7" w14:textId="77777777" w:rsidR="00FC360C" w:rsidRPr="00776C13" w:rsidRDefault="00FC360C" w:rsidP="00776C13">
            <w:pPr>
              <w:pStyle w:val="List"/>
              <w:spacing w:after="120" w:line="276" w:lineRule="auto"/>
              <w:ind w:left="568"/>
              <w:rPr>
                <w:rFonts w:ascii="Calibri" w:hAnsi="Calibri" w:cs="Arial"/>
                <w:sz w:val="22"/>
                <w:szCs w:val="22"/>
              </w:rPr>
            </w:pPr>
            <w:r w:rsidRPr="00776C13">
              <w:rPr>
                <w:rFonts w:ascii="Calibri" w:hAnsi="Calibri" w:cs="Arial"/>
                <w:sz w:val="22"/>
                <w:szCs w:val="22"/>
              </w:rPr>
              <w:t>-</w:t>
            </w:r>
            <w:r w:rsidRPr="00776C13">
              <w:rPr>
                <w:rFonts w:ascii="Calibri" w:hAnsi="Calibri" w:cs="Arial"/>
                <w:sz w:val="22"/>
                <w:szCs w:val="22"/>
              </w:rPr>
              <w:tab/>
              <w:t>zinc;</w:t>
            </w:r>
          </w:p>
          <w:p w14:paraId="2D181DA1" w14:textId="77777777" w:rsidR="00FC360C" w:rsidRPr="00776C13" w:rsidRDefault="00FC360C" w:rsidP="00776C13">
            <w:pPr>
              <w:pStyle w:val="hdg3"/>
              <w:spacing w:before="0" w:after="120" w:line="276" w:lineRule="auto"/>
              <w:rPr>
                <w:rFonts w:ascii="Calibri" w:hAnsi="Calibri"/>
              </w:rPr>
            </w:pPr>
            <w:r w:rsidRPr="00776C13">
              <w:rPr>
                <w:rFonts w:ascii="Calibri" w:hAnsi="Calibri"/>
              </w:rPr>
              <w:t>-</w:t>
            </w:r>
            <w:r w:rsidRPr="00776C13">
              <w:rPr>
                <w:rFonts w:ascii="Calibri" w:hAnsi="Calibri"/>
              </w:rPr>
              <w:tab/>
            </w:r>
            <w:proofErr w:type="gramStart"/>
            <w:r w:rsidRPr="00776C13">
              <w:rPr>
                <w:rFonts w:ascii="Calibri" w:hAnsi="Calibri"/>
              </w:rPr>
              <w:t>copper</w:t>
            </w:r>
            <w:proofErr w:type="gramEnd"/>
            <w:r w:rsidRPr="00776C13">
              <w:rPr>
                <w:rFonts w:ascii="Calibri" w:hAnsi="Calibri"/>
              </w:rPr>
              <w:t>.</w:t>
            </w:r>
          </w:p>
        </w:tc>
      </w:tr>
    </w:tbl>
    <w:p w14:paraId="4B050375" w14:textId="77777777" w:rsidR="00FC360C" w:rsidRPr="00776C13" w:rsidRDefault="00FC360C" w:rsidP="00776C13">
      <w:pPr>
        <w:rPr>
          <w:szCs w:val="22"/>
        </w:rPr>
      </w:pPr>
    </w:p>
    <w:p w14:paraId="1A62736D" w14:textId="77777777" w:rsidR="00FC360C" w:rsidRPr="00F63BAF" w:rsidRDefault="00FC360C" w:rsidP="00776C13">
      <w:pPr>
        <w:pStyle w:val="Heading1"/>
      </w:pPr>
      <w:bookmarkStart w:id="155" w:name="_Toc511217443"/>
      <w:r w:rsidRPr="00F63BAF">
        <w:t>8.</w:t>
      </w:r>
      <w:r w:rsidRPr="00F63BAF">
        <w:tab/>
        <w:t>References</w:t>
      </w:r>
      <w:bookmarkEnd w:id="155"/>
    </w:p>
    <w:p w14:paraId="4DF2E0DB" w14:textId="77777777" w:rsidR="00FC360C" w:rsidRPr="00F63BAF" w:rsidRDefault="00FC360C" w:rsidP="00776C13">
      <w:proofErr w:type="gramStart"/>
      <w:r w:rsidRPr="00F63BAF">
        <w:t>Bellas, J., Albentosa, M, Vidal-Liñán, L., Besada, V, Franco, A., Fumega, J., González-Quijano, A., Viñas, L., Beiras, R. 2014.</w:t>
      </w:r>
      <w:proofErr w:type="gramEnd"/>
      <w:r w:rsidRPr="00F63BAF">
        <w:t xml:space="preserve"> </w:t>
      </w:r>
      <w:proofErr w:type="gramStart"/>
      <w:r w:rsidRPr="00F63BAF">
        <w:t>Combined use of chemical, biochemical and physiological variables in mussels for the assessment.</w:t>
      </w:r>
      <w:proofErr w:type="gramEnd"/>
      <w:r w:rsidRPr="00F63BAF">
        <w:t xml:space="preserve"> Marine Environmental Research 96, 105-107.</w:t>
      </w:r>
    </w:p>
    <w:p w14:paraId="79A91D9A" w14:textId="77777777" w:rsidR="00FC360C" w:rsidRPr="00F63BAF" w:rsidRDefault="00FC360C" w:rsidP="00776C13">
      <w:r w:rsidRPr="00F63BAF">
        <w:t xml:space="preserve">Becker, P.H. 1989. </w:t>
      </w:r>
      <w:proofErr w:type="gramStart"/>
      <w:r w:rsidRPr="00F63BAF">
        <w:t>Seabirds as monitor organisms of contaminants along the German North Sea Coast.</w:t>
      </w:r>
      <w:proofErr w:type="gramEnd"/>
      <w:r w:rsidRPr="00F63BAF">
        <w:t xml:space="preserve"> </w:t>
      </w:r>
      <w:proofErr w:type="gramStart"/>
      <w:r w:rsidRPr="00F63BAF">
        <w:t>Helgoländer Meeresunters.</w:t>
      </w:r>
      <w:proofErr w:type="gramEnd"/>
      <w:r w:rsidRPr="00F63BAF">
        <w:t xml:space="preserve"> 43, 395-403.</w:t>
      </w:r>
    </w:p>
    <w:p w14:paraId="67E19A4C" w14:textId="07EB4B1D" w:rsidR="00FC360C" w:rsidRPr="00F63BAF" w:rsidRDefault="00FC360C" w:rsidP="00776C13">
      <w:r w:rsidRPr="00F63BAF">
        <w:t xml:space="preserve">Becker, P.H. 1991. Population and contamination studies in coastal birds: The Common Tern Sterna hirundo. In: Perrins, C.M., Lebreton, J.D. and Hirons, G.J.M. (Editors): Bird population studies: relevance to conservation and management. </w:t>
      </w:r>
      <w:proofErr w:type="gramStart"/>
      <w:r w:rsidRPr="00F63BAF">
        <w:t>Oxford Univ. Press.</w:t>
      </w:r>
      <w:proofErr w:type="gramEnd"/>
      <w:r w:rsidRPr="00F63BAF">
        <w:t xml:space="preserve"> Oxford: 433-460.</w:t>
      </w:r>
    </w:p>
    <w:p w14:paraId="54E95177" w14:textId="77777777" w:rsidR="00FC360C" w:rsidRPr="00F63BAF" w:rsidRDefault="00FC360C" w:rsidP="00776C13">
      <w:r w:rsidRPr="00F63BAF">
        <w:t xml:space="preserve">Becker, P.H., Koepff, C., Heidmann, W.A., Büthe, A. 1991. </w:t>
      </w:r>
      <w:proofErr w:type="gramStart"/>
      <w:r w:rsidRPr="00F63BAF">
        <w:t>Schadstoffmonitoring mit Seevögeln.</w:t>
      </w:r>
      <w:proofErr w:type="gramEnd"/>
      <w:r w:rsidRPr="00F63BAF">
        <w:t xml:space="preserve"> Forschungsbericht UBA-FB 91-081, TEXTE 2/92, Umweltbundesamt, Berlin: 260.</w:t>
      </w:r>
    </w:p>
    <w:p w14:paraId="15E725BD" w14:textId="77777777" w:rsidR="00FC360C" w:rsidRPr="00F63BAF" w:rsidRDefault="00FC360C" w:rsidP="00776C13">
      <w:r w:rsidRPr="00F63BAF">
        <w:t>Becker, P.H., Heidmann, W.A., Büthe, A., Frank, D., Koepff, C. 1992. Umweltchemikalien in Eiern von Brutvögeln der deutschen Nordseeküste: Trends 1981-1990. J. Orn. 133, 109-124.</w:t>
      </w:r>
    </w:p>
    <w:p w14:paraId="5F9F7F87" w14:textId="5DE0E434" w:rsidR="00FC360C" w:rsidRPr="00F63BAF" w:rsidRDefault="00FC360C" w:rsidP="00776C13">
      <w:proofErr w:type="gramStart"/>
      <w:r w:rsidRPr="00F63BAF">
        <w:t>Benedicto, J, Andral, B, Martinez-Gomez, C, Guitart C., Deudero, S., Cento, A., Scarpato, A., Caixach, J., Benbrahim, S., Chouba, L., Boulahdid, M., Galgani, F. 2011.</w:t>
      </w:r>
      <w:proofErr w:type="gramEnd"/>
      <w:r w:rsidRPr="00F63BAF">
        <w:t xml:space="preserve"> </w:t>
      </w:r>
      <w:proofErr w:type="gramStart"/>
      <w:r w:rsidRPr="00F63BAF">
        <w:t>A large scale survey of trace metal levels in coastal waters of the Western Mediterranean basin using caged mussels (Mytilus galloprovincialis).</w:t>
      </w:r>
      <w:proofErr w:type="gramEnd"/>
      <w:r w:rsidRPr="00F63BAF">
        <w:t xml:space="preserve"> Journal of Environmental Monitoring 13 (5), 1495-1505</w:t>
      </w:r>
    </w:p>
    <w:p w14:paraId="04EC3CE8" w14:textId="49625FF4" w:rsidR="00FC360C" w:rsidRPr="00F63BAF" w:rsidRDefault="00FC360C" w:rsidP="00776C13">
      <w:r w:rsidRPr="00F63BAF">
        <w:t xml:space="preserve">Boutron, C.F. 1990. </w:t>
      </w:r>
      <w:proofErr w:type="gramStart"/>
      <w:r w:rsidRPr="00F63BAF">
        <w:t>A clean laboratory for ultralow concentration heavy metal analysis.</w:t>
      </w:r>
      <w:proofErr w:type="gramEnd"/>
      <w:r w:rsidRPr="00F63BAF">
        <w:t xml:space="preserve"> Fresenius Z. Anal. Chem. 337, 482-491.</w:t>
      </w:r>
    </w:p>
    <w:p w14:paraId="75E9421B" w14:textId="60B9DE8F" w:rsidR="00FC360C" w:rsidRPr="00F63BAF" w:rsidRDefault="00FC360C" w:rsidP="00776C13">
      <w:proofErr w:type="gramStart"/>
      <w:r w:rsidRPr="00F63BAF">
        <w:t>Carbonell ,</w:t>
      </w:r>
      <w:proofErr w:type="gramEnd"/>
      <w:r w:rsidRPr="00F63BAF">
        <w:t xml:space="preserve"> J., Bravo, J.C., Fernández, C., Tarazona, J.V. 2009. </w:t>
      </w:r>
      <w:proofErr w:type="gramStart"/>
      <w:r w:rsidRPr="00F63BAF">
        <w:t>A New Method for Total Mercury and Methyl Mercury Analysis in Muscle of Seawater Fish.</w:t>
      </w:r>
      <w:proofErr w:type="gramEnd"/>
      <w:r w:rsidRPr="00F63BAF">
        <w:t xml:space="preserve"> Bull. Environ. </w:t>
      </w:r>
      <w:proofErr w:type="gramStart"/>
      <w:r w:rsidRPr="00F63BAF">
        <w:t>Contam.</w:t>
      </w:r>
      <w:proofErr w:type="gramEnd"/>
      <w:r w:rsidRPr="00F63BAF">
        <w:t xml:space="preserve"> </w:t>
      </w:r>
      <w:proofErr w:type="gramStart"/>
      <w:r w:rsidRPr="00F63BAF">
        <w:t>Toxicol.</w:t>
      </w:r>
      <w:proofErr w:type="gramEnd"/>
      <w:r w:rsidRPr="00F63BAF">
        <w:t xml:space="preserve"> 83, 210–213.</w:t>
      </w:r>
    </w:p>
    <w:p w14:paraId="090239EF" w14:textId="48804469" w:rsidR="00FC360C" w:rsidRPr="00F63BAF" w:rsidRDefault="00FC360C" w:rsidP="00776C13">
      <w:proofErr w:type="gramStart"/>
      <w:r w:rsidRPr="00F63BAF">
        <w:t>Dittmann, T., Becker, P.H., Bakker, J., Bignert, A., Nyberg, E., Pereira, M.G., Pijanowska, U., Shore, R.F., Stienen, E., Toft, G.O., Marencic, H. 2012.</w:t>
      </w:r>
      <w:proofErr w:type="gramEnd"/>
      <w:r w:rsidRPr="00F63BAF">
        <w:t xml:space="preserve"> Large-scale spatial pollution patterns</w:t>
      </w:r>
      <w:r w:rsidR="00953614" w:rsidRPr="00953614">
        <w:t xml:space="preserve"> </w:t>
      </w:r>
      <w:r w:rsidR="00953614" w:rsidRPr="00F63BAF">
        <w:t xml:space="preserve">around the North Sea indicated by coastal bird eggs within an EcoQO programme. Environ. Sci. Pollut. </w:t>
      </w:r>
      <w:proofErr w:type="gramStart"/>
      <w:r w:rsidR="00953614" w:rsidRPr="00F63BAF">
        <w:t>Res. 19, 4060-4072</w:t>
      </w:r>
      <w:r w:rsidR="00953614">
        <w:t>.</w:t>
      </w:r>
      <w:proofErr w:type="gramEnd"/>
      <w:r w:rsidR="00953614">
        <w:t xml:space="preserve"> </w:t>
      </w:r>
      <w:proofErr w:type="gramStart"/>
      <w:r w:rsidRPr="00F63BAF">
        <w:t>ICES MCWG REPORT 2014 | 79</w:t>
      </w:r>
      <w:r w:rsidR="00953614">
        <w:t>.</w:t>
      </w:r>
      <w:proofErr w:type="gramEnd"/>
    </w:p>
    <w:p w14:paraId="35752C1D" w14:textId="77777777" w:rsidR="00FC360C" w:rsidRPr="00F63BAF" w:rsidRDefault="00FC360C" w:rsidP="00776C13">
      <w:proofErr w:type="gramStart"/>
      <w:r w:rsidRPr="00F63BAF">
        <w:t>Gilbertson, M., Elliott, J.E., Peakall, D.B. 1987.</w:t>
      </w:r>
      <w:proofErr w:type="gramEnd"/>
      <w:r w:rsidRPr="00F63BAF">
        <w:t xml:space="preserve"> </w:t>
      </w:r>
      <w:proofErr w:type="gramStart"/>
      <w:r w:rsidRPr="00F63BAF">
        <w:t>Seabirds as indicators of marine pollution.</w:t>
      </w:r>
      <w:proofErr w:type="gramEnd"/>
      <w:r w:rsidRPr="00F63BAF">
        <w:t xml:space="preserve"> In: Diamond, A.W. and Filion, F.L. (Editors): The value of birds. ICBP Technical Publication 6: 231-248.</w:t>
      </w:r>
    </w:p>
    <w:p w14:paraId="6B2A2767" w14:textId="33FF8E96" w:rsidR="00FC360C" w:rsidRPr="00F63BAF" w:rsidRDefault="00FC360C" w:rsidP="00776C13">
      <w:r w:rsidRPr="00F63BAF">
        <w:t xml:space="preserve">Green, N.W., Schøyen, M., Øxnevad, S., Ruus, A., Høgåsen, T., Beylich, B., Håvardstun, J., Gudmundsom Rogne, </w:t>
      </w:r>
      <w:proofErr w:type="gramStart"/>
      <w:r w:rsidRPr="00F63BAF">
        <w:t>Å.K.,</w:t>
      </w:r>
      <w:proofErr w:type="gramEnd"/>
      <w:r w:rsidRPr="00F63BAF">
        <w:t xml:space="preserve"> Tveiten, L. 2012. </w:t>
      </w:r>
      <w:proofErr w:type="gramStart"/>
      <w:r w:rsidRPr="00F63BAF">
        <w:t>Hazardous Substances in Fjords and Coastal Waters 2011.</w:t>
      </w:r>
      <w:proofErr w:type="gramEnd"/>
      <w:r w:rsidRPr="00F63BAF">
        <w:t xml:space="preserve"> </w:t>
      </w:r>
      <w:proofErr w:type="gramStart"/>
      <w:r w:rsidRPr="00F63BAF">
        <w:t>Le</w:t>
      </w:r>
      <w:r w:rsidR="00953614">
        <w:t>vels, Trends and Effects.</w:t>
      </w:r>
      <w:proofErr w:type="gramEnd"/>
      <w:r w:rsidR="00953614">
        <w:t xml:space="preserve"> </w:t>
      </w:r>
      <w:proofErr w:type="gramStart"/>
      <w:r w:rsidR="00953614">
        <w:t>Long-</w:t>
      </w:r>
      <w:r w:rsidRPr="00F63BAF">
        <w:t>term Monitoring of Environmental Quality in Norwegian Coastal Waters.</w:t>
      </w:r>
      <w:proofErr w:type="gramEnd"/>
      <w:r w:rsidRPr="00F63BAF">
        <w:t xml:space="preserve"> </w:t>
      </w:r>
      <w:proofErr w:type="gramStart"/>
      <w:r w:rsidRPr="00F63BAF">
        <w:t>NIVA O12106, 643-2012.</w:t>
      </w:r>
      <w:proofErr w:type="gramEnd"/>
    </w:p>
    <w:p w14:paraId="4B369693" w14:textId="2A03BD6F" w:rsidR="00FC360C" w:rsidRPr="00F63BAF" w:rsidRDefault="00FC360C" w:rsidP="00776C13">
      <w:proofErr w:type="gramStart"/>
      <w:r w:rsidRPr="00F63BAF">
        <w:t>Harms, U. 1994.</w:t>
      </w:r>
      <w:proofErr w:type="gramEnd"/>
      <w:r w:rsidRPr="00F63BAF">
        <w:t xml:space="preserve"> </w:t>
      </w:r>
      <w:proofErr w:type="gramStart"/>
      <w:r w:rsidRPr="00F63BAF">
        <w:t>Quality Assurance of Chemical Analytical Procedures for the Determination of Trace Metals in Biota.</w:t>
      </w:r>
      <w:proofErr w:type="gramEnd"/>
      <w:r w:rsidRPr="00F63BAF">
        <w:t xml:space="preserve"> In: Topping, G. and Harms, U. (Editors): ICES/HELCOM Workshop on Quality Assurance of Chemical Analytical Procedures for the Baltic Monitoring Programme, 5-8 Oct 1993, Hamburg, Germany. HELCOM, Balt. Sea Environ. </w:t>
      </w:r>
      <w:proofErr w:type="gramStart"/>
      <w:r w:rsidRPr="00F63BAF">
        <w:t>Proc.</w:t>
      </w:r>
      <w:proofErr w:type="gramEnd"/>
      <w:r w:rsidRPr="00F63BAF">
        <w:t xml:space="preserve"> No 58, 61-69.</w:t>
      </w:r>
    </w:p>
    <w:p w14:paraId="083B5E7F" w14:textId="77777777" w:rsidR="00FC360C" w:rsidRPr="00F63BAF" w:rsidRDefault="00FC360C" w:rsidP="00776C13">
      <w:proofErr w:type="gramStart"/>
      <w:r w:rsidRPr="00F63BAF">
        <w:t>HELCOM 1988.</w:t>
      </w:r>
      <w:proofErr w:type="gramEnd"/>
      <w:r w:rsidRPr="00F63BAF">
        <w:t xml:space="preserve"> </w:t>
      </w:r>
      <w:proofErr w:type="gramStart"/>
      <w:r w:rsidRPr="00F63BAF">
        <w:t>Guidelines for the Baltic Monitoring Programme for the Third Stage.</w:t>
      </w:r>
      <w:proofErr w:type="gramEnd"/>
      <w:r w:rsidRPr="00F63BAF">
        <w:t xml:space="preserve"> Part C: Contents from Balt. Sea Environ. Proc. No. 27 C, HELCOM, Helsinki.</w:t>
      </w:r>
    </w:p>
    <w:p w14:paraId="68A4E07D" w14:textId="04FD282F" w:rsidR="00FC360C" w:rsidRPr="00F63BAF" w:rsidRDefault="00FC360C" w:rsidP="00776C13">
      <w:r w:rsidRPr="00F63BAF">
        <w:t>Herzke, D., Nygård, T., Berger, U., Huber, S., Røv, N. 2009. Perfluorinated and other persistent halogenated organic compounds in European shag (</w:t>
      </w:r>
      <w:r w:rsidRPr="00953614">
        <w:rPr>
          <w:i/>
        </w:rPr>
        <w:t>Phalacrocorax aristotelis</w:t>
      </w:r>
      <w:r w:rsidRPr="00F63BAF">
        <w:t>) and common eider (</w:t>
      </w:r>
      <w:r w:rsidRPr="00953614">
        <w:rPr>
          <w:i/>
        </w:rPr>
        <w:t>Somateria mollissima</w:t>
      </w:r>
      <w:r w:rsidRPr="00F63BAF">
        <w:t>) from Norway: A suburban to remote pollutant gradient. Science of Total Environment 408, 340-348.</w:t>
      </w:r>
    </w:p>
    <w:p w14:paraId="1844F7A6" w14:textId="12D5858B" w:rsidR="00FC360C" w:rsidRPr="00F63BAF" w:rsidRDefault="00FC360C" w:rsidP="00776C13">
      <w:proofErr w:type="gramStart"/>
      <w:r w:rsidRPr="00F63BAF">
        <w:t>ICES 1995.</w:t>
      </w:r>
      <w:proofErr w:type="gramEnd"/>
      <w:r w:rsidRPr="00F63BAF">
        <w:t xml:space="preserve"> Draft report of the ICES/HELCOM Steering Group on Quality Assurance of chemical measurements in the Baltic Sea, ICES C.M. 1995/E</w:t>
      </w:r>
      <w:proofErr w:type="gramStart"/>
      <w:r w:rsidRPr="00F63BAF">
        <w:t>:2</w:t>
      </w:r>
      <w:proofErr w:type="gramEnd"/>
      <w:r w:rsidRPr="00F63BAF">
        <w:t>, Annex 7.</w:t>
      </w:r>
    </w:p>
    <w:p w14:paraId="28DD65C9" w14:textId="22B3CB52" w:rsidR="00FC360C" w:rsidRPr="00F63BAF" w:rsidRDefault="00FC360C" w:rsidP="00776C13">
      <w:proofErr w:type="gramStart"/>
      <w:r w:rsidRPr="00F63BAF">
        <w:t>IFREMER, 2006.</w:t>
      </w:r>
      <w:proofErr w:type="gramEnd"/>
      <w:r w:rsidRPr="00F63BAF">
        <w:t xml:space="preserve"> </w:t>
      </w:r>
      <w:proofErr w:type="gramStart"/>
      <w:r w:rsidRPr="00F63BAF">
        <w:t>RNO 2006.</w:t>
      </w:r>
      <w:proofErr w:type="gramEnd"/>
      <w:r w:rsidR="00953614">
        <w:t xml:space="preserve"> </w:t>
      </w:r>
      <w:proofErr w:type="gramStart"/>
      <w:r w:rsidRPr="00F63BAF">
        <w:t>Surveillance du Milieu Marin.</w:t>
      </w:r>
      <w:proofErr w:type="gramEnd"/>
      <w:r w:rsidRPr="00F63BAF">
        <w:t xml:space="preserve"> Travaux du RNO. </w:t>
      </w:r>
      <w:proofErr w:type="gramStart"/>
      <w:r w:rsidRPr="00F63BAF">
        <w:t>Edition 2006.</w:t>
      </w:r>
      <w:proofErr w:type="gramEnd"/>
      <w:r w:rsidRPr="00F63BAF">
        <w:t xml:space="preserve"> Ifremer </w:t>
      </w:r>
      <w:proofErr w:type="gramStart"/>
      <w:r w:rsidRPr="00F63BAF">
        <w:t>et</w:t>
      </w:r>
      <w:proofErr w:type="gramEnd"/>
      <w:r w:rsidRPr="00F63BAF">
        <w:t xml:space="preserve"> Ministère de l’Ecologie et du Développement Durable. </w:t>
      </w:r>
      <w:proofErr w:type="gramStart"/>
      <w:r w:rsidRPr="00F63BAF">
        <w:t>ISSN 1620-1124.</w:t>
      </w:r>
      <w:proofErr w:type="gramEnd"/>
    </w:p>
    <w:p w14:paraId="509698A0" w14:textId="3029BAEB" w:rsidR="00FC360C" w:rsidRPr="00F63BAF" w:rsidRDefault="00FC360C" w:rsidP="00776C13">
      <w:r w:rsidRPr="00F63BAF">
        <w:t xml:space="preserve">Klussmann, U., Strupp, D., Ebing, W. 1985. </w:t>
      </w:r>
      <w:proofErr w:type="gramStart"/>
      <w:r w:rsidRPr="00F63BAF">
        <w:t>Entwicklung einer Apparatur zur Homogenisierung von tiefgekühlten Pflanzenproben.</w:t>
      </w:r>
      <w:proofErr w:type="gramEnd"/>
      <w:r w:rsidRPr="00F63BAF">
        <w:t xml:space="preserve"> Fresenius Z. Anal. Chem. 322, 456-461.</w:t>
      </w:r>
    </w:p>
    <w:p w14:paraId="3C6A0C57" w14:textId="77777777" w:rsidR="00FC360C" w:rsidRPr="00F63BAF" w:rsidRDefault="00FC360C" w:rsidP="00776C13">
      <w:r w:rsidRPr="00F63BAF">
        <w:t xml:space="preserve">Kosta L. 1982. </w:t>
      </w:r>
      <w:proofErr w:type="gramStart"/>
      <w:r w:rsidRPr="00F63BAF">
        <w:t>Contamination as a limiting parameter in trace analysis.</w:t>
      </w:r>
      <w:proofErr w:type="gramEnd"/>
      <w:r w:rsidRPr="00F63BAF">
        <w:t xml:space="preserve"> Talanta 29B, 985-992.</w:t>
      </w:r>
    </w:p>
    <w:p w14:paraId="4B6833C1" w14:textId="1DFF7410" w:rsidR="00FC360C" w:rsidRPr="00F63BAF" w:rsidRDefault="00FC360C" w:rsidP="00776C13">
      <w:r w:rsidRPr="00F63BAF">
        <w:t xml:space="preserve">Larsen, M.M., Søndergaard, J., Asmund, G., Parmentier, K., Vermaercke, P. 2011. </w:t>
      </w:r>
      <w:proofErr w:type="gramStart"/>
      <w:r w:rsidRPr="00F63BAF">
        <w:t>Trace Elements.</w:t>
      </w:r>
      <w:proofErr w:type="gramEnd"/>
      <w:r w:rsidRPr="00F63BAF">
        <w:t xml:space="preserve"> In: Quevauviller, P., Roose, P. and Verreet, G. (Editors): Chemical Marine Monitoring – Policy Framework and Analytical Trends. </w:t>
      </w:r>
      <w:proofErr w:type="gramStart"/>
      <w:r w:rsidRPr="00F63BAF">
        <w:t>John Wiley and Sons Ltd., 451 p.</w:t>
      </w:r>
      <w:proofErr w:type="gramEnd"/>
    </w:p>
    <w:p w14:paraId="77965E42" w14:textId="77777777" w:rsidR="00FC360C" w:rsidRPr="00F63BAF" w:rsidRDefault="00FC360C" w:rsidP="00776C13">
      <w:proofErr w:type="gramStart"/>
      <w:r w:rsidRPr="00F63BAF">
        <w:t>Luque de Castro, M.D., Luque García, J.L. 2002.</w:t>
      </w:r>
      <w:proofErr w:type="gramEnd"/>
      <w:r w:rsidRPr="00F63BAF">
        <w:t xml:space="preserve"> </w:t>
      </w:r>
      <w:proofErr w:type="gramStart"/>
      <w:r w:rsidRPr="00F63BAF">
        <w:t>Acceleration and Automation of Solid Sample Treatment.</w:t>
      </w:r>
      <w:proofErr w:type="gramEnd"/>
      <w:r w:rsidRPr="00F63BAF">
        <w:t xml:space="preserve"> In: Techniques, Applications and Quality Assurance. </w:t>
      </w:r>
      <w:proofErr w:type="gramStart"/>
      <w:r w:rsidRPr="00F63BAF">
        <w:t>Vol 24.</w:t>
      </w:r>
      <w:proofErr w:type="gramEnd"/>
      <w:r w:rsidRPr="00F63BAF">
        <w:t xml:space="preserve"> </w:t>
      </w:r>
      <w:proofErr w:type="gramStart"/>
      <w:r w:rsidRPr="00F63BAF">
        <w:t>Elsevier.</w:t>
      </w:r>
      <w:proofErr w:type="gramEnd"/>
      <w:r w:rsidRPr="00F63BAF">
        <w:t xml:space="preserve"> ISBN: 978-0-444-50716-7</w:t>
      </w:r>
    </w:p>
    <w:p w14:paraId="5EAB0070" w14:textId="26BE323C" w:rsidR="00FC360C" w:rsidRPr="00F63BAF" w:rsidRDefault="00FC360C" w:rsidP="00776C13">
      <w:r w:rsidRPr="00F63BAF">
        <w:t>Maggi, C., Berducci, M.T., Bianchi, J.</w:t>
      </w:r>
      <w:proofErr w:type="gramStart"/>
      <w:r w:rsidRPr="00F63BAF">
        <w:t>,Giani</w:t>
      </w:r>
      <w:proofErr w:type="gramEnd"/>
      <w:r w:rsidRPr="00F63BAF">
        <w:t xml:space="preserve">, M., Campanella, L. 2009. </w:t>
      </w:r>
      <w:proofErr w:type="gramStart"/>
      <w:r w:rsidRPr="00F63BAF">
        <w:t>Methylmercury determination in marine sediment and organisms by Direct Mercury Analyser.</w:t>
      </w:r>
      <w:proofErr w:type="gramEnd"/>
      <w:r w:rsidRPr="00F63BAF">
        <w:t xml:space="preserve"> Analytica Chemical Acta 641, 32-36.</w:t>
      </w:r>
    </w:p>
    <w:p w14:paraId="613CA945" w14:textId="6999EA1B" w:rsidR="00FC360C" w:rsidRPr="00F63BAF" w:rsidRDefault="00FC360C" w:rsidP="00776C13">
      <w:proofErr w:type="gramStart"/>
      <w:r w:rsidRPr="00F63BAF">
        <w:t>Miljeteig, C., Strom, H., Gavrilo, M.V., Volkov, A., Jenssen, B.M., Gabrielsen, G.W. 2009.</w:t>
      </w:r>
      <w:proofErr w:type="gramEnd"/>
      <w:r w:rsidRPr="00F63BAF">
        <w:t xml:space="preserve"> High Levels of Contaminants in Ivory Gull Pagophila eburnea Eggs from the Russian and Norwegian Arctic. </w:t>
      </w:r>
      <w:proofErr w:type="gramStart"/>
      <w:r w:rsidRPr="00F63BAF">
        <w:t>Environmental Science &amp; Technology 43, 5521-5528.</w:t>
      </w:r>
      <w:proofErr w:type="gramEnd"/>
    </w:p>
    <w:p w14:paraId="6F369B13" w14:textId="77777777" w:rsidR="00FC360C" w:rsidRPr="00F63BAF" w:rsidRDefault="00FC360C" w:rsidP="00776C13">
      <w:r w:rsidRPr="00F63BAF">
        <w:t>Mitchell, J.W. 1982a. State-of-the-art contamination control techniques for ultratrace elemental analysis. J. Radioanalytical Chemistry 69, 47-105.</w:t>
      </w:r>
    </w:p>
    <w:p w14:paraId="1CE80E08" w14:textId="77777777" w:rsidR="00FC360C" w:rsidRPr="00F63BAF" w:rsidRDefault="00FC360C" w:rsidP="00776C13">
      <w:r w:rsidRPr="00F63BAF">
        <w:t xml:space="preserve">Mitchell, J.W. 1982b. </w:t>
      </w:r>
      <w:proofErr w:type="gramStart"/>
      <w:r w:rsidRPr="00F63BAF">
        <w:t>Purification of analytical reagents.</w:t>
      </w:r>
      <w:proofErr w:type="gramEnd"/>
      <w:r w:rsidRPr="00F63BAF">
        <w:t xml:space="preserve"> </w:t>
      </w:r>
      <w:proofErr w:type="gramStart"/>
      <w:r w:rsidRPr="00F63BAF">
        <w:t>Talanta 29, 993-1002.</w:t>
      </w:r>
      <w:proofErr w:type="gramEnd"/>
    </w:p>
    <w:p w14:paraId="0D6F1290" w14:textId="636CF0AA" w:rsidR="00FC360C" w:rsidRPr="00F63BAF" w:rsidRDefault="00FC360C" w:rsidP="00776C13">
      <w:r w:rsidRPr="00F63BAF">
        <w:t xml:space="preserve">Moody, J.R. 1982. </w:t>
      </w:r>
      <w:proofErr w:type="gramStart"/>
      <w:r w:rsidRPr="00F63BAF">
        <w:t>NBS Clean Laboratories for Trace Element Analysis.</w:t>
      </w:r>
      <w:proofErr w:type="gramEnd"/>
      <w:r w:rsidRPr="00F63BAF">
        <w:t xml:space="preserve"> </w:t>
      </w:r>
      <w:proofErr w:type="gramStart"/>
      <w:r w:rsidRPr="00F63BAF">
        <w:t>Anal.</w:t>
      </w:r>
      <w:proofErr w:type="gramEnd"/>
      <w:r w:rsidRPr="00F63BAF">
        <w:t xml:space="preserve"> </w:t>
      </w:r>
      <w:proofErr w:type="gramStart"/>
      <w:r w:rsidRPr="00F63BAF">
        <w:t>Chem. 54, 1358A</w:t>
      </w:r>
      <w:r w:rsidR="00953614">
        <w:t>-</w:t>
      </w:r>
      <w:r w:rsidRPr="00F63BAF">
        <w:t>1376A.</w:t>
      </w:r>
      <w:proofErr w:type="gramEnd"/>
    </w:p>
    <w:p w14:paraId="7927E6FD" w14:textId="3603574A" w:rsidR="00FC360C" w:rsidRPr="00F63BAF" w:rsidRDefault="00FC360C" w:rsidP="00776C13">
      <w:r w:rsidRPr="00F63BAF">
        <w:t>Moody, J.R., Beary, E.S. 1982. Purified reagents for trace metal analysis. Talanta 29, 1003-1010.</w:t>
      </w:r>
      <w:r w:rsidRPr="00F63BAF">
        <w:cr/>
        <w:t>Moody, J.R., Wissink, C.E., Beary, E.S. 1989. Design principles f</w:t>
      </w:r>
      <w:r w:rsidR="00953614">
        <w:t>or a large high-efficiency sub-</w:t>
      </w:r>
      <w:r w:rsidRPr="00F63BAF">
        <w:t xml:space="preserve">boiling still. </w:t>
      </w:r>
      <w:proofErr w:type="gramStart"/>
      <w:r w:rsidRPr="00F63BAF">
        <w:t>Anal.</w:t>
      </w:r>
      <w:proofErr w:type="gramEnd"/>
      <w:r w:rsidRPr="00F63BAF">
        <w:t xml:space="preserve"> Chem. 61, 823-827.</w:t>
      </w:r>
    </w:p>
    <w:p w14:paraId="0AD57F76" w14:textId="393885E1" w:rsidR="00FC360C" w:rsidRPr="00F63BAF" w:rsidRDefault="00FC360C" w:rsidP="00776C13">
      <w:r w:rsidRPr="00F63BAF">
        <w:t xml:space="preserve">Oehlenschläger, J. 1994a: Quality Assurance </w:t>
      </w:r>
      <w:proofErr w:type="gramStart"/>
      <w:r w:rsidRPr="00F63BAF">
        <w:t>During</w:t>
      </w:r>
      <w:proofErr w:type="gramEnd"/>
      <w:r w:rsidRPr="00F63BAF">
        <w:t xml:space="preserve"> Sampling on Board. In: Topping, G. and Harms, U. (Editors): ICES/HELCOM Workshop on Quality Assurance of Chemical Analytical Procedures for the Baltic Monitoring Programme, 5-8 Oct 1993, Hamburg, Germany. HELCOM, Balt. Sea Environ. </w:t>
      </w:r>
      <w:proofErr w:type="gramStart"/>
      <w:r w:rsidRPr="00F63BAF">
        <w:t>Proc.</w:t>
      </w:r>
      <w:proofErr w:type="gramEnd"/>
      <w:r w:rsidRPr="00F63BAF">
        <w:t xml:space="preserve"> No 58, 82-84.</w:t>
      </w:r>
    </w:p>
    <w:p w14:paraId="3B87759C" w14:textId="4874D3F7" w:rsidR="00FC360C" w:rsidRPr="00F63BAF" w:rsidRDefault="00FC360C" w:rsidP="00776C13">
      <w:r w:rsidRPr="00F63BAF">
        <w:t xml:space="preserve">Oehlenschläger, J. 1994b. </w:t>
      </w:r>
      <w:proofErr w:type="gramStart"/>
      <w:r w:rsidRPr="00F63BAF">
        <w:t>Critical Review on the Suitability of Different Decomposition Procedures for the Analysis of Trace Metals in Biota.</w:t>
      </w:r>
      <w:proofErr w:type="gramEnd"/>
      <w:r w:rsidRPr="00F63BAF">
        <w:t xml:space="preserve"> In: Topping, G. and Harms, U. (Editors): ICES/HELCOM Workshop on Quality Assurance of Chemical Analytical Procedures for the Baltic Monitoring Programme, 5-8 Oct 1993, Hamburg, Germany. HELCOM, Balt. Sea Environ. </w:t>
      </w:r>
      <w:proofErr w:type="gramStart"/>
      <w:r w:rsidRPr="00F63BAF">
        <w:t>Proc.</w:t>
      </w:r>
      <w:proofErr w:type="gramEnd"/>
      <w:r w:rsidRPr="00F63BAF">
        <w:t xml:space="preserve"> No 58, 85-91.</w:t>
      </w:r>
    </w:p>
    <w:p w14:paraId="56B7ADCC" w14:textId="77777777" w:rsidR="00FC360C" w:rsidRPr="00F63BAF" w:rsidRDefault="00FC360C" w:rsidP="00776C13">
      <w:proofErr w:type="gramStart"/>
      <w:r w:rsidRPr="00F63BAF">
        <w:t>Paulsen, P.J., Beary, E.S., Bushee, D.S., Moody, J.R. 1989.</w:t>
      </w:r>
      <w:proofErr w:type="gramEnd"/>
      <w:r w:rsidRPr="00F63BAF">
        <w:t xml:space="preserve"> Analysis of ultrapure reagents from a large sub-boiling still made of </w:t>
      </w:r>
      <w:proofErr w:type="gramStart"/>
      <w:r w:rsidRPr="00F63BAF">
        <w:t>teflon</w:t>
      </w:r>
      <w:proofErr w:type="gramEnd"/>
      <w:r w:rsidRPr="00F63BAF">
        <w:t xml:space="preserve"> PFA. </w:t>
      </w:r>
      <w:proofErr w:type="gramStart"/>
      <w:r w:rsidRPr="00F63BAF">
        <w:t>Anal.</w:t>
      </w:r>
      <w:proofErr w:type="gramEnd"/>
      <w:r w:rsidRPr="00F63BAF">
        <w:t xml:space="preserve"> Chem. 61, 827-830.</w:t>
      </w:r>
    </w:p>
    <w:p w14:paraId="5F9359ED" w14:textId="77777777" w:rsidR="00FC360C" w:rsidRPr="00F63BAF" w:rsidRDefault="00FC360C" w:rsidP="00776C13">
      <w:proofErr w:type="gramStart"/>
      <w:r w:rsidRPr="00F63BAF">
        <w:t>QUASIMEME 1992.</w:t>
      </w:r>
      <w:proofErr w:type="gramEnd"/>
      <w:r w:rsidRPr="00F63BAF">
        <w:t xml:space="preserve"> </w:t>
      </w:r>
      <w:proofErr w:type="gramStart"/>
      <w:r w:rsidRPr="00F63BAF">
        <w:t>Guidelines on Quality Assurance for Marine Measurements.</w:t>
      </w:r>
      <w:proofErr w:type="gramEnd"/>
      <w:r w:rsidRPr="00F63BAF">
        <w:t xml:space="preserve"> </w:t>
      </w:r>
      <w:proofErr w:type="gramStart"/>
      <w:r w:rsidRPr="00F63BAF">
        <w:t>Prepared by Topping, G., Wells, D.E. and Griepink, B., 1992.</w:t>
      </w:r>
      <w:proofErr w:type="gramEnd"/>
      <w:r w:rsidRPr="00F63BAF">
        <w:t xml:space="preserve"> </w:t>
      </w:r>
      <w:proofErr w:type="gramStart"/>
      <w:r w:rsidRPr="00F63BAF">
        <w:t>SOAFD Marine Laboratory, Aberdeen, Scotland.</w:t>
      </w:r>
      <w:proofErr w:type="gramEnd"/>
    </w:p>
    <w:p w14:paraId="32EDCBBD" w14:textId="77777777" w:rsidR="00FC360C" w:rsidRPr="00F63BAF" w:rsidRDefault="00FC360C" w:rsidP="00776C13">
      <w:r w:rsidRPr="00F63BAF">
        <w:t xml:space="preserve">Schmidt, D., Gerwinski, W. 1994. Design Principles of Clean Laboratories for Trace Metal Analysis. In: Topping, G. and Harms, U. (Editors): ICES/HELCOM Workshop on Quality Assurance of Chemical Analytical Procedures for the Baltic Monitoring Programme, 5-8 Oct 1993, Hamburg, Germany. HELCOM, Balt. Sea Environ. </w:t>
      </w:r>
      <w:proofErr w:type="gramStart"/>
      <w:r w:rsidRPr="00F63BAF">
        <w:t>Proc.</w:t>
      </w:r>
      <w:proofErr w:type="gramEnd"/>
      <w:r w:rsidRPr="00F63BAF">
        <w:t xml:space="preserve"> No 58, 111-117.</w:t>
      </w:r>
    </w:p>
    <w:p w14:paraId="67ADE80D" w14:textId="77777777" w:rsidR="00FC360C" w:rsidRPr="00F63BAF" w:rsidRDefault="00FC360C" w:rsidP="00776C13">
      <w:proofErr w:type="gramStart"/>
      <w:r w:rsidRPr="00F63BAF">
        <w:t>Søndergaard, J., Asmund, G., Johansen, P., Riget, F., 2011.</w:t>
      </w:r>
      <w:proofErr w:type="gramEnd"/>
      <w:r w:rsidRPr="00F63BAF">
        <w:t xml:space="preserve"> </w:t>
      </w:r>
      <w:proofErr w:type="gramStart"/>
      <w:r w:rsidRPr="00F63BAF">
        <w:t>Long-term response of an arctic fiord system to lead-zinc mining and submarine disposal of mine waste (Maarmorilik, West Greenland).</w:t>
      </w:r>
      <w:proofErr w:type="gramEnd"/>
      <w:r w:rsidRPr="00F63BAF">
        <w:t xml:space="preserve"> Marine Environmental Research 71, 331-341.</w:t>
      </w:r>
    </w:p>
    <w:p w14:paraId="15AC2520" w14:textId="44F492A8" w:rsidR="00FC360C" w:rsidRPr="00F63BAF" w:rsidRDefault="00FC360C" w:rsidP="00776C13">
      <w:proofErr w:type="gramStart"/>
      <w:r w:rsidRPr="00F63BAF">
        <w:t>Torres, D.P., Martins-Teixeira, M.B., Silva, E.F., Queiroz, H.M., 2012.</w:t>
      </w:r>
      <w:proofErr w:type="gramEnd"/>
      <w:r w:rsidRPr="00F63BAF">
        <w:t xml:space="preserve"> </w:t>
      </w:r>
      <w:proofErr w:type="gramStart"/>
      <w:r w:rsidRPr="00F63BAF">
        <w:t>Method development for the control determination of mercury in seafood by solid-sampling thermal decomposition amalgamation atomic absorption spectrometry (TDA AAS).</w:t>
      </w:r>
      <w:proofErr w:type="gramEnd"/>
      <w:r w:rsidRPr="00F63BAF">
        <w:t xml:space="preserve"> Food Additives and Contaminants Part a-Chemistry Analysis Control Exposure &amp; Risk Assessment, 29(4): 625-632.</w:t>
      </w:r>
    </w:p>
    <w:p w14:paraId="0818ED68" w14:textId="0BB17479" w:rsidR="00FC360C" w:rsidRPr="00F63BAF" w:rsidRDefault="00FC360C" w:rsidP="00776C13">
      <w:proofErr w:type="gramStart"/>
      <w:r w:rsidRPr="00F63BAF">
        <w:t>Tschöpel, P., Kotz, L., Schulz, W., Veber, M., Tölg, G. 1980.</w:t>
      </w:r>
      <w:proofErr w:type="gramEnd"/>
      <w:r w:rsidRPr="00F63BAF">
        <w:t xml:space="preserve"> </w:t>
      </w:r>
      <w:proofErr w:type="gramStart"/>
      <w:r w:rsidRPr="00F63BAF">
        <w:t>Zur Ursache und Vermeidung systematischer Fehler bei Elementbestimmungen i</w:t>
      </w:r>
      <w:r w:rsidR="00953614">
        <w:t>n wässrigen Lösungen im ng/ml-</w:t>
      </w:r>
      <w:r w:rsidRPr="00F63BAF">
        <w:t>und pg/ml-Bereich.</w:t>
      </w:r>
      <w:proofErr w:type="gramEnd"/>
      <w:r w:rsidRPr="00F63BAF">
        <w:t xml:space="preserve"> Fresenius Z. Anal. Chem. 203, 1-14.</w:t>
      </w:r>
    </w:p>
    <w:p w14:paraId="3F586BC6" w14:textId="31CE07BF" w:rsidR="00FC360C" w:rsidRPr="00F63BAF" w:rsidRDefault="00FC360C" w:rsidP="00776C13">
      <w:r w:rsidRPr="00F63BAF">
        <w:t>Viñas</w:t>
      </w:r>
      <w:proofErr w:type="gramStart"/>
      <w:r w:rsidRPr="00F63BAF">
        <w:t>,L</w:t>
      </w:r>
      <w:proofErr w:type="gramEnd"/>
      <w:r w:rsidRPr="00F63BAF">
        <w:t xml:space="preserve">, Besada, V., Sericano, J. 2012. Comprehensive sampling and sample preparation. In: J. Pawliszyn (Editor), Sampling of Fish, Benthic Species, and Seabird Eggs in Pollution Assessment. Elsevier, Oxford, </w:t>
      </w:r>
      <w:proofErr w:type="gramStart"/>
      <w:r w:rsidRPr="00F63BAF">
        <w:t>UK.,</w:t>
      </w:r>
      <w:proofErr w:type="gramEnd"/>
      <w:r w:rsidRPr="00F63BAF">
        <w:t xml:space="preserve"> pp. 349-372.</w:t>
      </w:r>
    </w:p>
    <w:p w14:paraId="3E2B5F39" w14:textId="77777777" w:rsidR="00FC360C" w:rsidRPr="00F63BAF" w:rsidRDefault="00FC360C" w:rsidP="00776C13">
      <w:r w:rsidRPr="00F63BAF">
        <w:t xml:space="preserve">Walker, C.H. 1992. </w:t>
      </w:r>
      <w:proofErr w:type="gramStart"/>
      <w:r w:rsidRPr="00F63BAF">
        <w:t>The exotoxicology of persistent pollutants in marine fish-eating birds.</w:t>
      </w:r>
      <w:proofErr w:type="gramEnd"/>
      <w:r w:rsidRPr="00F63BAF">
        <w:t xml:space="preserve"> In: Walker, C.H. and Livingstone, D.R. (Editors): Persistent pollutants in marine ecosystems: 211-232, Pergamon Press, Oxford, New York, Seoul, </w:t>
      </w:r>
      <w:proofErr w:type="gramStart"/>
      <w:r w:rsidRPr="00F63BAF">
        <w:t>Tokyo</w:t>
      </w:r>
      <w:proofErr w:type="gramEnd"/>
      <w:r w:rsidRPr="00F63BAF">
        <w:t>.</w:t>
      </w:r>
    </w:p>
    <w:p w14:paraId="20F0F4D0" w14:textId="77777777" w:rsidR="00FC360C" w:rsidRPr="00F63BAF" w:rsidRDefault="00FC360C">
      <w:pPr>
        <w:tabs>
          <w:tab w:val="clear" w:pos="567"/>
          <w:tab w:val="clear" w:pos="1134"/>
          <w:tab w:val="clear" w:pos="1701"/>
          <w:tab w:val="clear" w:pos="2268"/>
        </w:tabs>
        <w:spacing w:after="200"/>
        <w:jc w:val="left"/>
        <w:rPr>
          <w:sz w:val="20"/>
        </w:rPr>
      </w:pPr>
      <w:r w:rsidRPr="00F63BAF">
        <w:br w:type="page"/>
      </w:r>
    </w:p>
    <w:p w14:paraId="56EC80A4" w14:textId="77777777" w:rsidR="00FC360C" w:rsidRPr="00776C13" w:rsidRDefault="00FC360C" w:rsidP="00776C13">
      <w:pPr>
        <w:pStyle w:val="Heading1"/>
      </w:pPr>
      <w:bookmarkStart w:id="156" w:name="_Toc511217444"/>
      <w:r w:rsidRPr="00776C13">
        <w:t>Appendix</w:t>
      </w:r>
      <w:bookmarkEnd w:id="156"/>
      <w:r w:rsidRPr="00776C13">
        <w:t xml:space="preserve"> </w:t>
      </w:r>
    </w:p>
    <w:p w14:paraId="4A0FEC71" w14:textId="77777777" w:rsidR="00FC360C" w:rsidRPr="00776C13" w:rsidRDefault="00FC360C" w:rsidP="00776C13">
      <w:pPr>
        <w:pStyle w:val="BodyText"/>
        <w:spacing w:after="120" w:line="276" w:lineRule="auto"/>
        <w:rPr>
          <w:rFonts w:ascii="Calibri" w:hAnsi="Calibri"/>
          <w:sz w:val="22"/>
          <w:szCs w:val="22"/>
        </w:rPr>
      </w:pPr>
      <w:proofErr w:type="gramStart"/>
      <w:r w:rsidRPr="00776C13">
        <w:rPr>
          <w:rFonts w:ascii="Calibri" w:hAnsi="Calibri"/>
          <w:sz w:val="22"/>
          <w:szCs w:val="22"/>
        </w:rPr>
        <w:t>Examples of length-age relations of fish for different species and regions.</w:t>
      </w:r>
      <w:proofErr w:type="gramEnd"/>
      <w:r w:rsidRPr="00776C13">
        <w:rPr>
          <w:rFonts w:ascii="Calibri" w:hAnsi="Calibri"/>
          <w:sz w:val="22"/>
          <w:szCs w:val="22"/>
        </w:rPr>
        <w:t xml:space="preserve"> </w:t>
      </w:r>
    </w:p>
    <w:p w14:paraId="5FEE9539" w14:textId="480BF04B"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 xml:space="preserve">These relationships can be used to select individuals of the recommended age by using the length measurement when sampling onboard ship. </w:t>
      </w:r>
    </w:p>
    <w:p w14:paraId="5EDF944E" w14:textId="77777777" w:rsidR="00FC360C" w:rsidRPr="00776C13" w:rsidRDefault="00FC360C" w:rsidP="00776C13">
      <w:pPr>
        <w:pStyle w:val="BodyText"/>
        <w:spacing w:after="120" w:line="276" w:lineRule="auto"/>
        <w:rPr>
          <w:rFonts w:ascii="Calibri" w:hAnsi="Calibri"/>
          <w:sz w:val="22"/>
          <w:szCs w:val="22"/>
        </w:rPr>
      </w:pPr>
      <w:r w:rsidRPr="00776C13">
        <w:rPr>
          <w:rFonts w:ascii="Calibri" w:hAnsi="Calibri"/>
          <w:sz w:val="22"/>
          <w:szCs w:val="22"/>
        </w:rPr>
        <w:t xml:space="preserve">The laboratories of the contracting parties performing metal analysis in biota should use their databases to produce comparable information for their specific species and regions. </w:t>
      </w:r>
    </w:p>
    <w:p w14:paraId="4249640E" w14:textId="77777777" w:rsidR="00FC360C" w:rsidRPr="00776C13" w:rsidRDefault="00FC360C" w:rsidP="00776C13">
      <w:pPr>
        <w:pStyle w:val="BodyText"/>
        <w:spacing w:after="120" w:line="276" w:lineRule="auto"/>
        <w:rPr>
          <w:rFonts w:ascii="Calibri" w:hAnsi="Calibri"/>
          <w:sz w:val="22"/>
          <w:szCs w:val="22"/>
        </w:rPr>
      </w:pPr>
    </w:p>
    <w:p w14:paraId="14904042"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Lucida Sans Unicode"/>
          <w:color w:val="000000"/>
          <w:szCs w:val="22"/>
          <w:lang w:eastAsia="da-DK"/>
        </w:rPr>
        <w:t xml:space="preserve">Dab, Southern North Sea </w:t>
      </w:r>
    </w:p>
    <w:p w14:paraId="7CFDEF47"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Times"/>
          <w:noProof/>
          <w:color w:val="000000"/>
          <w:szCs w:val="22"/>
        </w:rPr>
        <w:drawing>
          <wp:inline distT="0" distB="0" distL="0" distR="0" wp14:anchorId="6997CCD0" wp14:editId="7F992764">
            <wp:extent cx="3381375" cy="193230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1375" cy="1932305"/>
                    </a:xfrm>
                    <a:prstGeom prst="rect">
                      <a:avLst/>
                    </a:prstGeom>
                    <a:noFill/>
                    <a:ln>
                      <a:noFill/>
                    </a:ln>
                  </pic:spPr>
                </pic:pic>
              </a:graphicData>
            </a:graphic>
          </wp:inline>
        </w:drawing>
      </w:r>
      <w:r w:rsidRPr="00776C13">
        <w:rPr>
          <w:rFonts w:cs="Times"/>
          <w:color w:val="000000"/>
          <w:szCs w:val="22"/>
          <w:lang w:eastAsia="da-DK"/>
        </w:rPr>
        <w:t xml:space="preserve"> </w:t>
      </w:r>
      <w:r w:rsidRPr="00776C13">
        <w:rPr>
          <w:rFonts w:cs="Times"/>
          <w:noProof/>
          <w:color w:val="000000"/>
          <w:szCs w:val="22"/>
        </w:rPr>
        <w:drawing>
          <wp:inline distT="0" distB="0" distL="0" distR="0" wp14:anchorId="318933BF" wp14:editId="7792E925">
            <wp:extent cx="3381375" cy="193230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1375" cy="1932305"/>
                    </a:xfrm>
                    <a:prstGeom prst="rect">
                      <a:avLst/>
                    </a:prstGeom>
                    <a:noFill/>
                    <a:ln>
                      <a:noFill/>
                    </a:ln>
                  </pic:spPr>
                </pic:pic>
              </a:graphicData>
            </a:graphic>
          </wp:inline>
        </w:drawing>
      </w:r>
      <w:r w:rsidRPr="00776C13">
        <w:rPr>
          <w:rFonts w:cs="Times"/>
          <w:color w:val="000000"/>
          <w:szCs w:val="22"/>
          <w:lang w:eastAsia="da-DK"/>
        </w:rPr>
        <w:t xml:space="preserve"> </w:t>
      </w:r>
      <w:r w:rsidRPr="00776C13">
        <w:rPr>
          <w:rFonts w:cs="Times"/>
          <w:noProof/>
          <w:color w:val="000000"/>
          <w:szCs w:val="22"/>
        </w:rPr>
        <w:drawing>
          <wp:inline distT="0" distB="0" distL="0" distR="0" wp14:anchorId="5A072A93" wp14:editId="5FF9263D">
            <wp:extent cx="3381375" cy="193230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1375" cy="1932305"/>
                    </a:xfrm>
                    <a:prstGeom prst="rect">
                      <a:avLst/>
                    </a:prstGeom>
                    <a:noFill/>
                    <a:ln>
                      <a:noFill/>
                    </a:ln>
                  </pic:spPr>
                </pic:pic>
              </a:graphicData>
            </a:graphic>
          </wp:inline>
        </w:drawing>
      </w:r>
      <w:r w:rsidRPr="00776C13">
        <w:rPr>
          <w:rFonts w:cs="Times"/>
          <w:color w:val="000000"/>
          <w:szCs w:val="22"/>
          <w:lang w:eastAsia="da-DK"/>
        </w:rPr>
        <w:t xml:space="preserve"> </w:t>
      </w:r>
    </w:p>
    <w:p w14:paraId="34D165B0" w14:textId="77777777" w:rsidR="00FC360C" w:rsidRPr="00776C13" w:rsidRDefault="00FC360C" w:rsidP="00776C13">
      <w:pPr>
        <w:pStyle w:val="BodyText"/>
        <w:spacing w:after="120" w:line="276" w:lineRule="auto"/>
        <w:rPr>
          <w:rFonts w:ascii="Calibri" w:hAnsi="Calibri"/>
          <w:sz w:val="22"/>
          <w:szCs w:val="22"/>
        </w:rPr>
      </w:pPr>
    </w:p>
    <w:p w14:paraId="6036E42E"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Times"/>
          <w:noProof/>
          <w:color w:val="000000"/>
          <w:szCs w:val="22"/>
        </w:rPr>
        <w:drawing>
          <wp:inline distT="0" distB="0" distL="0" distR="0" wp14:anchorId="743CCE05" wp14:editId="5BB88A2E">
            <wp:extent cx="3528060" cy="20186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8060" cy="2018665"/>
                    </a:xfrm>
                    <a:prstGeom prst="rect">
                      <a:avLst/>
                    </a:prstGeom>
                    <a:noFill/>
                    <a:ln>
                      <a:noFill/>
                    </a:ln>
                  </pic:spPr>
                </pic:pic>
              </a:graphicData>
            </a:graphic>
          </wp:inline>
        </w:drawing>
      </w:r>
    </w:p>
    <w:p w14:paraId="34DCB159"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Lucida Sans Unicode"/>
          <w:color w:val="000000"/>
          <w:szCs w:val="22"/>
          <w:lang w:eastAsia="da-DK"/>
        </w:rPr>
        <w:t xml:space="preserve">Dab, Central North Sea </w:t>
      </w:r>
    </w:p>
    <w:p w14:paraId="118C67BF"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Times"/>
          <w:noProof/>
          <w:color w:val="000000"/>
          <w:szCs w:val="22"/>
        </w:rPr>
        <w:drawing>
          <wp:inline distT="0" distB="0" distL="0" distR="0" wp14:anchorId="5199E3FF" wp14:editId="17CC8CF3">
            <wp:extent cx="3528060" cy="2018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8060" cy="2018665"/>
                    </a:xfrm>
                    <a:prstGeom prst="rect">
                      <a:avLst/>
                    </a:prstGeom>
                    <a:noFill/>
                    <a:ln>
                      <a:noFill/>
                    </a:ln>
                  </pic:spPr>
                </pic:pic>
              </a:graphicData>
            </a:graphic>
          </wp:inline>
        </w:drawing>
      </w:r>
    </w:p>
    <w:p w14:paraId="5274B7A5"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Lucida Sans Unicode"/>
          <w:color w:val="000000"/>
          <w:szCs w:val="22"/>
          <w:lang w:eastAsia="da-DK"/>
        </w:rPr>
        <w:t xml:space="preserve">Plaice, Southern North Sea, outer German Bight </w:t>
      </w:r>
    </w:p>
    <w:p w14:paraId="62B603B0"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Times"/>
          <w:noProof/>
          <w:color w:val="000000"/>
          <w:szCs w:val="22"/>
        </w:rPr>
        <w:drawing>
          <wp:inline distT="0" distB="0" distL="0" distR="0" wp14:anchorId="1D47FB8E" wp14:editId="6D8A2FAE">
            <wp:extent cx="3666490" cy="23723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66490" cy="2372360"/>
                    </a:xfrm>
                    <a:prstGeom prst="rect">
                      <a:avLst/>
                    </a:prstGeom>
                    <a:noFill/>
                    <a:ln>
                      <a:noFill/>
                    </a:ln>
                  </pic:spPr>
                </pic:pic>
              </a:graphicData>
            </a:graphic>
          </wp:inline>
        </w:drawing>
      </w:r>
      <w:r w:rsidRPr="00776C13">
        <w:rPr>
          <w:rFonts w:cs="Times"/>
          <w:color w:val="000000"/>
          <w:szCs w:val="22"/>
          <w:lang w:eastAsia="da-DK"/>
        </w:rPr>
        <w:t xml:space="preserve"> </w:t>
      </w:r>
    </w:p>
    <w:p w14:paraId="7BB87377" w14:textId="77777777" w:rsidR="00FC360C" w:rsidRPr="00776C13" w:rsidRDefault="00FC360C" w:rsidP="00776C13">
      <w:pPr>
        <w:widowControl w:val="0"/>
        <w:autoSpaceDE w:val="0"/>
        <w:autoSpaceDN w:val="0"/>
        <w:adjustRightInd w:val="0"/>
        <w:rPr>
          <w:rFonts w:cs="Times"/>
          <w:color w:val="000000"/>
          <w:szCs w:val="22"/>
          <w:lang w:eastAsia="da-DK"/>
        </w:rPr>
      </w:pPr>
      <w:r w:rsidRPr="00776C13">
        <w:rPr>
          <w:rFonts w:cs="Times"/>
          <w:noProof/>
          <w:color w:val="000000"/>
          <w:szCs w:val="22"/>
        </w:rPr>
        <w:drawing>
          <wp:inline distT="0" distB="0" distL="0" distR="0" wp14:anchorId="69540FC8" wp14:editId="58EE694F">
            <wp:extent cx="3769995" cy="251904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9995" cy="2519045"/>
                    </a:xfrm>
                    <a:prstGeom prst="rect">
                      <a:avLst/>
                    </a:prstGeom>
                    <a:noFill/>
                    <a:ln>
                      <a:noFill/>
                    </a:ln>
                  </pic:spPr>
                </pic:pic>
              </a:graphicData>
            </a:graphic>
          </wp:inline>
        </w:drawing>
      </w:r>
      <w:r w:rsidRPr="00776C13">
        <w:rPr>
          <w:rFonts w:cs="Times"/>
          <w:color w:val="000000"/>
          <w:szCs w:val="22"/>
          <w:lang w:eastAsia="da-DK"/>
        </w:rPr>
        <w:t xml:space="preserve"> </w:t>
      </w:r>
    </w:p>
    <w:p w14:paraId="6E329816" w14:textId="77777777" w:rsidR="00FC360C" w:rsidRPr="00F63BAF" w:rsidRDefault="00FC360C" w:rsidP="00FC360C">
      <w:pPr>
        <w:pStyle w:val="BodyText"/>
        <w:rPr>
          <w:rFonts w:ascii="Calibri" w:hAnsi="Calibri"/>
        </w:rPr>
      </w:pPr>
    </w:p>
    <w:p w14:paraId="26016793" w14:textId="77777777" w:rsidR="00FC360C" w:rsidRPr="00F63BAF" w:rsidRDefault="00FC360C" w:rsidP="00776C13">
      <w:pPr>
        <w:pStyle w:val="Title"/>
      </w:pPr>
      <w:r w:rsidRPr="00F63BAF">
        <w:br w:type="page"/>
      </w:r>
      <w:bookmarkStart w:id="157" w:name="_Toc511217445"/>
      <w:r w:rsidRPr="00F63BAF">
        <w:t>Technical Annex 3: Determination of parent and alkylated PAHs in biological materials</w:t>
      </w:r>
      <w:bookmarkEnd w:id="157"/>
    </w:p>
    <w:p w14:paraId="1EEF3551" w14:textId="77777777" w:rsidR="00FC360C" w:rsidRPr="00F63BAF" w:rsidRDefault="00FC360C" w:rsidP="00776C13">
      <w:pPr>
        <w:pStyle w:val="Heading1"/>
      </w:pPr>
      <w:bookmarkStart w:id="158" w:name="_Toc197494807"/>
      <w:bookmarkStart w:id="159" w:name="_Toc511217446"/>
      <w:r w:rsidRPr="00F63BAF">
        <w:t>1.</w:t>
      </w:r>
      <w:r w:rsidRPr="00F63BAF">
        <w:tab/>
        <w:t>Introduction</w:t>
      </w:r>
      <w:bookmarkEnd w:id="158"/>
      <w:bookmarkEnd w:id="159"/>
    </w:p>
    <w:p w14:paraId="59DD1FC5" w14:textId="77777777" w:rsidR="00FC360C" w:rsidRPr="00F63BAF" w:rsidRDefault="00FC360C" w:rsidP="00FC360C">
      <w:r w:rsidRPr="00F63BAF">
        <w:t>Polycyclic aromatic hydrocarbons (PAHs) consist of a variable number of fused benzene rings. By definition, PAHs contain at least two fused rings. PAHs arise from incomplete combustion processes and from both natural and anthropogenic sources, although the latter generally predominate. PAHs are also found in oil and oil products, and these include a wide range of alkylated PAHs formed as a result of diagenetic processes, whereas PAHs from combustion sources comprise mainly parent (non-alkylated) compounds. PAHs are of concern in the marine environment for two main reasons: firstly, low molecular weight (MW) PAHs can cause tainting of fish and shellfish and render them unfit for sale; secondly, metabolites of some of the high MW PAHs are potent animal and human carcinogens — benzo[</w:t>
      </w:r>
      <w:r w:rsidRPr="00F63BAF">
        <w:rPr>
          <w:i/>
        </w:rPr>
        <w:t>a</w:t>
      </w:r>
      <w:r w:rsidRPr="00F63BAF">
        <w:t>]pyrene is the prime example. Carcinogenic activity is closely related to structure.</w:t>
      </w:r>
      <w:r w:rsidR="00B33CCD">
        <w:t xml:space="preserve"> </w:t>
      </w:r>
      <w:r w:rsidRPr="00F63BAF">
        <w:t>Benzo[</w:t>
      </w:r>
      <w:r w:rsidRPr="00F63BAF">
        <w:rPr>
          <w:i/>
        </w:rPr>
        <w:t>e</w:t>
      </w:r>
      <w:r w:rsidRPr="00F63BAF">
        <w:t>]pyrene and the four benzofluoranthene isomers all have a molecular weight of 252 Da; however, they are much less potent than benzo[</w:t>
      </w:r>
      <w:r w:rsidRPr="00F63BAF">
        <w:rPr>
          <w:i/>
        </w:rPr>
        <w:t>a</w:t>
      </w:r>
      <w:r w:rsidRPr="00F63BAF">
        <w:t xml:space="preserve">]pyrene. Less is known about toxicity of alkylated PAHs. However, one study has demonstrated that alkylated PAHs may have increased toxicity compared to the parent compound (Marvanova </w:t>
      </w:r>
      <w:r w:rsidRPr="00F63BAF">
        <w:rPr>
          <w:i/>
        </w:rPr>
        <w:t xml:space="preserve">et al., </w:t>
      </w:r>
      <w:r w:rsidRPr="00F63BAF">
        <w:t>2008).</w:t>
      </w:r>
    </w:p>
    <w:p w14:paraId="13189D03" w14:textId="77777777" w:rsidR="00FC360C" w:rsidRPr="00F63BAF" w:rsidRDefault="00FC360C" w:rsidP="00FC360C">
      <w:r w:rsidRPr="00F63BAF">
        <w:t xml:space="preserve">PAHs are readily taken up by marine animals both across gill surfaces (lower MW PAHs) and from their diet. They may bioaccumulate, particularly in shellfish. Filter-feeding organisms such as bivalve molluscs can accumulate high concentrations of PAHs, both from chronic discharges to the sea (e.g., of sewage) and following oil spills. Fish are exposed to PAHs both via uptake across gill surfaces and from their diet, but do not generally accumulate high concentrations of PAHs as they possess an effective mixed-function oxygenase (MFO) system which allows them to metabolise PAHs and to excrete them in bile. Other marine vertebrate and marine mammals also metabolise PAHs efficiently. An assessment of the exposure of fish to PAHs therefore requires the determination of PAH metabolite concentrations in bile, as turnover times can be extremely rapid. </w:t>
      </w:r>
    </w:p>
    <w:p w14:paraId="324C4AC4" w14:textId="77777777" w:rsidR="00FC360C" w:rsidRPr="00F63BAF" w:rsidRDefault="00FC360C" w:rsidP="00FC360C">
      <w:r w:rsidRPr="00F63BAF">
        <w:t xml:space="preserve">There are marked differences in the behaviour of PAHs in the aquatic environment between the low MW compounds (such as naphthalene; 128 Da) and the high MW compounds (such as </w:t>
      </w:r>
      <w:proofErr w:type="gramStart"/>
      <w:r w:rsidRPr="00F63BAF">
        <w:t>benzo[</w:t>
      </w:r>
      <w:proofErr w:type="gramEnd"/>
      <w:r w:rsidRPr="00F63BAF">
        <w:rPr>
          <w:i/>
        </w:rPr>
        <w:t>ghi</w:t>
      </w:r>
      <w:r w:rsidRPr="00F63BAF">
        <w:t>]perylene; 276 Da) as a consequence of their differing physico-chemical properties. The low MW compounds are appreciably water soluble (e.g. naphthalene) and can be bioaccumulated from the dissolved phase by transfer across gill surfaces, whereas the high MW compounds are relatively insoluble and hydrophobic, and can attach to both organic and inorganic particulates within the water column. PAHs derived from combustion sources may actually be deposited to the sea already adsorbed to atmospheric particulates, such as soot particles. The sediment will act as a sink for PAHs in the marine environment.</w:t>
      </w:r>
    </w:p>
    <w:p w14:paraId="33DD1067" w14:textId="77777777" w:rsidR="00FC360C" w:rsidRPr="00776C13" w:rsidRDefault="00FC360C" w:rsidP="00776C13">
      <w:pPr>
        <w:pStyle w:val="Heading1"/>
      </w:pPr>
      <w:bookmarkStart w:id="160" w:name="_Toc511217447"/>
      <w:r w:rsidRPr="00776C13">
        <w:t>2.</w:t>
      </w:r>
      <w:r w:rsidRPr="00776C13">
        <w:tab/>
        <w:t>Appropriate species for analysis of parent and alkylated PAHs</w:t>
      </w:r>
      <w:bookmarkEnd w:id="160"/>
    </w:p>
    <w:p w14:paraId="42CB1908" w14:textId="77777777" w:rsidR="00FC360C" w:rsidRPr="00F63BAF" w:rsidRDefault="00FC360C" w:rsidP="00776C13">
      <w:pPr>
        <w:pStyle w:val="Heading2"/>
      </w:pPr>
      <w:bookmarkStart w:id="161" w:name="_Toc511217448"/>
      <w:r w:rsidRPr="00F63BAF">
        <w:t>2.1</w:t>
      </w:r>
      <w:r w:rsidRPr="00F63BAF">
        <w:tab/>
        <w:t>Benthic fish and shellfish</w:t>
      </w:r>
      <w:bookmarkEnd w:id="161"/>
    </w:p>
    <w:p w14:paraId="048C2B0A" w14:textId="77777777" w:rsidR="00FC360C" w:rsidRPr="00F63BAF" w:rsidRDefault="00FC360C" w:rsidP="00FC360C">
      <w:r w:rsidRPr="00F63BAF">
        <w:t>Guidance on the selection of appropriate species for contaminant monitoring is given in the OSPAR Joint Assessment and Monitoring Programme guidelines. All teleost fish have the capacity for rapid metabolism of PAHs, thereby limiting their usefulness for monitoring temporal or spatial trends of PAHs. Shellfish (particularly molluscs) generally have a lesser metabolic capacity towards PAHs, and so they are preferred because PAH concentrations are generally higher in their tissues. The blue mussel (</w:t>
      </w:r>
      <w:r w:rsidRPr="00F63BAF">
        <w:rPr>
          <w:i/>
        </w:rPr>
        <w:t>Mytilus edulis</w:t>
      </w:r>
      <w:r w:rsidRPr="00F63BAF">
        <w:t xml:space="preserve">) occurs in shallow waters along almost all coasts of the Northeast Atlantic. It is therefore suitable for monitoring in near shore waters. No distinction is made between </w:t>
      </w:r>
      <w:r w:rsidRPr="00F63BAF">
        <w:rPr>
          <w:i/>
        </w:rPr>
        <w:t>M. edulis</w:t>
      </w:r>
      <w:r w:rsidRPr="00F63BAF">
        <w:t xml:space="preserve"> and </w:t>
      </w:r>
      <w:r w:rsidRPr="00F63BAF">
        <w:rPr>
          <w:i/>
        </w:rPr>
        <w:t>M. galloprovincialis</w:t>
      </w:r>
      <w:r w:rsidRPr="00F63BAF">
        <w:t xml:space="preserve"> because the latter species, which may occur along Spanish and Portuguese coasts, fills a similar ecological niche. A sampling size range of 30–70 mm shell length is specified to ensure availability throughout the whole maritime area. In some areas (e.g., the Barents Sea), other species may be considered. Recent monitoring studies have indicated a seasonal cycle in PAH concentrations (particularly for combustion-derived PAHs) in mussels, with maximum concentrations in the winter prior to spawning and minimum concentrations in the summer. It is particularly important, therefore, that samples selected for trend monitoring and spatial comparisons are collected at the same time of year, and preferably in the first months of the year prior to spawning.</w:t>
      </w:r>
    </w:p>
    <w:p w14:paraId="105BDE06" w14:textId="77777777" w:rsidR="00FC360C" w:rsidRPr="00F63BAF" w:rsidRDefault="00FC360C" w:rsidP="00FC360C">
      <w:r w:rsidRPr="00F63BAF">
        <w:t xml:space="preserve">For the purposes of temporal trend monitoring, it is essential that long time-series with either a single species or a limited number of species be obtained. Care should be taken that the sample is representative of the population and that it can be sampled annually. There are advantages in the use of molluscs for this purpose as they are sessile, and so reflect the degree of contamination in the local area to a greater degree than fish which are mobile and metabolise PAHs relatively efficiently. The analysis of fish tissues is often undertaken in conjunction with biomarker and disease studies, and associations have been shown between the incidence of some diseases (e.g., liver neoplasia) in flatfish and the concentrations of PAHs in the sediments over which they live and feed (Malins </w:t>
      </w:r>
      <w:r w:rsidRPr="00F63BAF">
        <w:rPr>
          <w:i/>
        </w:rPr>
        <w:t>et al</w:t>
      </w:r>
      <w:r w:rsidRPr="00F63BAF">
        <w:t xml:space="preserve">., 1988; Vethaak and Rheinallt, 1992). The exposure of fish to PAHs can be assessed by the analysis of PAH metabolites in bile, and by measuring the induction of mixed-function oxygenase enzymes which catalyse the formation of these metabolites. </w:t>
      </w:r>
    </w:p>
    <w:p w14:paraId="2F615948" w14:textId="77777777" w:rsidR="00FC360C" w:rsidRPr="00F63BAF" w:rsidRDefault="00FC360C" w:rsidP="0075001C">
      <w:pPr>
        <w:pStyle w:val="Heading1"/>
      </w:pPr>
      <w:bookmarkStart w:id="162" w:name="_Toc511217449"/>
      <w:r w:rsidRPr="00F63BAF">
        <w:t>3.</w:t>
      </w:r>
      <w:r w:rsidRPr="00F63BAF">
        <w:tab/>
        <w:t>Transportation</w:t>
      </w:r>
      <w:bookmarkEnd w:id="162"/>
    </w:p>
    <w:p w14:paraId="44AAF579" w14:textId="77777777" w:rsidR="00FC360C" w:rsidRPr="00F63BAF" w:rsidRDefault="00FC360C" w:rsidP="00FC360C">
      <w:r w:rsidRPr="00F63BAF">
        <w:t>Live biota should be transported in closed containers at temperatures between 5°C and 10°C. For live animals it is important that the transport time is short and controlled (e.g., maximum of 24 hours). If biomarker determinations are to be made, then it will be necessary to store tissue samples at lower temperatures, for example, in liquid nitrogen at -196°C.</w:t>
      </w:r>
    </w:p>
    <w:p w14:paraId="6D980662" w14:textId="77777777" w:rsidR="00FC360C" w:rsidRPr="00F63BAF" w:rsidRDefault="00FC360C" w:rsidP="0075001C">
      <w:pPr>
        <w:pStyle w:val="Heading1"/>
      </w:pPr>
      <w:bookmarkStart w:id="163" w:name="_Toc511217450"/>
      <w:r w:rsidRPr="00F63BAF">
        <w:t>4.</w:t>
      </w:r>
      <w:r w:rsidRPr="00F63BAF">
        <w:tab/>
        <w:t>Pre-treatment and storage</w:t>
      </w:r>
      <w:bookmarkEnd w:id="163"/>
    </w:p>
    <w:p w14:paraId="7C39DF39" w14:textId="77777777" w:rsidR="00FC360C" w:rsidRPr="0075001C" w:rsidRDefault="00FC360C" w:rsidP="0075001C">
      <w:pPr>
        <w:pStyle w:val="Heading2"/>
      </w:pPr>
      <w:bookmarkStart w:id="164" w:name="_Toc511217451"/>
      <w:r w:rsidRPr="0075001C">
        <w:t>4.1</w:t>
      </w:r>
      <w:r w:rsidRPr="0075001C">
        <w:tab/>
        <w:t>Contamination</w:t>
      </w:r>
      <w:bookmarkEnd w:id="164"/>
    </w:p>
    <w:p w14:paraId="53359733" w14:textId="77777777" w:rsidR="00FC360C" w:rsidRPr="0075001C" w:rsidRDefault="00FC360C" w:rsidP="0075001C">
      <w:pPr>
        <w:rPr>
          <w:szCs w:val="22"/>
        </w:rPr>
      </w:pPr>
      <w:r w:rsidRPr="0075001C">
        <w:rPr>
          <w:szCs w:val="22"/>
        </w:rPr>
        <w:t>Sample contamination may occur during sampling, sample handling, pre-treatment, and analysis, due to the environment, the containers or packing materials used, the instruments used during sample preparation, and from the solvents and reagents used during the analytical procedures. Controlled conditions are therefore required for all procedures. In the case of PAHs, particular care must be taken to avoid contamination at sea. On ships there are multiple sources of PAHs, such as the oils used for fuel and lubrication, and the exhaust from the ship’s engines. It is important that the likely sources of contamination are identified and steps taken to preclude sample handling in areas where contamination can occur. A ship is a working vessel and there can always be procedures occurring as a result of the day-to-day operations (deck cleaning, automatic overboard bilge discharges, etc.) which could affect the sampling process. One way of minimizing the risk is to conduct dissection in a clean area, such as within a laminar-flow hood away from the deck areas of the vessel. It is also advisable to collect samples of the ship’s fuel, bilge water, and oils and greases used on winches, etc., which can be used as fingerprinting samples at a later date, if there are suspicions of contamination in particular instances.</w:t>
      </w:r>
    </w:p>
    <w:p w14:paraId="49F6655B" w14:textId="77777777" w:rsidR="00FC360C" w:rsidRPr="0075001C" w:rsidRDefault="00FC360C" w:rsidP="0075001C">
      <w:pPr>
        <w:rPr>
          <w:szCs w:val="22"/>
        </w:rPr>
      </w:pPr>
      <w:r w:rsidRPr="0075001C">
        <w:rPr>
          <w:szCs w:val="22"/>
        </w:rPr>
        <w:t>Freeze-drying of tissue samples may be a source of contamination due to the back-streaming of oil vapours from the rotary vacuum pumps. Furthermore, drying the samples may result in losses of the lower molecular weight and more volatile PAHs through evaporation (Law and Biscaya, 1994).</w:t>
      </w:r>
    </w:p>
    <w:p w14:paraId="0C9B2822" w14:textId="77777777" w:rsidR="00FC360C" w:rsidRPr="0075001C" w:rsidRDefault="00FC360C" w:rsidP="0075001C">
      <w:pPr>
        <w:pStyle w:val="Heading2"/>
      </w:pPr>
      <w:bookmarkStart w:id="165" w:name="_Toc511217452"/>
      <w:r w:rsidRPr="0075001C">
        <w:t>4.2</w:t>
      </w:r>
      <w:r w:rsidRPr="0075001C">
        <w:tab/>
        <w:t>Shellfish</w:t>
      </w:r>
      <w:bookmarkEnd w:id="165"/>
    </w:p>
    <w:p w14:paraId="375F4C2F" w14:textId="77777777" w:rsidR="00FC360C" w:rsidRPr="0075001C" w:rsidRDefault="00FC360C" w:rsidP="0075001C">
      <w:pPr>
        <w:rPr>
          <w:szCs w:val="22"/>
        </w:rPr>
      </w:pPr>
      <w:bookmarkStart w:id="166" w:name="_Toc511217453"/>
      <w:r w:rsidRPr="0075001C">
        <w:rPr>
          <w:rStyle w:val="Heading3Char"/>
        </w:rPr>
        <w:t>4.2.1</w:t>
      </w:r>
      <w:r w:rsidRPr="0075001C">
        <w:rPr>
          <w:rStyle w:val="Heading3Char"/>
        </w:rPr>
        <w:tab/>
        <w:t>Depuration</w:t>
      </w:r>
      <w:bookmarkEnd w:id="166"/>
      <w:r w:rsidRPr="0075001C">
        <w:rPr>
          <w:rStyle w:val="Heading3Char"/>
        </w:rPr>
        <w:br/>
      </w:r>
      <w:proofErr w:type="gramStart"/>
      <w:r w:rsidRPr="0075001C">
        <w:rPr>
          <w:szCs w:val="22"/>
        </w:rPr>
        <w:t>Depending</w:t>
      </w:r>
      <w:proofErr w:type="gramEnd"/>
      <w:r w:rsidRPr="0075001C">
        <w:rPr>
          <w:szCs w:val="22"/>
        </w:rPr>
        <w:t xml:space="preserve"> upon the situation, it may be desirable to depurate shellfish so as to void the gut contents and any associated contaminants before freezing or sample preparation. This is usually applied close to point sources, where the gut contents may contain significant quantities of PAHs associated with food and sediment particles which are not truly assimilated into the tissues of the mussels. Depuration should be undertaken in controlled conditions and in clean seawater; depuration over a period of 24 hours is usually sufficient. The aquarium should be aerated and the temperature and salinity of the water should be similar to that from which the animals were removed.</w:t>
      </w:r>
    </w:p>
    <w:p w14:paraId="5DFA8AE1" w14:textId="77777777" w:rsidR="00FC360C" w:rsidRPr="0075001C" w:rsidRDefault="00FC360C" w:rsidP="0075001C">
      <w:pPr>
        <w:pStyle w:val="Heading3"/>
      </w:pPr>
      <w:bookmarkStart w:id="167" w:name="_Toc511217454"/>
      <w:r w:rsidRPr="0075001C">
        <w:t>4.2.2</w:t>
      </w:r>
      <w:r w:rsidRPr="0075001C">
        <w:tab/>
        <w:t>Dissection and storage</w:t>
      </w:r>
      <w:bookmarkEnd w:id="167"/>
    </w:p>
    <w:p w14:paraId="6FAEB17A" w14:textId="77777777" w:rsidR="00FC360C" w:rsidRPr="0075001C" w:rsidRDefault="00FC360C" w:rsidP="0075001C">
      <w:pPr>
        <w:rPr>
          <w:szCs w:val="22"/>
        </w:rPr>
      </w:pPr>
      <w:r w:rsidRPr="0075001C">
        <w:rPr>
          <w:szCs w:val="22"/>
        </w:rPr>
        <w:t>Mussels should be shucked live and opened with minimal tissue damage by detaching the adductor muscles from the interior of at least one valve. The soft tissues should be removed and homogenised as soon as possible, and frozen in glass jars or aluminium cans at –20</w:t>
      </w:r>
      <w:r w:rsidRPr="0075001C">
        <w:rPr>
          <w:szCs w:val="22"/>
        </w:rPr>
        <w:sym w:font="Symbol" w:char="F0B0"/>
      </w:r>
      <w:r w:rsidRPr="0075001C">
        <w:rPr>
          <w:szCs w:val="22"/>
        </w:rPr>
        <w:t>C until analysis. Plastic materials must not be used for sampling and storage owing to possible adsorption of the PAHs onto the container material. As PAHs are sensitive to photo-degradation, exposure to direct sunlight or other strong light must be avoided during storage of the samples as well as during all steps of sample preparation, including extraction and storage of the extracts (Law and Biscaya, 1994). The use of amber glassware is strongly recommended.</w:t>
      </w:r>
    </w:p>
    <w:p w14:paraId="1BDB8A10" w14:textId="77777777" w:rsidR="00FC360C" w:rsidRPr="0075001C" w:rsidRDefault="00FC360C" w:rsidP="0075001C">
      <w:pPr>
        <w:rPr>
          <w:szCs w:val="22"/>
        </w:rPr>
      </w:pPr>
      <w:r w:rsidRPr="0075001C">
        <w:rPr>
          <w:szCs w:val="22"/>
        </w:rPr>
        <w:t>When samples are processed, both at sea and onshore, the dissection must be undertaken by trained personnel on a clean bench wearing clean gloves and using PAH-free stainless steel knives and scalpels. Stainless steel tweezers are recommended for holding tissues during dissection. After each sample has been prepared, all tools and equipment (such as homogenisers) should be cleaned by wiping with tissue and rinsing with solvent.</w:t>
      </w:r>
    </w:p>
    <w:p w14:paraId="504C3B4A" w14:textId="77777777" w:rsidR="00FC360C" w:rsidRPr="00F63BAF" w:rsidRDefault="00FC360C" w:rsidP="00FC360C">
      <w:pPr>
        <w:rPr>
          <w:b/>
        </w:rPr>
      </w:pPr>
    </w:p>
    <w:p w14:paraId="178B578F" w14:textId="77777777" w:rsidR="00FC360C" w:rsidRPr="00F63BAF" w:rsidRDefault="00FC360C" w:rsidP="0075001C">
      <w:pPr>
        <w:pStyle w:val="Heading1"/>
      </w:pPr>
      <w:r w:rsidRPr="00F63BAF">
        <w:br w:type="page"/>
      </w:r>
      <w:bookmarkStart w:id="168" w:name="_Toc511217455"/>
      <w:r w:rsidRPr="00F63BAF">
        <w:t>5.</w:t>
      </w:r>
      <w:r w:rsidRPr="00F63BAF">
        <w:tab/>
        <w:t>Analysis</w:t>
      </w:r>
      <w:bookmarkEnd w:id="168"/>
    </w:p>
    <w:p w14:paraId="57AABBF9" w14:textId="77777777" w:rsidR="00FC360C" w:rsidRPr="0075001C" w:rsidRDefault="00FC360C" w:rsidP="0075001C">
      <w:pPr>
        <w:pStyle w:val="Heading2"/>
        <w:spacing w:before="0"/>
      </w:pPr>
      <w:bookmarkStart w:id="169" w:name="_Toc511217456"/>
      <w:r w:rsidRPr="00F63BAF">
        <w:t>5.1</w:t>
      </w:r>
      <w:r w:rsidRPr="00F63BAF">
        <w:tab/>
        <w:t>Preparation of materials</w:t>
      </w:r>
      <w:bookmarkEnd w:id="169"/>
    </w:p>
    <w:p w14:paraId="4BFA340C" w14:textId="77777777" w:rsidR="00FC360C" w:rsidRPr="00F63BAF" w:rsidRDefault="00FC360C" w:rsidP="0075001C">
      <w:r w:rsidRPr="00F63BAF">
        <w:t>Solvents and adsorptive materials must all be checked for the presence of PAHs and other interfering compounds. If found then the solvents, reagents, and adsorptive materials must be purified or cleaned using appropriate methods. Absorptive materials should be cleaned by solvent extraction and/or by heating in a muffle oven as appropriate. Glass fibre materials (e.g. Soxhlet thimbles and filter papers used in pressurised liquid extraction (PLE)) should be cleaned by solvent extraction or pre-baked at 450</w:t>
      </w:r>
      <w:r w:rsidRPr="00F63BAF">
        <w:rPr>
          <w:vertAlign w:val="superscript"/>
        </w:rPr>
        <w:t>°</w:t>
      </w:r>
      <w:r w:rsidRPr="00F63BAF">
        <w:t>C overnight. It should be borne in mind that clean materials can be re-contaminated by exposure to laboratory air, particularly in urban locations, and so the method of storage after cleaning is of critical importance. Ideally, materials should be prepared immediately before use, but if they are to be stored, then the conditions should be considered critically. All containers which come into contact with the sample should be made of glass or aluminium, and should be pre-cleaned before use. Appropriate cleaning methods would include washing with detergents, rinsing with water of known quality, and finally solvent rinsing immediately before use.</w:t>
      </w:r>
      <w:r w:rsidR="00B33CCD">
        <w:t xml:space="preserve"> </w:t>
      </w:r>
    </w:p>
    <w:p w14:paraId="58AB7C1C" w14:textId="77777777" w:rsidR="00FC360C" w:rsidRPr="00F63BAF" w:rsidRDefault="00FC360C" w:rsidP="0075001C">
      <w:pPr>
        <w:pStyle w:val="Heading2"/>
        <w:spacing w:before="0"/>
      </w:pPr>
      <w:bookmarkStart w:id="170" w:name="_Toc511217457"/>
      <w:r w:rsidRPr="00F63BAF">
        <w:t>5.2</w:t>
      </w:r>
      <w:r w:rsidRPr="00F63BAF">
        <w:tab/>
        <w:t>Lipid determination</w:t>
      </w:r>
      <w:bookmarkEnd w:id="170"/>
    </w:p>
    <w:p w14:paraId="45C53083" w14:textId="77777777" w:rsidR="00FC360C" w:rsidRPr="00F63BAF" w:rsidRDefault="00FC360C" w:rsidP="0075001C">
      <w:r w:rsidRPr="00F63BAF">
        <w:t>Although PAH data are not usually expressed on a lipid basis, the determination of the lipid content of tissues can be of use in characterising the samples. This will enable reporting concentrations on a wet weight or lipid weight basis.</w:t>
      </w:r>
      <w:r w:rsidR="00B33CCD">
        <w:t xml:space="preserve"> </w:t>
      </w:r>
      <w:r w:rsidRPr="00F63BAF">
        <w:t>The lipid content should be determined on a separate subsample of the tissue homogenate, as some of the extraction techniques used routinely for PAHs determination (e.g., PLE with fat retainers, alkaline saponification) destroy or remove lipid materials.</w:t>
      </w:r>
      <w:r w:rsidR="00B33CCD">
        <w:t xml:space="preserve"> </w:t>
      </w:r>
      <w:r w:rsidRPr="00F63BAF">
        <w:t>The total lipid content of fish or shellfish should be determined using the method of Bligh and Dyer (1959) as modified by Hanson and Olley (1963) or an equivalent method such as Smedes (1999). Extractable lipid may be used, particularly if the sample size is small and lipid content is high.</w:t>
      </w:r>
      <w:r w:rsidR="00B33CCD">
        <w:t xml:space="preserve"> </w:t>
      </w:r>
      <w:r w:rsidRPr="00F63BAF">
        <w:t>It has been shown that if the lipid content is high (&gt;5%) then extractable lipid will be comparable to the total lipid.</w:t>
      </w:r>
    </w:p>
    <w:p w14:paraId="38E2F279" w14:textId="77777777" w:rsidR="00FC360C" w:rsidRPr="00F63BAF" w:rsidRDefault="00FC360C" w:rsidP="0075001C">
      <w:pPr>
        <w:pStyle w:val="Heading2"/>
        <w:spacing w:before="0"/>
      </w:pPr>
      <w:bookmarkStart w:id="171" w:name="_Toc511217458"/>
      <w:r w:rsidRPr="00F63BAF">
        <w:t>5.3</w:t>
      </w:r>
      <w:r w:rsidRPr="00F63BAF">
        <w:tab/>
        <w:t>Extraction</w:t>
      </w:r>
      <w:bookmarkEnd w:id="171"/>
    </w:p>
    <w:p w14:paraId="757CE079" w14:textId="77777777" w:rsidR="00FC360C" w:rsidRPr="00F63BAF" w:rsidRDefault="00FC360C" w:rsidP="0075001C">
      <w:r w:rsidRPr="00F63BAF">
        <w:t xml:space="preserve">PAHs are lipophilic and so are concentrated in the lipids of an organism, and a number of methods have been described for PAH extraction (Ehrhardt </w:t>
      </w:r>
      <w:r w:rsidRPr="00F63BAF">
        <w:rPr>
          <w:i/>
        </w:rPr>
        <w:t>et al</w:t>
      </w:r>
      <w:r w:rsidRPr="00F63BAF">
        <w:t>., 1991). These methods generally utilise either Soxhlet extraction, or alkaline digestion followed by liquid-liquid extraction with an organic solvent. In the case of Soxhlet extraction, the wet tissue must be dried by mixing with a chemical drying agent (e.g., anhydrous sodium sulphate), in which case a time period of several hours is required between mixing and extraction in order to allow complete binding of the water in the sample.</w:t>
      </w:r>
      <w:r w:rsidR="00B33CCD">
        <w:t xml:space="preserve"> </w:t>
      </w:r>
      <w:r w:rsidRPr="00F63BAF">
        <w:t xml:space="preserve">Samples are spiked with recovery standard and should be left overnight to equilibrate. Alkaline digestion is conducted on wet tissue samples, so this procedure is unnecessary. </w:t>
      </w:r>
    </w:p>
    <w:p w14:paraId="52BC7DF6" w14:textId="77777777" w:rsidR="00FC360C" w:rsidRPr="00F63BAF" w:rsidRDefault="00FC360C" w:rsidP="0075001C">
      <w:pPr>
        <w:tabs>
          <w:tab w:val="left" w:pos="5220"/>
        </w:tabs>
      </w:pPr>
      <w:r w:rsidRPr="00F63BAF">
        <w:t xml:space="preserve">Apolar solvents alone will not effectively extract all the PAHs from tissues when using Soxhlet </w:t>
      </w:r>
      <w:proofErr w:type="gramStart"/>
      <w:r w:rsidRPr="00F63BAF">
        <w:t>extraction,</w:t>
      </w:r>
      <w:proofErr w:type="gramEnd"/>
      <w:r w:rsidRPr="00F63BAF">
        <w:t xml:space="preserve"> and mixtures such as hexane/dichloromethane may be effective in place of solvents such as benzene and toluene, used historically for this purpose. Alkaline digestion has been extensively used in the determination of PAHs and hydrocarbons and is well documented. It is usually conducted in alcohol (methanol or ethanol), which should contain at least 10% water, and combines disruption of the cellular matrix, lipid extraction and saponification within a single procedure, thereby reducing sample handling and treatment. Solvents used for liquid-liquid extraction of the homogenate are usually apolar, such as pentane or hexane, and they will effectively extract all PAHs.</w:t>
      </w:r>
    </w:p>
    <w:p w14:paraId="243937E3" w14:textId="77777777" w:rsidR="00FC360C" w:rsidRPr="00F63BAF" w:rsidRDefault="00FC360C" w:rsidP="0075001C">
      <w:r w:rsidRPr="00F63BAF">
        <w:t>Alternatively extraction of wet or dry samples of biota may be carried out by pressurised liquid extraction (PLE). This is a more recent method, requiring less solvent and time for the extraction process. The wet biota sample is dried by mixing with sufficient anhydrous sodium sulphate to form a free flowing mixture and is packed into stainless steel extraction cells containing a glass fibre filter and sodium sulphate or glass powder to fill the cell. To ensure a better recovery samples may be extracted twice and extractions are performed at elevated temperatures and pressure.</w:t>
      </w:r>
    </w:p>
    <w:p w14:paraId="4221BA0F" w14:textId="77777777" w:rsidR="00FC360C" w:rsidRPr="00F63BAF" w:rsidRDefault="00FC360C" w:rsidP="0075001C">
      <w:pPr>
        <w:pStyle w:val="Heading2"/>
        <w:spacing w:before="0"/>
      </w:pPr>
      <w:bookmarkStart w:id="172" w:name="_Toc511217459"/>
      <w:r w:rsidRPr="00F63BAF">
        <w:t xml:space="preserve">5.4 </w:t>
      </w:r>
      <w:r w:rsidRPr="00F63BAF">
        <w:tab/>
        <w:t>Clean-up</w:t>
      </w:r>
      <w:bookmarkEnd w:id="172"/>
    </w:p>
    <w:p w14:paraId="22EBACF0" w14:textId="77777777" w:rsidR="00FC360C" w:rsidRPr="00F63BAF" w:rsidRDefault="00FC360C" w:rsidP="0075001C">
      <w:r w:rsidRPr="00F63BAF">
        <w:t xml:space="preserve">Tissue extracts will always contain many compounds other than PAHs, and a suitable </w:t>
      </w:r>
      <w:r w:rsidR="00F90B60" w:rsidRPr="00F63BAF">
        <w:t>clean-up</w:t>
      </w:r>
      <w:r w:rsidRPr="00F63BAF">
        <w:t xml:space="preserve"> is necessary to remove those compounds which may interfere with the subsequent analysis. Different techniques may be used, either singly or in combination, and the choice will be influenced by the selectivity and sensitivity of the final measurement technique and also by the extraction method employed. If Soxhlet extraction was used, then there is a much greater quantity of residual lipid to be removed before the analytical determination can be made than in the case of alkaline digestion. An additional clean-up stage may therefore be necessary. The most commonly used clean-up methods involve the use of deactivated alumina or silica adsorption chromatography. When applying fractionation, the elution pattern has to be checked frequently. This should be carried out in the presence of sample matrix, as that can partially deactivate the clean-up column, resulting in earlier elution of the PAHs than in a standard solution. </w:t>
      </w:r>
    </w:p>
    <w:p w14:paraId="465644B6" w14:textId="77777777" w:rsidR="00FC360C" w:rsidRPr="00F63BAF" w:rsidRDefault="00FC360C" w:rsidP="0075001C">
      <w:r w:rsidRPr="00F63BAF">
        <w:t xml:space="preserve">Gel permeation chromatography (GPC) and high performance liquid chromatography (HPLC) based methods are also employed (Nondek </w:t>
      </w:r>
      <w:r w:rsidRPr="00F63BAF">
        <w:rPr>
          <w:i/>
        </w:rPr>
        <w:t xml:space="preserve">et al., </w:t>
      </w:r>
      <w:r w:rsidRPr="00F63BAF">
        <w:t xml:space="preserve">1993; Nyman </w:t>
      </w:r>
      <w:r w:rsidRPr="00F63BAF">
        <w:rPr>
          <w:i/>
        </w:rPr>
        <w:t xml:space="preserve">et al., </w:t>
      </w:r>
      <w:r w:rsidRPr="00F63BAF">
        <w:t xml:space="preserve">1993; Perfetti </w:t>
      </w:r>
      <w:r w:rsidRPr="00F63BAF">
        <w:rPr>
          <w:i/>
        </w:rPr>
        <w:t>et al.</w:t>
      </w:r>
      <w:r w:rsidRPr="00F63BAF">
        <w:t>, 1992). The major advantages of using HPLC-based clean-up methods are their ease of automation and reproducibility.</w:t>
      </w:r>
    </w:p>
    <w:p w14:paraId="7696C591" w14:textId="77777777" w:rsidR="00FC360C" w:rsidRPr="00F63BAF" w:rsidRDefault="00FC360C" w:rsidP="0075001C">
      <w:r w:rsidRPr="00F63BAF">
        <w:t xml:space="preserve">Isocratic HPLC fractionation of the extract can be used to give separate aliphatic and aromatic fractions (Webster </w:t>
      </w:r>
      <w:r w:rsidRPr="00F63BAF">
        <w:rPr>
          <w:i/>
        </w:rPr>
        <w:t>et al</w:t>
      </w:r>
      <w:r w:rsidRPr="00F63BAF">
        <w:t>., 2002). A metal-free silica column is used for the clean-up/fractionation as dibenzothiophene (DBT) can be retained on ordinary silica columns. The split time is determined by injection of a solution containing representative aliphatic and PAH standards. The silica column is regenerated by a cleaning cycle after a set number of samples. If PAHs are to be analysed by HPLC and there are significant amounts of alkylated PAHs present then the removal of the alkylated PAHs may be difficult.</w:t>
      </w:r>
    </w:p>
    <w:p w14:paraId="11264882" w14:textId="77777777" w:rsidR="00FC360C" w:rsidRPr="00F63BAF" w:rsidRDefault="00FC360C" w:rsidP="0075001C">
      <w:pPr>
        <w:pStyle w:val="Heading2"/>
        <w:spacing w:before="0"/>
      </w:pPr>
      <w:bookmarkStart w:id="173" w:name="_Toc511217460"/>
      <w:r w:rsidRPr="00F63BAF">
        <w:t>5.5</w:t>
      </w:r>
      <w:r w:rsidRPr="00F63BAF">
        <w:tab/>
        <w:t>Pre-concentration</w:t>
      </w:r>
      <w:bookmarkEnd w:id="173"/>
    </w:p>
    <w:p w14:paraId="04B86E62" w14:textId="77777777" w:rsidR="00FC360C" w:rsidRPr="00F63BAF" w:rsidRDefault="00FC360C" w:rsidP="0075001C">
      <w:r w:rsidRPr="00F63BAF">
        <w:t>In the methods suggested above, all result in an extract in which non-polar solvents are dominant. The sample volume should be 2 ml or greater to avoid errors when transferring solvents during the clean-up stages. Syncore parallel evaporators can be used with careful optimisation of the evaporation parameters. Evaporation of solvents using a rotary-film evaporator should be performed at low temperature (water bath temperature of 30</w:t>
      </w:r>
      <w:r w:rsidRPr="00F63BAF">
        <w:sym w:font="Symbol" w:char="F0B0"/>
      </w:r>
      <w:r w:rsidRPr="00F63BAF">
        <w:t xml:space="preserve">C or lower) and under controlled pressure conditions, in order to prevent losses of the more volatile PAHs such as naphthalenes. For the same reasons, evaporation to dryness must be avoided. When reducing the sample to final volume, solvents can be removed by a stream of clean nitrogen gas. Suitable solvents for injection into the GC-MS include pentane, hexane, heptane, </w:t>
      </w:r>
      <w:r w:rsidRPr="00F63BAF">
        <w:rPr>
          <w:i/>
        </w:rPr>
        <w:t>iso</w:t>
      </w:r>
      <w:r w:rsidRPr="00F63BAF">
        <w:t xml:space="preserve">-hexane and </w:t>
      </w:r>
      <w:r w:rsidRPr="00F63BAF">
        <w:rPr>
          <w:i/>
        </w:rPr>
        <w:t>iso</w:t>
      </w:r>
      <w:r w:rsidRPr="00F63BAF">
        <w:t>-octane.</w:t>
      </w:r>
    </w:p>
    <w:p w14:paraId="326F6032" w14:textId="77777777" w:rsidR="00FC360C" w:rsidRPr="00F63BAF" w:rsidRDefault="00FC360C" w:rsidP="0075001C">
      <w:pPr>
        <w:pStyle w:val="Heading2"/>
        <w:spacing w:before="0"/>
      </w:pPr>
      <w:bookmarkStart w:id="174" w:name="_Toc511217461"/>
      <w:r w:rsidRPr="00F63BAF">
        <w:t>5.6</w:t>
      </w:r>
      <w:r w:rsidRPr="00F63BAF">
        <w:tab/>
        <w:t>Selection of PAHs to be determined</w:t>
      </w:r>
      <w:bookmarkEnd w:id="174"/>
    </w:p>
    <w:p w14:paraId="75CA39A6" w14:textId="77777777" w:rsidR="00FC360C" w:rsidRPr="00F63BAF" w:rsidRDefault="00FC360C" w:rsidP="0075001C">
      <w:pPr>
        <w:rPr>
          <w:b/>
        </w:rPr>
      </w:pPr>
      <w:r w:rsidRPr="00F63BAF">
        <w:t xml:space="preserve">The choice of PAHs to be analysed is not straightforward, both because of differences in the range of PAH compounds resulting from combustion processes and from oil and oil products, and also because the aims of specific monitoring programmes can require the analysis of different representative groups of compounds. PAHs arising from combustion processes are predominantly parent (unsubstituted) compounds, whereas oil and its products contain a much wider range of alkylated compounds in addition to the parent PAHs. This has implications for the analytical determination, as both HPLC-based and GC-based techniques are adequate for the determination of a limited range of parent PAHs in samples influenced by combustion processes, whereas in areas of significant oil contamination and following oil spills only GC-MS has sufficient selectivity to determine the full range of PAHs present. The availability of pure individual PAHs for the preparation of standards is problematic and limits both the choice of determinands and, to some degree, the quantification procedures which can be used. The availability of reference materials certified for PAHs is also rather limited. A list of target parent and alkylated PAHs suitable for environmental monitoring is given in Table A1.1. This differs both from the list previously developed within ICES specifically for intercomparison purposes, and the historic list of Borneff. In both cases, the lists were concentrated on a subset of parent (predominantly combustion-derived) PAHs due to analytical limitations. This approach completely neglects the determination of alkylated PAHs, which allows the interpretation of PAH accumulation from multiple sources including those due to oil inputs. It will not be necessary for all of these PAH </w:t>
      </w:r>
      <w:proofErr w:type="gramStart"/>
      <w:r w:rsidRPr="00F63BAF">
        <w:t>compounds</w:t>
      </w:r>
      <w:proofErr w:type="gramEnd"/>
      <w:r w:rsidRPr="00F63BAF">
        <w:t xml:space="preserve"> and groups to be analysed in all cases, but an appropriate selection can be made from this list depending on the specific aims of the monitoring programme to be undertaken.</w:t>
      </w:r>
      <w:r w:rsidRPr="00F63BAF">
        <w:rPr>
          <w:b/>
        </w:rPr>
        <w:t xml:space="preserve"> </w:t>
      </w:r>
    </w:p>
    <w:p w14:paraId="6A128D30" w14:textId="77777777" w:rsidR="00FC360C" w:rsidRPr="00F63BAF" w:rsidRDefault="00FC360C" w:rsidP="0075001C">
      <w:pPr>
        <w:tabs>
          <w:tab w:val="clear" w:pos="1701"/>
          <w:tab w:val="left" w:pos="0"/>
        </w:tabs>
      </w:pPr>
      <w:r w:rsidRPr="00F63BAF">
        <w:rPr>
          <w:b/>
        </w:rPr>
        <w:t>Table A1.1</w:t>
      </w:r>
      <w:r w:rsidR="0075001C">
        <w:t>:</w:t>
      </w:r>
      <w:r w:rsidRPr="00F63BAF">
        <w:rPr>
          <w:b/>
        </w:rPr>
        <w:tab/>
      </w:r>
      <w:r w:rsidRPr="00F63BAF">
        <w:t>Compounds of interest for environmental monitoring for which the guidelines apply. For compounds in italics standards are not available for any isomers in this group.</w:t>
      </w:r>
    </w:p>
    <w:tbl>
      <w:tblPr>
        <w:tblW w:w="4370" w:type="pct"/>
        <w:tblCellMar>
          <w:left w:w="107" w:type="dxa"/>
          <w:right w:w="107" w:type="dxa"/>
        </w:tblCellMar>
        <w:tblLook w:val="0000" w:firstRow="0" w:lastRow="0" w:firstColumn="0" w:lastColumn="0" w:noHBand="0" w:noVBand="0"/>
      </w:tblPr>
      <w:tblGrid>
        <w:gridCol w:w="3649"/>
        <w:gridCol w:w="710"/>
        <w:gridCol w:w="3543"/>
        <w:gridCol w:w="710"/>
      </w:tblGrid>
      <w:tr w:rsidR="00FC360C" w:rsidRPr="0075001C" w14:paraId="7260D3BD" w14:textId="77777777" w:rsidTr="0075001C">
        <w:trPr>
          <w:cantSplit/>
        </w:trPr>
        <w:tc>
          <w:tcPr>
            <w:tcW w:w="2119" w:type="pct"/>
            <w:tcBorders>
              <w:top w:val="single" w:sz="4" w:space="0" w:color="auto"/>
              <w:left w:val="single" w:sz="4" w:space="0" w:color="auto"/>
              <w:bottom w:val="single" w:sz="4" w:space="0" w:color="auto"/>
            </w:tcBorders>
          </w:tcPr>
          <w:p w14:paraId="64BF5C40" w14:textId="77777777" w:rsidR="00FC360C" w:rsidRPr="0075001C" w:rsidRDefault="00FC360C" w:rsidP="0075001C">
            <w:pPr>
              <w:pStyle w:val="BodyText"/>
              <w:spacing w:after="0" w:line="276" w:lineRule="auto"/>
              <w:rPr>
                <w:rFonts w:ascii="Calibri" w:hAnsi="Calibri"/>
                <w:b/>
                <w:sz w:val="22"/>
                <w:szCs w:val="22"/>
              </w:rPr>
            </w:pPr>
            <w:r w:rsidRPr="0075001C">
              <w:rPr>
                <w:rFonts w:ascii="Calibri" w:hAnsi="Calibri"/>
                <w:b/>
                <w:sz w:val="22"/>
                <w:szCs w:val="22"/>
              </w:rPr>
              <w:tab/>
              <w:t>Compound</w:t>
            </w:r>
          </w:p>
        </w:tc>
        <w:tc>
          <w:tcPr>
            <w:tcW w:w="412" w:type="pct"/>
            <w:tcBorders>
              <w:top w:val="single" w:sz="4" w:space="0" w:color="auto"/>
              <w:bottom w:val="single" w:sz="4" w:space="0" w:color="auto"/>
            </w:tcBorders>
          </w:tcPr>
          <w:p w14:paraId="1C430015" w14:textId="77777777" w:rsidR="00FC360C" w:rsidRPr="0075001C" w:rsidRDefault="00FC360C" w:rsidP="0075001C">
            <w:pPr>
              <w:pStyle w:val="BodyText"/>
              <w:spacing w:after="0" w:line="276" w:lineRule="auto"/>
              <w:rPr>
                <w:rFonts w:ascii="Calibri" w:hAnsi="Calibri"/>
                <w:b/>
                <w:sz w:val="22"/>
                <w:szCs w:val="22"/>
              </w:rPr>
            </w:pPr>
            <w:r w:rsidRPr="0075001C">
              <w:rPr>
                <w:rFonts w:ascii="Calibri" w:hAnsi="Calibri"/>
                <w:b/>
                <w:sz w:val="22"/>
                <w:szCs w:val="22"/>
              </w:rPr>
              <w:t>MW</w:t>
            </w:r>
          </w:p>
        </w:tc>
        <w:tc>
          <w:tcPr>
            <w:tcW w:w="2057" w:type="pct"/>
            <w:tcBorders>
              <w:top w:val="single" w:sz="4" w:space="0" w:color="auto"/>
              <w:left w:val="single" w:sz="6" w:space="0" w:color="auto"/>
              <w:bottom w:val="single" w:sz="4" w:space="0" w:color="auto"/>
            </w:tcBorders>
          </w:tcPr>
          <w:p w14:paraId="5166F0A2" w14:textId="77777777" w:rsidR="00FC360C" w:rsidRPr="0075001C" w:rsidRDefault="00FC360C" w:rsidP="0075001C">
            <w:pPr>
              <w:pStyle w:val="BodyText"/>
              <w:spacing w:after="0" w:line="276" w:lineRule="auto"/>
              <w:rPr>
                <w:rFonts w:ascii="Calibri" w:hAnsi="Calibri"/>
                <w:b/>
                <w:sz w:val="22"/>
                <w:szCs w:val="22"/>
              </w:rPr>
            </w:pPr>
            <w:r w:rsidRPr="0075001C">
              <w:rPr>
                <w:rFonts w:ascii="Calibri" w:hAnsi="Calibri"/>
                <w:b/>
                <w:sz w:val="22"/>
                <w:szCs w:val="22"/>
              </w:rPr>
              <w:tab/>
              <w:t>Compound</w:t>
            </w:r>
          </w:p>
        </w:tc>
        <w:tc>
          <w:tcPr>
            <w:tcW w:w="412" w:type="pct"/>
            <w:tcBorders>
              <w:top w:val="single" w:sz="4" w:space="0" w:color="auto"/>
              <w:bottom w:val="single" w:sz="4" w:space="0" w:color="auto"/>
              <w:right w:val="single" w:sz="4" w:space="0" w:color="auto"/>
            </w:tcBorders>
          </w:tcPr>
          <w:p w14:paraId="752A49DF" w14:textId="77777777" w:rsidR="00FC360C" w:rsidRPr="0075001C" w:rsidRDefault="00FC360C" w:rsidP="0075001C">
            <w:pPr>
              <w:pStyle w:val="BodyText"/>
              <w:spacing w:after="0" w:line="276" w:lineRule="auto"/>
              <w:rPr>
                <w:rFonts w:ascii="Calibri" w:hAnsi="Calibri"/>
                <w:b/>
                <w:sz w:val="22"/>
                <w:szCs w:val="22"/>
              </w:rPr>
            </w:pPr>
            <w:r w:rsidRPr="0075001C">
              <w:rPr>
                <w:rFonts w:ascii="Calibri" w:hAnsi="Calibri"/>
                <w:b/>
                <w:sz w:val="22"/>
                <w:szCs w:val="22"/>
              </w:rPr>
              <w:t>MW</w:t>
            </w:r>
          </w:p>
        </w:tc>
      </w:tr>
      <w:tr w:rsidR="00FC360C" w:rsidRPr="00F63BAF" w14:paraId="4006930C" w14:textId="77777777" w:rsidTr="0075001C">
        <w:trPr>
          <w:cantSplit/>
        </w:trPr>
        <w:tc>
          <w:tcPr>
            <w:tcW w:w="2119" w:type="pct"/>
            <w:tcBorders>
              <w:left w:val="single" w:sz="4" w:space="0" w:color="auto"/>
            </w:tcBorders>
          </w:tcPr>
          <w:p w14:paraId="07A7F0E0"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Naphthalene</w:t>
            </w:r>
          </w:p>
        </w:tc>
        <w:tc>
          <w:tcPr>
            <w:tcW w:w="412" w:type="pct"/>
          </w:tcPr>
          <w:p w14:paraId="50D0748D"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128</w:t>
            </w:r>
          </w:p>
        </w:tc>
        <w:tc>
          <w:tcPr>
            <w:tcW w:w="2057" w:type="pct"/>
            <w:tcBorders>
              <w:left w:val="single" w:sz="6" w:space="0" w:color="auto"/>
            </w:tcBorders>
          </w:tcPr>
          <w:p w14:paraId="68142162"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 3d-benzonapthothiophene</w:t>
            </w:r>
          </w:p>
        </w:tc>
        <w:tc>
          <w:tcPr>
            <w:tcW w:w="412" w:type="pct"/>
            <w:tcBorders>
              <w:right w:val="single" w:sz="4" w:space="0" w:color="auto"/>
            </w:tcBorders>
          </w:tcPr>
          <w:p w14:paraId="67519679"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234</w:t>
            </w:r>
          </w:p>
        </w:tc>
      </w:tr>
      <w:tr w:rsidR="00FC360C" w:rsidRPr="00F63BAF" w14:paraId="48129A56" w14:textId="77777777" w:rsidTr="0075001C">
        <w:trPr>
          <w:cantSplit/>
        </w:trPr>
        <w:tc>
          <w:tcPr>
            <w:tcW w:w="2119" w:type="pct"/>
            <w:tcBorders>
              <w:left w:val="single" w:sz="4" w:space="0" w:color="auto"/>
            </w:tcBorders>
          </w:tcPr>
          <w:p w14:paraId="57440D33"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C</w:t>
            </w:r>
            <w:r w:rsidRPr="0075001C">
              <w:rPr>
                <w:rFonts w:ascii="Calibri" w:hAnsi="Calibri"/>
                <w:sz w:val="22"/>
                <w:szCs w:val="22"/>
                <w:vertAlign w:val="subscript"/>
              </w:rPr>
              <w:t>1</w:t>
            </w:r>
            <w:r w:rsidRPr="0075001C">
              <w:rPr>
                <w:rFonts w:ascii="Calibri" w:hAnsi="Calibri"/>
                <w:sz w:val="22"/>
                <w:szCs w:val="22"/>
              </w:rPr>
              <w:t>-Naphthalenes</w:t>
            </w:r>
          </w:p>
        </w:tc>
        <w:tc>
          <w:tcPr>
            <w:tcW w:w="412" w:type="pct"/>
          </w:tcPr>
          <w:p w14:paraId="68BB2F32"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142</w:t>
            </w:r>
          </w:p>
        </w:tc>
        <w:tc>
          <w:tcPr>
            <w:tcW w:w="2057" w:type="pct"/>
            <w:tcBorders>
              <w:left w:val="single" w:sz="6" w:space="0" w:color="auto"/>
            </w:tcBorders>
          </w:tcPr>
          <w:p w14:paraId="700E90EA"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C</w:t>
            </w:r>
            <w:r w:rsidRPr="0075001C">
              <w:rPr>
                <w:rFonts w:ascii="Calibri" w:hAnsi="Calibri"/>
                <w:sz w:val="22"/>
                <w:szCs w:val="22"/>
                <w:vertAlign w:val="subscript"/>
              </w:rPr>
              <w:t>1</w:t>
            </w:r>
            <w:r w:rsidRPr="0075001C">
              <w:rPr>
                <w:rFonts w:ascii="Calibri" w:hAnsi="Calibri"/>
                <w:sz w:val="22"/>
                <w:szCs w:val="22"/>
              </w:rPr>
              <w:t>-234</w:t>
            </w:r>
          </w:p>
        </w:tc>
        <w:tc>
          <w:tcPr>
            <w:tcW w:w="412" w:type="pct"/>
            <w:tcBorders>
              <w:right w:val="single" w:sz="4" w:space="0" w:color="auto"/>
            </w:tcBorders>
          </w:tcPr>
          <w:p w14:paraId="79DA5598"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248</w:t>
            </w:r>
          </w:p>
        </w:tc>
      </w:tr>
      <w:tr w:rsidR="00FC360C" w:rsidRPr="00F63BAF" w14:paraId="0B43C5D2" w14:textId="77777777" w:rsidTr="0075001C">
        <w:trPr>
          <w:cantSplit/>
        </w:trPr>
        <w:tc>
          <w:tcPr>
            <w:tcW w:w="2119" w:type="pct"/>
            <w:tcBorders>
              <w:left w:val="single" w:sz="4" w:space="0" w:color="auto"/>
            </w:tcBorders>
          </w:tcPr>
          <w:p w14:paraId="0CB7A14C"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C</w:t>
            </w:r>
            <w:r w:rsidRPr="0075001C">
              <w:rPr>
                <w:rFonts w:ascii="Calibri" w:hAnsi="Calibri"/>
                <w:sz w:val="22"/>
                <w:szCs w:val="22"/>
                <w:vertAlign w:val="subscript"/>
              </w:rPr>
              <w:t>2</w:t>
            </w:r>
            <w:r w:rsidRPr="0075001C">
              <w:rPr>
                <w:rFonts w:ascii="Calibri" w:hAnsi="Calibri"/>
                <w:sz w:val="22"/>
                <w:szCs w:val="22"/>
              </w:rPr>
              <w:t>-Naphthalenes</w:t>
            </w:r>
          </w:p>
        </w:tc>
        <w:tc>
          <w:tcPr>
            <w:tcW w:w="412" w:type="pct"/>
          </w:tcPr>
          <w:p w14:paraId="7BB3A218"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156</w:t>
            </w:r>
          </w:p>
        </w:tc>
        <w:tc>
          <w:tcPr>
            <w:tcW w:w="2057" w:type="pct"/>
            <w:tcBorders>
              <w:left w:val="single" w:sz="6" w:space="0" w:color="auto"/>
            </w:tcBorders>
          </w:tcPr>
          <w:p w14:paraId="355E697B"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C</w:t>
            </w:r>
            <w:r w:rsidRPr="0075001C">
              <w:rPr>
                <w:rFonts w:ascii="Calibri" w:hAnsi="Calibri"/>
                <w:sz w:val="22"/>
                <w:szCs w:val="22"/>
                <w:vertAlign w:val="subscript"/>
              </w:rPr>
              <w:t>2</w:t>
            </w:r>
            <w:r w:rsidRPr="0075001C">
              <w:rPr>
                <w:rFonts w:ascii="Calibri" w:hAnsi="Calibri"/>
                <w:sz w:val="22"/>
                <w:szCs w:val="22"/>
              </w:rPr>
              <w:t>-Fluoranthenes/Pyrenes</w:t>
            </w:r>
          </w:p>
        </w:tc>
        <w:tc>
          <w:tcPr>
            <w:tcW w:w="412" w:type="pct"/>
            <w:tcBorders>
              <w:right w:val="single" w:sz="4" w:space="0" w:color="auto"/>
            </w:tcBorders>
          </w:tcPr>
          <w:p w14:paraId="020169C8"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230</w:t>
            </w:r>
          </w:p>
        </w:tc>
      </w:tr>
      <w:tr w:rsidR="00FC360C" w:rsidRPr="00F63BAF" w14:paraId="26444F20" w14:textId="77777777" w:rsidTr="0075001C">
        <w:trPr>
          <w:cantSplit/>
        </w:trPr>
        <w:tc>
          <w:tcPr>
            <w:tcW w:w="2119" w:type="pct"/>
            <w:tcBorders>
              <w:left w:val="single" w:sz="4" w:space="0" w:color="auto"/>
            </w:tcBorders>
          </w:tcPr>
          <w:p w14:paraId="4208CA8E"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C</w:t>
            </w:r>
            <w:r w:rsidRPr="0075001C">
              <w:rPr>
                <w:rFonts w:ascii="Calibri" w:hAnsi="Calibri"/>
                <w:sz w:val="22"/>
                <w:szCs w:val="22"/>
                <w:vertAlign w:val="subscript"/>
              </w:rPr>
              <w:t>3</w:t>
            </w:r>
            <w:r w:rsidRPr="0075001C">
              <w:rPr>
                <w:rFonts w:ascii="Calibri" w:hAnsi="Calibri"/>
                <w:sz w:val="22"/>
                <w:szCs w:val="22"/>
              </w:rPr>
              <w:t>-Naphthalenes</w:t>
            </w:r>
          </w:p>
        </w:tc>
        <w:tc>
          <w:tcPr>
            <w:tcW w:w="412" w:type="pct"/>
          </w:tcPr>
          <w:p w14:paraId="664F7C12"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170</w:t>
            </w:r>
          </w:p>
        </w:tc>
        <w:tc>
          <w:tcPr>
            <w:tcW w:w="2057" w:type="pct"/>
            <w:tcBorders>
              <w:left w:val="single" w:sz="6" w:space="0" w:color="auto"/>
            </w:tcBorders>
          </w:tcPr>
          <w:p w14:paraId="1257AEEF"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Benz[</w:t>
            </w:r>
            <w:r w:rsidRPr="0075001C">
              <w:rPr>
                <w:rFonts w:ascii="Calibri" w:hAnsi="Calibri"/>
                <w:i/>
                <w:sz w:val="22"/>
                <w:szCs w:val="22"/>
              </w:rPr>
              <w:t>a</w:t>
            </w:r>
            <w:r w:rsidRPr="0075001C">
              <w:rPr>
                <w:rFonts w:ascii="Calibri" w:hAnsi="Calibri"/>
                <w:sz w:val="22"/>
                <w:szCs w:val="22"/>
              </w:rPr>
              <w:t>]anthracene</w:t>
            </w:r>
          </w:p>
        </w:tc>
        <w:tc>
          <w:tcPr>
            <w:tcW w:w="412" w:type="pct"/>
            <w:tcBorders>
              <w:right w:val="single" w:sz="4" w:space="0" w:color="auto"/>
            </w:tcBorders>
          </w:tcPr>
          <w:p w14:paraId="48DECBFC"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228</w:t>
            </w:r>
          </w:p>
        </w:tc>
      </w:tr>
      <w:tr w:rsidR="00FC360C" w:rsidRPr="00F63BAF" w14:paraId="5E16CE29" w14:textId="77777777" w:rsidTr="0075001C">
        <w:trPr>
          <w:cantSplit/>
        </w:trPr>
        <w:tc>
          <w:tcPr>
            <w:tcW w:w="2119" w:type="pct"/>
            <w:tcBorders>
              <w:left w:val="single" w:sz="4" w:space="0" w:color="auto"/>
            </w:tcBorders>
          </w:tcPr>
          <w:p w14:paraId="259C4A88" w14:textId="77777777" w:rsidR="00FC360C" w:rsidRPr="0075001C" w:rsidRDefault="00FC360C" w:rsidP="0075001C">
            <w:pPr>
              <w:pStyle w:val="BodyText"/>
              <w:spacing w:after="0" w:line="276" w:lineRule="auto"/>
              <w:rPr>
                <w:rFonts w:ascii="Calibri" w:hAnsi="Calibri"/>
                <w:i/>
                <w:sz w:val="22"/>
                <w:szCs w:val="22"/>
              </w:rPr>
            </w:pPr>
            <w:r w:rsidRPr="0075001C">
              <w:rPr>
                <w:rFonts w:ascii="Calibri" w:hAnsi="Calibri"/>
                <w:i/>
                <w:sz w:val="22"/>
                <w:szCs w:val="22"/>
              </w:rPr>
              <w:t>C</w:t>
            </w:r>
            <w:r w:rsidRPr="0075001C">
              <w:rPr>
                <w:rFonts w:ascii="Calibri" w:hAnsi="Calibri"/>
                <w:i/>
                <w:sz w:val="22"/>
                <w:szCs w:val="22"/>
                <w:vertAlign w:val="subscript"/>
              </w:rPr>
              <w:t>4</w:t>
            </w:r>
            <w:r w:rsidRPr="0075001C">
              <w:rPr>
                <w:rFonts w:ascii="Calibri" w:hAnsi="Calibri"/>
                <w:i/>
                <w:sz w:val="22"/>
                <w:szCs w:val="22"/>
              </w:rPr>
              <w:t>-Naphthalenes</w:t>
            </w:r>
          </w:p>
        </w:tc>
        <w:tc>
          <w:tcPr>
            <w:tcW w:w="412" w:type="pct"/>
          </w:tcPr>
          <w:p w14:paraId="77E3F6F4"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184</w:t>
            </w:r>
          </w:p>
        </w:tc>
        <w:tc>
          <w:tcPr>
            <w:tcW w:w="2057" w:type="pct"/>
            <w:tcBorders>
              <w:left w:val="single" w:sz="6" w:space="0" w:color="auto"/>
            </w:tcBorders>
          </w:tcPr>
          <w:p w14:paraId="7F85EDA4"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Chrysene</w:t>
            </w:r>
          </w:p>
        </w:tc>
        <w:tc>
          <w:tcPr>
            <w:tcW w:w="412" w:type="pct"/>
            <w:tcBorders>
              <w:right w:val="single" w:sz="4" w:space="0" w:color="auto"/>
            </w:tcBorders>
          </w:tcPr>
          <w:p w14:paraId="4FFAA849"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228</w:t>
            </w:r>
          </w:p>
        </w:tc>
      </w:tr>
      <w:tr w:rsidR="00FC360C" w:rsidRPr="00F63BAF" w14:paraId="3B21A17E" w14:textId="77777777" w:rsidTr="0075001C">
        <w:trPr>
          <w:cantSplit/>
        </w:trPr>
        <w:tc>
          <w:tcPr>
            <w:tcW w:w="2119" w:type="pct"/>
            <w:tcBorders>
              <w:left w:val="single" w:sz="4" w:space="0" w:color="auto"/>
            </w:tcBorders>
          </w:tcPr>
          <w:p w14:paraId="2BEFEC56"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Acenaphthylene</w:t>
            </w:r>
          </w:p>
        </w:tc>
        <w:tc>
          <w:tcPr>
            <w:tcW w:w="412" w:type="pct"/>
          </w:tcPr>
          <w:p w14:paraId="2E4A793C"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152</w:t>
            </w:r>
          </w:p>
        </w:tc>
        <w:tc>
          <w:tcPr>
            <w:tcW w:w="2057" w:type="pct"/>
            <w:tcBorders>
              <w:left w:val="single" w:sz="6" w:space="0" w:color="auto"/>
            </w:tcBorders>
          </w:tcPr>
          <w:p w14:paraId="7A19AC0A"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2,3-Benzanthracene</w:t>
            </w:r>
          </w:p>
        </w:tc>
        <w:tc>
          <w:tcPr>
            <w:tcW w:w="412" w:type="pct"/>
            <w:tcBorders>
              <w:right w:val="single" w:sz="4" w:space="0" w:color="auto"/>
            </w:tcBorders>
          </w:tcPr>
          <w:p w14:paraId="45E9F325"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228</w:t>
            </w:r>
          </w:p>
        </w:tc>
      </w:tr>
      <w:tr w:rsidR="00FC360C" w:rsidRPr="00F63BAF" w14:paraId="7D77B121" w14:textId="77777777" w:rsidTr="0075001C">
        <w:trPr>
          <w:cantSplit/>
        </w:trPr>
        <w:tc>
          <w:tcPr>
            <w:tcW w:w="2119" w:type="pct"/>
            <w:tcBorders>
              <w:left w:val="single" w:sz="4" w:space="0" w:color="auto"/>
            </w:tcBorders>
          </w:tcPr>
          <w:p w14:paraId="143D2A74"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Acenaphthene</w:t>
            </w:r>
          </w:p>
        </w:tc>
        <w:tc>
          <w:tcPr>
            <w:tcW w:w="412" w:type="pct"/>
          </w:tcPr>
          <w:p w14:paraId="09926927"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154</w:t>
            </w:r>
          </w:p>
        </w:tc>
        <w:tc>
          <w:tcPr>
            <w:tcW w:w="2057" w:type="pct"/>
            <w:tcBorders>
              <w:left w:val="single" w:sz="6" w:space="0" w:color="auto"/>
            </w:tcBorders>
          </w:tcPr>
          <w:p w14:paraId="50D8BBCF"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C</w:t>
            </w:r>
            <w:r w:rsidRPr="0075001C">
              <w:rPr>
                <w:rFonts w:ascii="Calibri" w:hAnsi="Calibri"/>
                <w:sz w:val="22"/>
                <w:szCs w:val="22"/>
                <w:vertAlign w:val="subscript"/>
              </w:rPr>
              <w:t>1</w:t>
            </w:r>
            <w:r w:rsidRPr="0075001C">
              <w:rPr>
                <w:rFonts w:ascii="Calibri" w:hAnsi="Calibri"/>
                <w:sz w:val="22"/>
                <w:szCs w:val="22"/>
              </w:rPr>
              <w:t>- Benz[</w:t>
            </w:r>
            <w:r w:rsidRPr="0075001C">
              <w:rPr>
                <w:rFonts w:ascii="Calibri" w:hAnsi="Calibri"/>
                <w:i/>
                <w:sz w:val="22"/>
                <w:szCs w:val="22"/>
              </w:rPr>
              <w:t>a</w:t>
            </w:r>
            <w:r w:rsidRPr="0075001C">
              <w:rPr>
                <w:rFonts w:ascii="Calibri" w:hAnsi="Calibri"/>
                <w:sz w:val="22"/>
                <w:szCs w:val="22"/>
              </w:rPr>
              <w:t>]anthracene/ Chrysene</w:t>
            </w:r>
          </w:p>
        </w:tc>
        <w:tc>
          <w:tcPr>
            <w:tcW w:w="412" w:type="pct"/>
            <w:tcBorders>
              <w:right w:val="single" w:sz="4" w:space="0" w:color="auto"/>
            </w:tcBorders>
          </w:tcPr>
          <w:p w14:paraId="25A9C858"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242</w:t>
            </w:r>
          </w:p>
        </w:tc>
      </w:tr>
      <w:tr w:rsidR="00FC360C" w:rsidRPr="00F63BAF" w14:paraId="3B6BF594" w14:textId="77777777" w:rsidTr="0075001C">
        <w:trPr>
          <w:cantSplit/>
        </w:trPr>
        <w:tc>
          <w:tcPr>
            <w:tcW w:w="2119" w:type="pct"/>
            <w:tcBorders>
              <w:left w:val="single" w:sz="4" w:space="0" w:color="auto"/>
            </w:tcBorders>
          </w:tcPr>
          <w:p w14:paraId="73D34508"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Biphenyl</w:t>
            </w:r>
          </w:p>
        </w:tc>
        <w:tc>
          <w:tcPr>
            <w:tcW w:w="412" w:type="pct"/>
          </w:tcPr>
          <w:p w14:paraId="0B0C4277"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154</w:t>
            </w:r>
          </w:p>
        </w:tc>
        <w:tc>
          <w:tcPr>
            <w:tcW w:w="2057" w:type="pct"/>
            <w:tcBorders>
              <w:left w:val="single" w:sz="6" w:space="0" w:color="auto"/>
            </w:tcBorders>
          </w:tcPr>
          <w:p w14:paraId="705E7AC3"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C</w:t>
            </w:r>
            <w:r w:rsidRPr="0075001C">
              <w:rPr>
                <w:rFonts w:ascii="Calibri" w:hAnsi="Calibri"/>
                <w:sz w:val="22"/>
                <w:szCs w:val="22"/>
                <w:vertAlign w:val="subscript"/>
              </w:rPr>
              <w:t>2</w:t>
            </w:r>
            <w:r w:rsidRPr="0075001C">
              <w:rPr>
                <w:rFonts w:ascii="Calibri" w:hAnsi="Calibri"/>
                <w:sz w:val="22"/>
                <w:szCs w:val="22"/>
              </w:rPr>
              <w:t>- Benz[</w:t>
            </w:r>
            <w:r w:rsidRPr="0075001C">
              <w:rPr>
                <w:rFonts w:ascii="Calibri" w:hAnsi="Calibri"/>
                <w:i/>
                <w:sz w:val="22"/>
                <w:szCs w:val="22"/>
              </w:rPr>
              <w:t>a</w:t>
            </w:r>
            <w:r w:rsidRPr="0075001C">
              <w:rPr>
                <w:rFonts w:ascii="Calibri" w:hAnsi="Calibri"/>
                <w:sz w:val="22"/>
                <w:szCs w:val="22"/>
              </w:rPr>
              <w:t>]anthracene/ Chrysene</w:t>
            </w:r>
          </w:p>
        </w:tc>
        <w:tc>
          <w:tcPr>
            <w:tcW w:w="412" w:type="pct"/>
            <w:tcBorders>
              <w:right w:val="single" w:sz="4" w:space="0" w:color="auto"/>
            </w:tcBorders>
          </w:tcPr>
          <w:p w14:paraId="73987922"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256</w:t>
            </w:r>
          </w:p>
        </w:tc>
      </w:tr>
      <w:tr w:rsidR="00FC360C" w:rsidRPr="00F63BAF" w14:paraId="05A9FEC7" w14:textId="77777777" w:rsidTr="0075001C">
        <w:trPr>
          <w:cantSplit/>
        </w:trPr>
        <w:tc>
          <w:tcPr>
            <w:tcW w:w="2119" w:type="pct"/>
            <w:tcBorders>
              <w:left w:val="single" w:sz="4" w:space="0" w:color="auto"/>
            </w:tcBorders>
          </w:tcPr>
          <w:p w14:paraId="37B8FBB8"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Fluorene</w:t>
            </w:r>
          </w:p>
        </w:tc>
        <w:tc>
          <w:tcPr>
            <w:tcW w:w="412" w:type="pct"/>
          </w:tcPr>
          <w:p w14:paraId="4E9D8A39"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166</w:t>
            </w:r>
          </w:p>
        </w:tc>
        <w:tc>
          <w:tcPr>
            <w:tcW w:w="2057" w:type="pct"/>
            <w:tcBorders>
              <w:left w:val="single" w:sz="6" w:space="0" w:color="auto"/>
            </w:tcBorders>
          </w:tcPr>
          <w:p w14:paraId="0CCC9862"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C</w:t>
            </w:r>
            <w:r w:rsidRPr="0075001C">
              <w:rPr>
                <w:rFonts w:ascii="Calibri" w:hAnsi="Calibri"/>
                <w:sz w:val="22"/>
                <w:szCs w:val="22"/>
                <w:vertAlign w:val="subscript"/>
              </w:rPr>
              <w:t>3</w:t>
            </w:r>
            <w:r w:rsidRPr="0075001C">
              <w:rPr>
                <w:rFonts w:ascii="Calibri" w:hAnsi="Calibri"/>
                <w:sz w:val="22"/>
                <w:szCs w:val="22"/>
              </w:rPr>
              <w:t>- Benz[</w:t>
            </w:r>
            <w:r w:rsidRPr="0075001C">
              <w:rPr>
                <w:rFonts w:ascii="Calibri" w:hAnsi="Calibri"/>
                <w:i/>
                <w:sz w:val="22"/>
                <w:szCs w:val="22"/>
              </w:rPr>
              <w:t>a</w:t>
            </w:r>
            <w:r w:rsidRPr="0075001C">
              <w:rPr>
                <w:rFonts w:ascii="Calibri" w:hAnsi="Calibri"/>
                <w:sz w:val="22"/>
                <w:szCs w:val="22"/>
              </w:rPr>
              <w:t>]anthracene/ Chrysene</w:t>
            </w:r>
          </w:p>
        </w:tc>
        <w:tc>
          <w:tcPr>
            <w:tcW w:w="412" w:type="pct"/>
            <w:tcBorders>
              <w:right w:val="single" w:sz="4" w:space="0" w:color="auto"/>
            </w:tcBorders>
          </w:tcPr>
          <w:p w14:paraId="1FFE9BC1"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270</w:t>
            </w:r>
          </w:p>
        </w:tc>
      </w:tr>
      <w:tr w:rsidR="00FC360C" w:rsidRPr="00F63BAF" w14:paraId="7ECF2E96" w14:textId="77777777" w:rsidTr="0075001C">
        <w:trPr>
          <w:cantSplit/>
        </w:trPr>
        <w:tc>
          <w:tcPr>
            <w:tcW w:w="2119" w:type="pct"/>
            <w:tcBorders>
              <w:left w:val="single" w:sz="4" w:space="0" w:color="auto"/>
            </w:tcBorders>
          </w:tcPr>
          <w:p w14:paraId="659FCC97"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C</w:t>
            </w:r>
            <w:r w:rsidRPr="0075001C">
              <w:rPr>
                <w:rFonts w:ascii="Calibri" w:hAnsi="Calibri"/>
                <w:sz w:val="22"/>
                <w:szCs w:val="22"/>
                <w:vertAlign w:val="subscript"/>
              </w:rPr>
              <w:t>1</w:t>
            </w:r>
            <w:r w:rsidRPr="0075001C">
              <w:rPr>
                <w:rFonts w:ascii="Calibri" w:hAnsi="Calibri"/>
                <w:sz w:val="22"/>
                <w:szCs w:val="22"/>
              </w:rPr>
              <w:t>-Fluorenes</w:t>
            </w:r>
          </w:p>
        </w:tc>
        <w:tc>
          <w:tcPr>
            <w:tcW w:w="412" w:type="pct"/>
          </w:tcPr>
          <w:p w14:paraId="3E78B4D1"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180</w:t>
            </w:r>
          </w:p>
        </w:tc>
        <w:tc>
          <w:tcPr>
            <w:tcW w:w="2057" w:type="pct"/>
            <w:tcBorders>
              <w:left w:val="single" w:sz="6" w:space="0" w:color="auto"/>
            </w:tcBorders>
          </w:tcPr>
          <w:p w14:paraId="37BD8859"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Benzo[</w:t>
            </w:r>
            <w:r w:rsidRPr="0075001C">
              <w:rPr>
                <w:rFonts w:ascii="Calibri" w:hAnsi="Calibri"/>
                <w:i/>
                <w:sz w:val="22"/>
                <w:szCs w:val="22"/>
              </w:rPr>
              <w:t>a</w:t>
            </w:r>
            <w:r w:rsidRPr="0075001C">
              <w:rPr>
                <w:rFonts w:ascii="Calibri" w:hAnsi="Calibri"/>
                <w:sz w:val="22"/>
                <w:szCs w:val="22"/>
              </w:rPr>
              <w:t>]fluoranthene</w:t>
            </w:r>
          </w:p>
        </w:tc>
        <w:tc>
          <w:tcPr>
            <w:tcW w:w="412" w:type="pct"/>
            <w:tcBorders>
              <w:right w:val="single" w:sz="4" w:space="0" w:color="auto"/>
            </w:tcBorders>
          </w:tcPr>
          <w:p w14:paraId="7D2490AD"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252</w:t>
            </w:r>
          </w:p>
        </w:tc>
      </w:tr>
      <w:tr w:rsidR="00FC360C" w:rsidRPr="00F63BAF" w14:paraId="299EFDEE" w14:textId="77777777" w:rsidTr="0075001C">
        <w:trPr>
          <w:cantSplit/>
        </w:trPr>
        <w:tc>
          <w:tcPr>
            <w:tcW w:w="2119" w:type="pct"/>
            <w:tcBorders>
              <w:left w:val="single" w:sz="4" w:space="0" w:color="auto"/>
            </w:tcBorders>
          </w:tcPr>
          <w:p w14:paraId="6D3B2680" w14:textId="77777777" w:rsidR="00FC360C" w:rsidRPr="0075001C" w:rsidRDefault="00FC360C" w:rsidP="0075001C">
            <w:pPr>
              <w:pStyle w:val="BodyText"/>
              <w:spacing w:after="0" w:line="276" w:lineRule="auto"/>
              <w:rPr>
                <w:rFonts w:ascii="Calibri" w:hAnsi="Calibri"/>
                <w:i/>
                <w:sz w:val="22"/>
                <w:szCs w:val="22"/>
              </w:rPr>
            </w:pPr>
            <w:r w:rsidRPr="0075001C">
              <w:rPr>
                <w:rFonts w:ascii="Calibri" w:hAnsi="Calibri"/>
                <w:i/>
                <w:sz w:val="22"/>
                <w:szCs w:val="22"/>
              </w:rPr>
              <w:t>C</w:t>
            </w:r>
            <w:r w:rsidRPr="0075001C">
              <w:rPr>
                <w:rFonts w:ascii="Calibri" w:hAnsi="Calibri"/>
                <w:i/>
                <w:sz w:val="22"/>
                <w:szCs w:val="22"/>
                <w:vertAlign w:val="subscript"/>
              </w:rPr>
              <w:t>2</w:t>
            </w:r>
            <w:r w:rsidRPr="0075001C">
              <w:rPr>
                <w:rFonts w:ascii="Calibri" w:hAnsi="Calibri"/>
                <w:i/>
                <w:sz w:val="22"/>
                <w:szCs w:val="22"/>
              </w:rPr>
              <w:t>-Fluorenes</w:t>
            </w:r>
          </w:p>
        </w:tc>
        <w:tc>
          <w:tcPr>
            <w:tcW w:w="412" w:type="pct"/>
          </w:tcPr>
          <w:p w14:paraId="11410001" w14:textId="77777777" w:rsidR="00FC360C" w:rsidRPr="0075001C" w:rsidRDefault="00FC360C" w:rsidP="0075001C">
            <w:pPr>
              <w:pStyle w:val="BodyText"/>
              <w:spacing w:after="0" w:line="276" w:lineRule="auto"/>
              <w:rPr>
                <w:rFonts w:ascii="Calibri" w:hAnsi="Calibri"/>
                <w:i/>
                <w:sz w:val="22"/>
                <w:szCs w:val="22"/>
              </w:rPr>
            </w:pPr>
            <w:r w:rsidRPr="0075001C">
              <w:rPr>
                <w:rFonts w:ascii="Calibri" w:hAnsi="Calibri"/>
                <w:i/>
                <w:sz w:val="22"/>
                <w:szCs w:val="22"/>
              </w:rPr>
              <w:t>194</w:t>
            </w:r>
          </w:p>
        </w:tc>
        <w:tc>
          <w:tcPr>
            <w:tcW w:w="2057" w:type="pct"/>
            <w:tcBorders>
              <w:left w:val="single" w:sz="6" w:space="0" w:color="auto"/>
            </w:tcBorders>
          </w:tcPr>
          <w:p w14:paraId="05A9D173"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Benzo[</w:t>
            </w:r>
            <w:r w:rsidRPr="0075001C">
              <w:rPr>
                <w:rFonts w:ascii="Calibri" w:hAnsi="Calibri"/>
                <w:i/>
                <w:sz w:val="22"/>
                <w:szCs w:val="22"/>
              </w:rPr>
              <w:t>b</w:t>
            </w:r>
            <w:r w:rsidRPr="0075001C">
              <w:rPr>
                <w:rFonts w:ascii="Calibri" w:hAnsi="Calibri"/>
                <w:sz w:val="22"/>
                <w:szCs w:val="22"/>
              </w:rPr>
              <w:t>]fluoranthene</w:t>
            </w:r>
          </w:p>
        </w:tc>
        <w:tc>
          <w:tcPr>
            <w:tcW w:w="412" w:type="pct"/>
            <w:tcBorders>
              <w:right w:val="single" w:sz="4" w:space="0" w:color="auto"/>
            </w:tcBorders>
          </w:tcPr>
          <w:p w14:paraId="5ED4ED43"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252</w:t>
            </w:r>
          </w:p>
        </w:tc>
      </w:tr>
      <w:tr w:rsidR="00FC360C" w:rsidRPr="00F63BAF" w14:paraId="3EC27D66" w14:textId="77777777" w:rsidTr="0075001C">
        <w:trPr>
          <w:cantSplit/>
        </w:trPr>
        <w:tc>
          <w:tcPr>
            <w:tcW w:w="2119" w:type="pct"/>
            <w:tcBorders>
              <w:left w:val="single" w:sz="4" w:space="0" w:color="auto"/>
            </w:tcBorders>
          </w:tcPr>
          <w:p w14:paraId="53805E17" w14:textId="77777777" w:rsidR="00FC360C" w:rsidRPr="0075001C" w:rsidRDefault="00FC360C" w:rsidP="0075001C">
            <w:pPr>
              <w:pStyle w:val="BodyText"/>
              <w:spacing w:after="0" w:line="276" w:lineRule="auto"/>
              <w:rPr>
                <w:rFonts w:ascii="Calibri" w:hAnsi="Calibri"/>
                <w:i/>
                <w:sz w:val="22"/>
                <w:szCs w:val="22"/>
              </w:rPr>
            </w:pPr>
            <w:r w:rsidRPr="0075001C">
              <w:rPr>
                <w:rFonts w:ascii="Calibri" w:hAnsi="Calibri"/>
                <w:i/>
                <w:sz w:val="22"/>
                <w:szCs w:val="22"/>
              </w:rPr>
              <w:t>C</w:t>
            </w:r>
            <w:r w:rsidRPr="0075001C">
              <w:rPr>
                <w:rFonts w:ascii="Calibri" w:hAnsi="Calibri"/>
                <w:i/>
                <w:sz w:val="22"/>
                <w:szCs w:val="22"/>
                <w:vertAlign w:val="subscript"/>
              </w:rPr>
              <w:t>3</w:t>
            </w:r>
            <w:r w:rsidRPr="0075001C">
              <w:rPr>
                <w:rFonts w:ascii="Calibri" w:hAnsi="Calibri"/>
                <w:i/>
                <w:sz w:val="22"/>
                <w:szCs w:val="22"/>
              </w:rPr>
              <w:t>-Fluorenes</w:t>
            </w:r>
          </w:p>
        </w:tc>
        <w:tc>
          <w:tcPr>
            <w:tcW w:w="412" w:type="pct"/>
          </w:tcPr>
          <w:p w14:paraId="7EA66EE5" w14:textId="77777777" w:rsidR="00FC360C" w:rsidRPr="0075001C" w:rsidRDefault="00FC360C" w:rsidP="0075001C">
            <w:pPr>
              <w:pStyle w:val="BodyText"/>
              <w:spacing w:after="0" w:line="276" w:lineRule="auto"/>
              <w:rPr>
                <w:rFonts w:ascii="Calibri" w:hAnsi="Calibri"/>
                <w:i/>
                <w:sz w:val="22"/>
                <w:szCs w:val="22"/>
              </w:rPr>
            </w:pPr>
            <w:r w:rsidRPr="0075001C">
              <w:rPr>
                <w:rFonts w:ascii="Calibri" w:hAnsi="Calibri"/>
                <w:i/>
                <w:sz w:val="22"/>
                <w:szCs w:val="22"/>
              </w:rPr>
              <w:t>208</w:t>
            </w:r>
          </w:p>
        </w:tc>
        <w:tc>
          <w:tcPr>
            <w:tcW w:w="2057" w:type="pct"/>
            <w:tcBorders>
              <w:left w:val="single" w:sz="6" w:space="0" w:color="auto"/>
            </w:tcBorders>
          </w:tcPr>
          <w:p w14:paraId="51F93F87"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Benzo[</w:t>
            </w:r>
            <w:r w:rsidRPr="0075001C">
              <w:rPr>
                <w:rFonts w:ascii="Calibri" w:hAnsi="Calibri"/>
                <w:i/>
                <w:sz w:val="22"/>
                <w:szCs w:val="22"/>
              </w:rPr>
              <w:t>j</w:t>
            </w:r>
            <w:r w:rsidRPr="0075001C">
              <w:rPr>
                <w:rFonts w:ascii="Calibri" w:hAnsi="Calibri"/>
                <w:sz w:val="22"/>
                <w:szCs w:val="22"/>
              </w:rPr>
              <w:t>]fluoranthene</w:t>
            </w:r>
          </w:p>
        </w:tc>
        <w:tc>
          <w:tcPr>
            <w:tcW w:w="412" w:type="pct"/>
            <w:tcBorders>
              <w:right w:val="single" w:sz="4" w:space="0" w:color="auto"/>
            </w:tcBorders>
          </w:tcPr>
          <w:p w14:paraId="6206ED17"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252</w:t>
            </w:r>
          </w:p>
        </w:tc>
      </w:tr>
      <w:tr w:rsidR="00FC360C" w:rsidRPr="00F63BAF" w14:paraId="0CA6C714" w14:textId="77777777" w:rsidTr="0075001C">
        <w:trPr>
          <w:cantSplit/>
        </w:trPr>
        <w:tc>
          <w:tcPr>
            <w:tcW w:w="2119" w:type="pct"/>
            <w:tcBorders>
              <w:left w:val="single" w:sz="4" w:space="0" w:color="auto"/>
            </w:tcBorders>
          </w:tcPr>
          <w:p w14:paraId="46517710"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Dibenzothiophene</w:t>
            </w:r>
          </w:p>
        </w:tc>
        <w:tc>
          <w:tcPr>
            <w:tcW w:w="412" w:type="pct"/>
          </w:tcPr>
          <w:p w14:paraId="3E5185D1"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184</w:t>
            </w:r>
          </w:p>
        </w:tc>
        <w:tc>
          <w:tcPr>
            <w:tcW w:w="2057" w:type="pct"/>
            <w:tcBorders>
              <w:left w:val="single" w:sz="6" w:space="0" w:color="auto"/>
            </w:tcBorders>
          </w:tcPr>
          <w:p w14:paraId="58877712"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Benzo[</w:t>
            </w:r>
            <w:r w:rsidRPr="0075001C">
              <w:rPr>
                <w:rFonts w:ascii="Calibri" w:hAnsi="Calibri"/>
                <w:i/>
                <w:sz w:val="22"/>
                <w:szCs w:val="22"/>
              </w:rPr>
              <w:t>k</w:t>
            </w:r>
            <w:r w:rsidRPr="0075001C">
              <w:rPr>
                <w:rFonts w:ascii="Calibri" w:hAnsi="Calibri"/>
                <w:sz w:val="22"/>
                <w:szCs w:val="22"/>
              </w:rPr>
              <w:t>]fluoranthene</w:t>
            </w:r>
          </w:p>
        </w:tc>
        <w:tc>
          <w:tcPr>
            <w:tcW w:w="412" w:type="pct"/>
            <w:tcBorders>
              <w:right w:val="single" w:sz="4" w:space="0" w:color="auto"/>
            </w:tcBorders>
          </w:tcPr>
          <w:p w14:paraId="5FEFC6B4"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252</w:t>
            </w:r>
          </w:p>
        </w:tc>
      </w:tr>
      <w:tr w:rsidR="00FC360C" w:rsidRPr="00F63BAF" w14:paraId="582CF938" w14:textId="77777777" w:rsidTr="0075001C">
        <w:trPr>
          <w:cantSplit/>
          <w:trHeight w:val="281"/>
        </w:trPr>
        <w:tc>
          <w:tcPr>
            <w:tcW w:w="2119" w:type="pct"/>
            <w:tcBorders>
              <w:left w:val="single" w:sz="4" w:space="0" w:color="auto"/>
            </w:tcBorders>
          </w:tcPr>
          <w:p w14:paraId="752FFC04"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C</w:t>
            </w:r>
            <w:r w:rsidRPr="0075001C">
              <w:rPr>
                <w:rFonts w:ascii="Calibri" w:hAnsi="Calibri"/>
                <w:sz w:val="22"/>
                <w:szCs w:val="22"/>
                <w:vertAlign w:val="subscript"/>
              </w:rPr>
              <w:t>1</w:t>
            </w:r>
            <w:r w:rsidRPr="0075001C">
              <w:rPr>
                <w:rFonts w:ascii="Calibri" w:hAnsi="Calibri"/>
                <w:sz w:val="22"/>
                <w:szCs w:val="22"/>
              </w:rPr>
              <w:t>-Dibenzothiophenes</w:t>
            </w:r>
          </w:p>
        </w:tc>
        <w:tc>
          <w:tcPr>
            <w:tcW w:w="412" w:type="pct"/>
          </w:tcPr>
          <w:p w14:paraId="4CE416AB"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198</w:t>
            </w:r>
          </w:p>
        </w:tc>
        <w:tc>
          <w:tcPr>
            <w:tcW w:w="2057" w:type="pct"/>
            <w:tcBorders>
              <w:left w:val="single" w:sz="6" w:space="0" w:color="auto"/>
            </w:tcBorders>
          </w:tcPr>
          <w:p w14:paraId="654689A4"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Benzo[</w:t>
            </w:r>
            <w:r w:rsidRPr="0075001C">
              <w:rPr>
                <w:rFonts w:ascii="Calibri" w:hAnsi="Calibri"/>
                <w:i/>
                <w:sz w:val="22"/>
                <w:szCs w:val="22"/>
              </w:rPr>
              <w:t>e</w:t>
            </w:r>
            <w:r w:rsidRPr="0075001C">
              <w:rPr>
                <w:rFonts w:ascii="Calibri" w:hAnsi="Calibri"/>
                <w:sz w:val="22"/>
                <w:szCs w:val="22"/>
              </w:rPr>
              <w:t>]pyrene</w:t>
            </w:r>
          </w:p>
        </w:tc>
        <w:tc>
          <w:tcPr>
            <w:tcW w:w="412" w:type="pct"/>
            <w:tcBorders>
              <w:right w:val="single" w:sz="4" w:space="0" w:color="auto"/>
            </w:tcBorders>
          </w:tcPr>
          <w:p w14:paraId="5E1B4B84"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252</w:t>
            </w:r>
          </w:p>
        </w:tc>
      </w:tr>
      <w:tr w:rsidR="00FC360C" w:rsidRPr="00F63BAF" w14:paraId="7B30586F" w14:textId="77777777" w:rsidTr="0075001C">
        <w:trPr>
          <w:cantSplit/>
          <w:trHeight w:val="281"/>
        </w:trPr>
        <w:tc>
          <w:tcPr>
            <w:tcW w:w="2119" w:type="pct"/>
            <w:tcBorders>
              <w:left w:val="single" w:sz="4" w:space="0" w:color="auto"/>
            </w:tcBorders>
          </w:tcPr>
          <w:p w14:paraId="5061B342" w14:textId="77777777" w:rsidR="00FC360C" w:rsidRPr="0075001C" w:rsidRDefault="00FC360C" w:rsidP="0075001C">
            <w:pPr>
              <w:pStyle w:val="BodyText"/>
              <w:spacing w:after="0" w:line="276" w:lineRule="auto"/>
              <w:rPr>
                <w:rFonts w:ascii="Calibri" w:hAnsi="Calibri"/>
                <w:i/>
                <w:sz w:val="22"/>
                <w:szCs w:val="22"/>
              </w:rPr>
            </w:pPr>
            <w:r w:rsidRPr="0075001C">
              <w:rPr>
                <w:rFonts w:ascii="Calibri" w:hAnsi="Calibri"/>
                <w:i/>
                <w:sz w:val="22"/>
                <w:szCs w:val="22"/>
              </w:rPr>
              <w:t>C</w:t>
            </w:r>
            <w:r w:rsidRPr="0075001C">
              <w:rPr>
                <w:rFonts w:ascii="Calibri" w:hAnsi="Calibri"/>
                <w:i/>
                <w:sz w:val="22"/>
                <w:szCs w:val="22"/>
                <w:vertAlign w:val="subscript"/>
              </w:rPr>
              <w:t>2</w:t>
            </w:r>
            <w:r w:rsidRPr="0075001C">
              <w:rPr>
                <w:rFonts w:ascii="Calibri" w:hAnsi="Calibri"/>
                <w:i/>
                <w:sz w:val="22"/>
                <w:szCs w:val="22"/>
              </w:rPr>
              <w:t>-Dibenzothiophenes</w:t>
            </w:r>
          </w:p>
        </w:tc>
        <w:tc>
          <w:tcPr>
            <w:tcW w:w="412" w:type="pct"/>
          </w:tcPr>
          <w:p w14:paraId="4F26C39E"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212</w:t>
            </w:r>
          </w:p>
        </w:tc>
        <w:tc>
          <w:tcPr>
            <w:tcW w:w="2057" w:type="pct"/>
            <w:tcBorders>
              <w:left w:val="single" w:sz="6" w:space="0" w:color="auto"/>
            </w:tcBorders>
          </w:tcPr>
          <w:p w14:paraId="1D2B59AB"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Benzo[</w:t>
            </w:r>
            <w:r w:rsidRPr="0075001C">
              <w:rPr>
                <w:rFonts w:ascii="Calibri" w:hAnsi="Calibri"/>
                <w:i/>
                <w:sz w:val="22"/>
                <w:szCs w:val="22"/>
              </w:rPr>
              <w:t>a</w:t>
            </w:r>
            <w:r w:rsidRPr="0075001C">
              <w:rPr>
                <w:rFonts w:ascii="Calibri" w:hAnsi="Calibri"/>
                <w:sz w:val="22"/>
                <w:szCs w:val="22"/>
              </w:rPr>
              <w:t>]pyrene</w:t>
            </w:r>
          </w:p>
        </w:tc>
        <w:tc>
          <w:tcPr>
            <w:tcW w:w="412" w:type="pct"/>
            <w:tcBorders>
              <w:right w:val="single" w:sz="4" w:space="0" w:color="auto"/>
            </w:tcBorders>
          </w:tcPr>
          <w:p w14:paraId="231BC3B9"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252</w:t>
            </w:r>
          </w:p>
        </w:tc>
      </w:tr>
      <w:tr w:rsidR="00FC360C" w:rsidRPr="00F63BAF" w14:paraId="24A9970D" w14:textId="77777777" w:rsidTr="0075001C">
        <w:trPr>
          <w:cantSplit/>
          <w:trHeight w:val="281"/>
        </w:trPr>
        <w:tc>
          <w:tcPr>
            <w:tcW w:w="2119" w:type="pct"/>
            <w:tcBorders>
              <w:left w:val="single" w:sz="4" w:space="0" w:color="auto"/>
            </w:tcBorders>
          </w:tcPr>
          <w:p w14:paraId="08BD9E6D" w14:textId="77777777" w:rsidR="00FC360C" w:rsidRPr="0075001C" w:rsidRDefault="00FC360C" w:rsidP="0075001C">
            <w:pPr>
              <w:pStyle w:val="BodyText"/>
              <w:spacing w:after="0" w:line="276" w:lineRule="auto"/>
              <w:rPr>
                <w:rFonts w:ascii="Calibri" w:hAnsi="Calibri"/>
                <w:i/>
                <w:sz w:val="22"/>
                <w:szCs w:val="22"/>
              </w:rPr>
            </w:pPr>
            <w:r w:rsidRPr="0075001C">
              <w:rPr>
                <w:rFonts w:ascii="Calibri" w:hAnsi="Calibri"/>
                <w:i/>
                <w:sz w:val="22"/>
                <w:szCs w:val="22"/>
              </w:rPr>
              <w:t>C</w:t>
            </w:r>
            <w:r w:rsidRPr="0075001C">
              <w:rPr>
                <w:rFonts w:ascii="Calibri" w:hAnsi="Calibri"/>
                <w:i/>
                <w:sz w:val="22"/>
                <w:szCs w:val="22"/>
                <w:vertAlign w:val="subscript"/>
              </w:rPr>
              <w:t>3</w:t>
            </w:r>
            <w:r w:rsidRPr="0075001C">
              <w:rPr>
                <w:rFonts w:ascii="Calibri" w:hAnsi="Calibri"/>
                <w:i/>
                <w:sz w:val="22"/>
                <w:szCs w:val="22"/>
              </w:rPr>
              <w:t>-Dibenzothiophenes</w:t>
            </w:r>
          </w:p>
        </w:tc>
        <w:tc>
          <w:tcPr>
            <w:tcW w:w="412" w:type="pct"/>
          </w:tcPr>
          <w:p w14:paraId="6D737810"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226</w:t>
            </w:r>
          </w:p>
        </w:tc>
        <w:tc>
          <w:tcPr>
            <w:tcW w:w="2057" w:type="pct"/>
            <w:tcBorders>
              <w:left w:val="single" w:sz="6" w:space="0" w:color="auto"/>
            </w:tcBorders>
          </w:tcPr>
          <w:p w14:paraId="01D1EE0F"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Perylene</w:t>
            </w:r>
          </w:p>
        </w:tc>
        <w:tc>
          <w:tcPr>
            <w:tcW w:w="412" w:type="pct"/>
            <w:tcBorders>
              <w:right w:val="single" w:sz="4" w:space="0" w:color="auto"/>
            </w:tcBorders>
          </w:tcPr>
          <w:p w14:paraId="6DA66CD2"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252</w:t>
            </w:r>
          </w:p>
        </w:tc>
      </w:tr>
      <w:tr w:rsidR="00FC360C" w:rsidRPr="00F63BAF" w14:paraId="6F2EFD38" w14:textId="77777777" w:rsidTr="0075001C">
        <w:trPr>
          <w:cantSplit/>
          <w:trHeight w:val="281"/>
        </w:trPr>
        <w:tc>
          <w:tcPr>
            <w:tcW w:w="2119" w:type="pct"/>
            <w:tcBorders>
              <w:left w:val="single" w:sz="4" w:space="0" w:color="auto"/>
            </w:tcBorders>
          </w:tcPr>
          <w:p w14:paraId="1914815A"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Phenanthrene</w:t>
            </w:r>
          </w:p>
        </w:tc>
        <w:tc>
          <w:tcPr>
            <w:tcW w:w="412" w:type="pct"/>
          </w:tcPr>
          <w:p w14:paraId="42B312F1"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178</w:t>
            </w:r>
          </w:p>
        </w:tc>
        <w:tc>
          <w:tcPr>
            <w:tcW w:w="2057" w:type="pct"/>
            <w:tcBorders>
              <w:left w:val="single" w:sz="6" w:space="0" w:color="auto"/>
            </w:tcBorders>
          </w:tcPr>
          <w:p w14:paraId="6AEA78B2"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Indeno[1,2,3-</w:t>
            </w:r>
            <w:r w:rsidRPr="0075001C">
              <w:rPr>
                <w:rFonts w:ascii="Calibri" w:hAnsi="Calibri"/>
                <w:i/>
                <w:sz w:val="22"/>
                <w:szCs w:val="22"/>
              </w:rPr>
              <w:t>cd</w:t>
            </w:r>
            <w:r w:rsidRPr="0075001C">
              <w:rPr>
                <w:rFonts w:ascii="Calibri" w:hAnsi="Calibri"/>
                <w:sz w:val="22"/>
                <w:szCs w:val="22"/>
              </w:rPr>
              <w:t>]pyrene</w:t>
            </w:r>
          </w:p>
        </w:tc>
        <w:tc>
          <w:tcPr>
            <w:tcW w:w="412" w:type="pct"/>
            <w:tcBorders>
              <w:right w:val="single" w:sz="4" w:space="0" w:color="auto"/>
            </w:tcBorders>
          </w:tcPr>
          <w:p w14:paraId="40253A01"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276</w:t>
            </w:r>
          </w:p>
        </w:tc>
      </w:tr>
      <w:tr w:rsidR="00FC360C" w:rsidRPr="00F63BAF" w14:paraId="35ABDBA4" w14:textId="77777777" w:rsidTr="0075001C">
        <w:trPr>
          <w:cantSplit/>
          <w:trHeight w:val="60"/>
        </w:trPr>
        <w:tc>
          <w:tcPr>
            <w:tcW w:w="2119" w:type="pct"/>
            <w:tcBorders>
              <w:left w:val="single" w:sz="4" w:space="0" w:color="auto"/>
            </w:tcBorders>
          </w:tcPr>
          <w:p w14:paraId="78B54AC5"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Anthracene</w:t>
            </w:r>
          </w:p>
        </w:tc>
        <w:tc>
          <w:tcPr>
            <w:tcW w:w="412" w:type="pct"/>
          </w:tcPr>
          <w:p w14:paraId="5E026A77"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178</w:t>
            </w:r>
          </w:p>
        </w:tc>
        <w:tc>
          <w:tcPr>
            <w:tcW w:w="2057" w:type="pct"/>
            <w:tcBorders>
              <w:left w:val="single" w:sz="6" w:space="0" w:color="auto"/>
            </w:tcBorders>
          </w:tcPr>
          <w:p w14:paraId="1DBB3DA9"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Benzo[</w:t>
            </w:r>
            <w:r w:rsidRPr="0075001C">
              <w:rPr>
                <w:rFonts w:ascii="Calibri" w:hAnsi="Calibri"/>
                <w:i/>
                <w:sz w:val="22"/>
                <w:szCs w:val="22"/>
              </w:rPr>
              <w:t>ghi</w:t>
            </w:r>
            <w:r w:rsidRPr="0075001C">
              <w:rPr>
                <w:rFonts w:ascii="Calibri" w:hAnsi="Calibri"/>
                <w:sz w:val="22"/>
                <w:szCs w:val="22"/>
              </w:rPr>
              <w:t>]perylene</w:t>
            </w:r>
          </w:p>
        </w:tc>
        <w:tc>
          <w:tcPr>
            <w:tcW w:w="412" w:type="pct"/>
            <w:tcBorders>
              <w:right w:val="single" w:sz="4" w:space="0" w:color="auto"/>
            </w:tcBorders>
          </w:tcPr>
          <w:p w14:paraId="33393B7C"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276</w:t>
            </w:r>
          </w:p>
        </w:tc>
      </w:tr>
      <w:tr w:rsidR="00FC360C" w:rsidRPr="00F63BAF" w14:paraId="3BBEFCB5" w14:textId="77777777" w:rsidTr="0075001C">
        <w:trPr>
          <w:cantSplit/>
          <w:trHeight w:val="281"/>
        </w:trPr>
        <w:tc>
          <w:tcPr>
            <w:tcW w:w="2119" w:type="pct"/>
            <w:tcBorders>
              <w:left w:val="single" w:sz="4" w:space="0" w:color="auto"/>
            </w:tcBorders>
          </w:tcPr>
          <w:p w14:paraId="1D15E305"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C</w:t>
            </w:r>
            <w:r w:rsidRPr="0075001C">
              <w:rPr>
                <w:rFonts w:ascii="Calibri" w:hAnsi="Calibri"/>
                <w:sz w:val="22"/>
                <w:szCs w:val="22"/>
                <w:vertAlign w:val="subscript"/>
              </w:rPr>
              <w:t>1</w:t>
            </w:r>
            <w:r w:rsidRPr="0075001C">
              <w:rPr>
                <w:rFonts w:ascii="Calibri" w:hAnsi="Calibri"/>
                <w:sz w:val="22"/>
                <w:szCs w:val="22"/>
              </w:rPr>
              <w:t>-Phenanthrenes/Anthracenes</w:t>
            </w:r>
          </w:p>
        </w:tc>
        <w:tc>
          <w:tcPr>
            <w:tcW w:w="412" w:type="pct"/>
          </w:tcPr>
          <w:p w14:paraId="6BB2F262"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192</w:t>
            </w:r>
          </w:p>
        </w:tc>
        <w:tc>
          <w:tcPr>
            <w:tcW w:w="2057" w:type="pct"/>
            <w:tcBorders>
              <w:left w:val="single" w:sz="6" w:space="0" w:color="auto"/>
            </w:tcBorders>
          </w:tcPr>
          <w:p w14:paraId="4B0982F3"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Dibenz[</w:t>
            </w:r>
            <w:r w:rsidRPr="0075001C">
              <w:rPr>
                <w:rFonts w:ascii="Calibri" w:hAnsi="Calibri"/>
                <w:i/>
                <w:sz w:val="22"/>
                <w:szCs w:val="22"/>
              </w:rPr>
              <w:t>a,h</w:t>
            </w:r>
            <w:r w:rsidRPr="0075001C">
              <w:rPr>
                <w:rFonts w:ascii="Calibri" w:hAnsi="Calibri"/>
                <w:sz w:val="22"/>
                <w:szCs w:val="22"/>
              </w:rPr>
              <w:t>]anthracene</w:t>
            </w:r>
          </w:p>
        </w:tc>
        <w:tc>
          <w:tcPr>
            <w:tcW w:w="412" w:type="pct"/>
            <w:tcBorders>
              <w:right w:val="single" w:sz="4" w:space="0" w:color="auto"/>
            </w:tcBorders>
          </w:tcPr>
          <w:p w14:paraId="46F18D1A"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278</w:t>
            </w:r>
          </w:p>
        </w:tc>
      </w:tr>
      <w:tr w:rsidR="00FC360C" w:rsidRPr="00F63BAF" w14:paraId="65ACD811" w14:textId="77777777" w:rsidTr="0075001C">
        <w:trPr>
          <w:cantSplit/>
          <w:trHeight w:val="281"/>
        </w:trPr>
        <w:tc>
          <w:tcPr>
            <w:tcW w:w="2119" w:type="pct"/>
            <w:tcBorders>
              <w:left w:val="single" w:sz="4" w:space="0" w:color="auto"/>
            </w:tcBorders>
          </w:tcPr>
          <w:p w14:paraId="28F17290"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C</w:t>
            </w:r>
            <w:r w:rsidRPr="0075001C">
              <w:rPr>
                <w:rFonts w:ascii="Calibri" w:hAnsi="Calibri"/>
                <w:sz w:val="22"/>
                <w:szCs w:val="22"/>
                <w:vertAlign w:val="subscript"/>
              </w:rPr>
              <w:t>2</w:t>
            </w:r>
            <w:r w:rsidRPr="0075001C">
              <w:rPr>
                <w:rFonts w:ascii="Calibri" w:hAnsi="Calibri"/>
                <w:sz w:val="22"/>
                <w:szCs w:val="22"/>
              </w:rPr>
              <w:t>-Phenanthrenes/Anthracenes</w:t>
            </w:r>
          </w:p>
        </w:tc>
        <w:tc>
          <w:tcPr>
            <w:tcW w:w="412" w:type="pct"/>
          </w:tcPr>
          <w:p w14:paraId="51C4CABD"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206</w:t>
            </w:r>
          </w:p>
        </w:tc>
        <w:tc>
          <w:tcPr>
            <w:tcW w:w="2057" w:type="pct"/>
            <w:tcBorders>
              <w:left w:val="single" w:sz="6" w:space="0" w:color="auto"/>
            </w:tcBorders>
          </w:tcPr>
          <w:p w14:paraId="05A298FE"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Benzo[</w:t>
            </w:r>
            <w:r w:rsidRPr="0075001C">
              <w:rPr>
                <w:rFonts w:ascii="Calibri" w:hAnsi="Calibri"/>
                <w:i/>
                <w:sz w:val="22"/>
                <w:szCs w:val="22"/>
              </w:rPr>
              <w:t>k</w:t>
            </w:r>
            <w:r w:rsidRPr="0075001C">
              <w:rPr>
                <w:rFonts w:ascii="Calibri" w:hAnsi="Calibri"/>
                <w:sz w:val="22"/>
                <w:szCs w:val="22"/>
              </w:rPr>
              <w:t>]fluoranthene</w:t>
            </w:r>
          </w:p>
        </w:tc>
        <w:tc>
          <w:tcPr>
            <w:tcW w:w="412" w:type="pct"/>
            <w:tcBorders>
              <w:right w:val="single" w:sz="4" w:space="0" w:color="auto"/>
            </w:tcBorders>
          </w:tcPr>
          <w:p w14:paraId="49D40411"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252</w:t>
            </w:r>
          </w:p>
        </w:tc>
      </w:tr>
      <w:tr w:rsidR="00FC360C" w:rsidRPr="00F63BAF" w14:paraId="46D1EF24" w14:textId="77777777" w:rsidTr="0075001C">
        <w:trPr>
          <w:cantSplit/>
          <w:trHeight w:val="281"/>
        </w:trPr>
        <w:tc>
          <w:tcPr>
            <w:tcW w:w="2119" w:type="pct"/>
            <w:tcBorders>
              <w:left w:val="single" w:sz="4" w:space="0" w:color="auto"/>
            </w:tcBorders>
          </w:tcPr>
          <w:p w14:paraId="32E9E07D"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C</w:t>
            </w:r>
            <w:r w:rsidRPr="0075001C">
              <w:rPr>
                <w:rFonts w:ascii="Calibri" w:hAnsi="Calibri"/>
                <w:sz w:val="22"/>
                <w:szCs w:val="22"/>
                <w:vertAlign w:val="subscript"/>
              </w:rPr>
              <w:t>3</w:t>
            </w:r>
            <w:r w:rsidRPr="0075001C">
              <w:rPr>
                <w:rFonts w:ascii="Calibri" w:hAnsi="Calibri"/>
                <w:sz w:val="22"/>
                <w:szCs w:val="22"/>
              </w:rPr>
              <w:t>-Phenanthrenes/Anthracenes</w:t>
            </w:r>
          </w:p>
        </w:tc>
        <w:tc>
          <w:tcPr>
            <w:tcW w:w="412" w:type="pct"/>
          </w:tcPr>
          <w:p w14:paraId="5155ECDB"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220</w:t>
            </w:r>
          </w:p>
        </w:tc>
        <w:tc>
          <w:tcPr>
            <w:tcW w:w="2057" w:type="pct"/>
            <w:tcBorders>
              <w:left w:val="single" w:sz="6" w:space="0" w:color="auto"/>
            </w:tcBorders>
          </w:tcPr>
          <w:p w14:paraId="686C7867"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Cyclopenta[</w:t>
            </w:r>
            <w:r w:rsidRPr="0075001C">
              <w:rPr>
                <w:rFonts w:ascii="Calibri" w:hAnsi="Calibri"/>
                <w:i/>
                <w:sz w:val="22"/>
                <w:szCs w:val="22"/>
              </w:rPr>
              <w:t>cd</w:t>
            </w:r>
            <w:r w:rsidRPr="0075001C">
              <w:rPr>
                <w:rFonts w:ascii="Calibri" w:hAnsi="Calibri"/>
                <w:sz w:val="22"/>
                <w:szCs w:val="22"/>
              </w:rPr>
              <w:t>]pyrene</w:t>
            </w:r>
          </w:p>
        </w:tc>
        <w:tc>
          <w:tcPr>
            <w:tcW w:w="412" w:type="pct"/>
            <w:tcBorders>
              <w:right w:val="single" w:sz="4" w:space="0" w:color="auto"/>
            </w:tcBorders>
          </w:tcPr>
          <w:p w14:paraId="2454085F"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226</w:t>
            </w:r>
          </w:p>
        </w:tc>
      </w:tr>
      <w:tr w:rsidR="00FC360C" w:rsidRPr="00F63BAF" w14:paraId="53304C19" w14:textId="77777777" w:rsidTr="0075001C">
        <w:trPr>
          <w:cantSplit/>
        </w:trPr>
        <w:tc>
          <w:tcPr>
            <w:tcW w:w="2119" w:type="pct"/>
            <w:tcBorders>
              <w:left w:val="single" w:sz="4" w:space="0" w:color="auto"/>
            </w:tcBorders>
          </w:tcPr>
          <w:p w14:paraId="7ED00E9E"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Fluoranthene</w:t>
            </w:r>
          </w:p>
        </w:tc>
        <w:tc>
          <w:tcPr>
            <w:tcW w:w="412" w:type="pct"/>
          </w:tcPr>
          <w:p w14:paraId="0ECDBBBD"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202</w:t>
            </w:r>
          </w:p>
        </w:tc>
        <w:tc>
          <w:tcPr>
            <w:tcW w:w="2057" w:type="pct"/>
            <w:tcBorders>
              <w:left w:val="single" w:sz="6" w:space="0" w:color="auto"/>
            </w:tcBorders>
          </w:tcPr>
          <w:p w14:paraId="05A7EA5A"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Naphtho[2,1-</w:t>
            </w:r>
            <w:r w:rsidRPr="0075001C">
              <w:rPr>
                <w:rFonts w:ascii="Calibri" w:hAnsi="Calibri"/>
                <w:i/>
                <w:sz w:val="22"/>
                <w:szCs w:val="22"/>
              </w:rPr>
              <w:t>a</w:t>
            </w:r>
            <w:r w:rsidRPr="0075001C">
              <w:rPr>
                <w:rFonts w:ascii="Calibri" w:hAnsi="Calibri"/>
                <w:sz w:val="22"/>
                <w:szCs w:val="22"/>
              </w:rPr>
              <w:t>]pyrene</w:t>
            </w:r>
          </w:p>
        </w:tc>
        <w:tc>
          <w:tcPr>
            <w:tcW w:w="412" w:type="pct"/>
            <w:tcBorders>
              <w:right w:val="single" w:sz="4" w:space="0" w:color="auto"/>
            </w:tcBorders>
          </w:tcPr>
          <w:p w14:paraId="15D62403"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302</w:t>
            </w:r>
          </w:p>
        </w:tc>
      </w:tr>
      <w:tr w:rsidR="00FC360C" w:rsidRPr="00F63BAF" w14:paraId="07523B3F" w14:textId="77777777" w:rsidTr="0075001C">
        <w:trPr>
          <w:cantSplit/>
        </w:trPr>
        <w:tc>
          <w:tcPr>
            <w:tcW w:w="2119" w:type="pct"/>
            <w:tcBorders>
              <w:left w:val="single" w:sz="4" w:space="0" w:color="auto"/>
            </w:tcBorders>
          </w:tcPr>
          <w:p w14:paraId="7EE44015"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Pyrene</w:t>
            </w:r>
          </w:p>
        </w:tc>
        <w:tc>
          <w:tcPr>
            <w:tcW w:w="412" w:type="pct"/>
          </w:tcPr>
          <w:p w14:paraId="157B6024"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202</w:t>
            </w:r>
          </w:p>
        </w:tc>
        <w:tc>
          <w:tcPr>
            <w:tcW w:w="2057" w:type="pct"/>
            <w:tcBorders>
              <w:left w:val="single" w:sz="6" w:space="0" w:color="auto"/>
            </w:tcBorders>
          </w:tcPr>
          <w:p w14:paraId="3923F7F5"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Dibenz[</w:t>
            </w:r>
            <w:r w:rsidRPr="0075001C">
              <w:rPr>
                <w:rFonts w:ascii="Calibri" w:hAnsi="Calibri"/>
                <w:i/>
                <w:sz w:val="22"/>
                <w:szCs w:val="22"/>
              </w:rPr>
              <w:t>a,e</w:t>
            </w:r>
            <w:r w:rsidRPr="0075001C">
              <w:rPr>
                <w:rFonts w:ascii="Calibri" w:hAnsi="Calibri"/>
                <w:sz w:val="22"/>
                <w:szCs w:val="22"/>
              </w:rPr>
              <w:t>]pyrene</w:t>
            </w:r>
          </w:p>
        </w:tc>
        <w:tc>
          <w:tcPr>
            <w:tcW w:w="412" w:type="pct"/>
            <w:tcBorders>
              <w:right w:val="single" w:sz="4" w:space="0" w:color="auto"/>
            </w:tcBorders>
          </w:tcPr>
          <w:p w14:paraId="33EC324B"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302</w:t>
            </w:r>
          </w:p>
        </w:tc>
      </w:tr>
      <w:tr w:rsidR="00FC360C" w:rsidRPr="00F63BAF" w14:paraId="3E60658F" w14:textId="77777777" w:rsidTr="0075001C">
        <w:trPr>
          <w:cantSplit/>
        </w:trPr>
        <w:tc>
          <w:tcPr>
            <w:tcW w:w="2119" w:type="pct"/>
            <w:tcBorders>
              <w:left w:val="single" w:sz="4" w:space="0" w:color="auto"/>
            </w:tcBorders>
          </w:tcPr>
          <w:p w14:paraId="78B784C0"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C</w:t>
            </w:r>
            <w:r w:rsidRPr="0075001C">
              <w:rPr>
                <w:rFonts w:ascii="Calibri" w:hAnsi="Calibri"/>
                <w:sz w:val="22"/>
                <w:szCs w:val="22"/>
                <w:vertAlign w:val="subscript"/>
              </w:rPr>
              <w:t>1</w:t>
            </w:r>
            <w:r w:rsidRPr="0075001C">
              <w:rPr>
                <w:rFonts w:ascii="Calibri" w:hAnsi="Calibri"/>
                <w:sz w:val="22"/>
                <w:szCs w:val="22"/>
              </w:rPr>
              <w:t>-Fluoranthenes/Pyrenes</w:t>
            </w:r>
          </w:p>
        </w:tc>
        <w:tc>
          <w:tcPr>
            <w:tcW w:w="412" w:type="pct"/>
          </w:tcPr>
          <w:p w14:paraId="336CA1AD"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216</w:t>
            </w:r>
          </w:p>
        </w:tc>
        <w:tc>
          <w:tcPr>
            <w:tcW w:w="2057" w:type="pct"/>
            <w:tcBorders>
              <w:left w:val="single" w:sz="6" w:space="0" w:color="auto"/>
            </w:tcBorders>
          </w:tcPr>
          <w:p w14:paraId="69834149"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Dibenz[</w:t>
            </w:r>
            <w:r w:rsidRPr="0075001C">
              <w:rPr>
                <w:rFonts w:ascii="Calibri" w:hAnsi="Calibri"/>
                <w:i/>
                <w:sz w:val="22"/>
                <w:szCs w:val="22"/>
              </w:rPr>
              <w:t>a,i</w:t>
            </w:r>
            <w:r w:rsidRPr="0075001C">
              <w:rPr>
                <w:rFonts w:ascii="Calibri" w:hAnsi="Calibri"/>
                <w:sz w:val="22"/>
                <w:szCs w:val="22"/>
              </w:rPr>
              <w:t>]pyrene</w:t>
            </w:r>
          </w:p>
        </w:tc>
        <w:tc>
          <w:tcPr>
            <w:tcW w:w="412" w:type="pct"/>
            <w:tcBorders>
              <w:right w:val="single" w:sz="4" w:space="0" w:color="auto"/>
            </w:tcBorders>
          </w:tcPr>
          <w:p w14:paraId="6B6C8CBF"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302</w:t>
            </w:r>
          </w:p>
        </w:tc>
      </w:tr>
      <w:tr w:rsidR="00FC360C" w:rsidRPr="00F63BAF" w14:paraId="304344AD" w14:textId="77777777" w:rsidTr="0075001C">
        <w:trPr>
          <w:cantSplit/>
        </w:trPr>
        <w:tc>
          <w:tcPr>
            <w:tcW w:w="2119" w:type="pct"/>
            <w:tcBorders>
              <w:left w:val="single" w:sz="4" w:space="0" w:color="auto"/>
            </w:tcBorders>
          </w:tcPr>
          <w:p w14:paraId="132507A1"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 1d-benzonapthothiophene</w:t>
            </w:r>
          </w:p>
        </w:tc>
        <w:tc>
          <w:tcPr>
            <w:tcW w:w="412" w:type="pct"/>
          </w:tcPr>
          <w:p w14:paraId="0EA25574"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234</w:t>
            </w:r>
          </w:p>
        </w:tc>
        <w:tc>
          <w:tcPr>
            <w:tcW w:w="2057" w:type="pct"/>
            <w:tcBorders>
              <w:left w:val="single" w:sz="6" w:space="0" w:color="auto"/>
            </w:tcBorders>
          </w:tcPr>
          <w:p w14:paraId="04B4EBD5"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Dibenz[</w:t>
            </w:r>
            <w:r w:rsidRPr="0075001C">
              <w:rPr>
                <w:rFonts w:ascii="Calibri" w:hAnsi="Calibri"/>
                <w:i/>
                <w:sz w:val="22"/>
                <w:szCs w:val="22"/>
              </w:rPr>
              <w:t>a,l</w:t>
            </w:r>
            <w:r w:rsidRPr="0075001C">
              <w:rPr>
                <w:rFonts w:ascii="Calibri" w:hAnsi="Calibri"/>
                <w:sz w:val="22"/>
                <w:szCs w:val="22"/>
              </w:rPr>
              <w:t>]pyrene</w:t>
            </w:r>
          </w:p>
        </w:tc>
        <w:tc>
          <w:tcPr>
            <w:tcW w:w="412" w:type="pct"/>
            <w:tcBorders>
              <w:right w:val="single" w:sz="4" w:space="0" w:color="auto"/>
            </w:tcBorders>
          </w:tcPr>
          <w:p w14:paraId="2BC7EFB2"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302</w:t>
            </w:r>
          </w:p>
        </w:tc>
      </w:tr>
      <w:tr w:rsidR="00FC360C" w:rsidRPr="00F63BAF" w14:paraId="7917A52E" w14:textId="77777777" w:rsidTr="0075001C">
        <w:trPr>
          <w:cantSplit/>
        </w:trPr>
        <w:tc>
          <w:tcPr>
            <w:tcW w:w="2119" w:type="pct"/>
            <w:tcBorders>
              <w:left w:val="single" w:sz="4" w:space="0" w:color="auto"/>
              <w:bottom w:val="single" w:sz="4" w:space="0" w:color="auto"/>
            </w:tcBorders>
          </w:tcPr>
          <w:p w14:paraId="1FAE5F7D"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1,2d-benzonapthothiophene</w:t>
            </w:r>
          </w:p>
        </w:tc>
        <w:tc>
          <w:tcPr>
            <w:tcW w:w="412" w:type="pct"/>
            <w:tcBorders>
              <w:bottom w:val="single" w:sz="4" w:space="0" w:color="auto"/>
            </w:tcBorders>
          </w:tcPr>
          <w:p w14:paraId="7F92128D"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234</w:t>
            </w:r>
          </w:p>
        </w:tc>
        <w:tc>
          <w:tcPr>
            <w:tcW w:w="2057" w:type="pct"/>
            <w:tcBorders>
              <w:left w:val="single" w:sz="6" w:space="0" w:color="auto"/>
              <w:bottom w:val="single" w:sz="4" w:space="0" w:color="auto"/>
            </w:tcBorders>
          </w:tcPr>
          <w:p w14:paraId="21DEAAC1"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Dibenz[</w:t>
            </w:r>
            <w:r w:rsidRPr="0075001C">
              <w:rPr>
                <w:rFonts w:ascii="Calibri" w:hAnsi="Calibri"/>
                <w:i/>
                <w:sz w:val="22"/>
                <w:szCs w:val="22"/>
              </w:rPr>
              <w:t>a,h</w:t>
            </w:r>
            <w:r w:rsidRPr="0075001C">
              <w:rPr>
                <w:rFonts w:ascii="Calibri" w:hAnsi="Calibri"/>
                <w:sz w:val="22"/>
                <w:szCs w:val="22"/>
              </w:rPr>
              <w:t>]pyrene</w:t>
            </w:r>
          </w:p>
        </w:tc>
        <w:tc>
          <w:tcPr>
            <w:tcW w:w="412" w:type="pct"/>
            <w:tcBorders>
              <w:bottom w:val="single" w:sz="4" w:space="0" w:color="auto"/>
              <w:right w:val="single" w:sz="4" w:space="0" w:color="auto"/>
            </w:tcBorders>
          </w:tcPr>
          <w:p w14:paraId="76496795" w14:textId="77777777" w:rsidR="00FC360C" w:rsidRPr="0075001C" w:rsidRDefault="00FC360C" w:rsidP="0075001C">
            <w:pPr>
              <w:pStyle w:val="BodyText"/>
              <w:spacing w:after="0" w:line="276" w:lineRule="auto"/>
              <w:rPr>
                <w:rFonts w:ascii="Calibri" w:hAnsi="Calibri"/>
                <w:sz w:val="22"/>
                <w:szCs w:val="22"/>
              </w:rPr>
            </w:pPr>
            <w:r w:rsidRPr="0075001C">
              <w:rPr>
                <w:rFonts w:ascii="Calibri" w:hAnsi="Calibri"/>
                <w:sz w:val="22"/>
                <w:szCs w:val="22"/>
              </w:rPr>
              <w:t>302</w:t>
            </w:r>
          </w:p>
        </w:tc>
      </w:tr>
    </w:tbl>
    <w:p w14:paraId="1B28BED7" w14:textId="77777777" w:rsidR="00FC360C" w:rsidRPr="00F63BAF" w:rsidRDefault="00FC360C" w:rsidP="0075001C">
      <w:pPr>
        <w:pStyle w:val="Heading2"/>
      </w:pPr>
      <w:bookmarkStart w:id="175" w:name="_Toc511217462"/>
      <w:r w:rsidRPr="00F63BAF">
        <w:t>5.7</w:t>
      </w:r>
      <w:r w:rsidRPr="00F63BAF">
        <w:tab/>
        <w:t>Instrumental determination of PAHs</w:t>
      </w:r>
      <w:bookmarkEnd w:id="175"/>
    </w:p>
    <w:p w14:paraId="052DEB97" w14:textId="77777777" w:rsidR="00FC360C" w:rsidRPr="00F63BAF" w:rsidRDefault="00FC360C" w:rsidP="00FC360C">
      <w:r w:rsidRPr="00F63BAF">
        <w:t>The greatest sensitivity and selectivity in routine analysis for parent PAH is achieved by combining HPLC with fluorescence detection (HPLC-UVF) or capillary gas chromatography with mass spectrometry (GC-MS). However, for the analysis of parent and alkylated PAHs GC-MS is the method of choice. In terms of flexibility, GC-MS is the most capable technique, as in principle it does not limit the selection of determinands in any way, while HPLC is suited only to the analysis of parent PAHs. In the past, analyses have also been conducted using HPLC with UV-absorption detection and GC with flame-ionisation detection, but neither can be recommended for alkylated PAHs because of their relatively poor selectivity. Both in terms of the initial capital cost of the instrumentation, and the cost per sample analysed, HPLC-UVF is cheaper than GC-MS. With the advent of high-sensitivity benchtop GC-MS systems, however, this cost advantage is now not as marked as in the past, and the additional information regarding sources available makes GC-MS the method of choice.</w:t>
      </w:r>
    </w:p>
    <w:p w14:paraId="4DB3BD25" w14:textId="77777777" w:rsidR="00FC360C" w:rsidRPr="00F63BAF" w:rsidRDefault="00FC360C" w:rsidP="00FC360C">
      <w:r w:rsidRPr="00F63BAF">
        <w:t>Limits of determination within the range of 0.05 to 0.5 µg kg</w:t>
      </w:r>
      <w:r w:rsidRPr="00F63BAF">
        <w:rPr>
          <w:vertAlign w:val="superscript"/>
        </w:rPr>
        <w:t xml:space="preserve">–1 </w:t>
      </w:r>
      <w:r w:rsidRPr="00F63BAF">
        <w:t xml:space="preserve">wet weight for individual PAH compounds should be achievable by GC-MS. However this limit can </w:t>
      </w:r>
      <w:r w:rsidR="0075001C">
        <w:t>be lowered in routine analysis.</w:t>
      </w:r>
    </w:p>
    <w:p w14:paraId="036C249D" w14:textId="77777777" w:rsidR="00FC360C" w:rsidRPr="00F63BAF" w:rsidRDefault="00FC360C" w:rsidP="0075001C">
      <w:pPr>
        <w:pStyle w:val="Heading3"/>
      </w:pPr>
      <w:bookmarkStart w:id="176" w:name="_Toc511217463"/>
      <w:r w:rsidRPr="00F63BAF">
        <w:t>5.7.1</w:t>
      </w:r>
      <w:r w:rsidRPr="00F63BAF">
        <w:tab/>
        <w:t>GC-MS</w:t>
      </w:r>
      <w:bookmarkEnd w:id="176"/>
    </w:p>
    <w:p w14:paraId="66C54B49" w14:textId="77777777" w:rsidR="00FC360C" w:rsidRPr="00F63BAF" w:rsidRDefault="00FC360C" w:rsidP="00FC360C">
      <w:r w:rsidRPr="00F63BAF">
        <w:t>The three injection modes commonly used are splitless, on-column and PTV (programmed temperature vaporiser). Automatic sample injection should be used wherever possible to improve the reproducibility of injection and the precision of the overall method. If splitless injection is used, the liner should be of sufficient capacity to contain the injected solvent volume after evaporation. For PAH analysis, the cleanliness of the liner is also very important if adsorption effects and discrimination are to be avoided, and the analytical column should not contain active sites to which PAHs can be adsorbed. Helium is the preferred carrier gas, and only capillary columns should be used. Because of the wide boiling range of the PAHs to be determined and the surface-active properties of the higher PAHs, the preferred column length is 25–50 m, with an internal diameter of 0.15 mm to 0.3 mm. Film thicknesses of 0.2 µm to 1 µm are generally used; this choice has little impact on critical resolution, but thicker films are often used when one-ring aromatic compounds are to be determined alongside PAHs, or where a high sample loading is needed. No stationary phase has been found on which all PAH isomers can be resolved; the most commonly used stationary phase for PAH analysis is 5% phenyl methylsilicone (DB-5 or equivalent). This will not, however, resolve critical isomers such as benzo[</w:t>
      </w:r>
      <w:r w:rsidRPr="00F63BAF">
        <w:rPr>
          <w:i/>
        </w:rPr>
        <w:t>b</w:t>
      </w:r>
      <w:r w:rsidRPr="00F63BAF">
        <w:t>], [</w:t>
      </w:r>
      <w:r w:rsidRPr="00F63BAF">
        <w:rPr>
          <w:i/>
        </w:rPr>
        <w:t>j</w:t>
      </w:r>
      <w:r w:rsidRPr="00F63BAF">
        <w:t>] and [</w:t>
      </w:r>
      <w:r w:rsidRPr="00F63BAF">
        <w:rPr>
          <w:i/>
        </w:rPr>
        <w:t>k</w:t>
      </w:r>
      <w:r w:rsidRPr="00F63BAF">
        <w:t>]fluoranthenes, or chrysene from triphenylene. Chrysene and triphenylene can be separated on other columns, if necessary such as a 60 m non polar column such a DB5MS. For PAHs there is no sensitivity gain from the use of chemical ionisation (either positive or negative ion), so analyses are usually conducted in electron-impact mode at 70eV.</w:t>
      </w:r>
      <w:r w:rsidR="00B33CCD">
        <w:t xml:space="preserve"> </w:t>
      </w:r>
      <w:r w:rsidRPr="00F63BAF">
        <w:t>Quadrupole instruments are used in single ion monitoring to achieve greater sensitivity. The masses to be detected are programmed to change during the analysis as different PAHs elute from the capillary column. In SIM the molecular ion is used for quantification. Qualifier ions can be used to confirm identification but they are limited for PAHs. Triple quadropole mass spectrometry can also be used and will give greater sensitivity. Some instruments such as ion-trap and time of flight mass spectrometers exhibit the same sensitivity in both modes, so full scan spectra can be used for quantification.</w:t>
      </w:r>
    </w:p>
    <w:p w14:paraId="39E62ED3" w14:textId="77777777" w:rsidR="00FC360C" w:rsidRPr="00F63BAF" w:rsidRDefault="00FC360C" w:rsidP="0075001C">
      <w:r w:rsidRPr="00F63BAF">
        <w:t>An example of mass spectrometer operating conditions in SIM mode is given in Table A1.2. The ions are grouped and screened within GC time windows of the compounds. In general the number of ions should not be greater than 20. The dwell time is important parameter and should be close for each ion. For GC capillary column analysis a dwell time should not be shorter than 20 ms, while a sum of a dwell in each retention time windows should not be greater than 500 ms. An example of conditions that can be used along with dwell</w:t>
      </w:r>
      <w:r w:rsidR="0075001C">
        <w:t xml:space="preserve"> times are shown in Table A1.2.</w:t>
      </w:r>
    </w:p>
    <w:p w14:paraId="4E9F1F6E" w14:textId="77777777" w:rsidR="00FC360C" w:rsidRDefault="00FC360C" w:rsidP="0075001C">
      <w:pPr>
        <w:pStyle w:val="NormalIndent"/>
        <w:spacing w:after="0"/>
        <w:ind w:left="1696" w:hanging="1622"/>
        <w:rPr>
          <w:rStyle w:val="BodyTextChar"/>
          <w:rFonts w:ascii="Calibri" w:hAnsi="Calibri"/>
          <w:sz w:val="22"/>
          <w:szCs w:val="22"/>
        </w:rPr>
      </w:pPr>
      <w:r w:rsidRPr="00F63BAF">
        <w:rPr>
          <w:rStyle w:val="BodyTextChar"/>
          <w:rFonts w:ascii="Calibri" w:hAnsi="Calibri"/>
        </w:rPr>
        <w:br w:type="page"/>
      </w:r>
      <w:r w:rsidRPr="0075001C">
        <w:rPr>
          <w:rStyle w:val="BodyTextChar"/>
          <w:rFonts w:ascii="Calibri" w:hAnsi="Calibri"/>
          <w:b/>
          <w:sz w:val="22"/>
          <w:szCs w:val="22"/>
        </w:rPr>
        <w:t>Table A.1.2</w:t>
      </w:r>
      <w:r w:rsidR="0075001C" w:rsidRPr="0075001C">
        <w:rPr>
          <w:rStyle w:val="BodyTextChar"/>
          <w:rFonts w:ascii="Calibri" w:hAnsi="Calibri"/>
          <w:sz w:val="22"/>
          <w:szCs w:val="22"/>
        </w:rPr>
        <w:t>:</w:t>
      </w:r>
      <w:r w:rsidRPr="0075001C">
        <w:rPr>
          <w:rStyle w:val="BodyTextChar"/>
          <w:rFonts w:ascii="Calibri" w:hAnsi="Calibri"/>
          <w:sz w:val="22"/>
          <w:szCs w:val="22"/>
        </w:rPr>
        <w:tab/>
        <w:t>Example of operational conditions for the GC-MS analysis of parent and alkylated</w:t>
      </w:r>
      <w:r w:rsidRPr="0075001C">
        <w:rPr>
          <w:rFonts w:ascii="Calibri" w:hAnsi="Calibri"/>
          <w:sz w:val="22"/>
          <w:szCs w:val="22"/>
        </w:rPr>
        <w:t xml:space="preserve"> </w:t>
      </w:r>
      <w:r w:rsidR="0075001C">
        <w:rPr>
          <w:rStyle w:val="BodyTextChar"/>
          <w:rFonts w:ascii="Calibri" w:hAnsi="Calibri"/>
          <w:sz w:val="22"/>
          <w:szCs w:val="22"/>
        </w:rPr>
        <w:t>PAHs.</w:t>
      </w:r>
    </w:p>
    <w:p w14:paraId="4985A371" w14:textId="77777777" w:rsidR="0075001C" w:rsidRPr="0075001C" w:rsidRDefault="0075001C" w:rsidP="0075001C">
      <w:pPr>
        <w:pStyle w:val="NormalIndent"/>
        <w:spacing w:after="0"/>
        <w:ind w:left="1696" w:hanging="1622"/>
        <w:rPr>
          <w:rFonts w:ascii="Calibri" w:hAnsi="Calibri"/>
          <w:sz w:val="22"/>
          <w:szCs w:val="22"/>
          <w:lang w:eastAsia="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7"/>
        <w:gridCol w:w="2235"/>
        <w:gridCol w:w="2147"/>
        <w:gridCol w:w="694"/>
        <w:gridCol w:w="696"/>
        <w:gridCol w:w="694"/>
        <w:gridCol w:w="696"/>
        <w:gridCol w:w="694"/>
        <w:gridCol w:w="696"/>
      </w:tblGrid>
      <w:tr w:rsidR="00FC360C" w:rsidRPr="00F63BAF" w14:paraId="1A8E145C" w14:textId="77777777" w:rsidTr="002F237A">
        <w:trPr>
          <w:jc w:val="center"/>
        </w:trPr>
        <w:tc>
          <w:tcPr>
            <w:tcW w:w="627" w:type="pct"/>
          </w:tcPr>
          <w:p w14:paraId="26DBEFC8" w14:textId="77777777" w:rsidR="00FC360C" w:rsidRPr="0075001C" w:rsidRDefault="00FC360C" w:rsidP="0075001C">
            <w:pPr>
              <w:keepNext/>
              <w:spacing w:after="0" w:line="240" w:lineRule="auto"/>
              <w:rPr>
                <w:rFonts w:asciiTheme="minorHAnsi" w:hAnsiTheme="minorHAnsi" w:cs="Arial"/>
                <w:sz w:val="20"/>
              </w:rPr>
            </w:pPr>
            <w:r w:rsidRPr="0075001C">
              <w:rPr>
                <w:rFonts w:asciiTheme="minorHAnsi" w:hAnsiTheme="minorHAnsi" w:cs="Arial"/>
                <w:sz w:val="20"/>
              </w:rPr>
              <w:t>Group</w:t>
            </w:r>
          </w:p>
          <w:p w14:paraId="5E8A9B4E" w14:textId="77777777" w:rsidR="00FC360C" w:rsidRPr="0075001C" w:rsidRDefault="00FC360C" w:rsidP="0075001C">
            <w:pPr>
              <w:keepNext/>
              <w:spacing w:after="0" w:line="240" w:lineRule="auto"/>
              <w:rPr>
                <w:rFonts w:asciiTheme="minorHAnsi" w:hAnsiTheme="minorHAnsi" w:cs="Arial"/>
                <w:sz w:val="20"/>
              </w:rPr>
            </w:pPr>
            <w:r w:rsidRPr="0075001C">
              <w:rPr>
                <w:rFonts w:asciiTheme="minorHAnsi" w:hAnsiTheme="minorHAnsi" w:cs="Arial"/>
                <w:sz w:val="20"/>
              </w:rPr>
              <w:t>N°</w:t>
            </w:r>
          </w:p>
        </w:tc>
        <w:tc>
          <w:tcPr>
            <w:tcW w:w="1142" w:type="pct"/>
          </w:tcPr>
          <w:p w14:paraId="0674DC67"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Retention time</w:t>
            </w:r>
          </w:p>
          <w:p w14:paraId="4C37FF75"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(min)</w:t>
            </w:r>
          </w:p>
        </w:tc>
        <w:tc>
          <w:tcPr>
            <w:tcW w:w="1098" w:type="pct"/>
          </w:tcPr>
          <w:p w14:paraId="1B501382"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Dwell time</w:t>
            </w:r>
          </w:p>
          <w:p w14:paraId="6A091A32"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(ms)</w:t>
            </w:r>
          </w:p>
        </w:tc>
        <w:tc>
          <w:tcPr>
            <w:tcW w:w="2134" w:type="pct"/>
            <w:gridSpan w:val="6"/>
          </w:tcPr>
          <w:p w14:paraId="7A3EE44D"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Ions in group</w:t>
            </w:r>
          </w:p>
          <w:p w14:paraId="59C94CA4"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(AMU)</w:t>
            </w:r>
          </w:p>
        </w:tc>
      </w:tr>
      <w:tr w:rsidR="00FC360C" w:rsidRPr="00F63BAF" w14:paraId="4C127E44" w14:textId="77777777" w:rsidTr="002F237A">
        <w:trPr>
          <w:jc w:val="center"/>
        </w:trPr>
        <w:tc>
          <w:tcPr>
            <w:tcW w:w="627" w:type="pct"/>
          </w:tcPr>
          <w:p w14:paraId="57AFCCA9" w14:textId="77777777" w:rsidR="00FC360C" w:rsidRPr="0075001C" w:rsidRDefault="00FC360C" w:rsidP="0075001C">
            <w:pPr>
              <w:keepNext/>
              <w:spacing w:after="0" w:line="240" w:lineRule="auto"/>
              <w:rPr>
                <w:rFonts w:asciiTheme="minorHAnsi" w:hAnsiTheme="minorHAnsi" w:cs="Arial"/>
                <w:sz w:val="20"/>
              </w:rPr>
            </w:pPr>
            <w:r w:rsidRPr="0075001C">
              <w:rPr>
                <w:rFonts w:asciiTheme="minorHAnsi" w:hAnsiTheme="minorHAnsi" w:cs="Arial"/>
                <w:sz w:val="20"/>
              </w:rPr>
              <w:t>1</w:t>
            </w:r>
          </w:p>
        </w:tc>
        <w:tc>
          <w:tcPr>
            <w:tcW w:w="1142" w:type="pct"/>
          </w:tcPr>
          <w:p w14:paraId="0E4B54ED"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8.00</w:t>
            </w:r>
          </w:p>
        </w:tc>
        <w:tc>
          <w:tcPr>
            <w:tcW w:w="1098" w:type="pct"/>
          </w:tcPr>
          <w:p w14:paraId="7B05C04A"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100</w:t>
            </w:r>
          </w:p>
        </w:tc>
        <w:tc>
          <w:tcPr>
            <w:tcW w:w="355" w:type="pct"/>
          </w:tcPr>
          <w:p w14:paraId="26AEDFEE"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128</w:t>
            </w:r>
          </w:p>
        </w:tc>
        <w:tc>
          <w:tcPr>
            <w:tcW w:w="356" w:type="pct"/>
          </w:tcPr>
          <w:p w14:paraId="1DD1697B"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136</w:t>
            </w:r>
          </w:p>
        </w:tc>
        <w:tc>
          <w:tcPr>
            <w:tcW w:w="355" w:type="pct"/>
          </w:tcPr>
          <w:p w14:paraId="05C85A1F"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142</w:t>
            </w:r>
          </w:p>
        </w:tc>
        <w:tc>
          <w:tcPr>
            <w:tcW w:w="356" w:type="pct"/>
          </w:tcPr>
          <w:p w14:paraId="723600D8" w14:textId="77777777" w:rsidR="00FC360C" w:rsidRPr="0075001C" w:rsidRDefault="00FC360C" w:rsidP="0075001C">
            <w:pPr>
              <w:keepNext/>
              <w:spacing w:after="0" w:line="240" w:lineRule="auto"/>
              <w:jc w:val="center"/>
              <w:rPr>
                <w:rFonts w:asciiTheme="minorHAnsi" w:hAnsiTheme="minorHAnsi" w:cs="Arial"/>
                <w:sz w:val="20"/>
              </w:rPr>
            </w:pPr>
          </w:p>
        </w:tc>
        <w:tc>
          <w:tcPr>
            <w:tcW w:w="355" w:type="pct"/>
          </w:tcPr>
          <w:p w14:paraId="1CCB5768" w14:textId="77777777" w:rsidR="00FC360C" w:rsidRPr="0075001C" w:rsidRDefault="00FC360C" w:rsidP="0075001C">
            <w:pPr>
              <w:keepNext/>
              <w:spacing w:after="0" w:line="240" w:lineRule="auto"/>
              <w:jc w:val="center"/>
              <w:rPr>
                <w:rFonts w:asciiTheme="minorHAnsi" w:hAnsiTheme="minorHAnsi" w:cs="Arial"/>
                <w:sz w:val="20"/>
              </w:rPr>
            </w:pPr>
          </w:p>
        </w:tc>
        <w:tc>
          <w:tcPr>
            <w:tcW w:w="356" w:type="pct"/>
          </w:tcPr>
          <w:p w14:paraId="3FE4EADA" w14:textId="77777777" w:rsidR="00FC360C" w:rsidRPr="0075001C" w:rsidRDefault="00FC360C" w:rsidP="0075001C">
            <w:pPr>
              <w:keepNext/>
              <w:spacing w:after="0" w:line="240" w:lineRule="auto"/>
              <w:jc w:val="center"/>
              <w:rPr>
                <w:rFonts w:asciiTheme="minorHAnsi" w:hAnsiTheme="minorHAnsi" w:cs="Arial"/>
                <w:sz w:val="20"/>
              </w:rPr>
            </w:pPr>
          </w:p>
        </w:tc>
      </w:tr>
      <w:tr w:rsidR="00FC360C" w:rsidRPr="00F63BAF" w14:paraId="4B2FB0F6" w14:textId="77777777" w:rsidTr="002F237A">
        <w:trPr>
          <w:jc w:val="center"/>
        </w:trPr>
        <w:tc>
          <w:tcPr>
            <w:tcW w:w="627" w:type="pct"/>
          </w:tcPr>
          <w:p w14:paraId="7C82E512" w14:textId="77777777" w:rsidR="00FC360C" w:rsidRPr="0075001C" w:rsidRDefault="00FC360C" w:rsidP="0075001C">
            <w:pPr>
              <w:keepNext/>
              <w:spacing w:after="0" w:line="240" w:lineRule="auto"/>
              <w:rPr>
                <w:rFonts w:asciiTheme="minorHAnsi" w:hAnsiTheme="minorHAnsi" w:cs="Arial"/>
                <w:sz w:val="20"/>
              </w:rPr>
            </w:pPr>
            <w:r w:rsidRPr="0075001C">
              <w:rPr>
                <w:rFonts w:asciiTheme="minorHAnsi" w:hAnsiTheme="minorHAnsi" w:cs="Arial"/>
                <w:sz w:val="20"/>
              </w:rPr>
              <w:t>2</w:t>
            </w:r>
          </w:p>
        </w:tc>
        <w:tc>
          <w:tcPr>
            <w:tcW w:w="1142" w:type="pct"/>
          </w:tcPr>
          <w:p w14:paraId="449AD2BC"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21.00</w:t>
            </w:r>
          </w:p>
        </w:tc>
        <w:tc>
          <w:tcPr>
            <w:tcW w:w="1098" w:type="pct"/>
          </w:tcPr>
          <w:p w14:paraId="02933F0E"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100</w:t>
            </w:r>
          </w:p>
        </w:tc>
        <w:tc>
          <w:tcPr>
            <w:tcW w:w="355" w:type="pct"/>
          </w:tcPr>
          <w:p w14:paraId="65E6BDDF"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152</w:t>
            </w:r>
          </w:p>
        </w:tc>
        <w:tc>
          <w:tcPr>
            <w:tcW w:w="356" w:type="pct"/>
          </w:tcPr>
          <w:p w14:paraId="600F0049"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156</w:t>
            </w:r>
          </w:p>
        </w:tc>
        <w:tc>
          <w:tcPr>
            <w:tcW w:w="355" w:type="pct"/>
          </w:tcPr>
          <w:p w14:paraId="3A8ACD0E"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160</w:t>
            </w:r>
          </w:p>
        </w:tc>
        <w:tc>
          <w:tcPr>
            <w:tcW w:w="356" w:type="pct"/>
          </w:tcPr>
          <w:p w14:paraId="79E9786F" w14:textId="77777777" w:rsidR="00FC360C" w:rsidRPr="0075001C" w:rsidRDefault="00FC360C" w:rsidP="0075001C">
            <w:pPr>
              <w:keepNext/>
              <w:spacing w:after="0" w:line="240" w:lineRule="auto"/>
              <w:jc w:val="center"/>
              <w:rPr>
                <w:rFonts w:asciiTheme="minorHAnsi" w:hAnsiTheme="minorHAnsi" w:cs="Arial"/>
                <w:sz w:val="20"/>
              </w:rPr>
            </w:pPr>
          </w:p>
        </w:tc>
        <w:tc>
          <w:tcPr>
            <w:tcW w:w="355" w:type="pct"/>
          </w:tcPr>
          <w:p w14:paraId="0CBE3F2D" w14:textId="77777777" w:rsidR="00FC360C" w:rsidRPr="0075001C" w:rsidRDefault="00FC360C" w:rsidP="0075001C">
            <w:pPr>
              <w:keepNext/>
              <w:spacing w:after="0" w:line="240" w:lineRule="auto"/>
              <w:jc w:val="center"/>
              <w:rPr>
                <w:rFonts w:asciiTheme="minorHAnsi" w:hAnsiTheme="minorHAnsi" w:cs="Arial"/>
                <w:sz w:val="20"/>
              </w:rPr>
            </w:pPr>
          </w:p>
        </w:tc>
        <w:tc>
          <w:tcPr>
            <w:tcW w:w="356" w:type="pct"/>
          </w:tcPr>
          <w:p w14:paraId="798A56C5" w14:textId="77777777" w:rsidR="00FC360C" w:rsidRPr="0075001C" w:rsidRDefault="00FC360C" w:rsidP="0075001C">
            <w:pPr>
              <w:keepNext/>
              <w:spacing w:after="0" w:line="240" w:lineRule="auto"/>
              <w:jc w:val="center"/>
              <w:rPr>
                <w:rFonts w:asciiTheme="minorHAnsi" w:hAnsiTheme="minorHAnsi" w:cs="Arial"/>
                <w:sz w:val="20"/>
              </w:rPr>
            </w:pPr>
          </w:p>
        </w:tc>
      </w:tr>
      <w:tr w:rsidR="00FC360C" w:rsidRPr="00F63BAF" w14:paraId="6C5DF746" w14:textId="77777777" w:rsidTr="002F237A">
        <w:trPr>
          <w:jc w:val="center"/>
        </w:trPr>
        <w:tc>
          <w:tcPr>
            <w:tcW w:w="627" w:type="pct"/>
          </w:tcPr>
          <w:p w14:paraId="7FA4AEB2" w14:textId="77777777" w:rsidR="00FC360C" w:rsidRPr="0075001C" w:rsidRDefault="00FC360C" w:rsidP="0075001C">
            <w:pPr>
              <w:keepNext/>
              <w:spacing w:after="0" w:line="240" w:lineRule="auto"/>
              <w:rPr>
                <w:rFonts w:asciiTheme="minorHAnsi" w:hAnsiTheme="minorHAnsi" w:cs="Arial"/>
                <w:sz w:val="20"/>
              </w:rPr>
            </w:pPr>
            <w:r w:rsidRPr="0075001C">
              <w:rPr>
                <w:rFonts w:asciiTheme="minorHAnsi" w:hAnsiTheme="minorHAnsi" w:cs="Arial"/>
                <w:sz w:val="20"/>
              </w:rPr>
              <w:t>3</w:t>
            </w:r>
          </w:p>
        </w:tc>
        <w:tc>
          <w:tcPr>
            <w:tcW w:w="1142" w:type="pct"/>
          </w:tcPr>
          <w:p w14:paraId="6BCEE0FE"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23.70</w:t>
            </w:r>
          </w:p>
        </w:tc>
        <w:tc>
          <w:tcPr>
            <w:tcW w:w="1098" w:type="pct"/>
          </w:tcPr>
          <w:p w14:paraId="7A9A53B3"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100</w:t>
            </w:r>
          </w:p>
        </w:tc>
        <w:tc>
          <w:tcPr>
            <w:tcW w:w="355" w:type="pct"/>
          </w:tcPr>
          <w:p w14:paraId="0D89FBBB"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154</w:t>
            </w:r>
          </w:p>
        </w:tc>
        <w:tc>
          <w:tcPr>
            <w:tcW w:w="356" w:type="pct"/>
          </w:tcPr>
          <w:p w14:paraId="018AF899"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164</w:t>
            </w:r>
          </w:p>
        </w:tc>
        <w:tc>
          <w:tcPr>
            <w:tcW w:w="355" w:type="pct"/>
          </w:tcPr>
          <w:p w14:paraId="4B6FB9E2"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168</w:t>
            </w:r>
          </w:p>
        </w:tc>
        <w:tc>
          <w:tcPr>
            <w:tcW w:w="356" w:type="pct"/>
          </w:tcPr>
          <w:p w14:paraId="183AE4B4"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170</w:t>
            </w:r>
          </w:p>
        </w:tc>
        <w:tc>
          <w:tcPr>
            <w:tcW w:w="355" w:type="pct"/>
          </w:tcPr>
          <w:p w14:paraId="266484EA" w14:textId="77777777" w:rsidR="00FC360C" w:rsidRPr="0075001C" w:rsidRDefault="00FC360C" w:rsidP="0075001C">
            <w:pPr>
              <w:keepNext/>
              <w:spacing w:after="0" w:line="240" w:lineRule="auto"/>
              <w:jc w:val="center"/>
              <w:rPr>
                <w:rFonts w:asciiTheme="minorHAnsi" w:hAnsiTheme="minorHAnsi" w:cs="Arial"/>
                <w:sz w:val="20"/>
              </w:rPr>
            </w:pPr>
          </w:p>
        </w:tc>
        <w:tc>
          <w:tcPr>
            <w:tcW w:w="356" w:type="pct"/>
          </w:tcPr>
          <w:p w14:paraId="794BCF55" w14:textId="77777777" w:rsidR="00FC360C" w:rsidRPr="0075001C" w:rsidRDefault="00FC360C" w:rsidP="0075001C">
            <w:pPr>
              <w:keepNext/>
              <w:spacing w:after="0" w:line="240" w:lineRule="auto"/>
              <w:jc w:val="center"/>
              <w:rPr>
                <w:rFonts w:asciiTheme="minorHAnsi" w:hAnsiTheme="minorHAnsi" w:cs="Arial"/>
                <w:sz w:val="20"/>
              </w:rPr>
            </w:pPr>
          </w:p>
        </w:tc>
      </w:tr>
      <w:tr w:rsidR="00FC360C" w:rsidRPr="00F63BAF" w14:paraId="4410723C" w14:textId="77777777" w:rsidTr="002F237A">
        <w:trPr>
          <w:jc w:val="center"/>
        </w:trPr>
        <w:tc>
          <w:tcPr>
            <w:tcW w:w="627" w:type="pct"/>
          </w:tcPr>
          <w:p w14:paraId="6BE41AF5" w14:textId="77777777" w:rsidR="00FC360C" w:rsidRPr="0075001C" w:rsidRDefault="00FC360C" w:rsidP="0075001C">
            <w:pPr>
              <w:keepNext/>
              <w:spacing w:after="0" w:line="240" w:lineRule="auto"/>
              <w:rPr>
                <w:rFonts w:asciiTheme="minorHAnsi" w:hAnsiTheme="minorHAnsi" w:cs="Arial"/>
                <w:sz w:val="20"/>
              </w:rPr>
            </w:pPr>
            <w:r w:rsidRPr="0075001C">
              <w:rPr>
                <w:rFonts w:asciiTheme="minorHAnsi" w:hAnsiTheme="minorHAnsi" w:cs="Arial"/>
                <w:sz w:val="20"/>
              </w:rPr>
              <w:t>4</w:t>
            </w:r>
          </w:p>
        </w:tc>
        <w:tc>
          <w:tcPr>
            <w:tcW w:w="1142" w:type="pct"/>
          </w:tcPr>
          <w:p w14:paraId="28EB23D0"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26.80</w:t>
            </w:r>
          </w:p>
        </w:tc>
        <w:tc>
          <w:tcPr>
            <w:tcW w:w="1098" w:type="pct"/>
          </w:tcPr>
          <w:p w14:paraId="5FC9B14F"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80</w:t>
            </w:r>
          </w:p>
        </w:tc>
        <w:tc>
          <w:tcPr>
            <w:tcW w:w="355" w:type="pct"/>
          </w:tcPr>
          <w:p w14:paraId="57A4203B"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166</w:t>
            </w:r>
          </w:p>
        </w:tc>
        <w:tc>
          <w:tcPr>
            <w:tcW w:w="356" w:type="pct"/>
          </w:tcPr>
          <w:p w14:paraId="4E754CED"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176</w:t>
            </w:r>
          </w:p>
        </w:tc>
        <w:tc>
          <w:tcPr>
            <w:tcW w:w="355" w:type="pct"/>
          </w:tcPr>
          <w:p w14:paraId="0515039B"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180</w:t>
            </w:r>
          </w:p>
        </w:tc>
        <w:tc>
          <w:tcPr>
            <w:tcW w:w="356" w:type="pct"/>
          </w:tcPr>
          <w:p w14:paraId="12380D2E"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182</w:t>
            </w:r>
          </w:p>
        </w:tc>
        <w:tc>
          <w:tcPr>
            <w:tcW w:w="355" w:type="pct"/>
          </w:tcPr>
          <w:p w14:paraId="0B5E5636"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184</w:t>
            </w:r>
          </w:p>
        </w:tc>
        <w:tc>
          <w:tcPr>
            <w:tcW w:w="356" w:type="pct"/>
          </w:tcPr>
          <w:p w14:paraId="3D1E0772" w14:textId="77777777" w:rsidR="00FC360C" w:rsidRPr="0075001C" w:rsidRDefault="00FC360C" w:rsidP="0075001C">
            <w:pPr>
              <w:keepNext/>
              <w:spacing w:after="0" w:line="240" w:lineRule="auto"/>
              <w:jc w:val="center"/>
              <w:rPr>
                <w:rFonts w:asciiTheme="minorHAnsi" w:hAnsiTheme="minorHAnsi" w:cs="Arial"/>
                <w:sz w:val="20"/>
              </w:rPr>
            </w:pPr>
          </w:p>
        </w:tc>
      </w:tr>
      <w:tr w:rsidR="00FC360C" w:rsidRPr="00F63BAF" w14:paraId="1692EED8" w14:textId="77777777" w:rsidTr="002F237A">
        <w:trPr>
          <w:jc w:val="center"/>
        </w:trPr>
        <w:tc>
          <w:tcPr>
            <w:tcW w:w="627" w:type="pct"/>
          </w:tcPr>
          <w:p w14:paraId="45FB4F1F" w14:textId="77777777" w:rsidR="00FC360C" w:rsidRPr="0075001C" w:rsidRDefault="00FC360C" w:rsidP="0075001C">
            <w:pPr>
              <w:keepNext/>
              <w:spacing w:after="0" w:line="240" w:lineRule="auto"/>
              <w:rPr>
                <w:rFonts w:asciiTheme="minorHAnsi" w:hAnsiTheme="minorHAnsi" w:cs="Arial"/>
                <w:sz w:val="20"/>
              </w:rPr>
            </w:pPr>
            <w:r w:rsidRPr="0075001C">
              <w:rPr>
                <w:rFonts w:asciiTheme="minorHAnsi" w:hAnsiTheme="minorHAnsi" w:cs="Arial"/>
                <w:sz w:val="20"/>
              </w:rPr>
              <w:t>5</w:t>
            </w:r>
          </w:p>
        </w:tc>
        <w:tc>
          <w:tcPr>
            <w:tcW w:w="1142" w:type="pct"/>
          </w:tcPr>
          <w:p w14:paraId="5517449B"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31.60</w:t>
            </w:r>
          </w:p>
        </w:tc>
        <w:tc>
          <w:tcPr>
            <w:tcW w:w="1098" w:type="pct"/>
          </w:tcPr>
          <w:p w14:paraId="78AFE12C"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80</w:t>
            </w:r>
          </w:p>
        </w:tc>
        <w:tc>
          <w:tcPr>
            <w:tcW w:w="355" w:type="pct"/>
          </w:tcPr>
          <w:p w14:paraId="0E5E4049"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178</w:t>
            </w:r>
          </w:p>
        </w:tc>
        <w:tc>
          <w:tcPr>
            <w:tcW w:w="356" w:type="pct"/>
          </w:tcPr>
          <w:p w14:paraId="50D4E831"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184</w:t>
            </w:r>
          </w:p>
        </w:tc>
        <w:tc>
          <w:tcPr>
            <w:tcW w:w="355" w:type="pct"/>
          </w:tcPr>
          <w:p w14:paraId="12DC7812"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188</w:t>
            </w:r>
          </w:p>
        </w:tc>
        <w:tc>
          <w:tcPr>
            <w:tcW w:w="356" w:type="pct"/>
          </w:tcPr>
          <w:p w14:paraId="2EF6FCF8"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194</w:t>
            </w:r>
          </w:p>
        </w:tc>
        <w:tc>
          <w:tcPr>
            <w:tcW w:w="355" w:type="pct"/>
          </w:tcPr>
          <w:p w14:paraId="545372EF"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196</w:t>
            </w:r>
          </w:p>
        </w:tc>
        <w:tc>
          <w:tcPr>
            <w:tcW w:w="356" w:type="pct"/>
          </w:tcPr>
          <w:p w14:paraId="206D278C"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198</w:t>
            </w:r>
          </w:p>
        </w:tc>
      </w:tr>
      <w:tr w:rsidR="00FC360C" w:rsidRPr="00F63BAF" w14:paraId="032248C5" w14:textId="77777777" w:rsidTr="002F237A">
        <w:trPr>
          <w:jc w:val="center"/>
        </w:trPr>
        <w:tc>
          <w:tcPr>
            <w:tcW w:w="627" w:type="pct"/>
          </w:tcPr>
          <w:p w14:paraId="1DE184CD" w14:textId="77777777" w:rsidR="00FC360C" w:rsidRPr="0075001C" w:rsidRDefault="00FC360C" w:rsidP="0075001C">
            <w:pPr>
              <w:keepNext/>
              <w:spacing w:after="0" w:line="240" w:lineRule="auto"/>
              <w:rPr>
                <w:rFonts w:asciiTheme="minorHAnsi" w:hAnsiTheme="minorHAnsi" w:cs="Arial"/>
                <w:sz w:val="20"/>
              </w:rPr>
            </w:pPr>
            <w:r w:rsidRPr="0075001C">
              <w:rPr>
                <w:rFonts w:asciiTheme="minorHAnsi" w:hAnsiTheme="minorHAnsi" w:cs="Arial"/>
                <w:sz w:val="20"/>
              </w:rPr>
              <w:t>6</w:t>
            </w:r>
          </w:p>
        </w:tc>
        <w:tc>
          <w:tcPr>
            <w:tcW w:w="1142" w:type="pct"/>
          </w:tcPr>
          <w:p w14:paraId="6FB06604"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35.30</w:t>
            </w:r>
          </w:p>
        </w:tc>
        <w:tc>
          <w:tcPr>
            <w:tcW w:w="1098" w:type="pct"/>
          </w:tcPr>
          <w:p w14:paraId="5D469479"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100</w:t>
            </w:r>
          </w:p>
        </w:tc>
        <w:tc>
          <w:tcPr>
            <w:tcW w:w="355" w:type="pct"/>
          </w:tcPr>
          <w:p w14:paraId="77BACAE2"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192</w:t>
            </w:r>
          </w:p>
        </w:tc>
        <w:tc>
          <w:tcPr>
            <w:tcW w:w="356" w:type="pct"/>
          </w:tcPr>
          <w:p w14:paraId="540633A4"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198</w:t>
            </w:r>
          </w:p>
        </w:tc>
        <w:tc>
          <w:tcPr>
            <w:tcW w:w="355" w:type="pct"/>
          </w:tcPr>
          <w:p w14:paraId="0CF7F804" w14:textId="77777777" w:rsidR="00FC360C" w:rsidRPr="0075001C" w:rsidRDefault="00FC360C" w:rsidP="0075001C">
            <w:pPr>
              <w:keepNext/>
              <w:spacing w:after="0" w:line="240" w:lineRule="auto"/>
              <w:jc w:val="center"/>
              <w:rPr>
                <w:rFonts w:asciiTheme="minorHAnsi" w:hAnsiTheme="minorHAnsi" w:cs="Arial"/>
                <w:sz w:val="20"/>
              </w:rPr>
            </w:pPr>
          </w:p>
        </w:tc>
        <w:tc>
          <w:tcPr>
            <w:tcW w:w="356" w:type="pct"/>
          </w:tcPr>
          <w:p w14:paraId="1FF27856" w14:textId="77777777" w:rsidR="00FC360C" w:rsidRPr="0075001C" w:rsidRDefault="00FC360C" w:rsidP="0075001C">
            <w:pPr>
              <w:keepNext/>
              <w:spacing w:after="0" w:line="240" w:lineRule="auto"/>
              <w:jc w:val="center"/>
              <w:rPr>
                <w:rFonts w:asciiTheme="minorHAnsi" w:hAnsiTheme="minorHAnsi" w:cs="Arial"/>
                <w:sz w:val="20"/>
              </w:rPr>
            </w:pPr>
          </w:p>
        </w:tc>
        <w:tc>
          <w:tcPr>
            <w:tcW w:w="355" w:type="pct"/>
          </w:tcPr>
          <w:p w14:paraId="33FF4EA3" w14:textId="77777777" w:rsidR="00FC360C" w:rsidRPr="0075001C" w:rsidRDefault="00FC360C" w:rsidP="0075001C">
            <w:pPr>
              <w:keepNext/>
              <w:spacing w:after="0" w:line="240" w:lineRule="auto"/>
              <w:jc w:val="center"/>
              <w:rPr>
                <w:rFonts w:asciiTheme="minorHAnsi" w:hAnsiTheme="minorHAnsi" w:cs="Arial"/>
                <w:sz w:val="20"/>
              </w:rPr>
            </w:pPr>
          </w:p>
        </w:tc>
        <w:tc>
          <w:tcPr>
            <w:tcW w:w="356" w:type="pct"/>
          </w:tcPr>
          <w:p w14:paraId="6478A36C" w14:textId="77777777" w:rsidR="00FC360C" w:rsidRPr="0075001C" w:rsidRDefault="00FC360C" w:rsidP="0075001C">
            <w:pPr>
              <w:keepNext/>
              <w:spacing w:after="0" w:line="240" w:lineRule="auto"/>
              <w:jc w:val="center"/>
              <w:rPr>
                <w:rFonts w:asciiTheme="minorHAnsi" w:hAnsiTheme="minorHAnsi" w:cs="Arial"/>
                <w:sz w:val="20"/>
              </w:rPr>
            </w:pPr>
          </w:p>
        </w:tc>
      </w:tr>
      <w:tr w:rsidR="00FC360C" w:rsidRPr="00F63BAF" w14:paraId="7E20B99F" w14:textId="77777777" w:rsidTr="002F237A">
        <w:trPr>
          <w:jc w:val="center"/>
        </w:trPr>
        <w:tc>
          <w:tcPr>
            <w:tcW w:w="627" w:type="pct"/>
          </w:tcPr>
          <w:p w14:paraId="554E5B92" w14:textId="77777777" w:rsidR="00FC360C" w:rsidRPr="0075001C" w:rsidRDefault="00FC360C" w:rsidP="0075001C">
            <w:pPr>
              <w:keepNext/>
              <w:spacing w:after="0" w:line="240" w:lineRule="auto"/>
              <w:rPr>
                <w:rFonts w:asciiTheme="minorHAnsi" w:hAnsiTheme="minorHAnsi" w:cs="Arial"/>
                <w:sz w:val="20"/>
              </w:rPr>
            </w:pPr>
            <w:r w:rsidRPr="0075001C">
              <w:rPr>
                <w:rFonts w:asciiTheme="minorHAnsi" w:hAnsiTheme="minorHAnsi" w:cs="Arial"/>
                <w:sz w:val="20"/>
              </w:rPr>
              <w:t>7</w:t>
            </w:r>
          </w:p>
        </w:tc>
        <w:tc>
          <w:tcPr>
            <w:tcW w:w="1142" w:type="pct"/>
          </w:tcPr>
          <w:p w14:paraId="3A1BDE1D"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36.60</w:t>
            </w:r>
          </w:p>
        </w:tc>
        <w:tc>
          <w:tcPr>
            <w:tcW w:w="1098" w:type="pct"/>
          </w:tcPr>
          <w:p w14:paraId="5A24C27E"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100</w:t>
            </w:r>
          </w:p>
        </w:tc>
        <w:tc>
          <w:tcPr>
            <w:tcW w:w="355" w:type="pct"/>
          </w:tcPr>
          <w:p w14:paraId="4F46524F"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206</w:t>
            </w:r>
          </w:p>
        </w:tc>
        <w:tc>
          <w:tcPr>
            <w:tcW w:w="356" w:type="pct"/>
          </w:tcPr>
          <w:p w14:paraId="57D0882D"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212</w:t>
            </w:r>
          </w:p>
        </w:tc>
        <w:tc>
          <w:tcPr>
            <w:tcW w:w="355" w:type="pct"/>
          </w:tcPr>
          <w:p w14:paraId="7604FA44" w14:textId="77777777" w:rsidR="00FC360C" w:rsidRPr="0075001C" w:rsidRDefault="00FC360C" w:rsidP="0075001C">
            <w:pPr>
              <w:keepNext/>
              <w:spacing w:after="0" w:line="240" w:lineRule="auto"/>
              <w:jc w:val="center"/>
              <w:rPr>
                <w:rFonts w:asciiTheme="minorHAnsi" w:hAnsiTheme="minorHAnsi" w:cs="Arial"/>
                <w:sz w:val="20"/>
              </w:rPr>
            </w:pPr>
          </w:p>
        </w:tc>
        <w:tc>
          <w:tcPr>
            <w:tcW w:w="356" w:type="pct"/>
          </w:tcPr>
          <w:p w14:paraId="3801ED54" w14:textId="77777777" w:rsidR="00FC360C" w:rsidRPr="0075001C" w:rsidRDefault="00FC360C" w:rsidP="0075001C">
            <w:pPr>
              <w:keepNext/>
              <w:spacing w:after="0" w:line="240" w:lineRule="auto"/>
              <w:jc w:val="center"/>
              <w:rPr>
                <w:rFonts w:asciiTheme="minorHAnsi" w:hAnsiTheme="minorHAnsi" w:cs="Arial"/>
                <w:sz w:val="20"/>
              </w:rPr>
            </w:pPr>
          </w:p>
        </w:tc>
        <w:tc>
          <w:tcPr>
            <w:tcW w:w="355" w:type="pct"/>
          </w:tcPr>
          <w:p w14:paraId="3CFA7546" w14:textId="77777777" w:rsidR="00FC360C" w:rsidRPr="0075001C" w:rsidRDefault="00FC360C" w:rsidP="0075001C">
            <w:pPr>
              <w:keepNext/>
              <w:spacing w:after="0" w:line="240" w:lineRule="auto"/>
              <w:jc w:val="center"/>
              <w:rPr>
                <w:rFonts w:asciiTheme="minorHAnsi" w:hAnsiTheme="minorHAnsi" w:cs="Arial"/>
                <w:sz w:val="20"/>
              </w:rPr>
            </w:pPr>
          </w:p>
        </w:tc>
        <w:tc>
          <w:tcPr>
            <w:tcW w:w="356" w:type="pct"/>
          </w:tcPr>
          <w:p w14:paraId="6F71DC63" w14:textId="77777777" w:rsidR="00FC360C" w:rsidRPr="0075001C" w:rsidRDefault="00FC360C" w:rsidP="0075001C">
            <w:pPr>
              <w:keepNext/>
              <w:spacing w:after="0" w:line="240" w:lineRule="auto"/>
              <w:jc w:val="center"/>
              <w:rPr>
                <w:rFonts w:asciiTheme="minorHAnsi" w:hAnsiTheme="minorHAnsi" w:cs="Arial"/>
                <w:sz w:val="20"/>
              </w:rPr>
            </w:pPr>
          </w:p>
        </w:tc>
      </w:tr>
      <w:tr w:rsidR="00FC360C" w:rsidRPr="00F63BAF" w14:paraId="7E44CF0B" w14:textId="77777777" w:rsidTr="002F237A">
        <w:trPr>
          <w:jc w:val="center"/>
        </w:trPr>
        <w:tc>
          <w:tcPr>
            <w:tcW w:w="627" w:type="pct"/>
          </w:tcPr>
          <w:p w14:paraId="487E0C1C" w14:textId="77777777" w:rsidR="00FC360C" w:rsidRPr="0075001C" w:rsidRDefault="00FC360C" w:rsidP="0075001C">
            <w:pPr>
              <w:keepNext/>
              <w:spacing w:after="0" w:line="240" w:lineRule="auto"/>
              <w:rPr>
                <w:rFonts w:asciiTheme="minorHAnsi" w:hAnsiTheme="minorHAnsi" w:cs="Arial"/>
                <w:sz w:val="20"/>
              </w:rPr>
            </w:pPr>
            <w:r w:rsidRPr="0075001C">
              <w:rPr>
                <w:rFonts w:asciiTheme="minorHAnsi" w:hAnsiTheme="minorHAnsi" w:cs="Arial"/>
                <w:sz w:val="20"/>
              </w:rPr>
              <w:t>8</w:t>
            </w:r>
          </w:p>
        </w:tc>
        <w:tc>
          <w:tcPr>
            <w:tcW w:w="1142" w:type="pct"/>
          </w:tcPr>
          <w:p w14:paraId="26A3780C"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39.40</w:t>
            </w:r>
          </w:p>
        </w:tc>
        <w:tc>
          <w:tcPr>
            <w:tcW w:w="1098" w:type="pct"/>
          </w:tcPr>
          <w:p w14:paraId="68413115"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80</w:t>
            </w:r>
          </w:p>
        </w:tc>
        <w:tc>
          <w:tcPr>
            <w:tcW w:w="355" w:type="pct"/>
          </w:tcPr>
          <w:p w14:paraId="2804F2D5"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202</w:t>
            </w:r>
          </w:p>
        </w:tc>
        <w:tc>
          <w:tcPr>
            <w:tcW w:w="356" w:type="pct"/>
          </w:tcPr>
          <w:p w14:paraId="60E4A70D"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206</w:t>
            </w:r>
          </w:p>
        </w:tc>
        <w:tc>
          <w:tcPr>
            <w:tcW w:w="355" w:type="pct"/>
          </w:tcPr>
          <w:p w14:paraId="3EE9771D"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212</w:t>
            </w:r>
          </w:p>
        </w:tc>
        <w:tc>
          <w:tcPr>
            <w:tcW w:w="356" w:type="pct"/>
          </w:tcPr>
          <w:p w14:paraId="1D8B61C3"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216</w:t>
            </w:r>
          </w:p>
        </w:tc>
        <w:tc>
          <w:tcPr>
            <w:tcW w:w="355" w:type="pct"/>
          </w:tcPr>
          <w:p w14:paraId="07324199"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220</w:t>
            </w:r>
          </w:p>
        </w:tc>
        <w:tc>
          <w:tcPr>
            <w:tcW w:w="356" w:type="pct"/>
          </w:tcPr>
          <w:p w14:paraId="2E0B3033"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226</w:t>
            </w:r>
          </w:p>
        </w:tc>
      </w:tr>
      <w:tr w:rsidR="00FC360C" w:rsidRPr="00F63BAF" w14:paraId="434E7522" w14:textId="77777777" w:rsidTr="002F237A">
        <w:trPr>
          <w:jc w:val="center"/>
        </w:trPr>
        <w:tc>
          <w:tcPr>
            <w:tcW w:w="627" w:type="pct"/>
          </w:tcPr>
          <w:p w14:paraId="30C7D3E1" w14:textId="77777777" w:rsidR="00FC360C" w:rsidRPr="0075001C" w:rsidRDefault="00FC360C" w:rsidP="0075001C">
            <w:pPr>
              <w:keepNext/>
              <w:spacing w:after="0" w:line="240" w:lineRule="auto"/>
              <w:rPr>
                <w:rFonts w:asciiTheme="minorHAnsi" w:hAnsiTheme="minorHAnsi" w:cs="Arial"/>
                <w:sz w:val="20"/>
              </w:rPr>
            </w:pPr>
            <w:r w:rsidRPr="0075001C">
              <w:rPr>
                <w:rFonts w:asciiTheme="minorHAnsi" w:hAnsiTheme="minorHAnsi" w:cs="Arial"/>
                <w:sz w:val="20"/>
              </w:rPr>
              <w:t>9</w:t>
            </w:r>
          </w:p>
        </w:tc>
        <w:tc>
          <w:tcPr>
            <w:tcW w:w="1142" w:type="pct"/>
          </w:tcPr>
          <w:p w14:paraId="7D183461"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44.65</w:t>
            </w:r>
          </w:p>
        </w:tc>
        <w:tc>
          <w:tcPr>
            <w:tcW w:w="1098" w:type="pct"/>
          </w:tcPr>
          <w:p w14:paraId="249E5EAF"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100</w:t>
            </w:r>
          </w:p>
        </w:tc>
        <w:tc>
          <w:tcPr>
            <w:tcW w:w="355" w:type="pct"/>
          </w:tcPr>
          <w:p w14:paraId="6AA31359"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216</w:t>
            </w:r>
          </w:p>
        </w:tc>
        <w:tc>
          <w:tcPr>
            <w:tcW w:w="356" w:type="pct"/>
          </w:tcPr>
          <w:p w14:paraId="0D2A2AE1"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220</w:t>
            </w:r>
          </w:p>
        </w:tc>
        <w:tc>
          <w:tcPr>
            <w:tcW w:w="355" w:type="pct"/>
          </w:tcPr>
          <w:p w14:paraId="25BBC2A5" w14:textId="77777777" w:rsidR="00FC360C" w:rsidRPr="0075001C" w:rsidRDefault="00FC360C" w:rsidP="0075001C">
            <w:pPr>
              <w:keepNext/>
              <w:spacing w:after="0" w:line="240" w:lineRule="auto"/>
              <w:jc w:val="center"/>
              <w:rPr>
                <w:rFonts w:asciiTheme="minorHAnsi" w:hAnsiTheme="minorHAnsi" w:cs="Arial"/>
                <w:sz w:val="20"/>
              </w:rPr>
            </w:pPr>
          </w:p>
        </w:tc>
        <w:tc>
          <w:tcPr>
            <w:tcW w:w="356" w:type="pct"/>
          </w:tcPr>
          <w:p w14:paraId="2F2703AB" w14:textId="77777777" w:rsidR="00FC360C" w:rsidRPr="0075001C" w:rsidRDefault="00FC360C" w:rsidP="0075001C">
            <w:pPr>
              <w:keepNext/>
              <w:spacing w:after="0" w:line="240" w:lineRule="auto"/>
              <w:jc w:val="center"/>
              <w:rPr>
                <w:rFonts w:asciiTheme="minorHAnsi" w:hAnsiTheme="minorHAnsi" w:cs="Arial"/>
                <w:sz w:val="20"/>
              </w:rPr>
            </w:pPr>
          </w:p>
        </w:tc>
        <w:tc>
          <w:tcPr>
            <w:tcW w:w="355" w:type="pct"/>
          </w:tcPr>
          <w:p w14:paraId="06C474CA" w14:textId="77777777" w:rsidR="00FC360C" w:rsidRPr="0075001C" w:rsidRDefault="00FC360C" w:rsidP="0075001C">
            <w:pPr>
              <w:keepNext/>
              <w:spacing w:after="0" w:line="240" w:lineRule="auto"/>
              <w:jc w:val="center"/>
              <w:rPr>
                <w:rFonts w:asciiTheme="minorHAnsi" w:hAnsiTheme="minorHAnsi" w:cs="Arial"/>
                <w:sz w:val="20"/>
              </w:rPr>
            </w:pPr>
          </w:p>
        </w:tc>
        <w:tc>
          <w:tcPr>
            <w:tcW w:w="356" w:type="pct"/>
          </w:tcPr>
          <w:p w14:paraId="39C12FAB" w14:textId="77777777" w:rsidR="00FC360C" w:rsidRPr="0075001C" w:rsidRDefault="00FC360C" w:rsidP="0075001C">
            <w:pPr>
              <w:keepNext/>
              <w:spacing w:after="0" w:line="240" w:lineRule="auto"/>
              <w:jc w:val="center"/>
              <w:rPr>
                <w:rFonts w:asciiTheme="minorHAnsi" w:hAnsiTheme="minorHAnsi" w:cs="Arial"/>
                <w:sz w:val="20"/>
              </w:rPr>
            </w:pPr>
          </w:p>
        </w:tc>
      </w:tr>
      <w:tr w:rsidR="00FC360C" w:rsidRPr="00F63BAF" w14:paraId="3E7CE190" w14:textId="77777777" w:rsidTr="002F237A">
        <w:trPr>
          <w:jc w:val="center"/>
        </w:trPr>
        <w:tc>
          <w:tcPr>
            <w:tcW w:w="627" w:type="pct"/>
          </w:tcPr>
          <w:p w14:paraId="33F0742A" w14:textId="77777777" w:rsidR="00FC360C" w:rsidRPr="0075001C" w:rsidRDefault="00FC360C" w:rsidP="0075001C">
            <w:pPr>
              <w:keepNext/>
              <w:spacing w:after="0" w:line="240" w:lineRule="auto"/>
              <w:rPr>
                <w:rFonts w:asciiTheme="minorHAnsi" w:hAnsiTheme="minorHAnsi" w:cs="Arial"/>
                <w:sz w:val="20"/>
              </w:rPr>
            </w:pPr>
            <w:r w:rsidRPr="0075001C">
              <w:rPr>
                <w:rFonts w:asciiTheme="minorHAnsi" w:hAnsiTheme="minorHAnsi" w:cs="Arial"/>
                <w:sz w:val="20"/>
              </w:rPr>
              <w:t>10</w:t>
            </w:r>
          </w:p>
        </w:tc>
        <w:tc>
          <w:tcPr>
            <w:tcW w:w="1142" w:type="pct"/>
          </w:tcPr>
          <w:p w14:paraId="2AA54ECB"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45.30</w:t>
            </w:r>
          </w:p>
        </w:tc>
        <w:tc>
          <w:tcPr>
            <w:tcW w:w="1098" w:type="pct"/>
          </w:tcPr>
          <w:p w14:paraId="22CC8BED"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100</w:t>
            </w:r>
          </w:p>
        </w:tc>
        <w:tc>
          <w:tcPr>
            <w:tcW w:w="355" w:type="pct"/>
          </w:tcPr>
          <w:p w14:paraId="1C20D632"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226</w:t>
            </w:r>
          </w:p>
        </w:tc>
        <w:tc>
          <w:tcPr>
            <w:tcW w:w="356" w:type="pct"/>
          </w:tcPr>
          <w:p w14:paraId="32C60080"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228</w:t>
            </w:r>
          </w:p>
        </w:tc>
        <w:tc>
          <w:tcPr>
            <w:tcW w:w="355" w:type="pct"/>
          </w:tcPr>
          <w:p w14:paraId="710DFB26"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230</w:t>
            </w:r>
          </w:p>
        </w:tc>
        <w:tc>
          <w:tcPr>
            <w:tcW w:w="356" w:type="pct"/>
          </w:tcPr>
          <w:p w14:paraId="4068DA0A"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234</w:t>
            </w:r>
          </w:p>
        </w:tc>
        <w:tc>
          <w:tcPr>
            <w:tcW w:w="355" w:type="pct"/>
          </w:tcPr>
          <w:p w14:paraId="11818794"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240</w:t>
            </w:r>
          </w:p>
        </w:tc>
        <w:tc>
          <w:tcPr>
            <w:tcW w:w="356" w:type="pct"/>
          </w:tcPr>
          <w:p w14:paraId="313AF95B" w14:textId="77777777" w:rsidR="00FC360C" w:rsidRPr="0075001C" w:rsidRDefault="00FC360C" w:rsidP="0075001C">
            <w:pPr>
              <w:keepNext/>
              <w:spacing w:after="0" w:line="240" w:lineRule="auto"/>
              <w:jc w:val="center"/>
              <w:rPr>
                <w:rFonts w:asciiTheme="minorHAnsi" w:hAnsiTheme="minorHAnsi" w:cs="Arial"/>
                <w:sz w:val="20"/>
              </w:rPr>
            </w:pPr>
          </w:p>
        </w:tc>
      </w:tr>
      <w:tr w:rsidR="00FC360C" w:rsidRPr="00F63BAF" w14:paraId="1CE2DC9E" w14:textId="77777777" w:rsidTr="002F237A">
        <w:trPr>
          <w:jc w:val="center"/>
        </w:trPr>
        <w:tc>
          <w:tcPr>
            <w:tcW w:w="627" w:type="pct"/>
          </w:tcPr>
          <w:p w14:paraId="57E6326B" w14:textId="77777777" w:rsidR="00FC360C" w:rsidRPr="0075001C" w:rsidRDefault="00FC360C" w:rsidP="0075001C">
            <w:pPr>
              <w:keepNext/>
              <w:spacing w:after="0" w:line="240" w:lineRule="auto"/>
              <w:rPr>
                <w:rFonts w:asciiTheme="minorHAnsi" w:hAnsiTheme="minorHAnsi" w:cs="Arial"/>
                <w:sz w:val="20"/>
              </w:rPr>
            </w:pPr>
            <w:r w:rsidRPr="0075001C">
              <w:rPr>
                <w:rFonts w:asciiTheme="minorHAnsi" w:hAnsiTheme="minorHAnsi" w:cs="Arial"/>
                <w:sz w:val="20"/>
              </w:rPr>
              <w:t>11</w:t>
            </w:r>
          </w:p>
        </w:tc>
        <w:tc>
          <w:tcPr>
            <w:tcW w:w="1142" w:type="pct"/>
          </w:tcPr>
          <w:p w14:paraId="35291C4C"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48.58</w:t>
            </w:r>
          </w:p>
        </w:tc>
        <w:tc>
          <w:tcPr>
            <w:tcW w:w="1098" w:type="pct"/>
          </w:tcPr>
          <w:p w14:paraId="052F58E5"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90</w:t>
            </w:r>
          </w:p>
        </w:tc>
        <w:tc>
          <w:tcPr>
            <w:tcW w:w="355" w:type="pct"/>
          </w:tcPr>
          <w:p w14:paraId="0471EF09"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242</w:t>
            </w:r>
          </w:p>
        </w:tc>
        <w:tc>
          <w:tcPr>
            <w:tcW w:w="356" w:type="pct"/>
          </w:tcPr>
          <w:p w14:paraId="21EBD555"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248</w:t>
            </w:r>
          </w:p>
        </w:tc>
        <w:tc>
          <w:tcPr>
            <w:tcW w:w="355" w:type="pct"/>
          </w:tcPr>
          <w:p w14:paraId="6F63E608" w14:textId="77777777" w:rsidR="00FC360C" w:rsidRPr="0075001C" w:rsidRDefault="00FC360C" w:rsidP="0075001C">
            <w:pPr>
              <w:keepNext/>
              <w:spacing w:after="0" w:line="240" w:lineRule="auto"/>
              <w:jc w:val="center"/>
              <w:rPr>
                <w:rFonts w:asciiTheme="minorHAnsi" w:hAnsiTheme="minorHAnsi" w:cs="Arial"/>
                <w:sz w:val="20"/>
              </w:rPr>
            </w:pPr>
          </w:p>
        </w:tc>
        <w:tc>
          <w:tcPr>
            <w:tcW w:w="356" w:type="pct"/>
          </w:tcPr>
          <w:p w14:paraId="667CBE09" w14:textId="77777777" w:rsidR="00FC360C" w:rsidRPr="0075001C" w:rsidRDefault="00FC360C" w:rsidP="0075001C">
            <w:pPr>
              <w:keepNext/>
              <w:spacing w:after="0" w:line="240" w:lineRule="auto"/>
              <w:jc w:val="center"/>
              <w:rPr>
                <w:rFonts w:asciiTheme="minorHAnsi" w:hAnsiTheme="minorHAnsi" w:cs="Arial"/>
                <w:sz w:val="20"/>
              </w:rPr>
            </w:pPr>
          </w:p>
        </w:tc>
        <w:tc>
          <w:tcPr>
            <w:tcW w:w="355" w:type="pct"/>
          </w:tcPr>
          <w:p w14:paraId="5A93464B" w14:textId="77777777" w:rsidR="00FC360C" w:rsidRPr="0075001C" w:rsidRDefault="00FC360C" w:rsidP="0075001C">
            <w:pPr>
              <w:keepNext/>
              <w:spacing w:after="0" w:line="240" w:lineRule="auto"/>
              <w:jc w:val="center"/>
              <w:rPr>
                <w:rFonts w:asciiTheme="minorHAnsi" w:hAnsiTheme="minorHAnsi" w:cs="Arial"/>
                <w:sz w:val="20"/>
              </w:rPr>
            </w:pPr>
          </w:p>
        </w:tc>
        <w:tc>
          <w:tcPr>
            <w:tcW w:w="356" w:type="pct"/>
          </w:tcPr>
          <w:p w14:paraId="5EFCA215" w14:textId="77777777" w:rsidR="00FC360C" w:rsidRPr="0075001C" w:rsidRDefault="00FC360C" w:rsidP="0075001C">
            <w:pPr>
              <w:keepNext/>
              <w:spacing w:after="0" w:line="240" w:lineRule="auto"/>
              <w:jc w:val="center"/>
              <w:rPr>
                <w:rFonts w:asciiTheme="minorHAnsi" w:hAnsiTheme="minorHAnsi" w:cs="Arial"/>
                <w:sz w:val="20"/>
              </w:rPr>
            </w:pPr>
          </w:p>
        </w:tc>
      </w:tr>
      <w:tr w:rsidR="00FC360C" w:rsidRPr="00F63BAF" w14:paraId="5FCADF2F" w14:textId="77777777" w:rsidTr="002F237A">
        <w:trPr>
          <w:jc w:val="center"/>
        </w:trPr>
        <w:tc>
          <w:tcPr>
            <w:tcW w:w="627" w:type="pct"/>
          </w:tcPr>
          <w:p w14:paraId="46365CD5" w14:textId="77777777" w:rsidR="00FC360C" w:rsidRPr="0075001C" w:rsidRDefault="00FC360C" w:rsidP="0075001C">
            <w:pPr>
              <w:keepNext/>
              <w:spacing w:after="0" w:line="240" w:lineRule="auto"/>
              <w:rPr>
                <w:rFonts w:asciiTheme="minorHAnsi" w:hAnsiTheme="minorHAnsi" w:cs="Arial"/>
                <w:sz w:val="20"/>
              </w:rPr>
            </w:pPr>
            <w:r w:rsidRPr="0075001C">
              <w:rPr>
                <w:rFonts w:asciiTheme="minorHAnsi" w:hAnsiTheme="minorHAnsi" w:cs="Arial"/>
                <w:sz w:val="20"/>
              </w:rPr>
              <w:t>12</w:t>
            </w:r>
          </w:p>
        </w:tc>
        <w:tc>
          <w:tcPr>
            <w:tcW w:w="1142" w:type="pct"/>
          </w:tcPr>
          <w:p w14:paraId="2E944380"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52.00</w:t>
            </w:r>
          </w:p>
        </w:tc>
        <w:tc>
          <w:tcPr>
            <w:tcW w:w="1098" w:type="pct"/>
          </w:tcPr>
          <w:p w14:paraId="08EE6377"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100</w:t>
            </w:r>
          </w:p>
        </w:tc>
        <w:tc>
          <w:tcPr>
            <w:tcW w:w="355" w:type="pct"/>
          </w:tcPr>
          <w:p w14:paraId="3C6A772A"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252</w:t>
            </w:r>
          </w:p>
        </w:tc>
        <w:tc>
          <w:tcPr>
            <w:tcW w:w="356" w:type="pct"/>
          </w:tcPr>
          <w:p w14:paraId="5B6A632B"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256</w:t>
            </w:r>
          </w:p>
        </w:tc>
        <w:tc>
          <w:tcPr>
            <w:tcW w:w="355" w:type="pct"/>
          </w:tcPr>
          <w:p w14:paraId="1B6B4B74"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264</w:t>
            </w:r>
          </w:p>
        </w:tc>
        <w:tc>
          <w:tcPr>
            <w:tcW w:w="356" w:type="pct"/>
          </w:tcPr>
          <w:p w14:paraId="7E3A6B04"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266</w:t>
            </w:r>
          </w:p>
        </w:tc>
        <w:tc>
          <w:tcPr>
            <w:tcW w:w="355" w:type="pct"/>
          </w:tcPr>
          <w:p w14:paraId="22287C67" w14:textId="77777777" w:rsidR="00FC360C" w:rsidRPr="0075001C" w:rsidRDefault="00FC360C" w:rsidP="0075001C">
            <w:pPr>
              <w:keepNext/>
              <w:spacing w:after="0" w:line="240" w:lineRule="auto"/>
              <w:jc w:val="center"/>
              <w:rPr>
                <w:rFonts w:asciiTheme="minorHAnsi" w:hAnsiTheme="minorHAnsi" w:cs="Arial"/>
                <w:sz w:val="20"/>
              </w:rPr>
            </w:pPr>
          </w:p>
        </w:tc>
        <w:tc>
          <w:tcPr>
            <w:tcW w:w="356" w:type="pct"/>
          </w:tcPr>
          <w:p w14:paraId="06395051" w14:textId="77777777" w:rsidR="00FC360C" w:rsidRPr="0075001C" w:rsidRDefault="00FC360C" w:rsidP="0075001C">
            <w:pPr>
              <w:keepNext/>
              <w:spacing w:after="0" w:line="240" w:lineRule="auto"/>
              <w:jc w:val="center"/>
              <w:rPr>
                <w:rFonts w:asciiTheme="minorHAnsi" w:hAnsiTheme="minorHAnsi" w:cs="Arial"/>
                <w:sz w:val="20"/>
              </w:rPr>
            </w:pPr>
          </w:p>
        </w:tc>
      </w:tr>
      <w:tr w:rsidR="00FC360C" w:rsidRPr="00F63BAF" w14:paraId="348874F3" w14:textId="77777777" w:rsidTr="002F237A">
        <w:trPr>
          <w:jc w:val="center"/>
        </w:trPr>
        <w:tc>
          <w:tcPr>
            <w:tcW w:w="627" w:type="pct"/>
          </w:tcPr>
          <w:p w14:paraId="04E0EAEA" w14:textId="77777777" w:rsidR="00FC360C" w:rsidRPr="0075001C" w:rsidRDefault="00FC360C" w:rsidP="0075001C">
            <w:pPr>
              <w:keepNext/>
              <w:spacing w:after="0" w:line="240" w:lineRule="auto"/>
              <w:rPr>
                <w:rFonts w:asciiTheme="minorHAnsi" w:hAnsiTheme="minorHAnsi" w:cs="Arial"/>
                <w:sz w:val="20"/>
              </w:rPr>
            </w:pPr>
            <w:r w:rsidRPr="0075001C">
              <w:rPr>
                <w:rFonts w:asciiTheme="minorHAnsi" w:hAnsiTheme="minorHAnsi" w:cs="Arial"/>
                <w:sz w:val="20"/>
              </w:rPr>
              <w:t>13</w:t>
            </w:r>
          </w:p>
        </w:tc>
        <w:tc>
          <w:tcPr>
            <w:tcW w:w="1142" w:type="pct"/>
          </w:tcPr>
          <w:p w14:paraId="43A0C882"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59.00</w:t>
            </w:r>
          </w:p>
        </w:tc>
        <w:tc>
          <w:tcPr>
            <w:tcW w:w="1098" w:type="pct"/>
          </w:tcPr>
          <w:p w14:paraId="0A38F13B"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100</w:t>
            </w:r>
          </w:p>
        </w:tc>
        <w:tc>
          <w:tcPr>
            <w:tcW w:w="355" w:type="pct"/>
          </w:tcPr>
          <w:p w14:paraId="458B1B48"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266</w:t>
            </w:r>
          </w:p>
        </w:tc>
        <w:tc>
          <w:tcPr>
            <w:tcW w:w="356" w:type="pct"/>
          </w:tcPr>
          <w:p w14:paraId="04A27180"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276</w:t>
            </w:r>
          </w:p>
        </w:tc>
        <w:tc>
          <w:tcPr>
            <w:tcW w:w="355" w:type="pct"/>
          </w:tcPr>
          <w:p w14:paraId="66E8F4E5"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278</w:t>
            </w:r>
          </w:p>
        </w:tc>
        <w:tc>
          <w:tcPr>
            <w:tcW w:w="356" w:type="pct"/>
          </w:tcPr>
          <w:p w14:paraId="1207D447" w14:textId="77777777" w:rsidR="00FC360C" w:rsidRPr="0075001C" w:rsidRDefault="00FC360C" w:rsidP="0075001C">
            <w:pPr>
              <w:keepNext/>
              <w:spacing w:after="0" w:line="240" w:lineRule="auto"/>
              <w:jc w:val="center"/>
              <w:rPr>
                <w:rFonts w:asciiTheme="minorHAnsi" w:hAnsiTheme="minorHAnsi" w:cs="Arial"/>
                <w:sz w:val="20"/>
              </w:rPr>
            </w:pPr>
            <w:r w:rsidRPr="0075001C">
              <w:rPr>
                <w:rFonts w:asciiTheme="minorHAnsi" w:hAnsiTheme="minorHAnsi" w:cs="Arial"/>
                <w:sz w:val="20"/>
              </w:rPr>
              <w:t>288</w:t>
            </w:r>
          </w:p>
        </w:tc>
        <w:tc>
          <w:tcPr>
            <w:tcW w:w="355" w:type="pct"/>
          </w:tcPr>
          <w:p w14:paraId="51676E86" w14:textId="77777777" w:rsidR="00FC360C" w:rsidRPr="0075001C" w:rsidRDefault="00FC360C" w:rsidP="0075001C">
            <w:pPr>
              <w:keepNext/>
              <w:spacing w:after="0" w:line="240" w:lineRule="auto"/>
              <w:jc w:val="center"/>
              <w:rPr>
                <w:rFonts w:asciiTheme="minorHAnsi" w:hAnsiTheme="minorHAnsi" w:cs="Arial"/>
                <w:sz w:val="20"/>
              </w:rPr>
            </w:pPr>
          </w:p>
        </w:tc>
        <w:tc>
          <w:tcPr>
            <w:tcW w:w="356" w:type="pct"/>
          </w:tcPr>
          <w:p w14:paraId="0807F681" w14:textId="77777777" w:rsidR="00FC360C" w:rsidRPr="0075001C" w:rsidRDefault="00FC360C" w:rsidP="0075001C">
            <w:pPr>
              <w:keepNext/>
              <w:spacing w:after="0" w:line="240" w:lineRule="auto"/>
              <w:jc w:val="center"/>
              <w:rPr>
                <w:rFonts w:asciiTheme="minorHAnsi" w:hAnsiTheme="minorHAnsi" w:cs="Arial"/>
                <w:sz w:val="20"/>
              </w:rPr>
            </w:pPr>
          </w:p>
        </w:tc>
      </w:tr>
    </w:tbl>
    <w:p w14:paraId="71FB700E" w14:textId="77777777" w:rsidR="00FC360C" w:rsidRPr="0075001C" w:rsidRDefault="00FC360C" w:rsidP="00FC360C">
      <w:r w:rsidRPr="00F63BAF">
        <w:t>Alkylated homologues of PAHs (C1–C4), mainly associated with petrogenic sources, contain a number of different isomers that can give very complex but distinct distribution profiles when analysed by GC-MS. Integration of each isomer separately is difficult for most alkylated PAHs. 1- and 2-Methyl naphthalene give well resolved peaks that can be quantified separately. C1-Phenanthrene/anthracene gives five distinct peaks corresponding to 3-methyl phenanthrene, 2-methyl phenanthrene, 2-methyl anthracene, 4- and 9-methyl phenanthrene and 1-methyl phenanthrene. These may be integrated as a group or as separate isomers. For all other alkylated PAHs the area for all isomers may be summed and quantified against a single representative isomer. This method will lead, however, to an overestimation of the concentration as may include non</w:t>
      </w:r>
      <w:r w:rsidR="00F73D36">
        <w:t>-</w:t>
      </w:r>
      <w:r w:rsidRPr="00F63BAF">
        <w:t>alkylated PAHs. Examples of integrations of both parent and alkylated PAHs are shown in Appendix 1.</w:t>
      </w:r>
    </w:p>
    <w:p w14:paraId="5606CADC" w14:textId="77777777" w:rsidR="00FC360C" w:rsidRPr="00F63BAF" w:rsidRDefault="00FC360C" w:rsidP="0075001C">
      <w:pPr>
        <w:pStyle w:val="Heading1"/>
      </w:pPr>
      <w:bookmarkStart w:id="177" w:name="_Toc511217464"/>
      <w:r w:rsidRPr="00F63BAF">
        <w:t>6.</w:t>
      </w:r>
      <w:r w:rsidRPr="00F63BAF">
        <w:tab/>
        <w:t>Calibration and quantification</w:t>
      </w:r>
      <w:bookmarkEnd w:id="177"/>
    </w:p>
    <w:p w14:paraId="5DA14AD6" w14:textId="77777777" w:rsidR="00FC360C" w:rsidRPr="0075001C" w:rsidRDefault="00FC360C" w:rsidP="0075001C">
      <w:pPr>
        <w:pStyle w:val="Heading2"/>
        <w:spacing w:before="0"/>
        <w:rPr>
          <w:szCs w:val="22"/>
        </w:rPr>
      </w:pPr>
      <w:bookmarkStart w:id="178" w:name="_Toc511217465"/>
      <w:r w:rsidRPr="0075001C">
        <w:rPr>
          <w:szCs w:val="22"/>
        </w:rPr>
        <w:t>6.1</w:t>
      </w:r>
      <w:r w:rsidRPr="0075001C">
        <w:rPr>
          <w:szCs w:val="22"/>
        </w:rPr>
        <w:tab/>
        <w:t>Standards</w:t>
      </w:r>
      <w:bookmarkEnd w:id="178"/>
    </w:p>
    <w:p w14:paraId="0FC0E9AF" w14:textId="77777777" w:rsidR="00FC360C" w:rsidRPr="0075001C" w:rsidRDefault="00FC360C" w:rsidP="0075001C">
      <w:pPr>
        <w:rPr>
          <w:szCs w:val="22"/>
        </w:rPr>
      </w:pPr>
      <w:r w:rsidRPr="0075001C">
        <w:rPr>
          <w:szCs w:val="22"/>
        </w:rPr>
        <w:t>The availability of pure PAH compounds are limited. Although most of the parent compounds can be purchased as pure compounds, the range of possible alkyl-substituted PAHs is vast and only a limited selection of them can be obtained. PAH standards are available for at least one isomer of most alkyl group listed in Table A1.1. A range of deuterated PAHs (normally 5 to 7) should be used as internal standards to cover the range of PAHs being analysed in samples. A range of fully-deuterated parent PAHs is available for use as standards in PAH analysis. Suitable standards could range from d</w:t>
      </w:r>
      <w:r w:rsidRPr="0075001C">
        <w:rPr>
          <w:szCs w:val="22"/>
          <w:vertAlign w:val="subscript"/>
        </w:rPr>
        <w:t>8</w:t>
      </w:r>
      <w:r w:rsidRPr="0075001C">
        <w:rPr>
          <w:szCs w:val="22"/>
        </w:rPr>
        <w:t>-naphthalene to d</w:t>
      </w:r>
      <w:r w:rsidRPr="0075001C">
        <w:rPr>
          <w:szCs w:val="22"/>
          <w:vertAlign w:val="subscript"/>
        </w:rPr>
        <w:t>14</w:t>
      </w:r>
      <w:r w:rsidRPr="0075001C">
        <w:rPr>
          <w:szCs w:val="22"/>
        </w:rPr>
        <w:t>-</w:t>
      </w:r>
      <w:proofErr w:type="gramStart"/>
      <w:r w:rsidRPr="0075001C">
        <w:rPr>
          <w:szCs w:val="22"/>
        </w:rPr>
        <w:t>dibenz[</w:t>
      </w:r>
      <w:proofErr w:type="gramEnd"/>
      <w:r w:rsidRPr="0075001C">
        <w:rPr>
          <w:i/>
          <w:szCs w:val="22"/>
        </w:rPr>
        <w:t>a,h</w:t>
      </w:r>
      <w:r w:rsidRPr="0075001C">
        <w:rPr>
          <w:szCs w:val="22"/>
        </w:rPr>
        <w:t>]anthracene. Crystalline PAHs of known purity should be used for the preparation of calibration standards. If the quality of the standard materials is not guaranteed by the producer or supplier (as for certified reference materials), then it should be checked by GC-MS analysis. Solid standards should be weighed to a precision of 10</w:t>
      </w:r>
      <w:r w:rsidRPr="0075001C">
        <w:rPr>
          <w:szCs w:val="22"/>
          <w:vertAlign w:val="superscript"/>
        </w:rPr>
        <w:t>–5</w:t>
      </w:r>
      <w:r w:rsidRPr="0075001C">
        <w:rPr>
          <w:szCs w:val="22"/>
        </w:rPr>
        <w:t xml:space="preserve"> grams. Calibration standards should be stored in the dark because some PAHs are photosensitive, and ideally solutions to be stored should be sealed in amber glass ampoules or sealed GC vials. Otherwise, they can be stored in a refrigerator in stoppered measuring cylinders or flasks that are gas tight to avoid evaporation</w:t>
      </w:r>
      <w:r w:rsidR="0075001C" w:rsidRPr="0075001C">
        <w:rPr>
          <w:szCs w:val="22"/>
        </w:rPr>
        <w:t xml:space="preserve"> of the solvent during storage.</w:t>
      </w:r>
    </w:p>
    <w:p w14:paraId="76D18E4D" w14:textId="77777777" w:rsidR="00FC360C" w:rsidRPr="0075001C" w:rsidRDefault="00FC360C" w:rsidP="0075001C">
      <w:pPr>
        <w:pStyle w:val="Heading2"/>
        <w:spacing w:before="0"/>
        <w:rPr>
          <w:szCs w:val="22"/>
        </w:rPr>
      </w:pPr>
      <w:bookmarkStart w:id="179" w:name="_Toc511217466"/>
      <w:r w:rsidRPr="0075001C">
        <w:rPr>
          <w:szCs w:val="22"/>
        </w:rPr>
        <w:t>6.2</w:t>
      </w:r>
      <w:r w:rsidRPr="0075001C">
        <w:rPr>
          <w:szCs w:val="22"/>
        </w:rPr>
        <w:tab/>
        <w:t>Calibration</w:t>
      </w:r>
      <w:bookmarkEnd w:id="179"/>
    </w:p>
    <w:p w14:paraId="604D14DC" w14:textId="77777777" w:rsidR="00FC360C" w:rsidRPr="0075001C" w:rsidRDefault="00FC360C" w:rsidP="0075001C">
      <w:pPr>
        <w:rPr>
          <w:szCs w:val="22"/>
        </w:rPr>
      </w:pPr>
      <w:r w:rsidRPr="0075001C">
        <w:rPr>
          <w:szCs w:val="22"/>
        </w:rPr>
        <w:t>Multilevel calibration with at least five calibration levels is preferred to adequately define the calibration curve. In general, GC-MS calibration is linear over a considerable concentration range but may exhibit a change of slope at very low concentrations. Quantification should be conducted in the linear region of the calibration curve. A separate calibration curve may be used where sample concentrations are very low. An internal standard method should be employed, using a range of deuterate</w:t>
      </w:r>
      <w:r w:rsidR="0075001C" w:rsidRPr="0075001C">
        <w:rPr>
          <w:szCs w:val="22"/>
        </w:rPr>
        <w:t>d PAHs as internal standards.</w:t>
      </w:r>
      <w:r w:rsidR="00B33CCD">
        <w:rPr>
          <w:szCs w:val="22"/>
        </w:rPr>
        <w:t xml:space="preserve"> </w:t>
      </w:r>
    </w:p>
    <w:p w14:paraId="0826238D" w14:textId="77777777" w:rsidR="00FC360C" w:rsidRPr="0075001C" w:rsidRDefault="00FC360C" w:rsidP="0075001C">
      <w:pPr>
        <w:pStyle w:val="Heading2"/>
        <w:spacing w:before="0"/>
        <w:rPr>
          <w:szCs w:val="22"/>
        </w:rPr>
      </w:pPr>
      <w:bookmarkStart w:id="180" w:name="_Toc511217467"/>
      <w:r w:rsidRPr="0075001C">
        <w:rPr>
          <w:szCs w:val="22"/>
        </w:rPr>
        <w:t>6.3</w:t>
      </w:r>
      <w:r w:rsidRPr="0075001C">
        <w:rPr>
          <w:szCs w:val="22"/>
        </w:rPr>
        <w:tab/>
        <w:t>Recovery</w:t>
      </w:r>
      <w:bookmarkEnd w:id="180"/>
    </w:p>
    <w:p w14:paraId="3A2E93B7" w14:textId="77777777" w:rsidR="00FC360C" w:rsidRPr="0075001C" w:rsidRDefault="00FC360C" w:rsidP="0075001C">
      <w:pPr>
        <w:pStyle w:val="BodyText"/>
        <w:spacing w:after="120" w:line="276" w:lineRule="auto"/>
        <w:rPr>
          <w:rFonts w:ascii="Calibri" w:hAnsi="Calibri"/>
          <w:sz w:val="22"/>
          <w:szCs w:val="22"/>
        </w:rPr>
      </w:pPr>
      <w:r w:rsidRPr="0075001C">
        <w:rPr>
          <w:rFonts w:ascii="Calibri" w:hAnsi="Calibri"/>
          <w:sz w:val="22"/>
          <w:szCs w:val="22"/>
        </w:rPr>
        <w:t>The recovery of analytes should be checked and reported. Given the wide boiling range of the PAHs to be determined, the recovery may vary with compound group, from the volatile PAHs of low molecular weight to the larger compounds. Deuterated standards can be added in two groups: those to be used for quantification are added at the start of the analytical procedure, whilst those from which the absolute recovery will be assessed are added prior to GC-MS injection. This allows</w:t>
      </w:r>
      <w:r w:rsidR="0075001C" w:rsidRPr="0075001C">
        <w:rPr>
          <w:rFonts w:ascii="Calibri" w:hAnsi="Calibri"/>
          <w:sz w:val="22"/>
          <w:szCs w:val="22"/>
        </w:rPr>
        <w:t xml:space="preserve"> the recovery to be calculated.</w:t>
      </w:r>
    </w:p>
    <w:p w14:paraId="27E5B5DD" w14:textId="77777777" w:rsidR="00FC360C" w:rsidRPr="00F63BAF" w:rsidRDefault="00FC360C" w:rsidP="0075001C">
      <w:pPr>
        <w:pStyle w:val="Heading1"/>
      </w:pPr>
      <w:bookmarkStart w:id="181" w:name="_Toc511217468"/>
      <w:r w:rsidRPr="00F63BAF">
        <w:t>7.</w:t>
      </w:r>
      <w:r w:rsidRPr="00F63BAF">
        <w:tab/>
        <w:t>Analytical Quality Control</w:t>
      </w:r>
      <w:bookmarkEnd w:id="181"/>
    </w:p>
    <w:p w14:paraId="327EA5B8" w14:textId="77777777" w:rsidR="00FC360C" w:rsidRPr="0075001C" w:rsidRDefault="00FC360C" w:rsidP="0075001C">
      <w:pPr>
        <w:rPr>
          <w:szCs w:val="22"/>
        </w:rPr>
      </w:pPr>
      <w:r w:rsidRPr="0075001C">
        <w:rPr>
          <w:szCs w:val="22"/>
        </w:rPr>
        <w:t>Planners of monitoring programmes must decide on the accuracy, precision, repeatability, and limits of detection and determination which they consider acceptable. Achievable limits of determination for each individual component</w:t>
      </w:r>
      <w:r w:rsidR="0075001C" w:rsidRPr="0075001C">
        <w:rPr>
          <w:szCs w:val="22"/>
        </w:rPr>
        <w:t xml:space="preserve"> are as follows:</w:t>
      </w:r>
    </w:p>
    <w:p w14:paraId="3FA853CB" w14:textId="77777777" w:rsidR="00FC360C" w:rsidRPr="0075001C" w:rsidRDefault="00FC360C" w:rsidP="0075001C">
      <w:pPr>
        <w:pStyle w:val="ListBullet"/>
        <w:numPr>
          <w:ilvl w:val="0"/>
          <w:numId w:val="19"/>
        </w:numPr>
        <w:spacing w:after="120" w:line="276" w:lineRule="auto"/>
        <w:ind w:left="900"/>
        <w:rPr>
          <w:rFonts w:ascii="Calibri" w:hAnsi="Calibri"/>
          <w:sz w:val="22"/>
          <w:szCs w:val="22"/>
        </w:rPr>
      </w:pPr>
      <w:r w:rsidRPr="0075001C">
        <w:rPr>
          <w:rFonts w:ascii="Calibri" w:hAnsi="Calibri"/>
          <w:sz w:val="22"/>
          <w:szCs w:val="22"/>
        </w:rPr>
        <w:t>for GC-MS measurements: 0.05 μg kg</w:t>
      </w:r>
      <w:r w:rsidRPr="0075001C">
        <w:rPr>
          <w:rFonts w:ascii="Calibri" w:hAnsi="Calibri"/>
          <w:sz w:val="22"/>
          <w:szCs w:val="22"/>
          <w:vertAlign w:val="superscript"/>
        </w:rPr>
        <w:sym w:font="Symbol" w:char="F02D"/>
      </w:r>
      <w:r w:rsidRPr="0075001C">
        <w:rPr>
          <w:rFonts w:ascii="Calibri" w:hAnsi="Calibri"/>
          <w:sz w:val="22"/>
          <w:szCs w:val="22"/>
          <w:vertAlign w:val="superscript"/>
        </w:rPr>
        <w:t>1</w:t>
      </w:r>
      <w:r w:rsidRPr="0075001C">
        <w:rPr>
          <w:rFonts w:ascii="Calibri" w:hAnsi="Calibri"/>
          <w:sz w:val="22"/>
          <w:szCs w:val="22"/>
        </w:rPr>
        <w:t xml:space="preserve"> ww;</w:t>
      </w:r>
    </w:p>
    <w:p w14:paraId="37A36551" w14:textId="77777777" w:rsidR="00FC360C" w:rsidRPr="0075001C" w:rsidRDefault="00FC360C" w:rsidP="0075001C">
      <w:pPr>
        <w:pStyle w:val="BodyText"/>
        <w:numPr>
          <w:ilvl w:val="0"/>
          <w:numId w:val="19"/>
        </w:numPr>
        <w:spacing w:after="120" w:line="276" w:lineRule="auto"/>
        <w:ind w:left="900" w:hanging="360"/>
        <w:rPr>
          <w:rFonts w:ascii="Calibri" w:hAnsi="Calibri"/>
          <w:sz w:val="22"/>
          <w:szCs w:val="22"/>
        </w:rPr>
      </w:pPr>
      <w:r w:rsidRPr="0075001C">
        <w:rPr>
          <w:rFonts w:ascii="Calibri" w:hAnsi="Calibri"/>
          <w:sz w:val="22"/>
          <w:szCs w:val="22"/>
        </w:rPr>
        <w:t>Further information on analytical quality control procedures for PAHs can be found elsewhere (Law and de Boer, 1995). A procedural blank should be measured with each sample batch, and should be prepared simultaneously using the same chemical reagents and solvents as for the samples. Its purpose is to indicate sample contamination by interfering compounds, which will result in errors in quantification. The procedural blank is also very important in the calculation of limits of detection and limits of quantification for the analytical method. In addition, a laboratory reference material (LRM) should be analysed within each sample batch. The LRM must be homogeneous and well-characterised for the determinands of interest within the analytical laboratory. Ideally, stability tests should have been undertaken to show that the LRM yields consistent results over time. The LRM should be of the same matrix type (e.g. mussels) as the samples, and the determinand concentrations should be in the same range as those in the samples. Realistically, and given the wide range of PAH concentrations encountered, particularly in oil spill investigations, this is bound to involve some compromise. The data produced for the LRM in successive sample batches should be used to prepare control charts. It is also useful to analyse the LRM in duplicate from time to time to check within-batch analytical variability. The analysis of an LRM is primarily intended as a check that the analytical method is under control and yields acceptable precision, but a certified reference material (CRM) of a similar matrix should be analysed periodically in order to check the method bias. The availability of biota CRMs certified for PAHs is very limited, and in all cases the number of PAHs for which certified values are provided is small. At present, only NIST 1974a (a frozen wet mussel tissue) and NIST 2974 (a freeze-dried mussel tissue) are available. At regular intervals, the laboratory should participate in an intercomparison or proficiency exercise in which samples are circulated without knowledge of the determinand concentrations, in order to provide an independent check on performance.</w:t>
      </w:r>
    </w:p>
    <w:p w14:paraId="1272B4B6" w14:textId="77777777" w:rsidR="00FC360C" w:rsidRPr="00F63BAF" w:rsidRDefault="00FC360C" w:rsidP="0075001C">
      <w:pPr>
        <w:pStyle w:val="Heading1"/>
      </w:pPr>
      <w:bookmarkStart w:id="182" w:name="_Toc511217469"/>
      <w:r w:rsidRPr="00F63BAF">
        <w:t>8.</w:t>
      </w:r>
      <w:r w:rsidRPr="00F63BAF">
        <w:tab/>
        <w:t>Data reporting</w:t>
      </w:r>
      <w:bookmarkEnd w:id="182"/>
    </w:p>
    <w:p w14:paraId="558B6D40" w14:textId="77777777" w:rsidR="00FC360C" w:rsidRPr="00F63BAF" w:rsidRDefault="00FC360C" w:rsidP="00FC360C">
      <w:r w:rsidRPr="00F63BAF">
        <w:t>The calculation of results and the reporting of data can represent major sources of error, as has been shown in intercomparison studies for PAHs. Control procedures should be established in order to ensure that data are correct and to obviate transcription errors. Data stored on databases should be checked and validated, and checks are also necessary when data are transferred between databases. Data should be reported in accordance with the latest ICES reporting formats.</w:t>
      </w:r>
    </w:p>
    <w:p w14:paraId="60EB26DC" w14:textId="77777777" w:rsidR="00FC360C" w:rsidRPr="00F63BAF" w:rsidRDefault="00FC360C" w:rsidP="0075001C">
      <w:pPr>
        <w:pStyle w:val="Heading1"/>
      </w:pPr>
      <w:bookmarkStart w:id="183" w:name="_Toc511217470"/>
      <w:r w:rsidRPr="00F63BAF">
        <w:t>9.</w:t>
      </w:r>
      <w:r w:rsidRPr="00F63BAF">
        <w:tab/>
        <w:t>References</w:t>
      </w:r>
      <w:bookmarkEnd w:id="183"/>
    </w:p>
    <w:p w14:paraId="383EB45E" w14:textId="77777777" w:rsidR="00FC360C" w:rsidRPr="00F63BAF" w:rsidRDefault="00FC360C" w:rsidP="0075001C">
      <w:proofErr w:type="gramStart"/>
      <w:r w:rsidRPr="00F63BAF">
        <w:t>Bligh, E. G., and Dyer, W. J. 1959.</w:t>
      </w:r>
      <w:proofErr w:type="gramEnd"/>
      <w:r w:rsidRPr="00F63BAF">
        <w:t xml:space="preserve"> </w:t>
      </w:r>
      <w:proofErr w:type="gramStart"/>
      <w:r w:rsidRPr="00F63BAF">
        <w:t>A rapid method of total lipid extraction and purification.</w:t>
      </w:r>
      <w:proofErr w:type="gramEnd"/>
      <w:r w:rsidRPr="00F63BAF">
        <w:t xml:space="preserve"> </w:t>
      </w:r>
      <w:proofErr w:type="gramStart"/>
      <w:r w:rsidRPr="00F63BAF">
        <w:t>Canadian Journal of Biochemistry and Physiology.</w:t>
      </w:r>
      <w:proofErr w:type="gramEnd"/>
      <w:r w:rsidRPr="00F63BAF">
        <w:t xml:space="preserve"> 37: 911–917.</w:t>
      </w:r>
    </w:p>
    <w:p w14:paraId="589A49F2" w14:textId="77777777" w:rsidR="00FC360C" w:rsidRPr="00F63BAF" w:rsidRDefault="00FC360C" w:rsidP="0075001C">
      <w:proofErr w:type="gramStart"/>
      <w:r w:rsidRPr="00F63BAF">
        <w:t>Ehrhardt, M., Klungsøyr, J., and Law, R. J. 1991.</w:t>
      </w:r>
      <w:proofErr w:type="gramEnd"/>
      <w:r w:rsidRPr="00F63BAF">
        <w:t xml:space="preserve"> Hydrocarbons: Review of methods for analysis in sea water, biota, and sediments. </w:t>
      </w:r>
      <w:proofErr w:type="gramStart"/>
      <w:r w:rsidRPr="00F63BAF">
        <w:t>Techniques in Marine Environmental Sciences.</w:t>
      </w:r>
      <w:proofErr w:type="gramEnd"/>
      <w:r w:rsidRPr="00F63BAF">
        <w:t xml:space="preserve"> 12: 19–22.</w:t>
      </w:r>
    </w:p>
    <w:p w14:paraId="3213B3EA" w14:textId="77777777" w:rsidR="00FC360C" w:rsidRPr="00F63BAF" w:rsidRDefault="00FC360C" w:rsidP="0075001C">
      <w:r w:rsidRPr="00F63BAF">
        <w:t>Farrington, J. W., Davis, A. C., Livramento, J. B., Clifford, C. H., Frew, N. M., and Knap, A. 1986. ICES/IOC Intercomparison Exercises on the Determination of Petroleum Hydrocarbons in Biological Tissues (mussel homogenate) – ICES (2/HC/BT). ICES Cooperative Research Report, 141: 1–75.</w:t>
      </w:r>
    </w:p>
    <w:p w14:paraId="38E9DA2C" w14:textId="77777777" w:rsidR="00FC360C" w:rsidRPr="00F63BAF" w:rsidRDefault="00FC360C" w:rsidP="0075001C">
      <w:r w:rsidRPr="00F63BAF">
        <w:rPr>
          <w:bCs/>
        </w:rPr>
        <w:t>Hanson,</w:t>
      </w:r>
      <w:r w:rsidRPr="00F63BAF">
        <w:t xml:space="preserve"> S. W. F., and Olley, J. </w:t>
      </w:r>
      <w:r w:rsidRPr="00F63BAF">
        <w:rPr>
          <w:bCs/>
        </w:rPr>
        <w:t>1963</w:t>
      </w:r>
      <w:r w:rsidRPr="00F63BAF">
        <w:t xml:space="preserve">. </w:t>
      </w:r>
      <w:proofErr w:type="gramStart"/>
      <w:r w:rsidRPr="00F63BAF">
        <w:t xml:space="preserve">Application of the Bligh and Dyer method of </w:t>
      </w:r>
      <w:r w:rsidRPr="00F63BAF">
        <w:rPr>
          <w:bCs/>
        </w:rPr>
        <w:t xml:space="preserve">lipid </w:t>
      </w:r>
      <w:r w:rsidRPr="00F63BAF">
        <w:t>extraction to tissue homogenates.</w:t>
      </w:r>
      <w:proofErr w:type="gramEnd"/>
      <w:r w:rsidRPr="00F63BAF">
        <w:t xml:space="preserve"> </w:t>
      </w:r>
      <w:proofErr w:type="gramStart"/>
      <w:r w:rsidRPr="00F63BAF">
        <w:rPr>
          <w:bCs/>
        </w:rPr>
        <w:t>Biochem.</w:t>
      </w:r>
      <w:proofErr w:type="gramEnd"/>
      <w:r w:rsidRPr="00F63BAF">
        <w:t xml:space="preserve"> </w:t>
      </w:r>
      <w:r w:rsidRPr="00F63BAF">
        <w:rPr>
          <w:bCs/>
        </w:rPr>
        <w:t>J.</w:t>
      </w:r>
      <w:r w:rsidRPr="00F63BAF">
        <w:t>, 89: 101–102.</w:t>
      </w:r>
    </w:p>
    <w:p w14:paraId="7E638C5E" w14:textId="77777777" w:rsidR="00FC360C" w:rsidRPr="00F63BAF" w:rsidRDefault="00FC360C" w:rsidP="0075001C">
      <w:proofErr w:type="gramStart"/>
      <w:r w:rsidRPr="00F63BAF">
        <w:t>Law, R. J., and Biscaya, J. L. 1994.</w:t>
      </w:r>
      <w:proofErr w:type="gramEnd"/>
      <w:r w:rsidRPr="00F63BAF">
        <w:t xml:space="preserve"> </w:t>
      </w:r>
      <w:proofErr w:type="gramStart"/>
      <w:r w:rsidRPr="00F63BAF">
        <w:t>Polycyclic aromatic hydrocarbons (PAHs)—Problems and progress in sampling, analysis and interpretation.</w:t>
      </w:r>
      <w:proofErr w:type="gramEnd"/>
      <w:r w:rsidRPr="00F63BAF">
        <w:t xml:space="preserve"> Marine Pollution Bulletin, 29: 235–241.</w:t>
      </w:r>
    </w:p>
    <w:p w14:paraId="4C0CEFCE" w14:textId="77777777" w:rsidR="00FC360C" w:rsidRPr="00F63BAF" w:rsidRDefault="00FC360C" w:rsidP="0075001C">
      <w:r w:rsidRPr="00F63BAF">
        <w:t xml:space="preserve">Law, R. J., and de Boer, J. 1995. Quality assurance of analysis of organic compounds in marine matrices: Application to analysis of chlorobiphenyls and polycyclic aromatic hydrocarbons. </w:t>
      </w:r>
      <w:proofErr w:type="gramStart"/>
      <w:r w:rsidRPr="00F63BAF">
        <w:rPr>
          <w:i/>
        </w:rPr>
        <w:t>In</w:t>
      </w:r>
      <w:r w:rsidRPr="00F63BAF">
        <w:t xml:space="preserve"> Quality Assurance in Environmental Monitoring—Sampling and Sample Pretreatment.</w:t>
      </w:r>
      <w:proofErr w:type="gramEnd"/>
      <w:r w:rsidRPr="00F63BAF">
        <w:t xml:space="preserve"> </w:t>
      </w:r>
      <w:proofErr w:type="gramStart"/>
      <w:r w:rsidRPr="00F63BAF">
        <w:t>129–156.</w:t>
      </w:r>
      <w:proofErr w:type="gramEnd"/>
      <w:r w:rsidRPr="00F63BAF">
        <w:t xml:space="preserve"> </w:t>
      </w:r>
      <w:proofErr w:type="gramStart"/>
      <w:r w:rsidRPr="00F63BAF">
        <w:t>Ed. by P. Quevauviller.</w:t>
      </w:r>
      <w:proofErr w:type="gramEnd"/>
      <w:r w:rsidRPr="00F63BAF">
        <w:t xml:space="preserve"> </w:t>
      </w:r>
      <w:proofErr w:type="gramStart"/>
      <w:r w:rsidRPr="00F63BAF">
        <w:t>VCH Publishers, Weinheim, Germany.</w:t>
      </w:r>
      <w:proofErr w:type="gramEnd"/>
    </w:p>
    <w:p w14:paraId="27587CD7" w14:textId="77777777" w:rsidR="00FC360C" w:rsidRPr="00F63BAF" w:rsidRDefault="00FC360C" w:rsidP="0075001C">
      <w:proofErr w:type="gramStart"/>
      <w:r w:rsidRPr="00F63BAF">
        <w:t>Law, R. J., Fileman, T. W., and Portmann, J. E. 1988.</w:t>
      </w:r>
      <w:proofErr w:type="gramEnd"/>
      <w:r w:rsidRPr="00F63BAF">
        <w:t xml:space="preserve"> </w:t>
      </w:r>
      <w:proofErr w:type="gramStart"/>
      <w:r w:rsidRPr="00F63BAF">
        <w:t>Methods of analysis for hydrocarbons in marine samples.</w:t>
      </w:r>
      <w:proofErr w:type="gramEnd"/>
      <w:r w:rsidRPr="00F63BAF">
        <w:t xml:space="preserve"> Aquatic Environment Protection: Analytical Methods. </w:t>
      </w:r>
      <w:proofErr w:type="gramStart"/>
      <w:r w:rsidRPr="00F63BAF">
        <w:t>MAFF Directorate of Fisheries Research, Lowestoft, UK.</w:t>
      </w:r>
      <w:proofErr w:type="gramEnd"/>
      <w:r w:rsidRPr="00F63BAF">
        <w:t xml:space="preserve"> (2). 25.</w:t>
      </w:r>
    </w:p>
    <w:p w14:paraId="08BA1721" w14:textId="77777777" w:rsidR="00FC360C" w:rsidRPr="00F63BAF" w:rsidRDefault="00FC360C" w:rsidP="0075001C">
      <w:r w:rsidRPr="00F63BAF">
        <w:t>Law, R. J., and Klungsøyr, J. 1996. The 1994 QUASIMEME laboratory-performance studies: Polycyclic aromatic hydrocarbons (PAHs) in standard solutions. Marine Pollution Bulletin, 32: 667–673.</w:t>
      </w:r>
    </w:p>
    <w:p w14:paraId="66160A5A" w14:textId="77777777" w:rsidR="00FC360C" w:rsidRPr="00F63BAF" w:rsidRDefault="00FC360C" w:rsidP="0075001C">
      <w:r w:rsidRPr="00F63BAF">
        <w:t>Law, R. J., Klungsøyr, J., and Fredriks, I. L. 1998. The QUASIMEME interlaboratory testing scheme for polycyclic aromatic hydrocarbons (PAHs): assess</w:t>
      </w:r>
      <w:r w:rsidRPr="00F63BAF">
        <w:softHyphen/>
        <w:t xml:space="preserve">ment of the first three rounds, 1994–1995. </w:t>
      </w:r>
      <w:proofErr w:type="gramStart"/>
      <w:r w:rsidRPr="00F63BAF">
        <w:t>Marine Pollution Bulletin.</w:t>
      </w:r>
      <w:proofErr w:type="gramEnd"/>
      <w:r w:rsidRPr="00F63BAF">
        <w:t xml:space="preserve"> 35: 64–77.</w:t>
      </w:r>
    </w:p>
    <w:p w14:paraId="769815D4" w14:textId="77777777" w:rsidR="00FC360C" w:rsidRPr="00F63BAF" w:rsidRDefault="00FC360C" w:rsidP="0075001C">
      <w:r w:rsidRPr="00F63BAF">
        <w:t xml:space="preserve">Law, R. J., and Nicholson, M. D. 1995. Report on the results of the Intercomparison Programme on the Analysis of PAHs in Marine Media—Stage 1. </w:t>
      </w:r>
      <w:proofErr w:type="gramStart"/>
      <w:r w:rsidRPr="00F63BAF">
        <w:t>ICES Cooperative Research Report.</w:t>
      </w:r>
      <w:proofErr w:type="gramEnd"/>
      <w:r w:rsidRPr="00F63BAF">
        <w:t xml:space="preserve"> 207: 52–104.</w:t>
      </w:r>
    </w:p>
    <w:p w14:paraId="438A5EE0" w14:textId="77777777" w:rsidR="00FC360C" w:rsidRPr="00F63BAF" w:rsidRDefault="00FC360C" w:rsidP="0075001C">
      <w:r w:rsidRPr="00F63BAF">
        <w:t xml:space="preserve">Malins, D. C., McCain, B. B., Landahl, J. T., Myers, M. S., Krahn, M. M., Brown, D. W., Chan, S-L., and Roubal, W. T. 1988. Neoplastic and other diseases in fish in relation to toxic chemicals: an overview. </w:t>
      </w:r>
      <w:proofErr w:type="gramStart"/>
      <w:r w:rsidRPr="00F63BAF">
        <w:t>Aquatic Toxicology.</w:t>
      </w:r>
      <w:proofErr w:type="gramEnd"/>
      <w:r w:rsidRPr="00F63BAF">
        <w:t xml:space="preserve"> 11: 43–67.</w:t>
      </w:r>
    </w:p>
    <w:p w14:paraId="2E6690C4" w14:textId="77777777" w:rsidR="00FC360C" w:rsidRPr="00F63BAF" w:rsidRDefault="00FC360C" w:rsidP="0075001C">
      <w:proofErr w:type="gramStart"/>
      <w:r w:rsidRPr="00F63BAF">
        <w:t>Marvanova, S., Vondracek, J., Pencikova, K., Trilecova, L., Krcmar, P., Topinka, J., Novakova, Z., Milcova, A., and Machala, M. 2008.</w:t>
      </w:r>
      <w:proofErr w:type="gramEnd"/>
      <w:r w:rsidRPr="00F63BAF">
        <w:t xml:space="preserve"> Toxic effects of methylated[a]anthracenes in liver cells. </w:t>
      </w:r>
      <w:proofErr w:type="gramStart"/>
      <w:r w:rsidRPr="00F63BAF">
        <w:t>Chemical Research in Toxicology.</w:t>
      </w:r>
      <w:proofErr w:type="gramEnd"/>
      <w:r w:rsidRPr="00F63BAF">
        <w:t xml:space="preserve"> </w:t>
      </w:r>
      <w:proofErr w:type="gramStart"/>
      <w:r w:rsidRPr="00F63BAF">
        <w:t>In press.</w:t>
      </w:r>
      <w:proofErr w:type="gramEnd"/>
    </w:p>
    <w:p w14:paraId="2FCC7D6E" w14:textId="77777777" w:rsidR="00FC360C" w:rsidRPr="00F63BAF" w:rsidRDefault="00FC360C" w:rsidP="0075001C">
      <w:proofErr w:type="gramStart"/>
      <w:r w:rsidRPr="00F63BAF">
        <w:t>Nondek, L., Kuzilek, M., and Krupicka, S. 1993.</w:t>
      </w:r>
      <w:proofErr w:type="gramEnd"/>
      <w:r w:rsidRPr="00F63BAF">
        <w:t xml:space="preserve"> </w:t>
      </w:r>
      <w:proofErr w:type="gramStart"/>
      <w:r w:rsidRPr="00F63BAF">
        <w:t>LC clean-up and GC-MS analysis of polycyclic aromatic hydrocarbons in river sediment.</w:t>
      </w:r>
      <w:proofErr w:type="gramEnd"/>
      <w:r w:rsidRPr="00F63BAF">
        <w:t xml:space="preserve"> </w:t>
      </w:r>
      <w:proofErr w:type="gramStart"/>
      <w:r w:rsidRPr="00F63BAF">
        <w:t>Chromatographia.</w:t>
      </w:r>
      <w:proofErr w:type="gramEnd"/>
      <w:r w:rsidRPr="00F63BAF">
        <w:t xml:space="preserve"> 37: 381–391.</w:t>
      </w:r>
    </w:p>
    <w:p w14:paraId="52F4B0B6" w14:textId="77777777" w:rsidR="00FC360C" w:rsidRPr="00F63BAF" w:rsidRDefault="00FC360C" w:rsidP="0075001C">
      <w:proofErr w:type="gramStart"/>
      <w:r w:rsidRPr="00F63BAF">
        <w:t>Nyman, P. J., Perfetti, G. A., Joe, F. L. jr., and Diachenko, G. W. 1993.</w:t>
      </w:r>
      <w:proofErr w:type="gramEnd"/>
      <w:r w:rsidRPr="00F63BAF">
        <w:t xml:space="preserve"> Comparison of two clean-up methodologies for the gas chromatographic-mass spectrometric detection of low nanogram per gram levels of polynuclear aromatic hydrocarbons in seafood. </w:t>
      </w:r>
      <w:proofErr w:type="gramStart"/>
      <w:r w:rsidRPr="00F63BAF">
        <w:t>Food Additives and Contaminants.</w:t>
      </w:r>
      <w:proofErr w:type="gramEnd"/>
      <w:r w:rsidRPr="00F63BAF">
        <w:rPr>
          <w:i/>
        </w:rPr>
        <w:t xml:space="preserve"> </w:t>
      </w:r>
      <w:r w:rsidRPr="00F63BAF">
        <w:t>10: 489–501.</w:t>
      </w:r>
    </w:p>
    <w:p w14:paraId="102C2876" w14:textId="77777777" w:rsidR="00FC360C" w:rsidRPr="00F63BAF" w:rsidRDefault="00FC360C" w:rsidP="0075001C">
      <w:r w:rsidRPr="00F63BAF">
        <w:t xml:space="preserve">Perfetti, G. A., Nyman, P. J., Fisher, S., Joe, F. L. jr., and Diachenko, G. W. 1992. </w:t>
      </w:r>
      <w:proofErr w:type="gramStart"/>
      <w:r w:rsidRPr="00F63BAF">
        <w:t>Determination of polynuclear aromatic hydrocarbons in seafood by liquid chroma</w:t>
      </w:r>
      <w:r w:rsidRPr="00F63BAF">
        <w:softHyphen/>
        <w:t>tography with fluorescence detection.</w:t>
      </w:r>
      <w:proofErr w:type="gramEnd"/>
      <w:r w:rsidRPr="00F63BAF">
        <w:t xml:space="preserve"> </w:t>
      </w:r>
      <w:proofErr w:type="gramStart"/>
      <w:r w:rsidRPr="00F63BAF">
        <w:t>Journal of the Association of Official Analytical Chemists.</w:t>
      </w:r>
      <w:proofErr w:type="gramEnd"/>
      <w:r w:rsidRPr="00F63BAF">
        <w:rPr>
          <w:i/>
        </w:rPr>
        <w:t xml:space="preserve"> </w:t>
      </w:r>
      <w:r w:rsidRPr="00F63BAF">
        <w:t>75: 872–877.</w:t>
      </w:r>
    </w:p>
    <w:p w14:paraId="0918F164" w14:textId="77777777" w:rsidR="00FC360C" w:rsidRPr="00F63BAF" w:rsidRDefault="00FC360C" w:rsidP="0075001C">
      <w:r w:rsidRPr="00F63BAF">
        <w:t xml:space="preserve">Revision of the Nordtest Methodology for oil spill identification, </w:t>
      </w:r>
      <w:hyperlink r:id="rId32" w:history="1">
        <w:r w:rsidRPr="00F63BAF">
          <w:rPr>
            <w:rStyle w:val="Hyperlink"/>
          </w:rPr>
          <w:t>http://www.nordicinnovation.net/nordtestfiler/tec499.pdf</w:t>
        </w:r>
      </w:hyperlink>
    </w:p>
    <w:p w14:paraId="1CF1377D" w14:textId="77777777" w:rsidR="00FC360C" w:rsidRPr="00F63BAF" w:rsidRDefault="00FC360C" w:rsidP="0075001C">
      <w:r w:rsidRPr="00F63BAF">
        <w:t>Smedes, F. 1999.</w:t>
      </w:r>
      <w:r w:rsidR="00B33CCD">
        <w:t xml:space="preserve"> </w:t>
      </w:r>
      <w:proofErr w:type="gramStart"/>
      <w:r w:rsidRPr="00F63BAF">
        <w:t>Determination of total lipid using non-chlorinated solvents.</w:t>
      </w:r>
      <w:proofErr w:type="gramEnd"/>
      <w:r w:rsidRPr="00F63BAF">
        <w:t xml:space="preserve"> Analyst, 124: 1711-1718.</w:t>
      </w:r>
    </w:p>
    <w:p w14:paraId="6CEA65B0" w14:textId="77777777" w:rsidR="00FC360C" w:rsidRPr="00F63BAF" w:rsidRDefault="00FC360C" w:rsidP="0075001C">
      <w:r w:rsidRPr="00F63BAF">
        <w:t xml:space="preserve">Vethaak, A. D., and Rheinallt, T. 1992. Fish disease as a monitor for marine pollution: the case of the North Sea. </w:t>
      </w:r>
      <w:proofErr w:type="gramStart"/>
      <w:r w:rsidRPr="00F63BAF">
        <w:t>Review of Fish Biology and Fisheries.</w:t>
      </w:r>
      <w:proofErr w:type="gramEnd"/>
      <w:r w:rsidRPr="00F63BAF">
        <w:t xml:space="preserve"> 2: 1–32.</w:t>
      </w:r>
    </w:p>
    <w:p w14:paraId="774C0260" w14:textId="77777777" w:rsidR="00FC360C" w:rsidRPr="00F63BAF" w:rsidRDefault="00FC360C" w:rsidP="0075001C">
      <w:proofErr w:type="gramStart"/>
      <w:r w:rsidRPr="00F63BAF">
        <w:t>Webster, L., McIntosh, A. D., Megginson, C., Shepherd, N. J., and Moffat,</w:t>
      </w:r>
      <w:r w:rsidRPr="00F63BAF">
        <w:rPr>
          <w:b/>
        </w:rPr>
        <w:t xml:space="preserve"> </w:t>
      </w:r>
      <w:r w:rsidRPr="00F63BAF">
        <w:t>C. F. 2002.</w:t>
      </w:r>
      <w:proofErr w:type="gramEnd"/>
      <w:r w:rsidRPr="00F63BAF">
        <w:t xml:space="preserve"> </w:t>
      </w:r>
      <w:proofErr w:type="gramStart"/>
      <w:r w:rsidRPr="00F63BAF">
        <w:t>The polycyclic aromatic hydrocarbon composition of mussels (</w:t>
      </w:r>
      <w:r w:rsidRPr="00F63BAF">
        <w:rPr>
          <w:i/>
        </w:rPr>
        <w:t>Mytilus edulis</w:t>
      </w:r>
      <w:r w:rsidRPr="00F63BAF">
        <w:t>) from Scottish coastal waters.</w:t>
      </w:r>
      <w:proofErr w:type="gramEnd"/>
      <w:r w:rsidRPr="00F63BAF">
        <w:t xml:space="preserve"> </w:t>
      </w:r>
      <w:proofErr w:type="gramStart"/>
      <w:r w:rsidRPr="00F63BAF">
        <w:t>Journal of Environmental Monitoring.</w:t>
      </w:r>
      <w:proofErr w:type="gramEnd"/>
      <w:r w:rsidRPr="00F63BAF">
        <w:t xml:space="preserve"> </w:t>
      </w:r>
      <w:r w:rsidRPr="00F63BAF">
        <w:rPr>
          <w:b/>
        </w:rPr>
        <w:t>5:</w:t>
      </w:r>
      <w:r w:rsidRPr="00F63BAF">
        <w:t>150-159.</w:t>
      </w:r>
    </w:p>
    <w:p w14:paraId="3A041D61" w14:textId="77777777" w:rsidR="00FC360C" w:rsidRPr="00F63BAF" w:rsidRDefault="00FC360C" w:rsidP="00FC360C">
      <w:pPr>
        <w:pStyle w:val="BodyText"/>
        <w:rPr>
          <w:rFonts w:ascii="Calibri" w:hAnsi="Calibri"/>
        </w:rPr>
      </w:pPr>
    </w:p>
    <w:p w14:paraId="4AE7D97F" w14:textId="77777777" w:rsidR="00FC360C" w:rsidRPr="00F63BAF" w:rsidRDefault="00FC360C" w:rsidP="0075001C">
      <w:pPr>
        <w:pStyle w:val="Heading1"/>
      </w:pPr>
      <w:r w:rsidRPr="00F63BAF">
        <w:br w:type="page"/>
      </w:r>
      <w:bookmarkStart w:id="184" w:name="_Toc511217471"/>
      <w:r w:rsidRPr="00F63BAF">
        <w:t>Appendix 1</w:t>
      </w:r>
      <w:bookmarkEnd w:id="184"/>
    </w:p>
    <w:p w14:paraId="3B8FAD03" w14:textId="77777777" w:rsidR="0075001C" w:rsidRPr="0075001C" w:rsidRDefault="00FC360C" w:rsidP="0075001C">
      <w:pPr>
        <w:pStyle w:val="BodyText"/>
        <w:spacing w:after="120" w:line="276" w:lineRule="auto"/>
        <w:rPr>
          <w:rFonts w:ascii="Calibri" w:hAnsi="Calibri"/>
          <w:sz w:val="22"/>
          <w:szCs w:val="22"/>
        </w:rPr>
      </w:pPr>
      <w:proofErr w:type="gramStart"/>
      <w:r w:rsidRPr="0075001C">
        <w:rPr>
          <w:rFonts w:ascii="Calibri" w:hAnsi="Calibri"/>
          <w:sz w:val="22"/>
          <w:szCs w:val="22"/>
        </w:rPr>
        <w:t>Examples of integration of parent and alkylated PAHs analysed by GC-MS.</w:t>
      </w:r>
      <w:proofErr w:type="gramEnd"/>
      <w:r w:rsidRPr="0075001C">
        <w:rPr>
          <w:rFonts w:ascii="Calibri" w:hAnsi="Calibri"/>
          <w:sz w:val="22"/>
          <w:szCs w:val="22"/>
        </w:rPr>
        <w:t xml:space="preserve"> The standards used for the calibration of th</w:t>
      </w:r>
      <w:r w:rsidR="0075001C" w:rsidRPr="0075001C">
        <w:rPr>
          <w:rFonts w:ascii="Calibri" w:hAnsi="Calibri"/>
          <w:sz w:val="22"/>
          <w:szCs w:val="22"/>
        </w:rPr>
        <w:t>e alkylated PAHs are asterixed.</w:t>
      </w:r>
    </w:p>
    <w:p w14:paraId="11ED17B2" w14:textId="77777777" w:rsidR="00FC360C" w:rsidRPr="0075001C" w:rsidRDefault="0098261C" w:rsidP="0075001C">
      <w:pPr>
        <w:pStyle w:val="BodyText"/>
        <w:spacing w:after="120" w:line="276" w:lineRule="auto"/>
        <w:rPr>
          <w:rFonts w:ascii="Calibri" w:hAnsi="Calibri"/>
          <w:sz w:val="22"/>
          <w:szCs w:val="22"/>
        </w:rPr>
      </w:pPr>
      <w:r>
        <w:rPr>
          <w:b/>
          <w:sz w:val="22"/>
          <w:szCs w:val="22"/>
        </w:rPr>
        <w:pict w14:anchorId="4D4AEC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2pt;margin-top:12.2pt;width:486.05pt;height:508.8pt;z-index:-251656192">
            <v:imagedata r:id="rId33" o:title=""/>
          </v:shape>
          <o:OLEObject Type="Embed" ProgID="PowerPoint.Show.8" ShapeID="_x0000_s1029" DrawAspect="Content" ObjectID="_1596266680" r:id="rId34"/>
        </w:pict>
      </w:r>
      <w:r w:rsidR="00FC360C" w:rsidRPr="0075001C">
        <w:rPr>
          <w:sz w:val="22"/>
          <w:szCs w:val="22"/>
        </w:rPr>
        <w:br w:type="page"/>
      </w:r>
      <w:r>
        <w:rPr>
          <w:rFonts w:cs="Arial"/>
          <w:sz w:val="22"/>
          <w:szCs w:val="22"/>
        </w:rPr>
        <w:pict w14:anchorId="4E729853">
          <v:shape id="_x0000_s1030" type="#_x0000_t75" style="position:absolute;left:0;text-align:left;margin-left:32.05pt;margin-top:0;width:439.15pt;height:540pt;z-index:-251655168">
            <v:imagedata r:id="rId35" o:title=""/>
          </v:shape>
          <o:OLEObject Type="Embed" ProgID="PowerPoint.Show.8" ShapeID="_x0000_s1030" DrawAspect="Content" ObjectID="_1596266681" r:id="rId36"/>
        </w:pict>
      </w:r>
      <w:r w:rsidR="00FC360C" w:rsidRPr="0075001C">
        <w:rPr>
          <w:rFonts w:cs="Arial"/>
          <w:sz w:val="22"/>
          <w:szCs w:val="22"/>
        </w:rPr>
        <w:br w:type="page"/>
      </w:r>
      <w:r>
        <w:rPr>
          <w:sz w:val="22"/>
          <w:szCs w:val="22"/>
        </w:rPr>
        <w:pict w14:anchorId="1D4A9001">
          <v:shape id="_x0000_s1031" type="#_x0000_t75" style="position:absolute;left:0;text-align:left;margin-left:7.6pt;margin-top:18pt;width:448.5pt;height:522pt;z-index:-251654144">
            <v:imagedata r:id="rId37" o:title=""/>
          </v:shape>
          <o:OLEObject Type="Embed" ProgID="PowerPoint.Show.8" ShapeID="_x0000_s1031" DrawAspect="Content" ObjectID="_1596266682" r:id="rId38"/>
        </w:pict>
      </w:r>
      <w:r w:rsidR="00FC360C" w:rsidRPr="0075001C">
        <w:rPr>
          <w:sz w:val="22"/>
          <w:szCs w:val="22"/>
        </w:rPr>
        <w:br w:type="page"/>
      </w:r>
      <w:r>
        <w:rPr>
          <w:sz w:val="22"/>
          <w:szCs w:val="22"/>
        </w:rPr>
        <w:pict w14:anchorId="508346C3">
          <v:shape id="_x0000_s1033" type="#_x0000_t75" style="position:absolute;left:0;text-align:left;margin-left:27pt;margin-top:36pt;width:389.15pt;height:452.55pt;z-index:-251652096">
            <v:imagedata r:id="rId39" o:title=""/>
          </v:shape>
          <o:OLEObject Type="Embed" ProgID="PowerPoint.Show.8" ShapeID="_x0000_s1033" DrawAspect="Content" ObjectID="_1596266683" r:id="rId40"/>
        </w:pict>
      </w:r>
      <w:r>
        <w:rPr>
          <w:sz w:val="22"/>
          <w:szCs w:val="22"/>
        </w:rPr>
        <w:pict w14:anchorId="573E7CDB">
          <v:shape id="_x0000_s1032" type="#_x0000_t75" style="position:absolute;left:0;text-align:left;margin-left:-54pt;margin-top:0;width:400.8pt;height:432.05pt;z-index:-251653120">
            <v:imagedata r:id="rId41" o:title=""/>
          </v:shape>
          <o:OLEObject Type="Embed" ProgID="PowerPoint.Show.8" ShapeID="_x0000_s1032" DrawAspect="Content" ObjectID="_1596266684" r:id="rId42"/>
        </w:pict>
      </w:r>
      <w:r w:rsidR="00FC360C" w:rsidRPr="0075001C">
        <w:rPr>
          <w:sz w:val="22"/>
          <w:szCs w:val="22"/>
        </w:rPr>
        <w:br w:type="page"/>
      </w:r>
      <w:r w:rsidR="00FC360C" w:rsidRPr="0075001C">
        <w:rPr>
          <w:noProof/>
          <w:sz w:val="22"/>
          <w:szCs w:val="22"/>
        </w:rPr>
        <mc:AlternateContent>
          <mc:Choice Requires="wpc">
            <w:drawing>
              <wp:inline distT="0" distB="0" distL="0" distR="0" wp14:anchorId="1348CB7B" wp14:editId="6AB2F311">
                <wp:extent cx="5073650" cy="2369185"/>
                <wp:effectExtent l="3810" t="0" r="0" b="0"/>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mo="http://schemas.microsoft.com/office/mac/office/2008/main" xmlns:mv="urn:schemas-microsoft-com:mac:vml" xmlns:w15="http://schemas.microsoft.com/office/word/2012/wordml">
            <w:pict>
              <v:group id="Canvas 27" o:spid="_x0000_s1026" editas="canvas" style="width:399.5pt;height:186.55pt;mso-position-horizontal-relative:char;mso-position-vertical-relative:line" coordsize="50736,2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">
                <v:shape id="_x0000_s1027" type="#_x0000_t75" style="position:absolute;width:50736;height:23691;visibility:visible;mso-wrap-style:square">
                  <v:fill o:detectmouseclick="t"/>
                  <v:path o:connecttype="none"/>
                </v:shape>
                <w10:anchorlock/>
              </v:group>
            </w:pict>
          </mc:Fallback>
        </mc:AlternateContent>
      </w:r>
    </w:p>
    <w:p w14:paraId="4FB2C5B4" w14:textId="77777777" w:rsidR="00FC360C" w:rsidRPr="0075001C" w:rsidRDefault="00FC360C" w:rsidP="0075001C">
      <w:pPr>
        <w:rPr>
          <w:szCs w:val="22"/>
        </w:rPr>
      </w:pPr>
      <w:r w:rsidRPr="0075001C">
        <w:rPr>
          <w:noProof/>
          <w:szCs w:val="22"/>
        </w:rPr>
        <mc:AlternateContent>
          <mc:Choice Requires="wpg">
            <w:drawing>
              <wp:anchor distT="0" distB="0" distL="114300" distR="114300" simplePos="0" relativeHeight="251666432" behindDoc="0" locked="0" layoutInCell="1" allowOverlap="1" wp14:anchorId="6E23B4A8" wp14:editId="6AD676EE">
                <wp:simplePos x="0" y="0"/>
                <wp:positionH relativeFrom="column">
                  <wp:posOffset>-279771</wp:posOffset>
                </wp:positionH>
                <wp:positionV relativeFrom="paragraph">
                  <wp:posOffset>-2039273</wp:posOffset>
                </wp:positionV>
                <wp:extent cx="5071110" cy="2374265"/>
                <wp:effectExtent l="0" t="0" r="0" b="698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1110" cy="2374265"/>
                          <a:chOff x="259" y="518"/>
                          <a:chExt cx="3398" cy="1591"/>
                        </a:xfrm>
                      </wpg:grpSpPr>
                      <pic:pic xmlns:pic="http://schemas.openxmlformats.org/drawingml/2006/picture">
                        <pic:nvPicPr>
                          <pic:cNvPr id="22"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59" y="518"/>
                            <a:ext cx="3398"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23"/>
                        <wps:cNvSpPr>
                          <a:spLocks/>
                        </wps:cNvSpPr>
                        <wps:spPr bwMode="auto">
                          <a:xfrm>
                            <a:off x="1752" y="1882"/>
                            <a:ext cx="181" cy="91"/>
                          </a:xfrm>
                          <a:custGeom>
                            <a:avLst/>
                            <a:gdLst>
                              <a:gd name="T0" fmla="*/ 136 w 136"/>
                              <a:gd name="T1" fmla="*/ 0 h 91"/>
                              <a:gd name="T2" fmla="*/ 136 w 136"/>
                              <a:gd name="T3" fmla="*/ 91 h 91"/>
                              <a:gd name="T4" fmla="*/ 0 w 136"/>
                              <a:gd name="T5" fmla="*/ 91 h 91"/>
                              <a:gd name="T6" fmla="*/ 0 w 136"/>
                              <a:gd name="T7" fmla="*/ 0 h 91"/>
                            </a:gdLst>
                            <a:ahLst/>
                            <a:cxnLst>
                              <a:cxn ang="0">
                                <a:pos x="T0" y="T1"/>
                              </a:cxn>
                              <a:cxn ang="0">
                                <a:pos x="T2" y="T3"/>
                              </a:cxn>
                              <a:cxn ang="0">
                                <a:pos x="T4" y="T5"/>
                              </a:cxn>
                              <a:cxn ang="0">
                                <a:pos x="T6" y="T7"/>
                              </a:cxn>
                            </a:cxnLst>
                            <a:rect l="0" t="0" r="r" b="b"/>
                            <a:pathLst>
                              <a:path w="136" h="91">
                                <a:moveTo>
                                  <a:pt x="136" y="0"/>
                                </a:moveTo>
                                <a:lnTo>
                                  <a:pt x="136" y="91"/>
                                </a:lnTo>
                                <a:lnTo>
                                  <a:pt x="0" y="91"/>
                                </a:lnTo>
                                <a:lnTo>
                                  <a:pt x="0" y="0"/>
                                </a:lnTo>
                              </a:path>
                            </a:pathLst>
                          </a:custGeom>
                          <a:noFill/>
                          <a:ln w="25400">
                            <a:solidFill>
                              <a:srgbClr val="FF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 name="Freeform 24"/>
                        <wps:cNvSpPr>
                          <a:spLocks/>
                        </wps:cNvSpPr>
                        <wps:spPr bwMode="auto">
                          <a:xfrm>
                            <a:off x="2251" y="1882"/>
                            <a:ext cx="181" cy="91"/>
                          </a:xfrm>
                          <a:custGeom>
                            <a:avLst/>
                            <a:gdLst>
                              <a:gd name="T0" fmla="*/ 136 w 136"/>
                              <a:gd name="T1" fmla="*/ 0 h 91"/>
                              <a:gd name="T2" fmla="*/ 136 w 136"/>
                              <a:gd name="T3" fmla="*/ 91 h 91"/>
                              <a:gd name="T4" fmla="*/ 0 w 136"/>
                              <a:gd name="T5" fmla="*/ 91 h 91"/>
                              <a:gd name="T6" fmla="*/ 0 w 136"/>
                              <a:gd name="T7" fmla="*/ 0 h 91"/>
                            </a:gdLst>
                            <a:ahLst/>
                            <a:cxnLst>
                              <a:cxn ang="0">
                                <a:pos x="T0" y="T1"/>
                              </a:cxn>
                              <a:cxn ang="0">
                                <a:pos x="T2" y="T3"/>
                              </a:cxn>
                              <a:cxn ang="0">
                                <a:pos x="T4" y="T5"/>
                              </a:cxn>
                              <a:cxn ang="0">
                                <a:pos x="T6" y="T7"/>
                              </a:cxn>
                            </a:cxnLst>
                            <a:rect l="0" t="0" r="r" b="b"/>
                            <a:pathLst>
                              <a:path w="136" h="91">
                                <a:moveTo>
                                  <a:pt x="136" y="0"/>
                                </a:moveTo>
                                <a:lnTo>
                                  <a:pt x="136" y="91"/>
                                </a:lnTo>
                                <a:lnTo>
                                  <a:pt x="0" y="91"/>
                                </a:lnTo>
                                <a:lnTo>
                                  <a:pt x="0" y="0"/>
                                </a:lnTo>
                              </a:path>
                            </a:pathLst>
                          </a:custGeom>
                          <a:noFill/>
                          <a:ln w="25400">
                            <a:solidFill>
                              <a:srgbClr val="FF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 name="Text Box 25"/>
                        <wps:cNvSpPr txBox="1">
                          <a:spLocks noChangeArrowheads="1"/>
                        </wps:cNvSpPr>
                        <wps:spPr bwMode="auto">
                          <a:xfrm>
                            <a:off x="1207" y="884"/>
                            <a:ext cx="681" cy="1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F581B" w14:textId="77777777" w:rsidR="0001507E" w:rsidRDefault="0001507E" w:rsidP="00FC360C">
                              <w:pPr>
                                <w:autoSpaceDE w:val="0"/>
                                <w:autoSpaceDN w:val="0"/>
                                <w:adjustRightInd w:val="0"/>
                                <w:rPr>
                                  <w:rFonts w:cs="Arial"/>
                                  <w:b/>
                                  <w:bCs/>
                                  <w:color w:val="000000"/>
                                  <w:sz w:val="12"/>
                                  <w:szCs w:val="12"/>
                                </w:rPr>
                              </w:pPr>
                              <w:proofErr w:type="gramStart"/>
                              <w:r>
                                <w:rPr>
                                  <w:rFonts w:cs="Arial"/>
                                  <w:b/>
                                  <w:bCs/>
                                  <w:color w:val="000000"/>
                                  <w:sz w:val="12"/>
                                  <w:szCs w:val="12"/>
                                </w:rPr>
                                <w:t>indeno[</w:t>
                              </w:r>
                              <w:proofErr w:type="gramEnd"/>
                              <w:r>
                                <w:rPr>
                                  <w:rFonts w:cs="Arial"/>
                                  <w:b/>
                                  <w:bCs/>
                                  <w:i/>
                                  <w:iCs/>
                                  <w:color w:val="000000"/>
                                  <w:sz w:val="12"/>
                                  <w:szCs w:val="12"/>
                                </w:rPr>
                                <w:t>123-cd</w:t>
                              </w:r>
                              <w:r>
                                <w:rPr>
                                  <w:rFonts w:cs="Arial"/>
                                  <w:b/>
                                  <w:bCs/>
                                  <w:color w:val="000000"/>
                                  <w:sz w:val="12"/>
                                  <w:szCs w:val="12"/>
                                </w:rPr>
                                <w:t>]pyrene</w:t>
                              </w:r>
                            </w:p>
                          </w:txbxContent>
                        </wps:txbx>
                        <wps:bodyPr rot="0" vert="horz" wrap="square" lIns="91440" tIns="45720" rIns="91440" bIns="45720" anchor="t" anchorCtr="0" upright="1">
                          <a:noAutofit/>
                        </wps:bodyPr>
                      </wps:wsp>
                      <wps:wsp>
                        <wps:cNvPr id="26" name="Text Box 26"/>
                        <wps:cNvSpPr txBox="1">
                          <a:spLocks noChangeArrowheads="1"/>
                        </wps:cNvSpPr>
                        <wps:spPr bwMode="auto">
                          <a:xfrm>
                            <a:off x="2296" y="793"/>
                            <a:ext cx="681" cy="1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5FE15" w14:textId="77777777" w:rsidR="0001507E" w:rsidRDefault="0001507E" w:rsidP="00FC360C">
                              <w:pPr>
                                <w:autoSpaceDE w:val="0"/>
                                <w:autoSpaceDN w:val="0"/>
                                <w:adjustRightInd w:val="0"/>
                                <w:rPr>
                                  <w:rFonts w:cs="Arial"/>
                                  <w:b/>
                                  <w:bCs/>
                                  <w:color w:val="000000"/>
                                  <w:sz w:val="12"/>
                                  <w:szCs w:val="12"/>
                                </w:rPr>
                              </w:pPr>
                              <w:proofErr w:type="gramStart"/>
                              <w:r>
                                <w:rPr>
                                  <w:rFonts w:cs="Arial"/>
                                  <w:b/>
                                  <w:bCs/>
                                  <w:color w:val="000000"/>
                                  <w:sz w:val="12"/>
                                  <w:szCs w:val="12"/>
                                </w:rPr>
                                <w:t>benzo[</w:t>
                              </w:r>
                              <w:proofErr w:type="gramEnd"/>
                              <w:r>
                                <w:rPr>
                                  <w:rFonts w:cs="Arial"/>
                                  <w:b/>
                                  <w:bCs/>
                                  <w:i/>
                                  <w:iCs/>
                                  <w:color w:val="000000"/>
                                  <w:sz w:val="12"/>
                                  <w:szCs w:val="12"/>
                                </w:rPr>
                                <w:t>ghi</w:t>
                              </w:r>
                              <w:r>
                                <w:rPr>
                                  <w:rFonts w:cs="Arial"/>
                                  <w:b/>
                                  <w:bCs/>
                                  <w:color w:val="000000"/>
                                  <w:sz w:val="12"/>
                                  <w:szCs w:val="12"/>
                                </w:rPr>
                                <w:t>]perylene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22.05pt;margin-top:-160.55pt;width:399.3pt;height:186.95pt;z-index:251666432" coordorigin="259,518" coordsize="3398,159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">
                <v:shape id="Picture 22" o:spid="_x0000_s1027" type="#_x0000_t75" style="position:absolute;left:259;top:518;width:3398;height:1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grF/CAAAA2wAAAA8AAABkcnMvZG93bnJldi54bWxEj8FqwzAQRO+B/oPYQi+hkeNAUtwoIYQW&#10;eo1TKLkt1toWtVZCUmL376tAocdhZt4w2/1kB3GjEI1jBctFAYK4cdpwp+Dz/P78AiImZI2DY1Lw&#10;QxH2u4fZFivtRj7RrU6dyBCOFSroU/KVlLHpyWJcOE+cvdYFiynL0EkdcMxwO8iyKNbSouG80KOn&#10;Y0/Nd321CvzXgc1mvvJhZdoR3YXq9HZV6ulxOryCSDSl//Bf+0MrKEu4f8k/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YKxfwgAAANsAAAAPAAAAAAAAAAAAAAAAAJ8C&#10;AABkcnMvZG93bnJldi54bWxQSwUGAAAAAAQABAD3AAAAjgMAAAAA&#10;">
                  <v:imagedata r:id="rId44" o:title=""/>
                </v:shape>
                <v:shape id="Freeform 23" o:spid="_x0000_s1028" style="position:absolute;left:1752;top:1882;width:181;height:91;visibility:visible;mso-wrap-style:square;v-text-anchor:top" coordsize="1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2TcQA&#10;AADbAAAADwAAAGRycy9kb3ducmV2LnhtbESPQWvCQBSE74L/YXlCb3WjLbFN3QQttPQkagWvj+wz&#10;G8y+jdmtSf99Vyh4HGbmG2ZZDLYRV+p87VjBbJqAIC6drrlScPj+eHwB4QOyxsYxKfglD0U+Hi0x&#10;067nHV33oRIRwj5DBSaENpPSl4Ys+qlriaN3cp3FEGVXSd1hH+G2kfMkSaXFmuOCwZbeDZXn/Y9V&#10;0H6W6ekY3HYwz+li48zqsn7tlXqYDKs3EIGGcA//t7+0gvkT3L7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Nk3EAAAA2wAAAA8AAAAAAAAAAAAAAAAAmAIAAGRycy9k&#10;b3ducmV2LnhtbFBLBQYAAAAABAAEAPUAAACJAwAAAAA=&#10;" path="m136,r,91l,91,,e" filled="f" fillcolor="#bbe0e3" strokecolor="red" strokeweight="2pt">
                  <v:path arrowok="t" o:connecttype="custom" o:connectlocs="181,0;181,91;0,91;0,0" o:connectangles="0,0,0,0"/>
                </v:shape>
                <v:shape id="Freeform 24" o:spid="_x0000_s1029" style="position:absolute;left:2251;top:1882;width:181;height:91;visibility:visible;mso-wrap-style:square;v-text-anchor:top" coordsize="1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uOcMA&#10;AADbAAAADwAAAGRycy9kb3ducmV2LnhtbESPQWvCQBSE70L/w/IKvelGkVijq9hCiyfRVPD6yD6z&#10;wezbNLs16b93BcHjMDPfMMt1b2txpdZXjhWMRwkI4sLpiksFx5+v4TsIH5A11o5JwT95WK9eBkvM&#10;tOv4QNc8lCJC2GeowITQZFL6wpBFP3INcfTOrrUYomxLqVvsItzWcpIkqbRYcVww2NCnoeKS/1kF&#10;zXeRnk/B7XszTWc7Zza/H/NOqbfXfrMAEagPz/CjvdUKJl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muOcMAAADbAAAADwAAAAAAAAAAAAAAAACYAgAAZHJzL2Rv&#10;d25yZXYueG1sUEsFBgAAAAAEAAQA9QAAAIgDAAAAAA==&#10;" path="m136,r,91l,91,,e" filled="f" fillcolor="#bbe0e3" strokecolor="red" strokeweight="2pt">
                  <v:path arrowok="t" o:connecttype="custom" o:connectlocs="181,0;181,91;0,91;0,0" o:connectangles="0,0,0,0"/>
                </v:shape>
                <v:shapetype id="_x0000_t202" coordsize="21600,21600" o:spt="202" path="m,l,21600r21600,l21600,xe">
                  <v:stroke joinstyle="miter"/>
                  <v:path gradientshapeok="t" o:connecttype="rect"/>
                </v:shapetype>
                <v:shape id="Text Box 25" o:spid="_x0000_s1030" type="#_x0000_t202" style="position:absolute;left:1207;top:884;width:681;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5GzsYA&#10;AADbAAAADwAAAGRycy9kb3ducmV2LnhtbESPQWvCQBSE74X+h+UJvdWNUovEbMRKi+KhVGvR4zP7&#10;TILZtyG7appf7xYKHoeZ+YZJpq2pxIUaV1pWMOhHIIgzq0vOFWy/P57HIJxH1lhZJgW/5GCaPj4k&#10;GGt75TVdNj4XAcIuRgWF93UspcsKMuj6tiYO3tE2Bn2QTS51g9cAN5UcRtGrNFhyWCiwpnlB2Wlz&#10;NgqWX+9vtFp0XffyufsZH/bbhZ+flHrqtbMJCE+tv4f/20utYDiCvy/hB8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5GzsYAAADbAAAADwAAAAAAAAAAAAAAAACYAgAAZHJz&#10;L2Rvd25yZXYueG1sUEsFBgAAAAAEAAQA9QAAAIsDAAAAAA==&#10;" filled="f" fillcolor="#bbe0e3" stroked="f">
                  <v:textbox>
                    <w:txbxContent>
                      <w:p w14:paraId="2F6F581B" w14:textId="77777777" w:rsidR="0001507E" w:rsidRDefault="0001507E" w:rsidP="00FC360C">
                        <w:pPr>
                          <w:autoSpaceDE w:val="0"/>
                          <w:autoSpaceDN w:val="0"/>
                          <w:adjustRightInd w:val="0"/>
                          <w:rPr>
                            <w:rFonts w:cs="Arial"/>
                            <w:b/>
                            <w:bCs/>
                            <w:color w:val="000000"/>
                            <w:sz w:val="12"/>
                            <w:szCs w:val="12"/>
                          </w:rPr>
                        </w:pPr>
                        <w:proofErr w:type="gramStart"/>
                        <w:r>
                          <w:rPr>
                            <w:rFonts w:cs="Arial"/>
                            <w:b/>
                            <w:bCs/>
                            <w:color w:val="000000"/>
                            <w:sz w:val="12"/>
                            <w:szCs w:val="12"/>
                          </w:rPr>
                          <w:t>indeno[</w:t>
                        </w:r>
                        <w:proofErr w:type="gramEnd"/>
                        <w:r>
                          <w:rPr>
                            <w:rFonts w:cs="Arial"/>
                            <w:b/>
                            <w:bCs/>
                            <w:i/>
                            <w:iCs/>
                            <w:color w:val="000000"/>
                            <w:sz w:val="12"/>
                            <w:szCs w:val="12"/>
                          </w:rPr>
                          <w:t>123-cd</w:t>
                        </w:r>
                        <w:r>
                          <w:rPr>
                            <w:rFonts w:cs="Arial"/>
                            <w:b/>
                            <w:bCs/>
                            <w:color w:val="000000"/>
                            <w:sz w:val="12"/>
                            <w:szCs w:val="12"/>
                          </w:rPr>
                          <w:t>]pyrene</w:t>
                        </w:r>
                      </w:p>
                    </w:txbxContent>
                  </v:textbox>
                </v:shape>
                <v:shape id="Text Box 26" o:spid="_x0000_s1031" type="#_x0000_t202" style="position:absolute;left:2296;top:793;width:681;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YucYA&#10;AADbAAAADwAAAGRycy9kb3ducmV2LnhtbESPT2vCQBTE7wW/w/IEb3WjFJHoKq1YFA/F+gc9PrPP&#10;JJh9G7Krxnx6t1DwOMzMb5jxtDaFuFHlcssKet0IBHFidc6pgt32+30IwnlkjYVlUvAgB9NJ622M&#10;sbZ3/qXbxqciQNjFqCDzvoyldElGBl3XlsTBO9vKoA+ySqWu8B7gppD9KBpIgzmHhQxLmmWUXDZX&#10;o2C5nn/RatE0zcfPYT88HXcLP7so1WnXnyMQnmr/Cv+3l1pBfwB/X8IP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zYucYAAADbAAAADwAAAAAAAAAAAAAAAACYAgAAZHJz&#10;L2Rvd25yZXYueG1sUEsFBgAAAAAEAAQA9QAAAIsDAAAAAA==&#10;" filled="f" fillcolor="#bbe0e3" stroked="f">
                  <v:textbox>
                    <w:txbxContent>
                      <w:p w14:paraId="0C65FE15" w14:textId="77777777" w:rsidR="0001507E" w:rsidRDefault="0001507E" w:rsidP="00FC360C">
                        <w:pPr>
                          <w:autoSpaceDE w:val="0"/>
                          <w:autoSpaceDN w:val="0"/>
                          <w:adjustRightInd w:val="0"/>
                          <w:rPr>
                            <w:rFonts w:cs="Arial"/>
                            <w:b/>
                            <w:bCs/>
                            <w:color w:val="000000"/>
                            <w:sz w:val="12"/>
                            <w:szCs w:val="12"/>
                          </w:rPr>
                        </w:pPr>
                        <w:proofErr w:type="gramStart"/>
                        <w:r>
                          <w:rPr>
                            <w:rFonts w:cs="Arial"/>
                            <w:b/>
                            <w:bCs/>
                            <w:color w:val="000000"/>
                            <w:sz w:val="12"/>
                            <w:szCs w:val="12"/>
                          </w:rPr>
                          <w:t>benzo[</w:t>
                        </w:r>
                        <w:proofErr w:type="gramEnd"/>
                        <w:r>
                          <w:rPr>
                            <w:rFonts w:cs="Arial"/>
                            <w:b/>
                            <w:bCs/>
                            <w:i/>
                            <w:iCs/>
                            <w:color w:val="000000"/>
                            <w:sz w:val="12"/>
                            <w:szCs w:val="12"/>
                          </w:rPr>
                          <w:t>ghi</w:t>
                        </w:r>
                        <w:r>
                          <w:rPr>
                            <w:rFonts w:cs="Arial"/>
                            <w:b/>
                            <w:bCs/>
                            <w:color w:val="000000"/>
                            <w:sz w:val="12"/>
                            <w:szCs w:val="12"/>
                          </w:rPr>
                          <w:t>]perylene</w:t>
                        </w:r>
                      </w:p>
                    </w:txbxContent>
                  </v:textbox>
                </v:shape>
              </v:group>
            </w:pict>
          </mc:Fallback>
        </mc:AlternateContent>
      </w:r>
    </w:p>
    <w:bookmarkStart w:id="185" w:name="_Toc511217472"/>
    <w:p w14:paraId="18577385" w14:textId="77777777" w:rsidR="00FC360C" w:rsidRPr="00F63BAF" w:rsidRDefault="0075001C" w:rsidP="0055733C">
      <w:pPr>
        <w:pStyle w:val="Title"/>
      </w:pPr>
      <w:r w:rsidRPr="0075001C">
        <w:rPr>
          <w:noProof/>
          <w:sz w:val="22"/>
          <w:szCs w:val="22"/>
          <w:lang w:eastAsia="en-GB"/>
        </w:rPr>
        <mc:AlternateContent>
          <mc:Choice Requires="wpg">
            <w:drawing>
              <wp:anchor distT="0" distB="0" distL="114300" distR="114300" simplePos="0" relativeHeight="251665408" behindDoc="0" locked="0" layoutInCell="1" allowOverlap="1" wp14:anchorId="409D89DD" wp14:editId="76BEB16F">
                <wp:simplePos x="0" y="0"/>
                <wp:positionH relativeFrom="column">
                  <wp:posOffset>51435</wp:posOffset>
                </wp:positionH>
                <wp:positionV relativeFrom="paragraph">
                  <wp:posOffset>569595</wp:posOffset>
                </wp:positionV>
                <wp:extent cx="5073650" cy="2369185"/>
                <wp:effectExtent l="0" t="0" r="0" b="0"/>
                <wp:wrapSquare wrapText="bothSides"/>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3650" cy="2369185"/>
                          <a:chOff x="1800" y="1440"/>
                          <a:chExt cx="8500" cy="3969"/>
                        </a:xfrm>
                      </wpg:grpSpPr>
                      <wpg:grpSp>
                        <wpg:cNvPr id="11" name="Group 11"/>
                        <wpg:cNvGrpSpPr>
                          <a:grpSpLocks/>
                        </wpg:cNvGrpSpPr>
                        <wpg:grpSpPr bwMode="auto">
                          <a:xfrm>
                            <a:off x="1800" y="1440"/>
                            <a:ext cx="8500" cy="3969"/>
                            <a:chOff x="1800" y="1440"/>
                            <a:chExt cx="8500" cy="3969"/>
                          </a:xfrm>
                        </wpg:grpSpPr>
                        <pic:pic xmlns:pic="http://schemas.openxmlformats.org/drawingml/2006/picture">
                          <pic:nvPicPr>
                            <pic:cNvPr id="12"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800" y="1440"/>
                              <a:ext cx="8500" cy="3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13"/>
                          <wps:cNvSpPr>
                            <a:spLocks/>
                          </wps:cNvSpPr>
                          <wps:spPr bwMode="auto">
                            <a:xfrm>
                              <a:off x="4180" y="4954"/>
                              <a:ext cx="1475" cy="228"/>
                            </a:xfrm>
                            <a:custGeom>
                              <a:avLst/>
                              <a:gdLst>
                                <a:gd name="T0" fmla="*/ 0 w 590"/>
                                <a:gd name="T1" fmla="*/ 0 h 91"/>
                                <a:gd name="T2" fmla="*/ 0 w 590"/>
                                <a:gd name="T3" fmla="*/ 91 h 91"/>
                                <a:gd name="T4" fmla="*/ 590 w 590"/>
                                <a:gd name="T5" fmla="*/ 91 h 91"/>
                                <a:gd name="T6" fmla="*/ 590 w 590"/>
                                <a:gd name="T7" fmla="*/ 0 h 91"/>
                              </a:gdLst>
                              <a:ahLst/>
                              <a:cxnLst>
                                <a:cxn ang="0">
                                  <a:pos x="T0" y="T1"/>
                                </a:cxn>
                                <a:cxn ang="0">
                                  <a:pos x="T2" y="T3"/>
                                </a:cxn>
                                <a:cxn ang="0">
                                  <a:pos x="T4" y="T5"/>
                                </a:cxn>
                                <a:cxn ang="0">
                                  <a:pos x="T6" y="T7"/>
                                </a:cxn>
                              </a:cxnLst>
                              <a:rect l="0" t="0" r="r" b="b"/>
                              <a:pathLst>
                                <a:path w="590" h="91">
                                  <a:moveTo>
                                    <a:pt x="0" y="0"/>
                                  </a:moveTo>
                                  <a:lnTo>
                                    <a:pt x="0" y="91"/>
                                  </a:lnTo>
                                  <a:lnTo>
                                    <a:pt x="590" y="91"/>
                                  </a:lnTo>
                                  <a:lnTo>
                                    <a:pt x="590" y="0"/>
                                  </a:lnTo>
                                </a:path>
                              </a:pathLst>
                            </a:custGeom>
                            <a:noFill/>
                            <a:ln w="25400">
                              <a:solidFill>
                                <a:srgbClr val="FF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 name="Freeform 14"/>
                          <wps:cNvSpPr>
                            <a:spLocks/>
                          </wps:cNvSpPr>
                          <wps:spPr bwMode="auto">
                            <a:xfrm>
                              <a:off x="5995" y="4954"/>
                              <a:ext cx="453" cy="228"/>
                            </a:xfrm>
                            <a:custGeom>
                              <a:avLst/>
                              <a:gdLst>
                                <a:gd name="T0" fmla="*/ 0 w 590"/>
                                <a:gd name="T1" fmla="*/ 0 h 91"/>
                                <a:gd name="T2" fmla="*/ 0 w 590"/>
                                <a:gd name="T3" fmla="*/ 91 h 91"/>
                                <a:gd name="T4" fmla="*/ 590 w 590"/>
                                <a:gd name="T5" fmla="*/ 91 h 91"/>
                                <a:gd name="T6" fmla="*/ 590 w 590"/>
                                <a:gd name="T7" fmla="*/ 0 h 91"/>
                              </a:gdLst>
                              <a:ahLst/>
                              <a:cxnLst>
                                <a:cxn ang="0">
                                  <a:pos x="T0" y="T1"/>
                                </a:cxn>
                                <a:cxn ang="0">
                                  <a:pos x="T2" y="T3"/>
                                </a:cxn>
                                <a:cxn ang="0">
                                  <a:pos x="T4" y="T5"/>
                                </a:cxn>
                                <a:cxn ang="0">
                                  <a:pos x="T6" y="T7"/>
                                </a:cxn>
                              </a:cxnLst>
                              <a:rect l="0" t="0" r="r" b="b"/>
                              <a:pathLst>
                                <a:path w="590" h="91">
                                  <a:moveTo>
                                    <a:pt x="0" y="0"/>
                                  </a:moveTo>
                                  <a:lnTo>
                                    <a:pt x="0" y="91"/>
                                  </a:lnTo>
                                  <a:lnTo>
                                    <a:pt x="590" y="91"/>
                                  </a:lnTo>
                                  <a:lnTo>
                                    <a:pt x="590" y="0"/>
                                  </a:lnTo>
                                </a:path>
                              </a:pathLst>
                            </a:custGeom>
                            <a:noFill/>
                            <a:ln w="25400">
                              <a:solidFill>
                                <a:srgbClr val="FF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 name="Freeform 15"/>
                          <wps:cNvSpPr>
                            <a:spLocks/>
                          </wps:cNvSpPr>
                          <wps:spPr bwMode="auto">
                            <a:xfrm>
                              <a:off x="6450" y="4954"/>
                              <a:ext cx="340" cy="228"/>
                            </a:xfrm>
                            <a:custGeom>
                              <a:avLst/>
                              <a:gdLst>
                                <a:gd name="T0" fmla="*/ 0 w 590"/>
                                <a:gd name="T1" fmla="*/ 0 h 91"/>
                                <a:gd name="T2" fmla="*/ 0 w 590"/>
                                <a:gd name="T3" fmla="*/ 91 h 91"/>
                                <a:gd name="T4" fmla="*/ 590 w 590"/>
                                <a:gd name="T5" fmla="*/ 91 h 91"/>
                                <a:gd name="T6" fmla="*/ 590 w 590"/>
                                <a:gd name="T7" fmla="*/ 0 h 91"/>
                              </a:gdLst>
                              <a:ahLst/>
                              <a:cxnLst>
                                <a:cxn ang="0">
                                  <a:pos x="T0" y="T1"/>
                                </a:cxn>
                                <a:cxn ang="0">
                                  <a:pos x="T2" y="T3"/>
                                </a:cxn>
                                <a:cxn ang="0">
                                  <a:pos x="T4" y="T5"/>
                                </a:cxn>
                                <a:cxn ang="0">
                                  <a:pos x="T6" y="T7"/>
                                </a:cxn>
                              </a:cxnLst>
                              <a:rect l="0" t="0" r="r" b="b"/>
                              <a:pathLst>
                                <a:path w="590" h="91">
                                  <a:moveTo>
                                    <a:pt x="0" y="0"/>
                                  </a:moveTo>
                                  <a:lnTo>
                                    <a:pt x="0" y="91"/>
                                  </a:lnTo>
                                  <a:lnTo>
                                    <a:pt x="590" y="91"/>
                                  </a:lnTo>
                                  <a:lnTo>
                                    <a:pt x="590" y="0"/>
                                  </a:lnTo>
                                </a:path>
                              </a:pathLst>
                            </a:custGeom>
                            <a:noFill/>
                            <a:ln w="25400">
                              <a:solidFill>
                                <a:srgbClr val="FF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 name="Freeform 16"/>
                          <wps:cNvSpPr>
                            <a:spLocks/>
                          </wps:cNvSpPr>
                          <wps:spPr bwMode="auto">
                            <a:xfrm>
                              <a:off x="6903" y="4954"/>
                              <a:ext cx="340" cy="228"/>
                            </a:xfrm>
                            <a:custGeom>
                              <a:avLst/>
                              <a:gdLst>
                                <a:gd name="T0" fmla="*/ 0 w 590"/>
                                <a:gd name="T1" fmla="*/ 0 h 91"/>
                                <a:gd name="T2" fmla="*/ 0 w 590"/>
                                <a:gd name="T3" fmla="*/ 91 h 91"/>
                                <a:gd name="T4" fmla="*/ 590 w 590"/>
                                <a:gd name="T5" fmla="*/ 91 h 91"/>
                                <a:gd name="T6" fmla="*/ 590 w 590"/>
                                <a:gd name="T7" fmla="*/ 0 h 91"/>
                              </a:gdLst>
                              <a:ahLst/>
                              <a:cxnLst>
                                <a:cxn ang="0">
                                  <a:pos x="T0" y="T1"/>
                                </a:cxn>
                                <a:cxn ang="0">
                                  <a:pos x="T2" y="T3"/>
                                </a:cxn>
                                <a:cxn ang="0">
                                  <a:pos x="T4" y="T5"/>
                                </a:cxn>
                                <a:cxn ang="0">
                                  <a:pos x="T6" y="T7"/>
                                </a:cxn>
                              </a:cxnLst>
                              <a:rect l="0" t="0" r="r" b="b"/>
                              <a:pathLst>
                                <a:path w="590" h="91">
                                  <a:moveTo>
                                    <a:pt x="0" y="0"/>
                                  </a:moveTo>
                                  <a:lnTo>
                                    <a:pt x="0" y="91"/>
                                  </a:lnTo>
                                  <a:lnTo>
                                    <a:pt x="590" y="91"/>
                                  </a:lnTo>
                                  <a:lnTo>
                                    <a:pt x="590" y="0"/>
                                  </a:lnTo>
                                </a:path>
                              </a:pathLst>
                            </a:custGeom>
                            <a:noFill/>
                            <a:ln w="25400">
                              <a:solidFill>
                                <a:srgbClr val="FF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7" name="Text Box 17"/>
                        <wps:cNvSpPr txBox="1">
                          <a:spLocks noChangeArrowheads="1"/>
                        </wps:cNvSpPr>
                        <wps:spPr bwMode="auto">
                          <a:xfrm>
                            <a:off x="3160" y="2120"/>
                            <a:ext cx="1589" cy="2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4BAFA" w14:textId="77777777" w:rsidR="0001507E" w:rsidRDefault="0001507E" w:rsidP="00FC360C">
                              <w:pPr>
                                <w:autoSpaceDE w:val="0"/>
                                <w:autoSpaceDN w:val="0"/>
                                <w:adjustRightInd w:val="0"/>
                                <w:rPr>
                                  <w:rFonts w:cs="Arial"/>
                                  <w:b/>
                                  <w:bCs/>
                                  <w:color w:val="000000"/>
                                  <w:sz w:val="12"/>
                                  <w:szCs w:val="12"/>
                                </w:rPr>
                              </w:pPr>
                              <w:proofErr w:type="gramStart"/>
                              <w:r>
                                <w:rPr>
                                  <w:rFonts w:cs="Arial"/>
                                  <w:b/>
                                  <w:bCs/>
                                  <w:color w:val="000000"/>
                                  <w:sz w:val="12"/>
                                  <w:szCs w:val="12"/>
                                </w:rPr>
                                <w:t>benzofluoranthenes</w:t>
                              </w:r>
                              <w:proofErr w:type="gramEnd"/>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6448" y="2282"/>
                            <a:ext cx="1587" cy="2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3C9EF" w14:textId="77777777" w:rsidR="0001507E" w:rsidRDefault="0001507E" w:rsidP="00FC360C">
                              <w:pPr>
                                <w:autoSpaceDE w:val="0"/>
                                <w:autoSpaceDN w:val="0"/>
                                <w:adjustRightInd w:val="0"/>
                                <w:rPr>
                                  <w:rFonts w:cs="Arial"/>
                                  <w:b/>
                                  <w:bCs/>
                                  <w:color w:val="000000"/>
                                  <w:sz w:val="12"/>
                                  <w:szCs w:val="12"/>
                                </w:rPr>
                              </w:pPr>
                              <w:proofErr w:type="gramStart"/>
                              <w:r>
                                <w:rPr>
                                  <w:rFonts w:cs="Arial"/>
                                  <w:b/>
                                  <w:bCs/>
                                  <w:color w:val="000000"/>
                                  <w:sz w:val="12"/>
                                  <w:szCs w:val="12"/>
                                </w:rPr>
                                <w:t>benzo[</w:t>
                              </w:r>
                              <w:proofErr w:type="gramEnd"/>
                              <w:r>
                                <w:rPr>
                                  <w:rFonts w:cs="Arial"/>
                                  <w:b/>
                                  <w:bCs/>
                                  <w:i/>
                                  <w:iCs/>
                                  <w:color w:val="000000"/>
                                  <w:sz w:val="12"/>
                                  <w:szCs w:val="12"/>
                                </w:rPr>
                                <w:t>a</w:t>
                              </w:r>
                              <w:r>
                                <w:rPr>
                                  <w:rFonts w:cs="Arial"/>
                                  <w:b/>
                                  <w:bCs/>
                                  <w:color w:val="000000"/>
                                  <w:sz w:val="12"/>
                                  <w:szCs w:val="12"/>
                                </w:rPr>
                                <w:t>]pyrene</w:t>
                              </w: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6675" y="3934"/>
                            <a:ext cx="1589" cy="2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51F9D" w14:textId="77777777" w:rsidR="0001507E" w:rsidRDefault="0001507E" w:rsidP="00FC360C">
                              <w:pPr>
                                <w:autoSpaceDE w:val="0"/>
                                <w:autoSpaceDN w:val="0"/>
                                <w:adjustRightInd w:val="0"/>
                                <w:rPr>
                                  <w:rFonts w:cs="Arial"/>
                                  <w:b/>
                                  <w:bCs/>
                                  <w:color w:val="000000"/>
                                  <w:sz w:val="12"/>
                                  <w:szCs w:val="12"/>
                                </w:rPr>
                              </w:pPr>
                              <w:proofErr w:type="gramStart"/>
                              <w:r>
                                <w:rPr>
                                  <w:rFonts w:cs="Arial"/>
                                  <w:b/>
                                  <w:bCs/>
                                  <w:color w:val="000000"/>
                                  <w:sz w:val="12"/>
                                  <w:szCs w:val="12"/>
                                </w:rPr>
                                <w:t>perylene</w:t>
                              </w:r>
                              <w:proofErr w:type="gramEnd"/>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5315" y="2232"/>
                            <a:ext cx="1588" cy="2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B93BB" w14:textId="77777777" w:rsidR="0001507E" w:rsidRDefault="0001507E" w:rsidP="00FC360C">
                              <w:pPr>
                                <w:autoSpaceDE w:val="0"/>
                                <w:autoSpaceDN w:val="0"/>
                                <w:adjustRightInd w:val="0"/>
                                <w:rPr>
                                  <w:rFonts w:cs="Arial"/>
                                  <w:b/>
                                  <w:bCs/>
                                  <w:color w:val="000000"/>
                                  <w:sz w:val="12"/>
                                  <w:szCs w:val="12"/>
                                </w:rPr>
                              </w:pPr>
                              <w:proofErr w:type="gramStart"/>
                              <w:r>
                                <w:rPr>
                                  <w:rFonts w:cs="Arial"/>
                                  <w:b/>
                                  <w:bCs/>
                                  <w:color w:val="000000"/>
                                  <w:sz w:val="12"/>
                                  <w:szCs w:val="12"/>
                                </w:rPr>
                                <w:t>benzo[</w:t>
                              </w:r>
                              <w:proofErr w:type="gramEnd"/>
                              <w:r>
                                <w:rPr>
                                  <w:rFonts w:cs="Arial"/>
                                  <w:b/>
                                  <w:bCs/>
                                  <w:i/>
                                  <w:iCs/>
                                  <w:color w:val="000000"/>
                                  <w:sz w:val="12"/>
                                  <w:szCs w:val="12"/>
                                </w:rPr>
                                <w:t>e</w:t>
                              </w:r>
                              <w:r>
                                <w:rPr>
                                  <w:rFonts w:cs="Arial"/>
                                  <w:b/>
                                  <w:bCs/>
                                  <w:color w:val="000000"/>
                                  <w:sz w:val="12"/>
                                  <w:szCs w:val="12"/>
                                </w:rPr>
                                <w:t>]pyrene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32" style="position:absolute;left:0;text-align:left;margin-left:4.05pt;margin-top:44.85pt;width:399.5pt;height:186.55pt;z-index:251665408" coordorigin="1800,1440" coordsize="8500,396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">
                <v:group id="Group 11" o:spid="_x0000_s1033" style="position:absolute;left:1800;top:1440;width:8500;height:3969" coordorigin="1800,1440" coordsize="8500,3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icture 12" o:spid="_x0000_s1034" type="#_x0000_t75" style="position:absolute;left:1800;top:1440;width:8500;height:3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NltTAAAAA2wAAAA8AAABkcnMvZG93bnJldi54bWxET9tqAjEQfS/4D2EEX0rNqiCyGqW0Wnzz&#10;1g8YN9Pd4GayJHFd/74RBN/mcK6zWHW2Fi35YBwrGA0zEMSF04ZLBb+nzccMRIjIGmvHpOBOAVbL&#10;3tsCc+1ufKD2GEuRQjjkqKCKscmlDEVFFsPQNcSJ+3PeYkzQl1J7vKVwW8txlk2lRcOpocKGvioq&#10;LserVbAv7+15599N9+1+Lkb6ulhPNkoN+t3nHESkLr7ET/dWp/ljePySDp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2W1MAAAADbAAAADwAAAAAAAAAAAAAAAACfAgAA&#10;ZHJzL2Rvd25yZXYueG1sUEsFBgAAAAAEAAQA9wAAAIwDAAAAAA==&#10;">
                    <v:imagedata r:id="rId46" o:title=""/>
                  </v:shape>
                  <v:shape id="Freeform 13" o:spid="_x0000_s1035" style="position:absolute;left:4180;top:4954;width:1475;height:228;visibility:visible;mso-wrap-style:square;v-text-anchor:top" coordsize="59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LfbwA&#10;AADbAAAADwAAAGRycy9kb3ducmV2LnhtbERPSwrCMBDdC94hjOBOUxVEqlH8IHQl+DnA0IxtsZmU&#10;JGr19EYQ3M3jfWexak0tHuR8ZVnBaJiAIM6trrhQcDnvBzMQPiBrrC2Tghd5WC27nQWm2j75SI9T&#10;KEQMYZ+igjKEJpXS5yUZ9EPbEEfuap3BEKErpHb4jOGmluMkmUqDFceGEhvalpTfTnej4IzF3o7c&#10;dPc+XjJt/ebQZv6gVL/XrucgArXhL/65Mx3nT+D7Szx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4N0t9vAAAANsAAAAPAAAAAAAAAAAAAAAAAJgCAABkcnMvZG93bnJldi54&#10;bWxQSwUGAAAAAAQABAD1AAAAgQMAAAAA&#10;" path="m,l,91r590,l590,e" filled="f" fillcolor="#bbe0e3" strokecolor="red" strokeweight="2pt">
                    <v:path arrowok="t" o:connecttype="custom" o:connectlocs="0,0;0,228;1475,228;1475,0" o:connectangles="0,0,0,0"/>
                  </v:shape>
                  <v:shape id="Freeform 14" o:spid="_x0000_s1036" style="position:absolute;left:5995;top:4954;width:453;height:228;visibility:visible;mso-wrap-style:square;v-text-anchor:top" coordsize="59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7TCbwA&#10;AADbAAAADwAAAGRycy9kb3ducmV2LnhtbERPSwrCMBDdC94hjOBOU0VEqlH8IHQl+DnA0IxtsZmU&#10;JGr19EYQ3M3jfWexak0tHuR8ZVnBaJiAIM6trrhQcDnvBzMQPiBrrC2Tghd5WC27nQWm2j75SI9T&#10;KEQMYZ+igjKEJpXS5yUZ9EPbEEfuap3BEKErpHb4jOGmluMkmUqDFceGEhvalpTfTnej4IzF3o7c&#10;dPc+XjJt/ebQZv6gVL/XrucgArXhL/65Mx3nT+D7Szx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33tMJvAAAANsAAAAPAAAAAAAAAAAAAAAAAJgCAABkcnMvZG93bnJldi54&#10;bWxQSwUGAAAAAAQABAD1AAAAgQMAAAAA&#10;" path="m,l,91r590,l590,e" filled="f" fillcolor="#bbe0e3" strokecolor="red" strokeweight="2pt">
                    <v:path arrowok="t" o:connecttype="custom" o:connectlocs="0,0;0,228;453,228;453,0" o:connectangles="0,0,0,0"/>
                  </v:shape>
                  <v:shape id="Freeform 15" o:spid="_x0000_s1037" style="position:absolute;left:6450;top:4954;width:340;height:228;visibility:visible;mso-wrap-style:square;v-text-anchor:top" coordsize="59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2krwA&#10;AADbAAAADwAAAGRycy9kb3ducmV2LnhtbERPSwrCMBDdC94hjOBOUwVFqlH8IHQl+DnA0IxtsZmU&#10;JGr19EYQ3M3jfWexak0tHuR8ZVnBaJiAIM6trrhQcDnvBzMQPiBrrC2Tghd5WC27nQWm2j75SI9T&#10;KEQMYZ+igjKEJpXS5yUZ9EPbEEfuap3BEKErpHb4jOGmluMkmUqDFceGEhvalpTfTnej4IzF3o7c&#10;dPc+XjJt/ebQZv6gVL/XrucgArXhL/65Mx3nT+D7Szx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knaSvAAAANsAAAAPAAAAAAAAAAAAAAAAAJgCAABkcnMvZG93bnJldi54&#10;bWxQSwUGAAAAAAQABAD1AAAAgQMAAAAA&#10;" path="m,l,91r590,l590,e" filled="f" fillcolor="#bbe0e3" strokecolor="red" strokeweight="2pt">
                    <v:path arrowok="t" o:connecttype="custom" o:connectlocs="0,0;0,228;340,228;340,0" o:connectangles="0,0,0,0"/>
                  </v:shape>
                  <v:shape id="Freeform 16" o:spid="_x0000_s1038" style="position:absolute;left:6903;top:4954;width:340;height:228;visibility:visible;mso-wrap-style:square;v-text-anchor:top" coordsize="59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o5bwA&#10;AADbAAAADwAAAGRycy9kb3ducmV2LnhtbERPSwrCMBDdC94hjOBOU10UqUbxg9CV4OcAQzO2xWZS&#10;kqjV0xtBcDeP953FqjONeJDztWUFk3ECgriwuuZSweW8H81A+ICssbFMCl7kYbXs9xaYafvkIz1O&#10;oRQxhH2GCqoQ2kxKX1Rk0I9tSxy5q3UGQ4SulNrhM4abRk6TJJUGa44NFba0rai4ne5GwRnLvZ24&#10;dPc+XnJt/ebQ5f6g1HDQrecgAnXhL/65cx3np/D9JR4gl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QOjlvAAAANsAAAAPAAAAAAAAAAAAAAAAAJgCAABkcnMvZG93bnJldi54&#10;bWxQSwUGAAAAAAQABAD1AAAAgQMAAAAA&#10;" path="m,l,91r590,l590,e" filled="f" fillcolor="#bbe0e3" strokecolor="red" strokeweight="2pt">
                    <v:path arrowok="t" o:connecttype="custom" o:connectlocs="0,0;0,228;340,228;340,0" o:connectangles="0,0,0,0"/>
                  </v:shape>
                </v:group>
                <v:shape id="Text Box 17" o:spid="_x0000_s1039" type="#_x0000_t202" style="position:absolute;left:3160;top:2120;width:1589;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y3n8QA&#10;AADbAAAADwAAAGRycy9kb3ducmV2LnhtbERPTWvCQBC9F/wPywje6kaRVqJrUFGUHoq1SnucZqdJ&#10;SHY2ZFdN8+vdQqG3ebzPmSetqcSVGldYVjAaRiCIU6sLzhSc3rePUxDOI2usLJOCH3KQLHoPc4y1&#10;vfEbXY8+EyGEXYwKcu/rWEqX5mTQDW1NHLhv2xj0ATaZ1A3eQrip5DiKnqTBgkNDjjWtc0rL48Uo&#10;2B82K3rZdV03ef04T78+Tzu/LpUa9NvlDISn1v+L/9x7HeY/w+8v4Q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Mt5/EAAAA2wAAAA8AAAAAAAAAAAAAAAAAmAIAAGRycy9k&#10;b3ducmV2LnhtbFBLBQYAAAAABAAEAPUAAACJAwAAAAA=&#10;" filled="f" fillcolor="#bbe0e3" stroked="f">
                  <v:textbox>
                    <w:txbxContent>
                      <w:p w14:paraId="57E4BAFA" w14:textId="77777777" w:rsidR="0001507E" w:rsidRDefault="0001507E" w:rsidP="00FC360C">
                        <w:pPr>
                          <w:autoSpaceDE w:val="0"/>
                          <w:autoSpaceDN w:val="0"/>
                          <w:adjustRightInd w:val="0"/>
                          <w:rPr>
                            <w:rFonts w:cs="Arial"/>
                            <w:b/>
                            <w:bCs/>
                            <w:color w:val="000000"/>
                            <w:sz w:val="12"/>
                            <w:szCs w:val="12"/>
                          </w:rPr>
                        </w:pPr>
                        <w:proofErr w:type="gramStart"/>
                        <w:r>
                          <w:rPr>
                            <w:rFonts w:cs="Arial"/>
                            <w:b/>
                            <w:bCs/>
                            <w:color w:val="000000"/>
                            <w:sz w:val="12"/>
                            <w:szCs w:val="12"/>
                          </w:rPr>
                          <w:t>benzofluoranthenes</w:t>
                        </w:r>
                        <w:proofErr w:type="gramEnd"/>
                      </w:p>
                    </w:txbxContent>
                  </v:textbox>
                </v:shape>
                <v:shape id="Text Box 18" o:spid="_x0000_s1040" type="#_x0000_t202" style="position:absolute;left:6448;top:2282;width:158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j7cYA&#10;AADbAAAADwAAAGRycy9kb3ducmV2LnhtbESPT2vCQBDF70K/wzKF3nRTKUWiq7RSUXqQ+g89TrPT&#10;JJidDdmtpvn0zqHgbYb35r3fTGatq9SFmlB6NvA8SEARZ96WnBvY7xb9EagQkS1WnsnAHwWYTR96&#10;E0ytv/KGLtuYKwnhkKKBIsY61TpkBTkMA18Ti/bjG4dR1ibXtsGrhLtKD5PkVTssWRoKrGleUHbe&#10;/joDq6+Pd/pcdl33sj4eRt+n/TLOz8Y8PbZvY1CR2ng3/1+vrOALrPwiA+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Mj7cYAAADbAAAADwAAAAAAAAAAAAAAAACYAgAAZHJz&#10;L2Rvd25yZXYueG1sUEsFBgAAAAAEAAQA9QAAAIsDAAAAAA==&#10;" filled="f" fillcolor="#bbe0e3" stroked="f">
                  <v:textbox>
                    <w:txbxContent>
                      <w:p w14:paraId="1943C9EF" w14:textId="77777777" w:rsidR="0001507E" w:rsidRDefault="0001507E" w:rsidP="00FC360C">
                        <w:pPr>
                          <w:autoSpaceDE w:val="0"/>
                          <w:autoSpaceDN w:val="0"/>
                          <w:adjustRightInd w:val="0"/>
                          <w:rPr>
                            <w:rFonts w:cs="Arial"/>
                            <w:b/>
                            <w:bCs/>
                            <w:color w:val="000000"/>
                            <w:sz w:val="12"/>
                            <w:szCs w:val="12"/>
                          </w:rPr>
                        </w:pPr>
                        <w:proofErr w:type="gramStart"/>
                        <w:r>
                          <w:rPr>
                            <w:rFonts w:cs="Arial"/>
                            <w:b/>
                            <w:bCs/>
                            <w:color w:val="000000"/>
                            <w:sz w:val="12"/>
                            <w:szCs w:val="12"/>
                          </w:rPr>
                          <w:t>benzo[</w:t>
                        </w:r>
                        <w:proofErr w:type="gramEnd"/>
                        <w:r>
                          <w:rPr>
                            <w:rFonts w:cs="Arial"/>
                            <w:b/>
                            <w:bCs/>
                            <w:i/>
                            <w:iCs/>
                            <w:color w:val="000000"/>
                            <w:sz w:val="12"/>
                            <w:szCs w:val="12"/>
                          </w:rPr>
                          <w:t>a</w:t>
                        </w:r>
                        <w:r>
                          <w:rPr>
                            <w:rFonts w:cs="Arial"/>
                            <w:b/>
                            <w:bCs/>
                            <w:color w:val="000000"/>
                            <w:sz w:val="12"/>
                            <w:szCs w:val="12"/>
                          </w:rPr>
                          <w:t>]pyrene</w:t>
                        </w:r>
                      </w:p>
                    </w:txbxContent>
                  </v:textbox>
                </v:shape>
                <v:shape id="Text Box 19" o:spid="_x0000_s1041" type="#_x0000_t202" style="position:absolute;left:6675;top:3934;width:1589;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dsMA&#10;AADbAAAADwAAAGRycy9kb3ducmV2LnhtbERPS2vCQBC+F/oflil4qxuLFI2uYqVF6UF8oscxOybB&#10;7GzIbjXm13cFwdt8fM8ZjmtTiAtVLresoNOOQBAnVuecKthuft57IJxH1lhYJgU3cjAevb4MMdb2&#10;yiu6rH0qQgi7GBVk3pexlC7JyKBr25I4cCdbGfQBVqnUFV5DuCnkRxR9SoM5h4YMS5pmlJzXf0bB&#10;fPn9Rb+zpmm6i/2udzxsZ356Vqr1Vk8GIDzV/il+uOc6zO/D/ZdwgB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GdsMAAADbAAAADwAAAAAAAAAAAAAAAACYAgAAZHJzL2Rv&#10;d25yZXYueG1sUEsFBgAAAAAEAAQA9QAAAIgDAAAAAA==&#10;" filled="f" fillcolor="#bbe0e3" stroked="f">
                  <v:textbox>
                    <w:txbxContent>
                      <w:p w14:paraId="08051F9D" w14:textId="77777777" w:rsidR="0001507E" w:rsidRDefault="0001507E" w:rsidP="00FC360C">
                        <w:pPr>
                          <w:autoSpaceDE w:val="0"/>
                          <w:autoSpaceDN w:val="0"/>
                          <w:adjustRightInd w:val="0"/>
                          <w:rPr>
                            <w:rFonts w:cs="Arial"/>
                            <w:b/>
                            <w:bCs/>
                            <w:color w:val="000000"/>
                            <w:sz w:val="12"/>
                            <w:szCs w:val="12"/>
                          </w:rPr>
                        </w:pPr>
                        <w:proofErr w:type="gramStart"/>
                        <w:r>
                          <w:rPr>
                            <w:rFonts w:cs="Arial"/>
                            <w:b/>
                            <w:bCs/>
                            <w:color w:val="000000"/>
                            <w:sz w:val="12"/>
                            <w:szCs w:val="12"/>
                          </w:rPr>
                          <w:t>perylene</w:t>
                        </w:r>
                        <w:proofErr w:type="gramEnd"/>
                      </w:p>
                    </w:txbxContent>
                  </v:textbox>
                </v:shape>
                <v:shape id="Text Box 20" o:spid="_x0000_s1042" type="#_x0000_t202" style="position:absolute;left:5315;top:2232;width:1588;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lVsIA&#10;AADbAAAADwAAAGRycy9kb3ducmV2LnhtbERPy4rCMBTdD/gP4QruxlSRQapRVBTFhcz4QJfX5toW&#10;m5vSRO30681iYJaH8x5Pa1OIJ1Uut6yg141AECdW55wqOB5Wn0MQziNrLCyTgl9yMJ20PsYYa/vi&#10;H3rufSpCCLsYFWTel7GULsnIoOvakjhwN1sZ9AFWqdQVvkK4KWQ/ir6kwZxDQ4YlLTJK7vuHUbD5&#10;Xs5pu26aZrA7n4bXy3HtF3elOu16NgLhqfb/4j/3Rivoh/XhS/gBcv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eVWwgAAANsAAAAPAAAAAAAAAAAAAAAAAJgCAABkcnMvZG93&#10;bnJldi54bWxQSwUGAAAAAAQABAD1AAAAhwMAAAAA&#10;" filled="f" fillcolor="#bbe0e3" stroked="f">
                  <v:textbox>
                    <w:txbxContent>
                      <w:p w14:paraId="0D8B93BB" w14:textId="77777777" w:rsidR="0001507E" w:rsidRDefault="0001507E" w:rsidP="00FC360C">
                        <w:pPr>
                          <w:autoSpaceDE w:val="0"/>
                          <w:autoSpaceDN w:val="0"/>
                          <w:adjustRightInd w:val="0"/>
                          <w:rPr>
                            <w:rFonts w:cs="Arial"/>
                            <w:b/>
                            <w:bCs/>
                            <w:color w:val="000000"/>
                            <w:sz w:val="12"/>
                            <w:szCs w:val="12"/>
                          </w:rPr>
                        </w:pPr>
                        <w:proofErr w:type="gramStart"/>
                        <w:r>
                          <w:rPr>
                            <w:rFonts w:cs="Arial"/>
                            <w:b/>
                            <w:bCs/>
                            <w:color w:val="000000"/>
                            <w:sz w:val="12"/>
                            <w:szCs w:val="12"/>
                          </w:rPr>
                          <w:t>benzo[</w:t>
                        </w:r>
                        <w:proofErr w:type="gramEnd"/>
                        <w:r>
                          <w:rPr>
                            <w:rFonts w:cs="Arial"/>
                            <w:b/>
                            <w:bCs/>
                            <w:i/>
                            <w:iCs/>
                            <w:color w:val="000000"/>
                            <w:sz w:val="12"/>
                            <w:szCs w:val="12"/>
                          </w:rPr>
                          <w:t>e</w:t>
                        </w:r>
                        <w:r>
                          <w:rPr>
                            <w:rFonts w:cs="Arial"/>
                            <w:b/>
                            <w:bCs/>
                            <w:color w:val="000000"/>
                            <w:sz w:val="12"/>
                            <w:szCs w:val="12"/>
                          </w:rPr>
                          <w:t>]pyrene</w:t>
                        </w:r>
                      </w:p>
                    </w:txbxContent>
                  </v:textbox>
                </v:shape>
                <w10:wrap type="square"/>
              </v:group>
            </w:pict>
          </mc:Fallback>
        </mc:AlternateContent>
      </w:r>
      <w:r w:rsidR="00FC360C" w:rsidRPr="0075001C">
        <w:rPr>
          <w:sz w:val="22"/>
          <w:szCs w:val="22"/>
        </w:rPr>
        <w:br w:type="page"/>
      </w:r>
      <w:r w:rsidR="00FC360C" w:rsidRPr="00F63BAF">
        <w:t>Technical Annex 4: PBDEs in biota</w:t>
      </w:r>
      <w:bookmarkEnd w:id="185"/>
    </w:p>
    <w:p w14:paraId="6DF762B8" w14:textId="77777777" w:rsidR="00FC360C" w:rsidRPr="00F63BAF" w:rsidRDefault="00FC360C" w:rsidP="0055733C">
      <w:pPr>
        <w:pStyle w:val="Heading1"/>
      </w:pPr>
      <w:bookmarkStart w:id="186" w:name="_Toc511217473"/>
      <w:r w:rsidRPr="00F63BAF">
        <w:t>1</w:t>
      </w:r>
      <w:r w:rsidRPr="00F63BAF">
        <w:tab/>
        <w:t>Introduction</w:t>
      </w:r>
      <w:bookmarkEnd w:id="186"/>
    </w:p>
    <w:p w14:paraId="46932FE5" w14:textId="77777777" w:rsidR="00FC360C" w:rsidRPr="00F63BAF" w:rsidRDefault="00FC360C" w:rsidP="0055733C">
      <w:r w:rsidRPr="00F63BAF">
        <w:t xml:space="preserve">This annex provides advice on polybrominated diphenyl ether (PBDE) analysis for biota. The analysis of PBDEs in biota generally involves extraction with organic solvents, clean-up (removal of lipid) and gas chromatographic separation with mass-spectrometric detection. All stages of the procedure are susceptible to insufficient recovery and/or contamination. Where possible, quality control procedures are recommended in order to check the method’s performance. These guidelines are intended to encourage and assist analytical chemists to reconsider their methods and to improve their procedures and/or the associated quality control measures where necessary. </w:t>
      </w:r>
    </w:p>
    <w:p w14:paraId="17A13232" w14:textId="77777777" w:rsidR="00FC360C" w:rsidRPr="00F63BAF" w:rsidRDefault="00FC360C" w:rsidP="0055733C">
      <w:r w:rsidRPr="00F63BAF">
        <w:t xml:space="preserve">Polybrominated diphenyl ethers (PBDEs) constitute a group of additive flame retardants that are predominately found in electrical equipment, textiles and furniture. PBDEs are used as additives to polymers and resins and are thought to be more easily released to the environment compared to reactive flame retardants. PBDEs consist of two phenyl rings, connected by an ether bridge, each ring containing up to 5 bromine atoms. There are a possible 209 PBDE congeners depending on the position and number of bromines, with molecular weights ranging from 249 to 960 daltons. Congeners are named according to the International Union of Pure and Applied Chemistry (IUAPAC) numbering format developed for chlorobiphenyl (CB) congeners. However, PBDE technical mixtures used as flame retardants contain only a limited number of these congeners (~20). Commercial PBDE mixtures are classified according to the degree of bromination. The penta mix contains mainly tetra- to hexa-BDEs, the octa mix mainly hexa- to octa-BDEs and the deca mix containing mainly deca-BDE. Penta-BDE is primarily used in furniture and upholstery, octa-BDE in plastics, and deca-PBDEs in textiles and polymers. In the EU, a restriction on the use of the penta and octa technical mixture was put in place on 15 August 2004, restricting the use of the penta and the octa technical mixtures to a limit of 0.1% by mass for all articles placed in the market according to the European Directive 2003/11/EC¹, 24 th amendment of 76/769/EEC. </w:t>
      </w:r>
    </w:p>
    <w:p w14:paraId="1E0F5F04" w14:textId="77777777" w:rsidR="00FC360C" w:rsidRPr="00F63BAF" w:rsidRDefault="00FC360C" w:rsidP="0055733C">
      <w:r w:rsidRPr="00F63BAF">
        <w:t xml:space="preserve">PBDEs can be released to the environment during their production, while manufacturing other products, and during disposal of products containing these chemicals. In addition, PBDEs may continue to leak out of treated material and constitute a diffuse source of these compounds to the environment. Atmospheric transportation is a major pathway for PBDEs into the marine environment. Other possible pathways include direct discharge from point sources such as storm waters and waste water. PBDEs have been found to concentrate in the Arctic and bioaccumulate in native animals and humans. </w:t>
      </w:r>
    </w:p>
    <w:p w14:paraId="4EBCCE6E" w14:textId="77777777" w:rsidR="00FC360C" w:rsidRPr="00F63BAF" w:rsidRDefault="00FC360C" w:rsidP="0055733C">
      <w:r w:rsidRPr="00F63BAF">
        <w:t>Due to the similarity in structure between PBDEs and CBs, PBDEs are expected to persist in the marine environment and exhibit similar toxic properties. PBDEs have high (Log K</w:t>
      </w:r>
      <w:r w:rsidRPr="00F63BAF">
        <w:rPr>
          <w:vertAlign w:val="subscript"/>
        </w:rPr>
        <w:t xml:space="preserve">ow </w:t>
      </w:r>
      <w:r w:rsidRPr="00F63BAF">
        <w:t>&gt;4) octanol water partition coefficients ranging from 4.3 for di-BDE to 10.33 for deca-BDE (Table 1). PBDEs are readily taken up by marine animals both across gill surfaces and from thei</w:t>
      </w:r>
      <w:r w:rsidR="0055733C">
        <w:t xml:space="preserve">r diet, and </w:t>
      </w:r>
      <w:proofErr w:type="gramStart"/>
      <w:r w:rsidR="0055733C">
        <w:t>may</w:t>
      </w:r>
      <w:proofErr w:type="gramEnd"/>
      <w:r w:rsidR="0055733C">
        <w:t xml:space="preserve"> bioaccumulate. </w:t>
      </w:r>
    </w:p>
    <w:p w14:paraId="3C4831B8" w14:textId="77777777" w:rsidR="00FC360C" w:rsidRPr="00F63BAF" w:rsidRDefault="00FC360C" w:rsidP="0055733C">
      <w:pPr>
        <w:pStyle w:val="Heading1"/>
      </w:pPr>
      <w:bookmarkStart w:id="187" w:name="_Toc511217474"/>
      <w:r w:rsidRPr="00F63BAF">
        <w:t>2</w:t>
      </w:r>
      <w:r w:rsidRPr="00F63BAF">
        <w:tab/>
        <w:t>Appropriate Species for Analysis of PBDEs</w:t>
      </w:r>
      <w:bookmarkEnd w:id="187"/>
    </w:p>
    <w:p w14:paraId="38A83EEE" w14:textId="77777777" w:rsidR="00FC360C" w:rsidRPr="00F63BAF" w:rsidRDefault="00FC360C" w:rsidP="0055733C">
      <w:r w:rsidRPr="00F63BAF">
        <w:t xml:space="preserve">Guidance on the selection of appropriate species for contaminant monitoring is given in the </w:t>
      </w:r>
      <w:r w:rsidR="007D149A">
        <w:t>OSPAR</w:t>
      </w:r>
      <w:r w:rsidRPr="00F63BAF">
        <w:t xml:space="preserve"> guidelines. Other species such as sole, hake and oysters may also be appropriate. Existing data indicates that PBDE concentrations for shellfish are very low and, therefore, detecting long term trends may be difficult using these species. High trophic level organisms and lipid rich tissue will accumulate higher levels of PBDEs and, therefore, may be more suitable for temporal trend monitoring. </w:t>
      </w:r>
    </w:p>
    <w:p w14:paraId="2982F732" w14:textId="77777777" w:rsidR="00FC360C" w:rsidRPr="00F63BAF" w:rsidRDefault="00FC360C" w:rsidP="0055733C">
      <w:pPr>
        <w:pStyle w:val="Heading1"/>
      </w:pPr>
      <w:bookmarkStart w:id="188" w:name="_Toc511217475"/>
      <w:r w:rsidRPr="00F63BAF">
        <w:t>3</w:t>
      </w:r>
      <w:r w:rsidRPr="00F63BAF">
        <w:tab/>
        <w:t>Transportation</w:t>
      </w:r>
      <w:bookmarkEnd w:id="188"/>
    </w:p>
    <w:p w14:paraId="2051FEA0" w14:textId="77777777" w:rsidR="00FC360C" w:rsidRPr="00F63BAF" w:rsidRDefault="00FC360C" w:rsidP="0055733C">
      <w:r w:rsidRPr="00F63BAF">
        <w:t>Fish samples should be kept cool or frozen (-20</w:t>
      </w:r>
      <w:r w:rsidRPr="00F63BAF">
        <w:sym w:font="Symbol" w:char="F0B0"/>
      </w:r>
      <w:r w:rsidRPr="00F63BAF">
        <w:t>C or lower) as soon as possible after collection. Live mussels should be transported in closed containers at temperatures between 5</w:t>
      </w:r>
      <w:r w:rsidRPr="00F63BAF">
        <w:sym w:font="Symbol" w:char="F0B0"/>
      </w:r>
      <w:r w:rsidRPr="00F63BAF">
        <w:t>C and 10</w:t>
      </w:r>
      <w:r w:rsidRPr="00F63BAF">
        <w:sym w:font="Symbol" w:char="F0B0"/>
      </w:r>
      <w:r w:rsidRPr="00F63BAF">
        <w:t>C, but preferably below 10</w:t>
      </w:r>
      <w:r w:rsidRPr="00F63BAF">
        <w:sym w:font="Symbol" w:char="F0B0"/>
      </w:r>
      <w:r w:rsidRPr="00F63BAF">
        <w:t xml:space="preserve">C. For live animals it is important that the transport time is short and controlled (e.g. maximum of 24 hours). Frozen fish samples should be </w:t>
      </w:r>
      <w:r w:rsidRPr="00F63BAF">
        <w:rPr>
          <w:spacing w:val="2"/>
        </w:rPr>
        <w:t xml:space="preserve">transported in closed metal or glass (cleaned and pre-baked) containers at temperatures below </w:t>
      </w:r>
      <w:r w:rsidRPr="00F63BAF">
        <w:t>-20</w:t>
      </w:r>
      <w:r w:rsidRPr="00F63BAF">
        <w:sym w:font="Symbol" w:char="F0B0"/>
      </w:r>
      <w:r w:rsidRPr="00F63BAF">
        <w:t xml:space="preserve">C. </w:t>
      </w:r>
    </w:p>
    <w:p w14:paraId="04A20237" w14:textId="77777777" w:rsidR="00FC360C" w:rsidRPr="00F63BAF" w:rsidRDefault="00FC360C" w:rsidP="0055733C">
      <w:pPr>
        <w:pStyle w:val="Heading1"/>
      </w:pPr>
      <w:bookmarkStart w:id="189" w:name="_Toc511217476"/>
      <w:r w:rsidRPr="00F63BAF">
        <w:t>4</w:t>
      </w:r>
      <w:r w:rsidRPr="00F63BAF">
        <w:tab/>
        <w:t>Pretreatment and Storage</w:t>
      </w:r>
      <w:bookmarkEnd w:id="189"/>
    </w:p>
    <w:p w14:paraId="563BB366" w14:textId="77777777" w:rsidR="00FC360C" w:rsidRPr="0055733C" w:rsidRDefault="00FC360C" w:rsidP="0055733C">
      <w:pPr>
        <w:pStyle w:val="Heading2"/>
        <w:spacing w:before="0"/>
        <w:rPr>
          <w:szCs w:val="22"/>
        </w:rPr>
      </w:pPr>
      <w:bookmarkStart w:id="190" w:name="_Toc511217477"/>
      <w:r w:rsidRPr="0055733C">
        <w:rPr>
          <w:szCs w:val="22"/>
        </w:rPr>
        <w:t>4.1</w:t>
      </w:r>
      <w:r w:rsidRPr="0055733C">
        <w:rPr>
          <w:szCs w:val="22"/>
        </w:rPr>
        <w:tab/>
        <w:t>Contamination</w:t>
      </w:r>
      <w:bookmarkEnd w:id="190"/>
    </w:p>
    <w:p w14:paraId="4B5E2B78"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Sample contamination may occur during sampling, sample handling, pre-treatment and analysis, due to the environment, the containers or packing materials used, the instruments used during sample preparation, and from the solvents and reagents used during the analytical procedures. Controlled conditions are therefore required for all procedures, including the dissection of fish organs on-board ship. It is important that the likely sources of contamination are identified and steps taken to preclude sample handling in areas where contamination can occur. A ship is a working vessel and there can always be procedures occurring as a result of the day-to-day operations (deck cleaning, automatic overboard bilge discharges, etc.) which could affect the sampling process. One way of minimising the risk is to conduct dissection in a clean area, such as within a laminar-flow hood away from the deck areas of the vessel. </w:t>
      </w:r>
    </w:p>
    <w:p w14:paraId="76B66525" w14:textId="77777777" w:rsidR="00FC360C" w:rsidRPr="0055733C" w:rsidRDefault="00FC360C" w:rsidP="0055733C">
      <w:pPr>
        <w:pStyle w:val="Heading2"/>
        <w:spacing w:before="0"/>
        <w:rPr>
          <w:szCs w:val="22"/>
        </w:rPr>
      </w:pPr>
      <w:bookmarkStart w:id="191" w:name="_Toc511217478"/>
      <w:r w:rsidRPr="0055733C">
        <w:rPr>
          <w:szCs w:val="22"/>
        </w:rPr>
        <w:t>4.2</w:t>
      </w:r>
      <w:r w:rsidRPr="0055733C">
        <w:rPr>
          <w:szCs w:val="22"/>
        </w:rPr>
        <w:tab/>
        <w:t>Shellfish</w:t>
      </w:r>
      <w:bookmarkEnd w:id="191"/>
    </w:p>
    <w:p w14:paraId="4E533261" w14:textId="77777777" w:rsidR="00FC360C" w:rsidRPr="0055733C" w:rsidRDefault="00FC360C" w:rsidP="0055733C">
      <w:pPr>
        <w:pStyle w:val="Heading3"/>
        <w:spacing w:before="0"/>
      </w:pPr>
      <w:bookmarkStart w:id="192" w:name="_Toc511217479"/>
      <w:r w:rsidRPr="0055733C">
        <w:t>4.2.1</w:t>
      </w:r>
      <w:r w:rsidRPr="0055733C">
        <w:tab/>
        <w:t>Depuration</w:t>
      </w:r>
      <w:bookmarkEnd w:id="192"/>
    </w:p>
    <w:p w14:paraId="68C0897B"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Depending upon the situation, it may be desirable to </w:t>
      </w:r>
      <w:proofErr w:type="gramStart"/>
      <w:r w:rsidRPr="0055733C">
        <w:rPr>
          <w:rFonts w:ascii="Calibri" w:hAnsi="Calibri"/>
          <w:sz w:val="22"/>
          <w:szCs w:val="22"/>
        </w:rPr>
        <w:t>depurate</w:t>
      </w:r>
      <w:proofErr w:type="gramEnd"/>
      <w:r w:rsidRPr="0055733C">
        <w:rPr>
          <w:rFonts w:ascii="Calibri" w:hAnsi="Calibri"/>
          <w:sz w:val="22"/>
          <w:szCs w:val="22"/>
        </w:rPr>
        <w:t xml:space="preserve"> shellfish so as to void the gut contents and any associated contaminants before freezing or sample preparation. This is usually applied close to point sources, where the gut contents may contain significant quantities of PBDEs associated with food and sediment particles which are not truly assimilated into the tissues of the mussels. Depuration should be undertaken in controlled conditions and in filtered water taken from the sampling site; depuration over a period of 24 hours is usually sufficient. The aquarium should be aerated.</w:t>
      </w:r>
    </w:p>
    <w:p w14:paraId="3D671025" w14:textId="77777777" w:rsidR="00FC360C" w:rsidRPr="0055733C" w:rsidRDefault="00FC360C" w:rsidP="0055733C">
      <w:pPr>
        <w:pStyle w:val="Heading3"/>
      </w:pPr>
      <w:bookmarkStart w:id="193" w:name="_Toc511217480"/>
      <w:r w:rsidRPr="0055733C">
        <w:t>4.2.2</w:t>
      </w:r>
      <w:r w:rsidRPr="0055733C">
        <w:tab/>
        <w:t>Dissection and storage</w:t>
      </w:r>
      <w:bookmarkEnd w:id="193"/>
    </w:p>
    <w:p w14:paraId="35E33AD3"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Mussels should be shucked live and opened with minimal tissue damage by detaching the adductor muscles from the interior of at least one valve. The soft tissues should be removed and homogenised as soon as possible, and frozen in glass jars (pre-baked at 450</w:t>
      </w:r>
      <w:r w:rsidRPr="0055733C">
        <w:rPr>
          <w:rFonts w:ascii="Calibri" w:hAnsi="Calibri"/>
          <w:sz w:val="22"/>
          <w:szCs w:val="22"/>
          <w:vertAlign w:val="superscript"/>
        </w:rPr>
        <w:t>o</w:t>
      </w:r>
      <w:r w:rsidRPr="0055733C">
        <w:rPr>
          <w:rFonts w:ascii="Calibri" w:hAnsi="Calibri"/>
          <w:sz w:val="22"/>
          <w:szCs w:val="22"/>
        </w:rPr>
        <w:t>C) or aluminium tins at -20</w:t>
      </w:r>
      <w:r w:rsidRPr="0055733C">
        <w:rPr>
          <w:rFonts w:ascii="Calibri" w:hAnsi="Calibri"/>
          <w:sz w:val="22"/>
          <w:szCs w:val="22"/>
        </w:rPr>
        <w:sym w:font="Symbol" w:char="F0B0"/>
      </w:r>
      <w:r w:rsidRPr="0055733C">
        <w:rPr>
          <w:rFonts w:ascii="Calibri" w:hAnsi="Calibri"/>
          <w:sz w:val="22"/>
          <w:szCs w:val="22"/>
        </w:rPr>
        <w:t>C until analysis. When samples are processed, both at sea and onshore, the dissection must be undertaken by trained personnel on a clean bench wearing clean gloves and using clean stainless steel knives and scalpels. Stainless steel tweezers are recommended for holding tissues during dissection. After each sample has been prepared, all tools and equipment (such as homogenisers) should be cleaned by wiping down with tissue and solvent washed. Knives should only be sharpened using steel to prevent contamination of the blade from the oils used to lubricate sharpening blocks.</w:t>
      </w:r>
    </w:p>
    <w:p w14:paraId="69549341" w14:textId="77777777" w:rsidR="00FC360C" w:rsidRPr="0055733C" w:rsidRDefault="00FC360C" w:rsidP="0055733C">
      <w:pPr>
        <w:pStyle w:val="Heading2"/>
      </w:pPr>
      <w:r w:rsidRPr="00F63BAF">
        <w:rPr>
          <w:lang w:val="en-GB"/>
        </w:rPr>
        <w:br w:type="page"/>
      </w:r>
      <w:bookmarkStart w:id="194" w:name="_Toc511217481"/>
      <w:r w:rsidRPr="0055733C">
        <w:t>4.3</w:t>
      </w:r>
      <w:r w:rsidRPr="0055733C">
        <w:tab/>
        <w:t>Fish</w:t>
      </w:r>
      <w:bookmarkEnd w:id="194"/>
    </w:p>
    <w:p w14:paraId="6CA22650" w14:textId="77777777" w:rsidR="00FC360C" w:rsidRPr="0055733C" w:rsidRDefault="00FC360C" w:rsidP="0055733C">
      <w:pPr>
        <w:pStyle w:val="Heading3"/>
      </w:pPr>
      <w:bookmarkStart w:id="195" w:name="_Toc511217482"/>
      <w:r w:rsidRPr="0055733C">
        <w:t>4.3.1</w:t>
      </w:r>
      <w:r w:rsidRPr="0055733C">
        <w:tab/>
        <w:t>Dissection and storage</w:t>
      </w:r>
      <w:bookmarkEnd w:id="195"/>
    </w:p>
    <w:p w14:paraId="23A4B503"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Ungutted fish should be wrapped separately in suitable material (e.g. solvent washed aluminium foil) and stored at &lt; -20</w:t>
      </w:r>
      <w:r w:rsidRPr="0055733C">
        <w:rPr>
          <w:rFonts w:ascii="Calibri" w:hAnsi="Calibri"/>
          <w:sz w:val="22"/>
          <w:szCs w:val="22"/>
        </w:rPr>
        <w:sym w:font="Symbol" w:char="F0B0"/>
      </w:r>
      <w:r w:rsidRPr="0055733C">
        <w:rPr>
          <w:rFonts w:ascii="Calibri" w:hAnsi="Calibri"/>
          <w:sz w:val="22"/>
          <w:szCs w:val="22"/>
        </w:rPr>
        <w:t>C. If plastic bags or boxes are used, then they should be used as outer containers only, and should not come into contact with tissues. Organ samples (e.g. liver) should be stored in solvent washed containers made of glass, stainless steel or aluminium, or should be wrapped in solvent washed aluminium foil. In the latter case, care should be taken that the capacity of the freezer is not exceeded. Cold air should be able to circulate between the samples in order that the minimum freezing time can be attained (maximum 12 hours). The individual samples should be clearly and indelibly labelled and stored together in a suitable container at a temperature of -20</w:t>
      </w:r>
      <w:r w:rsidRPr="0055733C">
        <w:rPr>
          <w:rFonts w:ascii="Calibri" w:hAnsi="Calibri"/>
          <w:sz w:val="22"/>
          <w:szCs w:val="22"/>
        </w:rPr>
        <w:sym w:font="Symbol" w:char="F0B0"/>
      </w:r>
      <w:r w:rsidRPr="0055733C">
        <w:rPr>
          <w:rFonts w:ascii="Calibri" w:hAnsi="Calibri"/>
          <w:sz w:val="22"/>
          <w:szCs w:val="22"/>
        </w:rPr>
        <w:t xml:space="preserve">C ± 5ºC until analysis. If the samples are to be transported during this period (e.g. from the ship to the laboratory), then arrangements must be made which ensure that the samples do not thaw out during transport. </w:t>
      </w:r>
    </w:p>
    <w:p w14:paraId="00C107F0"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When samples are processed, both at sea and onshore, the dissection must be undertaken by trained personnel on a bench previously washed with detergent (e.g. Decon 90) wearing clean gloves and using solvent washed stainless steel knives and scalpels. Stainless steel tweezers are recommended for holding tissues during dissection. After each sample has been prepared, all tools and equipment (such as homogenisers) should be cleaned by wiping with tissue and rinsing with solvent.</w:t>
      </w:r>
    </w:p>
    <w:p w14:paraId="085A3F7C" w14:textId="77777777" w:rsidR="00FC360C" w:rsidRPr="0055733C" w:rsidRDefault="00FC360C" w:rsidP="0055733C">
      <w:pPr>
        <w:pStyle w:val="Heading3"/>
      </w:pPr>
      <w:bookmarkStart w:id="196" w:name="_Toc511217483"/>
      <w:r w:rsidRPr="0055733C">
        <w:t>4.3.2</w:t>
      </w:r>
      <w:r w:rsidRPr="0055733C">
        <w:tab/>
        <w:t>Sub-sampling</w:t>
      </w:r>
      <w:bookmarkEnd w:id="196"/>
    </w:p>
    <w:p w14:paraId="09421B7E"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When sampling fish muscle, care should be taken to avoid including any epidermis or subcutaneous fatty tissue in the sample. Samples should be taken underneath the red muscle layer. In order to ensure uniformity, the right side dorso-lateral muscle should be sampled. If possible, the entire right side dorsal lateral fillet should be homogenised and sub-samples taken for replicate PBDE determinations. If, however, the amount of material to be homogenised is too large, a specific portion of the dorsal musculature should be chosen. It is recommended that the portion of the muscle lying directly under the first dorsal fin is used in this case.</w:t>
      </w:r>
    </w:p>
    <w:p w14:paraId="48256C87"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When dissecting the liver, care should be taken to avoid contamination from the other organs. If bile samples are to be taken then they should be collected first. If the whole liver is not to be homogenised, a specific portion should be chosen in order to ensure comparability.</w:t>
      </w:r>
    </w:p>
    <w:p w14:paraId="5EC15EA1"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When pooling of tissues (e.g. liver or muscle) is necessary, an equivalent quantity of tissue should be taken from each fish, e.</w:t>
      </w:r>
      <w:r w:rsidR="0055733C">
        <w:rPr>
          <w:rFonts w:ascii="Calibri" w:hAnsi="Calibri"/>
          <w:sz w:val="22"/>
          <w:szCs w:val="22"/>
        </w:rPr>
        <w:t>g., 10% from each whole fillet.</w:t>
      </w:r>
    </w:p>
    <w:p w14:paraId="3B583815" w14:textId="77777777" w:rsidR="00FC360C" w:rsidRPr="00F63BAF" w:rsidRDefault="00FC360C" w:rsidP="0055733C">
      <w:pPr>
        <w:pStyle w:val="Heading1"/>
      </w:pPr>
      <w:bookmarkStart w:id="197" w:name="_Toc511217484"/>
      <w:r w:rsidRPr="00F63BAF">
        <w:t>5</w:t>
      </w:r>
      <w:r w:rsidRPr="00F63BAF">
        <w:tab/>
        <w:t>Analysis</w:t>
      </w:r>
      <w:bookmarkEnd w:id="197"/>
    </w:p>
    <w:p w14:paraId="426C3F31" w14:textId="77777777" w:rsidR="00FC360C" w:rsidRPr="0055733C" w:rsidRDefault="00FC360C" w:rsidP="0055733C">
      <w:pPr>
        <w:pStyle w:val="Heading2"/>
      </w:pPr>
      <w:bookmarkStart w:id="198" w:name="_Toc511217485"/>
      <w:r w:rsidRPr="0055733C">
        <w:t>5.1</w:t>
      </w:r>
      <w:r w:rsidRPr="0055733C">
        <w:tab/>
        <w:t>Precautionary Measures</w:t>
      </w:r>
      <w:bookmarkEnd w:id="198"/>
    </w:p>
    <w:p w14:paraId="4DC1122B"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Special precautions are required in the laboratory when analysing PBDEs due to their sensitivity to UV light. PBDEs are prone to photolytic degradation; if exposed to UV light debromination can occur, especially for BDE209 (Covaci </w:t>
      </w:r>
      <w:r w:rsidRPr="0055733C">
        <w:rPr>
          <w:rFonts w:ascii="Calibri" w:hAnsi="Calibri"/>
          <w:i/>
          <w:sz w:val="22"/>
          <w:szCs w:val="22"/>
        </w:rPr>
        <w:t>et al.,</w:t>
      </w:r>
      <w:r w:rsidRPr="0055733C">
        <w:rPr>
          <w:rFonts w:ascii="Calibri" w:hAnsi="Calibri"/>
          <w:sz w:val="22"/>
          <w:szCs w:val="22"/>
        </w:rPr>
        <w:t xml:space="preserve"> 2003; de Boer and Wells, 2006). Therefore, incoming light to the laboratory should be minimised by placing UV filters on the windows and over fluorescent lightings, or by not using any artificial lighting within the laboratory. It is recommended that all calibration and spiking standards are prepared and stored in amber glassware. </w:t>
      </w:r>
    </w:p>
    <w:p w14:paraId="02E2CD86"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The use of plastics, in the laboratory as well as during sampling, should be avoided as they can contain PBDEs. BDE209 can adsorb to dust particles and can be a source of contamination in the laboratory. Therefore, it is recommended that an ioniser be placed in the laboratory and the laboratory kept as dust free as possible. Heating of glass</w:t>
      </w:r>
      <w:r w:rsidRPr="0055733C">
        <w:rPr>
          <w:rFonts w:ascii="Calibri" w:hAnsi="Calibri"/>
          <w:sz w:val="22"/>
          <w:szCs w:val="22"/>
        </w:rPr>
        <w:softHyphen/>
        <w:t>ware in an oven (e.g. at 450</w:t>
      </w:r>
      <w:r w:rsidRPr="0055733C">
        <w:rPr>
          <w:rFonts w:ascii="Calibri" w:hAnsi="Calibri"/>
          <w:sz w:val="22"/>
          <w:szCs w:val="22"/>
        </w:rPr>
        <w:sym w:font="Symbol" w:char="F0B0"/>
      </w:r>
      <w:r w:rsidRPr="0055733C">
        <w:rPr>
          <w:rFonts w:ascii="Calibri" w:hAnsi="Calibri"/>
          <w:sz w:val="22"/>
          <w:szCs w:val="22"/>
        </w:rPr>
        <w:t>C overnight) can also be useful for removing PBDE contamination. In addition all glassware should be covered with aluminium foil to keep out any dust.</w:t>
      </w:r>
    </w:p>
    <w:p w14:paraId="51F32F3F" w14:textId="77777777" w:rsidR="00FC360C" w:rsidRPr="0055733C" w:rsidRDefault="00FC360C" w:rsidP="0055733C">
      <w:pPr>
        <w:pStyle w:val="Heading2"/>
      </w:pPr>
      <w:bookmarkStart w:id="199" w:name="_Toc511217486"/>
      <w:r w:rsidRPr="0055733C">
        <w:t>5.2</w:t>
      </w:r>
      <w:r w:rsidRPr="0055733C">
        <w:tab/>
        <w:t>Solvent Purity and Blanks</w:t>
      </w:r>
      <w:bookmarkEnd w:id="199"/>
    </w:p>
    <w:p w14:paraId="79686C1C" w14:textId="24F46CFE"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BDE209 can stick to glassware (or any other chemically active sites). This can result in contamination of glassware. For work at low concentrations, the use of high-purity solvents is essential, particularly when large solvent volumes are being used for column clean-up. All batches of solvents should be checked for purity by concentration of an aliquot of solvent by at least the same volume factor as used in the overall analytical procedure. Batches which show significant contamination, so as to interfere with analysis, should be rejected. All glassware should be solvent-rinsed immediately prior to use as it will collect contamination from the laboratory atmosphere during storage. Pre-cleaning of all reagents (alumina, silica, sodium sulphate, hydromatrix etc</w:t>
      </w:r>
      <w:r w:rsidR="000B2293">
        <w:rPr>
          <w:rFonts w:ascii="Calibri" w:hAnsi="Calibri"/>
          <w:sz w:val="22"/>
          <w:szCs w:val="22"/>
        </w:rPr>
        <w:t>.</w:t>
      </w:r>
      <w:r w:rsidRPr="0055733C">
        <w:rPr>
          <w:rFonts w:ascii="Calibri" w:hAnsi="Calibri"/>
          <w:sz w:val="22"/>
          <w:szCs w:val="22"/>
        </w:rPr>
        <w:t>) is essential.</w:t>
      </w:r>
    </w:p>
    <w:p w14:paraId="3608786A" w14:textId="77777777" w:rsidR="00FC360C" w:rsidRPr="0055733C" w:rsidRDefault="00FC360C" w:rsidP="0055733C">
      <w:pPr>
        <w:pStyle w:val="Heading2"/>
      </w:pPr>
      <w:bookmarkStart w:id="200" w:name="_Toc511217487"/>
      <w:r w:rsidRPr="0055733C">
        <w:t>5.3</w:t>
      </w:r>
      <w:r w:rsidRPr="0055733C">
        <w:tab/>
        <w:t>Preparation of materials</w:t>
      </w:r>
      <w:bookmarkEnd w:id="200"/>
    </w:p>
    <w:p w14:paraId="7E00594A"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Solvents, reagents and adsorptive materials must be ‘free’ of PBDEs and other interfering compounds. If not, then they must be purified using appropriate methods. Reagents and absorptive materials should be purified by solvent extraction and/or by heating in a muffle oven as appropriate. Glass fibre materials (e.g. Soxhlet thimbles and filter papers used in pressurised liquid extraction (PLE)) should be cleaned by solvent extraction or pre-baked at 450</w:t>
      </w:r>
      <w:r w:rsidRPr="0055733C">
        <w:rPr>
          <w:rFonts w:ascii="Calibri" w:hAnsi="Calibri"/>
          <w:sz w:val="22"/>
          <w:szCs w:val="22"/>
          <w:vertAlign w:val="superscript"/>
        </w:rPr>
        <w:t>o</w:t>
      </w:r>
      <w:r w:rsidRPr="0055733C">
        <w:rPr>
          <w:rFonts w:ascii="Calibri" w:hAnsi="Calibri"/>
          <w:sz w:val="22"/>
          <w:szCs w:val="22"/>
        </w:rPr>
        <w:t xml:space="preserve">C overnight. It should be borne in mind that clean materials can be re-contaminated by exposure to laboratory air, particularly in urban locations, and so the method of storage after cleaning is of critical importance. Ideally, materials should be prepared immediately before use, but if they are to be stored, then the conditions should be considered critically. All containers which come into contact with the sample should be made of glass or aluminium, and should be pre-cleaned before use. Appropriate cleaning methods would include washing with detergents, rinsing with water of known quality, and finally solvent rinsing immediately before use. </w:t>
      </w:r>
    </w:p>
    <w:p w14:paraId="6E6E6377" w14:textId="77777777" w:rsidR="00FC360C" w:rsidRPr="0055733C" w:rsidRDefault="00FC360C" w:rsidP="0055733C">
      <w:pPr>
        <w:pStyle w:val="Heading2"/>
      </w:pPr>
      <w:bookmarkStart w:id="201" w:name="_Toc511217488"/>
      <w:r w:rsidRPr="0055733C">
        <w:t>5.4</w:t>
      </w:r>
      <w:r w:rsidRPr="0055733C">
        <w:tab/>
        <w:t>Lipid determination</w:t>
      </w:r>
      <w:bookmarkEnd w:id="201"/>
    </w:p>
    <w:p w14:paraId="1BEAC88A"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The determination of the lipid content of tissues can be of use in characterising the samples. This will enable reporting concentrations on a wet weight or lipid weight basis. The lipid content should be determined on a separate subsample of the tissue homogenate, as some of the extraction techniques used routinely for PBDE determination (e.g., PLE with fat retainers, alkaline saponification) destroy or remove lipid materials. The total lipid content of fish or shellfish should be determined using the method of Bligh and Dyer (1959) as modified by Hanson and Olley (1963) or an equivalent method such as Smedes (1999). Extractable lipid may be used, particularly if the sample size is small and lipid content is high. It has been shown that if the lipid content is high (&gt;5%) then this will be comparable to the total lipid.</w:t>
      </w:r>
    </w:p>
    <w:p w14:paraId="191C16CC" w14:textId="77777777" w:rsidR="00FC360C" w:rsidRPr="0055733C" w:rsidRDefault="00FC360C" w:rsidP="0055733C">
      <w:pPr>
        <w:pStyle w:val="Heading2"/>
      </w:pPr>
      <w:bookmarkStart w:id="202" w:name="_Toc511217489"/>
      <w:r w:rsidRPr="0055733C">
        <w:t>5.5</w:t>
      </w:r>
      <w:r w:rsidRPr="0055733C">
        <w:tab/>
        <w:t>Dry weight Determination</w:t>
      </w:r>
      <w:bookmarkEnd w:id="202"/>
    </w:p>
    <w:p w14:paraId="65A36095"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The dry weight of samples should be determined gravimetrically so that concentrations can also be expressed on a dry weight basis.</w:t>
      </w:r>
    </w:p>
    <w:p w14:paraId="47BD111D" w14:textId="77777777" w:rsidR="00FC360C" w:rsidRPr="0055733C" w:rsidRDefault="00FC360C" w:rsidP="0055733C">
      <w:pPr>
        <w:pStyle w:val="Heading2"/>
      </w:pPr>
      <w:bookmarkStart w:id="203" w:name="_Toc511217490"/>
      <w:r w:rsidRPr="0055733C">
        <w:t>5.6</w:t>
      </w:r>
      <w:r w:rsidRPr="0055733C">
        <w:tab/>
        <w:t>Extraction and clean-up</w:t>
      </w:r>
      <w:bookmarkEnd w:id="203"/>
    </w:p>
    <w:p w14:paraId="3B466F56"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The similarity in structure of the PBDEs to CBs means that techniques used for the analysis of CBs may also be applied to the analysis of PBDEs (de Boer </w:t>
      </w:r>
      <w:r w:rsidRPr="0055733C">
        <w:rPr>
          <w:rFonts w:ascii="Calibri" w:hAnsi="Calibri"/>
          <w:i/>
          <w:sz w:val="22"/>
          <w:szCs w:val="22"/>
        </w:rPr>
        <w:t>et al.</w:t>
      </w:r>
      <w:r w:rsidRPr="0055733C">
        <w:rPr>
          <w:rFonts w:ascii="Calibri" w:hAnsi="Calibri"/>
          <w:sz w:val="22"/>
          <w:szCs w:val="22"/>
        </w:rPr>
        <w:t>, 2001). PBDEs are lipophilic and so are concentrated in the lipids of an organism. A range of extraction methods have been used for the extraction of PBDEs from biota. These include the more traditional methods such as Soxhlet and the newer automated methods such as pressurised liquid extraction (PLE). Supercritical fluid extraction (SFE) has also been applied to PBDE extractions, although reproducibility was poor compared to Soxhlet</w:t>
      </w:r>
      <w:r w:rsidRPr="0055733C">
        <w:rPr>
          <w:rFonts w:ascii="Calibri" w:hAnsi="Calibri"/>
          <w:sz w:val="22"/>
          <w:szCs w:val="22"/>
          <w:vertAlign w:val="superscript"/>
        </w:rPr>
        <w:t xml:space="preserve"> </w:t>
      </w:r>
      <w:r w:rsidRPr="0055733C">
        <w:rPr>
          <w:rFonts w:ascii="Calibri" w:hAnsi="Calibri"/>
          <w:sz w:val="22"/>
          <w:szCs w:val="22"/>
        </w:rPr>
        <w:t xml:space="preserve">(Covaci </w:t>
      </w:r>
      <w:r w:rsidRPr="0055733C">
        <w:rPr>
          <w:rFonts w:ascii="Calibri" w:hAnsi="Calibri"/>
          <w:i/>
          <w:sz w:val="22"/>
          <w:szCs w:val="22"/>
        </w:rPr>
        <w:t>et al.,</w:t>
      </w:r>
      <w:r w:rsidRPr="0055733C">
        <w:rPr>
          <w:rFonts w:ascii="Calibri" w:hAnsi="Calibri"/>
          <w:sz w:val="22"/>
          <w:szCs w:val="22"/>
        </w:rPr>
        <w:t xml:space="preserve"> 2003). However, most laboratories are still using the traditional Soxhlet extraction. For soxhlets, hexane/acetone mixtures or toluene (particularly for BDE209) have been shown to give the best recoveries for the extraction of PBDEs combined with an extraction time of between 6 and 24 h. Hexane/acetone mixtures or toluene are also used with PLE (if no fat retainers used) with an extraction time of ~ 10 min per sample. PLE or soxhlet are therefore the preferred methods with PLE having the advantage of using less solvent, being fully automated and taking less time than Soxhlet. </w:t>
      </w:r>
    </w:p>
    <w:p w14:paraId="1829FC01"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Tissue extracts will always contain many compounds other than PBDEs, and a suitable clean</w:t>
      </w:r>
      <w:r w:rsidR="000F2818">
        <w:rPr>
          <w:rFonts w:ascii="Calibri" w:hAnsi="Calibri"/>
          <w:sz w:val="22"/>
          <w:szCs w:val="22"/>
        </w:rPr>
        <w:t>-</w:t>
      </w:r>
      <w:r w:rsidRPr="0055733C">
        <w:rPr>
          <w:rFonts w:ascii="Calibri" w:hAnsi="Calibri"/>
          <w:sz w:val="22"/>
          <w:szCs w:val="22"/>
        </w:rPr>
        <w:t xml:space="preserve">up is necessary to remove those compounds which may interfere with the subsequent analysis. Different techniques may be used, either singly or in combination, and the choice will be influenced by the selectivity and sensitivity of the final measurement technique and also by the extraction method employed. PBDEs are stable under acid conditions; therefore treatment with sulphuric acid or acid impregnated silica columns may be used in the clean-up. If Soxhlet extraction is used, then there is a much greater quantity of residual lipid to be removed before the analytical determination can be made than in the case of alkaline digestion. An additional clean-up stage may therefore be necessary. The most commonly used clean-up methods involve the use of alumina or silica adsorption chromatography, but gel permeation chromatography (GPC) is also employed. When using GPC the elution of PBDEs should be carefully checked particularly for BDE209. Destructive methods for lipid removal such as saponification have also been investigated; however this method can result in the degradation of the higher brominated PBDEs and, therefore is not recommended. When applying gel permeation chromatography (GPC), two serial columns are often used for improved lipid separation. Solvent mixtures such as dichloromethane/hexane or cyclohexane/ethyl acetate can be used as eluents for GPC. However, a second clean-up step is often required to separate the PBDEs from other orgnaohalogenated compounds. When silica columns are used, the PBDEs will elute in the second, more polar, fraction (along with the organochlorine pesticides). However, this will be dependent on the solvents used and the adsorbents and the degree of deactivation. </w:t>
      </w:r>
    </w:p>
    <w:p w14:paraId="1DB569F6" w14:textId="77777777" w:rsidR="00FC360C" w:rsidRPr="0055733C" w:rsidRDefault="00FC360C" w:rsidP="0055733C">
      <w:pPr>
        <w:rPr>
          <w:rStyle w:val="BodyTextChar"/>
          <w:rFonts w:ascii="Calibri" w:hAnsi="Calibri"/>
          <w:sz w:val="22"/>
          <w:szCs w:val="22"/>
        </w:rPr>
      </w:pPr>
      <w:r w:rsidRPr="0055733C">
        <w:rPr>
          <w:rStyle w:val="BodyTextChar"/>
          <w:rFonts w:ascii="Calibri" w:hAnsi="Calibri"/>
          <w:sz w:val="22"/>
          <w:szCs w:val="22"/>
        </w:rPr>
        <w:t>One advantage of using PLE extraction is that it is possible to combine the clean</w:t>
      </w:r>
      <w:r w:rsidR="000F2818">
        <w:rPr>
          <w:rStyle w:val="BodyTextChar"/>
          <w:rFonts w:ascii="Calibri" w:hAnsi="Calibri"/>
          <w:sz w:val="22"/>
          <w:szCs w:val="22"/>
        </w:rPr>
        <w:t>-</w:t>
      </w:r>
      <w:r w:rsidRPr="0055733C">
        <w:rPr>
          <w:rStyle w:val="BodyTextChar"/>
          <w:rFonts w:ascii="Calibri" w:hAnsi="Calibri"/>
          <w:sz w:val="22"/>
          <w:szCs w:val="22"/>
        </w:rPr>
        <w:t>up with the extraction, especially where mass spectrometry will be used as the detection method. Methods have been developed by Lund University for online clean-up and fractionation of dioxins, furans and PCBs with PLE for food, feed and environmental samples (Sporring et al., 2003). The first method utilises a fat retainer for the on-line clean-up of fat. Silica impregnated with sulphuric acid, alumina and florisil have all been used as fat retainers. A non-polar extraction solvent such as hexane should be used if fat retainers are used during PLE. This method can also be applied to the extraction of PBDEs. However, problems have been highlighted with BDE209 which can be lost during PLE extraction through adsorption on to the extraction system tubing. However, with careful optimisation it is possible to use PLE for BDE209. Losses of BDE209 may be</w:t>
      </w:r>
      <w:r w:rsidRPr="0055733C">
        <w:rPr>
          <w:szCs w:val="22"/>
        </w:rPr>
        <w:t xml:space="preserve"> </w:t>
      </w:r>
      <w:r w:rsidRPr="0055733C">
        <w:rPr>
          <w:rStyle w:val="BodyTextChar"/>
          <w:rFonts w:ascii="Calibri" w:hAnsi="Calibri"/>
          <w:sz w:val="22"/>
          <w:szCs w:val="22"/>
        </w:rPr>
        <w:t>accounted for by using labeled BDE209 as an internal standard.</w:t>
      </w:r>
    </w:p>
    <w:p w14:paraId="53AED3AA" w14:textId="77777777" w:rsidR="00FC360C" w:rsidRPr="0055733C" w:rsidRDefault="00FC360C" w:rsidP="0055733C">
      <w:pPr>
        <w:pStyle w:val="Heading2"/>
      </w:pPr>
      <w:bookmarkStart w:id="204" w:name="_Toc511217491"/>
      <w:r w:rsidRPr="0055733C">
        <w:t>5.7</w:t>
      </w:r>
      <w:r w:rsidRPr="0055733C">
        <w:tab/>
        <w:t>Pre-concentration</w:t>
      </w:r>
      <w:bookmarkEnd w:id="204"/>
    </w:p>
    <w:p w14:paraId="74FAFDAA" w14:textId="77777777" w:rsidR="00FC360C" w:rsidRPr="0055733C" w:rsidRDefault="00FC360C" w:rsidP="0055733C">
      <w:pPr>
        <w:pStyle w:val="BodyText"/>
        <w:spacing w:after="120" w:line="276" w:lineRule="auto"/>
        <w:rPr>
          <w:rFonts w:ascii="Calibri" w:hAnsi="Calibri"/>
          <w:sz w:val="22"/>
          <w:szCs w:val="22"/>
        </w:rPr>
      </w:pPr>
      <w:r w:rsidRPr="0055733C">
        <w:rPr>
          <w:rStyle w:val="BodyTextChar"/>
          <w:rFonts w:ascii="Calibri" w:hAnsi="Calibri"/>
          <w:sz w:val="22"/>
          <w:szCs w:val="22"/>
        </w:rPr>
        <w:t>Turbo-vap sample concentrators can be used to reduce solvent volume. This is a rapid technique, but needs to be carefully optimised and monitored to prevent both losses (both of volatiles and solvent aerosols) and cross-contamination. The use of rotary-film evaporators is more time consuming but more controllable However, evaporation of solvents using this technique should be performed at low temperature (water bath temperature of ≤ 30</w:t>
      </w:r>
      <w:r w:rsidRPr="0055733C">
        <w:rPr>
          <w:rStyle w:val="BodyTextChar"/>
          <w:rFonts w:ascii="Calibri" w:hAnsi="Calibri"/>
          <w:sz w:val="22"/>
          <w:szCs w:val="22"/>
        </w:rPr>
        <w:sym w:font="Symbol" w:char="F0B0"/>
      </w:r>
      <w:r w:rsidRPr="0055733C">
        <w:rPr>
          <w:rStyle w:val="BodyTextChar"/>
          <w:rFonts w:ascii="Calibri" w:hAnsi="Calibri"/>
          <w:sz w:val="22"/>
          <w:szCs w:val="22"/>
        </w:rPr>
        <w:t>C) and under controlled pressure conditions, in order to prevent losses of the more volatile PBDEs. For the same reasons, evaporation to dryness should be avoided at all costs. Syncore systems are also more controllable but as rapid as Turbo-vaps and have the advantage of automatically rinsing down the sides of the vial (if the flushback module fitted) while concentrating. Again water-bath temperatures should be minimised to prevent losses. When reducing the sample to the required final volume, solvents can be removed by a stream of clean nitrogen gas. Suitable</w:t>
      </w:r>
      <w:r w:rsidRPr="0055733C">
        <w:rPr>
          <w:rFonts w:ascii="Calibri" w:hAnsi="Calibri"/>
          <w:sz w:val="22"/>
          <w:szCs w:val="22"/>
        </w:rPr>
        <w:t xml:space="preserve"> solvents for injection into the gas chromatograph (GC) include hexane, heptane, toluene and </w:t>
      </w:r>
      <w:r w:rsidRPr="0055733C">
        <w:rPr>
          <w:rFonts w:ascii="Calibri" w:hAnsi="Calibri"/>
          <w:i/>
          <w:sz w:val="22"/>
          <w:szCs w:val="22"/>
        </w:rPr>
        <w:t>iso</w:t>
      </w:r>
      <w:r w:rsidRPr="0055733C">
        <w:rPr>
          <w:rFonts w:ascii="Calibri" w:hAnsi="Calibri"/>
          <w:sz w:val="22"/>
          <w:szCs w:val="22"/>
        </w:rPr>
        <w:t>-octane.</w:t>
      </w:r>
    </w:p>
    <w:p w14:paraId="5BE26BF3" w14:textId="77777777" w:rsidR="00FC360C" w:rsidRPr="0055733C" w:rsidRDefault="00FC360C" w:rsidP="0055733C">
      <w:pPr>
        <w:pStyle w:val="Heading2"/>
      </w:pPr>
      <w:bookmarkStart w:id="205" w:name="_Toc511217492"/>
      <w:r w:rsidRPr="0055733C">
        <w:t>5.8</w:t>
      </w:r>
      <w:r w:rsidRPr="0055733C">
        <w:tab/>
        <w:t>Selection of PBDEs to be determined</w:t>
      </w:r>
      <w:bookmarkEnd w:id="205"/>
    </w:p>
    <w:p w14:paraId="18543999"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PBDE technical mixtures used as flame retardants contain only a limited number of the possible 209 congeners (~20). The penta mix contains mainly tetra- to hexa-BDEs, the octa mix mainly hexa- to octa-BDEs and the deca mix containing mainly deca-BDE. Nine BDE congeners have been detected in the penta mix, the major ones being BDE47 (37%) and BDE99 (35%). The octa mix contains hexa- to octa-brominated congeners, with the main congener being BDE183, a hepta-brominated congener. The deca mix contains 98% decaBDE (BDE209). </w:t>
      </w:r>
    </w:p>
    <w:p w14:paraId="723260C5"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PBDE congeners currently analysed vary considerably, however the congeners found in environmental samples are relatively consistent. Most laboratories analyse for the penta-mix compounds, tetra- to hexa-BDEs. In addition, these congeners are thought to be the most toxic and likely to bioaccumulate. In biota the dominant congeners are normally BDE47, 99, 100, 153 and 154. BDE 209 is less frequently measured, due to the analytical difficulties. It is rarely found in biota, but can degrade to lower brominated BDEs. Law </w:t>
      </w:r>
      <w:r w:rsidRPr="0055733C">
        <w:rPr>
          <w:rFonts w:ascii="Calibri" w:hAnsi="Calibri"/>
          <w:i/>
          <w:sz w:val="22"/>
          <w:szCs w:val="22"/>
        </w:rPr>
        <w:t>et al</w:t>
      </w:r>
      <w:r w:rsidRPr="0055733C">
        <w:rPr>
          <w:rFonts w:ascii="Calibri" w:hAnsi="Calibri"/>
          <w:sz w:val="22"/>
          <w:szCs w:val="22"/>
        </w:rPr>
        <w:t>. (2006)</w:t>
      </w:r>
      <w:r w:rsidRPr="0055733C">
        <w:rPr>
          <w:rFonts w:ascii="Calibri" w:hAnsi="Calibri"/>
          <w:i/>
          <w:sz w:val="22"/>
          <w:szCs w:val="22"/>
        </w:rPr>
        <w:t xml:space="preserve"> </w:t>
      </w:r>
      <w:r w:rsidRPr="0055733C">
        <w:rPr>
          <w:rFonts w:ascii="Calibri" w:hAnsi="Calibri"/>
          <w:sz w:val="22"/>
          <w:szCs w:val="22"/>
        </w:rPr>
        <w:t>proposed a minimum congener set for use when determining BDEs to cover all three technical mixtures and what is commonly found in biota and sediment. This list consisted of BDE28, BDE47, BDE99, BDE100, BDE153, BDE154, BDE183 and BDE209. This list is consistent with the congeners required by the QUASIMEME Scheme for biota and are routinely measured by the majority of laboratories. However, it is apparent that other congeners are found in marine samples (e.g. BDE 66 and 85) and so should also be analysed.</w:t>
      </w:r>
    </w:p>
    <w:p w14:paraId="11B75CA1"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Standards are available for all these congeners. Table 1 lists the PBDEs most commonly monitored.</w:t>
      </w:r>
    </w:p>
    <w:p w14:paraId="42695817" w14:textId="77777777" w:rsidR="00FC360C" w:rsidRPr="0055733C" w:rsidRDefault="00FC360C" w:rsidP="0055733C">
      <w:pPr>
        <w:pStyle w:val="Heading2"/>
      </w:pPr>
      <w:bookmarkStart w:id="206" w:name="_Toc511217493"/>
      <w:r w:rsidRPr="0055733C">
        <w:t>5.9</w:t>
      </w:r>
      <w:r w:rsidRPr="0055733C">
        <w:tab/>
        <w:t>Instrumental determination of PBDEs</w:t>
      </w:r>
      <w:bookmarkEnd w:id="206"/>
    </w:p>
    <w:p w14:paraId="5E654EC2"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Splitless, pulsed-splitless, programmed temperature vaporiser (PTV) and on-column injectors have been used for the determination of PBDEs, all of which are capable of yielding good results. Automatic sample injection should be used wherever possible to improve the reproducibility of injection and the precision of the overall method. For PBDE analysis, the cleanliness of the liner is very important if adsorption effects and discrimination are to be avoided, and the analytical column should not contain active sites to which PBDEs, particularly BDE209, can be adsorbed. Helium is the preferred carrier gas, and only capillary columns should be used. Mainly non-polar columns are used eg. HT-8, DB1701 and STX-500 (DB1 is usually used for BDE209) Korytar </w:t>
      </w:r>
      <w:r w:rsidRPr="0055733C">
        <w:rPr>
          <w:rFonts w:ascii="Calibri" w:hAnsi="Calibri"/>
          <w:i/>
          <w:sz w:val="22"/>
          <w:szCs w:val="22"/>
        </w:rPr>
        <w:t>et al</w:t>
      </w:r>
      <w:r w:rsidRPr="0055733C">
        <w:rPr>
          <w:rFonts w:ascii="Calibri" w:hAnsi="Calibri"/>
          <w:sz w:val="22"/>
          <w:szCs w:val="22"/>
        </w:rPr>
        <w:t xml:space="preserve">. (2005) provide comprehensive information on various capillary columns used for PBDE analysis. Baseline separation should be achievable for all BDEs listed in Table 1. However, BDE31 may coelute with BDE28. Because of the wide boiling range of the PBDEs to be determined and the surface-active properties of the higher PBDEs, the preferred column length is 25–50 </w:t>
      </w:r>
      <w:proofErr w:type="gramStart"/>
      <w:r w:rsidRPr="0055733C">
        <w:rPr>
          <w:rFonts w:ascii="Calibri" w:hAnsi="Calibri"/>
          <w:sz w:val="22"/>
          <w:szCs w:val="22"/>
        </w:rPr>
        <w:t>m,</w:t>
      </w:r>
      <w:proofErr w:type="gramEnd"/>
      <w:r w:rsidRPr="0055733C">
        <w:rPr>
          <w:rFonts w:ascii="Calibri" w:hAnsi="Calibri"/>
          <w:sz w:val="22"/>
          <w:szCs w:val="22"/>
        </w:rPr>
        <w:t xml:space="preserve"> with an internal diameter of 0.1 mm to 0.3 mm. Film thicknesses around 0.2 µm are generally used. </w:t>
      </w:r>
    </w:p>
    <w:p w14:paraId="6F8B5199"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BDE209 can be measured in the same run but will give a smaller and broader peak compared to other PBDEs. Detection limits will be approximately 10 fold higher for BDE209. Since the retention time is long, the determination of BDE209 is often done separately using thinner films (0.1 µm) and/or a shorter column, both of which have been found to improve the detection of BDE209. </w:t>
      </w:r>
    </w:p>
    <w:p w14:paraId="4EC654B7" w14:textId="77777777" w:rsidR="00FC360C" w:rsidRPr="0055733C" w:rsidRDefault="00FC360C" w:rsidP="0055733C">
      <w:pPr>
        <w:pStyle w:val="BodyText"/>
        <w:spacing w:after="120" w:line="276" w:lineRule="auto"/>
        <w:rPr>
          <w:rFonts w:ascii="Calibri" w:hAnsi="Calibri"/>
          <w:sz w:val="22"/>
          <w:szCs w:val="22"/>
        </w:rPr>
      </w:pPr>
    </w:p>
    <w:p w14:paraId="29ACCD51" w14:textId="77777777" w:rsidR="00FC360C" w:rsidRPr="0055733C" w:rsidRDefault="00FC360C" w:rsidP="0055733C">
      <w:pPr>
        <w:pStyle w:val="BodyText"/>
        <w:tabs>
          <w:tab w:val="clear" w:pos="357"/>
          <w:tab w:val="left" w:pos="851"/>
        </w:tabs>
        <w:spacing w:after="120" w:line="276" w:lineRule="auto"/>
        <w:rPr>
          <w:rFonts w:ascii="Calibri" w:hAnsi="Calibri" w:cs="Arial"/>
          <w:sz w:val="22"/>
          <w:szCs w:val="22"/>
        </w:rPr>
      </w:pPr>
      <w:r w:rsidRPr="00F63BAF">
        <w:rPr>
          <w:rFonts w:ascii="Calibri" w:hAnsi="Calibri"/>
          <w:b/>
        </w:rPr>
        <w:br w:type="page"/>
      </w:r>
      <w:r w:rsidRPr="0055733C">
        <w:rPr>
          <w:rFonts w:ascii="Calibri" w:hAnsi="Calibri"/>
          <w:b/>
          <w:sz w:val="22"/>
          <w:szCs w:val="22"/>
        </w:rPr>
        <w:t>Table 1</w:t>
      </w:r>
      <w:r w:rsidR="0055733C" w:rsidRPr="0055733C">
        <w:rPr>
          <w:rFonts w:ascii="Calibri" w:hAnsi="Calibri"/>
          <w:sz w:val="22"/>
          <w:szCs w:val="22"/>
        </w:rPr>
        <w:t>:</w:t>
      </w:r>
      <w:r w:rsidRPr="0055733C">
        <w:rPr>
          <w:rFonts w:ascii="Calibri" w:hAnsi="Calibri"/>
          <w:b/>
          <w:sz w:val="22"/>
          <w:szCs w:val="22"/>
        </w:rPr>
        <w:tab/>
      </w:r>
      <w:r w:rsidRPr="0055733C">
        <w:rPr>
          <w:rFonts w:ascii="Calibri" w:hAnsi="Calibri"/>
          <w:sz w:val="22"/>
          <w:szCs w:val="22"/>
        </w:rPr>
        <w:t>Congeners commonly monitored in environmental samples along with their degree of bromination, chemical name and the octanol water partition coefficient (Log K</w:t>
      </w:r>
      <w:r w:rsidRPr="0055733C">
        <w:rPr>
          <w:rFonts w:ascii="Calibri" w:hAnsi="Calibri"/>
          <w:sz w:val="22"/>
          <w:szCs w:val="22"/>
          <w:vertAlign w:val="subscript"/>
        </w:rPr>
        <w:t>OW</w:t>
      </w:r>
      <w:r w:rsidRPr="0055733C">
        <w:rPr>
          <w:rFonts w:ascii="Calibri" w:hAnsi="Calibri"/>
          <w:sz w:val="22"/>
          <w:szCs w:val="22"/>
        </w:rPr>
        <w:t xml:space="preserve">), where available (Braekevelt et al.). </w:t>
      </w:r>
    </w:p>
    <w:tbl>
      <w:tblPr>
        <w:tblW w:w="5000" w:type="pct"/>
        <w:tblBorders>
          <w:top w:val="single" w:sz="4" w:space="0" w:color="auto"/>
          <w:bottom w:val="single" w:sz="4" w:space="0" w:color="auto"/>
          <w:insideH w:val="single" w:sz="4" w:space="0" w:color="808080"/>
        </w:tblBorders>
        <w:tblLook w:val="01E0" w:firstRow="1" w:lastRow="1" w:firstColumn="1" w:lastColumn="1" w:noHBand="0" w:noVBand="0"/>
      </w:tblPr>
      <w:tblGrid>
        <w:gridCol w:w="2041"/>
        <w:gridCol w:w="1534"/>
        <w:gridCol w:w="4490"/>
        <w:gridCol w:w="1790"/>
      </w:tblGrid>
      <w:tr w:rsidR="00FC360C" w:rsidRPr="0055733C" w14:paraId="7C9DEF2C" w14:textId="77777777" w:rsidTr="002F237A">
        <w:trPr>
          <w:cantSplit/>
        </w:trPr>
        <w:tc>
          <w:tcPr>
            <w:tcW w:w="1035" w:type="pct"/>
            <w:tcBorders>
              <w:top w:val="single" w:sz="4" w:space="0" w:color="auto"/>
              <w:bottom w:val="single" w:sz="4" w:space="0" w:color="auto"/>
            </w:tcBorders>
            <w:shd w:val="clear" w:color="auto" w:fill="C0C0C0"/>
            <w:vAlign w:val="bottom"/>
          </w:tcPr>
          <w:p w14:paraId="654D7849" w14:textId="77777777" w:rsidR="00FC360C" w:rsidRPr="0055733C" w:rsidRDefault="00FC360C" w:rsidP="0055733C">
            <w:pPr>
              <w:pStyle w:val="TableTop"/>
              <w:spacing w:before="0" w:after="0" w:line="276" w:lineRule="auto"/>
              <w:rPr>
                <w:rFonts w:ascii="Calibri" w:hAnsi="Calibri" w:cs="Arial"/>
                <w:noProof w:val="0"/>
                <w:sz w:val="22"/>
                <w:szCs w:val="22"/>
              </w:rPr>
            </w:pPr>
            <w:r w:rsidRPr="0055733C">
              <w:rPr>
                <w:rFonts w:ascii="Calibri" w:hAnsi="Calibri" w:cs="Arial"/>
                <w:noProof w:val="0"/>
                <w:sz w:val="22"/>
                <w:szCs w:val="22"/>
              </w:rPr>
              <w:t>PBDE Congener</w:t>
            </w:r>
          </w:p>
        </w:tc>
        <w:tc>
          <w:tcPr>
            <w:tcW w:w="778" w:type="pct"/>
            <w:tcBorders>
              <w:top w:val="single" w:sz="4" w:space="0" w:color="auto"/>
              <w:bottom w:val="single" w:sz="4" w:space="0" w:color="auto"/>
            </w:tcBorders>
            <w:shd w:val="clear" w:color="auto" w:fill="C0C0C0"/>
            <w:vAlign w:val="bottom"/>
          </w:tcPr>
          <w:p w14:paraId="680C7CE2" w14:textId="77777777" w:rsidR="00FC360C" w:rsidRPr="0055733C" w:rsidRDefault="00FC360C" w:rsidP="0055733C">
            <w:pPr>
              <w:pStyle w:val="TableTop"/>
              <w:spacing w:before="0" w:after="0" w:line="276" w:lineRule="auto"/>
              <w:rPr>
                <w:rFonts w:ascii="Calibri" w:hAnsi="Calibri" w:cs="Arial"/>
                <w:noProof w:val="0"/>
                <w:sz w:val="22"/>
                <w:szCs w:val="22"/>
              </w:rPr>
            </w:pPr>
            <w:r w:rsidRPr="0055733C">
              <w:rPr>
                <w:rFonts w:ascii="Calibri" w:hAnsi="Calibri" w:cs="Arial"/>
                <w:noProof w:val="0"/>
                <w:sz w:val="22"/>
                <w:szCs w:val="22"/>
              </w:rPr>
              <w:t>Number of Br</w:t>
            </w:r>
          </w:p>
        </w:tc>
        <w:tc>
          <w:tcPr>
            <w:tcW w:w="2278" w:type="pct"/>
            <w:tcBorders>
              <w:top w:val="single" w:sz="4" w:space="0" w:color="auto"/>
              <w:bottom w:val="single" w:sz="4" w:space="0" w:color="auto"/>
            </w:tcBorders>
            <w:shd w:val="clear" w:color="auto" w:fill="C0C0C0"/>
            <w:vAlign w:val="bottom"/>
          </w:tcPr>
          <w:p w14:paraId="421FC750" w14:textId="77777777" w:rsidR="00FC360C" w:rsidRPr="0055733C" w:rsidRDefault="00FC360C" w:rsidP="0055733C">
            <w:pPr>
              <w:pStyle w:val="TableTop"/>
              <w:spacing w:before="0" w:after="0" w:line="276" w:lineRule="auto"/>
              <w:rPr>
                <w:rFonts w:ascii="Calibri" w:hAnsi="Calibri" w:cs="Arial"/>
                <w:noProof w:val="0"/>
                <w:sz w:val="22"/>
                <w:szCs w:val="22"/>
              </w:rPr>
            </w:pPr>
            <w:r w:rsidRPr="0055733C">
              <w:rPr>
                <w:rFonts w:ascii="Calibri" w:hAnsi="Calibri" w:cs="Arial"/>
                <w:noProof w:val="0"/>
                <w:sz w:val="22"/>
                <w:szCs w:val="22"/>
              </w:rPr>
              <w:t>Name</w:t>
            </w:r>
          </w:p>
        </w:tc>
        <w:tc>
          <w:tcPr>
            <w:tcW w:w="908" w:type="pct"/>
            <w:tcBorders>
              <w:top w:val="single" w:sz="4" w:space="0" w:color="auto"/>
              <w:bottom w:val="single" w:sz="4" w:space="0" w:color="auto"/>
            </w:tcBorders>
            <w:shd w:val="clear" w:color="auto" w:fill="C0C0C0"/>
            <w:vAlign w:val="bottom"/>
          </w:tcPr>
          <w:p w14:paraId="582E2067" w14:textId="77777777" w:rsidR="00FC360C" w:rsidRPr="0055733C" w:rsidRDefault="00FC360C" w:rsidP="0055733C">
            <w:pPr>
              <w:pStyle w:val="TableTop"/>
              <w:spacing w:before="0" w:after="0" w:line="276" w:lineRule="auto"/>
              <w:rPr>
                <w:rFonts w:ascii="Calibri" w:hAnsi="Calibri" w:cs="Arial"/>
                <w:noProof w:val="0"/>
                <w:sz w:val="22"/>
                <w:szCs w:val="22"/>
              </w:rPr>
            </w:pPr>
            <w:r w:rsidRPr="0055733C">
              <w:rPr>
                <w:rFonts w:ascii="Calibri" w:hAnsi="Calibri" w:cs="Arial"/>
                <w:noProof w:val="0"/>
                <w:sz w:val="22"/>
                <w:szCs w:val="22"/>
              </w:rPr>
              <w:t>Log K</w:t>
            </w:r>
            <w:r w:rsidRPr="0055733C">
              <w:rPr>
                <w:rFonts w:ascii="Calibri" w:hAnsi="Calibri" w:cs="Arial"/>
                <w:noProof w:val="0"/>
                <w:sz w:val="22"/>
                <w:szCs w:val="22"/>
                <w:vertAlign w:val="subscript"/>
              </w:rPr>
              <w:t>OW</w:t>
            </w:r>
          </w:p>
        </w:tc>
      </w:tr>
      <w:tr w:rsidR="00FC360C" w:rsidRPr="0055733C" w14:paraId="5A9054EB" w14:textId="77777777" w:rsidTr="002F237A">
        <w:trPr>
          <w:cantSplit/>
        </w:trPr>
        <w:tc>
          <w:tcPr>
            <w:tcW w:w="1035" w:type="pct"/>
            <w:tcBorders>
              <w:top w:val="single" w:sz="4" w:space="0" w:color="auto"/>
            </w:tcBorders>
          </w:tcPr>
          <w:p w14:paraId="51ED706E"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BDE17</w:t>
            </w:r>
          </w:p>
        </w:tc>
        <w:tc>
          <w:tcPr>
            <w:tcW w:w="778" w:type="pct"/>
            <w:tcBorders>
              <w:top w:val="single" w:sz="4" w:space="0" w:color="auto"/>
            </w:tcBorders>
          </w:tcPr>
          <w:p w14:paraId="1CFF1922"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3</w:t>
            </w:r>
          </w:p>
        </w:tc>
        <w:tc>
          <w:tcPr>
            <w:tcW w:w="2278" w:type="pct"/>
            <w:tcBorders>
              <w:top w:val="single" w:sz="4" w:space="0" w:color="auto"/>
            </w:tcBorders>
          </w:tcPr>
          <w:p w14:paraId="0173F9C8"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22’,4-tribromodiphenyl ether</w:t>
            </w:r>
          </w:p>
        </w:tc>
        <w:tc>
          <w:tcPr>
            <w:tcW w:w="908" w:type="pct"/>
            <w:tcBorders>
              <w:top w:val="single" w:sz="4" w:space="0" w:color="auto"/>
            </w:tcBorders>
          </w:tcPr>
          <w:p w14:paraId="59422B9F"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5.74</w:t>
            </w:r>
          </w:p>
        </w:tc>
      </w:tr>
      <w:tr w:rsidR="00FC360C" w:rsidRPr="0055733C" w14:paraId="20A0FB69" w14:textId="77777777" w:rsidTr="002F237A">
        <w:trPr>
          <w:cantSplit/>
        </w:trPr>
        <w:tc>
          <w:tcPr>
            <w:tcW w:w="1035" w:type="pct"/>
          </w:tcPr>
          <w:p w14:paraId="6E169EB9"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BDE28*</w:t>
            </w:r>
          </w:p>
        </w:tc>
        <w:tc>
          <w:tcPr>
            <w:tcW w:w="778" w:type="pct"/>
          </w:tcPr>
          <w:p w14:paraId="74D419DD"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3</w:t>
            </w:r>
          </w:p>
        </w:tc>
        <w:tc>
          <w:tcPr>
            <w:tcW w:w="2278" w:type="pct"/>
          </w:tcPr>
          <w:p w14:paraId="07F11A77"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2, 44’-tribromodiphenyl ether</w:t>
            </w:r>
          </w:p>
        </w:tc>
        <w:tc>
          <w:tcPr>
            <w:tcW w:w="908" w:type="pct"/>
          </w:tcPr>
          <w:p w14:paraId="4790FF5A"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5.94</w:t>
            </w:r>
          </w:p>
        </w:tc>
      </w:tr>
      <w:tr w:rsidR="00FC360C" w:rsidRPr="0055733C" w14:paraId="3FC0FD5E" w14:textId="77777777" w:rsidTr="002F237A">
        <w:trPr>
          <w:cantSplit/>
        </w:trPr>
        <w:tc>
          <w:tcPr>
            <w:tcW w:w="1035" w:type="pct"/>
          </w:tcPr>
          <w:p w14:paraId="5AD9AB35"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BDE75</w:t>
            </w:r>
          </w:p>
        </w:tc>
        <w:tc>
          <w:tcPr>
            <w:tcW w:w="778" w:type="pct"/>
          </w:tcPr>
          <w:p w14:paraId="6B89F5B4"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4</w:t>
            </w:r>
          </w:p>
        </w:tc>
        <w:tc>
          <w:tcPr>
            <w:tcW w:w="2278" w:type="pct"/>
          </w:tcPr>
          <w:p w14:paraId="26A3F859"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2, 44’, 6-tetrabromodiphenyl ether</w:t>
            </w:r>
          </w:p>
        </w:tc>
        <w:tc>
          <w:tcPr>
            <w:tcW w:w="908" w:type="pct"/>
          </w:tcPr>
          <w:p w14:paraId="7B7B2ED8"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p>
        </w:tc>
      </w:tr>
      <w:tr w:rsidR="00FC360C" w:rsidRPr="0055733C" w14:paraId="72F72055" w14:textId="77777777" w:rsidTr="002F237A">
        <w:trPr>
          <w:cantSplit/>
        </w:trPr>
        <w:tc>
          <w:tcPr>
            <w:tcW w:w="1035" w:type="pct"/>
          </w:tcPr>
          <w:p w14:paraId="69C4E460"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BDE49</w:t>
            </w:r>
          </w:p>
        </w:tc>
        <w:tc>
          <w:tcPr>
            <w:tcW w:w="778" w:type="pct"/>
          </w:tcPr>
          <w:p w14:paraId="417A1FED"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4</w:t>
            </w:r>
          </w:p>
        </w:tc>
        <w:tc>
          <w:tcPr>
            <w:tcW w:w="2278" w:type="pct"/>
          </w:tcPr>
          <w:p w14:paraId="052793E7"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2, 34, 5’-tetrabromodiphenyl ether</w:t>
            </w:r>
          </w:p>
        </w:tc>
        <w:tc>
          <w:tcPr>
            <w:tcW w:w="908" w:type="pct"/>
          </w:tcPr>
          <w:p w14:paraId="5A61BF5C"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highlight w:val="yellow"/>
              </w:rPr>
            </w:pPr>
          </w:p>
        </w:tc>
      </w:tr>
      <w:tr w:rsidR="00FC360C" w:rsidRPr="0055733C" w14:paraId="6ACB88E0" w14:textId="77777777" w:rsidTr="002F237A">
        <w:trPr>
          <w:cantSplit/>
        </w:trPr>
        <w:tc>
          <w:tcPr>
            <w:tcW w:w="1035" w:type="pct"/>
          </w:tcPr>
          <w:p w14:paraId="0DA05D02"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BDE71</w:t>
            </w:r>
          </w:p>
        </w:tc>
        <w:tc>
          <w:tcPr>
            <w:tcW w:w="778" w:type="pct"/>
          </w:tcPr>
          <w:p w14:paraId="5C1CE094"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4</w:t>
            </w:r>
          </w:p>
        </w:tc>
        <w:tc>
          <w:tcPr>
            <w:tcW w:w="2278" w:type="pct"/>
          </w:tcPr>
          <w:p w14:paraId="5AE07936"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2, 3’, 4’, 6-tetrabromodiphenyl ether</w:t>
            </w:r>
          </w:p>
        </w:tc>
        <w:tc>
          <w:tcPr>
            <w:tcW w:w="908" w:type="pct"/>
          </w:tcPr>
          <w:p w14:paraId="7096F896"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p>
        </w:tc>
      </w:tr>
      <w:tr w:rsidR="00FC360C" w:rsidRPr="0055733C" w14:paraId="19874EFF" w14:textId="77777777" w:rsidTr="002F237A">
        <w:trPr>
          <w:cantSplit/>
        </w:trPr>
        <w:tc>
          <w:tcPr>
            <w:tcW w:w="1035" w:type="pct"/>
          </w:tcPr>
          <w:p w14:paraId="1D4EF948"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BDE47*</w:t>
            </w:r>
          </w:p>
        </w:tc>
        <w:tc>
          <w:tcPr>
            <w:tcW w:w="778" w:type="pct"/>
          </w:tcPr>
          <w:p w14:paraId="79BDF507"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4</w:t>
            </w:r>
          </w:p>
        </w:tc>
        <w:tc>
          <w:tcPr>
            <w:tcW w:w="2278" w:type="pct"/>
          </w:tcPr>
          <w:p w14:paraId="076DFE64"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2, 2’,4, 4’-tetrabromodiphenyl ether</w:t>
            </w:r>
          </w:p>
        </w:tc>
        <w:tc>
          <w:tcPr>
            <w:tcW w:w="908" w:type="pct"/>
          </w:tcPr>
          <w:p w14:paraId="21C4E4B9"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6.81</w:t>
            </w:r>
          </w:p>
        </w:tc>
      </w:tr>
      <w:tr w:rsidR="00FC360C" w:rsidRPr="0055733C" w14:paraId="3D51464C" w14:textId="77777777" w:rsidTr="002F237A">
        <w:trPr>
          <w:cantSplit/>
        </w:trPr>
        <w:tc>
          <w:tcPr>
            <w:tcW w:w="1035" w:type="pct"/>
          </w:tcPr>
          <w:p w14:paraId="76EE528B"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BDE66</w:t>
            </w:r>
          </w:p>
        </w:tc>
        <w:tc>
          <w:tcPr>
            <w:tcW w:w="778" w:type="pct"/>
          </w:tcPr>
          <w:p w14:paraId="2FE18A65"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4</w:t>
            </w:r>
          </w:p>
        </w:tc>
        <w:tc>
          <w:tcPr>
            <w:tcW w:w="2278" w:type="pct"/>
          </w:tcPr>
          <w:p w14:paraId="7A870DBE"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2, 3’,4, 4’-tetrabromodiphenyl ether</w:t>
            </w:r>
          </w:p>
        </w:tc>
        <w:tc>
          <w:tcPr>
            <w:tcW w:w="908" w:type="pct"/>
          </w:tcPr>
          <w:p w14:paraId="2A27360C"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p>
        </w:tc>
      </w:tr>
      <w:tr w:rsidR="00FC360C" w:rsidRPr="0055733C" w14:paraId="76CD477D" w14:textId="77777777" w:rsidTr="002F237A">
        <w:trPr>
          <w:cantSplit/>
        </w:trPr>
        <w:tc>
          <w:tcPr>
            <w:tcW w:w="1035" w:type="pct"/>
          </w:tcPr>
          <w:p w14:paraId="7202A693"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BDE77</w:t>
            </w:r>
          </w:p>
        </w:tc>
        <w:tc>
          <w:tcPr>
            <w:tcW w:w="778" w:type="pct"/>
          </w:tcPr>
          <w:p w14:paraId="6ABD54DA"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4</w:t>
            </w:r>
          </w:p>
        </w:tc>
        <w:tc>
          <w:tcPr>
            <w:tcW w:w="2278" w:type="pct"/>
          </w:tcPr>
          <w:p w14:paraId="7C6D2E58"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3, 3’,4, 4’-tetrabromodiphenyl ether</w:t>
            </w:r>
          </w:p>
        </w:tc>
        <w:tc>
          <w:tcPr>
            <w:tcW w:w="908" w:type="pct"/>
          </w:tcPr>
          <w:p w14:paraId="0397EF8B"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p>
        </w:tc>
      </w:tr>
      <w:tr w:rsidR="00FC360C" w:rsidRPr="0055733C" w14:paraId="354875FF" w14:textId="77777777" w:rsidTr="002F237A">
        <w:trPr>
          <w:cantSplit/>
        </w:trPr>
        <w:tc>
          <w:tcPr>
            <w:tcW w:w="1035" w:type="pct"/>
          </w:tcPr>
          <w:p w14:paraId="3C3C75C1"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BDE100*</w:t>
            </w:r>
          </w:p>
        </w:tc>
        <w:tc>
          <w:tcPr>
            <w:tcW w:w="778" w:type="pct"/>
          </w:tcPr>
          <w:p w14:paraId="767E43F4"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5</w:t>
            </w:r>
          </w:p>
        </w:tc>
        <w:tc>
          <w:tcPr>
            <w:tcW w:w="2278" w:type="pct"/>
          </w:tcPr>
          <w:p w14:paraId="6501D57C"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2, 2’,4, 4’, 6-pentabromodiphenyl ether</w:t>
            </w:r>
          </w:p>
        </w:tc>
        <w:tc>
          <w:tcPr>
            <w:tcW w:w="908" w:type="pct"/>
          </w:tcPr>
          <w:p w14:paraId="1267DAFA"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7.24</w:t>
            </w:r>
          </w:p>
        </w:tc>
      </w:tr>
      <w:tr w:rsidR="00FC360C" w:rsidRPr="0055733C" w14:paraId="5DCCDC6C" w14:textId="77777777" w:rsidTr="002F237A">
        <w:trPr>
          <w:cantSplit/>
        </w:trPr>
        <w:tc>
          <w:tcPr>
            <w:tcW w:w="1035" w:type="pct"/>
          </w:tcPr>
          <w:p w14:paraId="37E394EC"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BDE119</w:t>
            </w:r>
          </w:p>
        </w:tc>
        <w:tc>
          <w:tcPr>
            <w:tcW w:w="778" w:type="pct"/>
          </w:tcPr>
          <w:p w14:paraId="30D5010B"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5</w:t>
            </w:r>
          </w:p>
        </w:tc>
        <w:tc>
          <w:tcPr>
            <w:tcW w:w="2278" w:type="pct"/>
          </w:tcPr>
          <w:p w14:paraId="7695DEA1"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2, 3’,4, 4’, 6-pentabromodiphenyl ether</w:t>
            </w:r>
          </w:p>
        </w:tc>
        <w:tc>
          <w:tcPr>
            <w:tcW w:w="908" w:type="pct"/>
          </w:tcPr>
          <w:p w14:paraId="6E8ACC4F"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p>
        </w:tc>
      </w:tr>
      <w:tr w:rsidR="00FC360C" w:rsidRPr="0055733C" w14:paraId="2546E84D" w14:textId="77777777" w:rsidTr="002F237A">
        <w:trPr>
          <w:cantSplit/>
        </w:trPr>
        <w:tc>
          <w:tcPr>
            <w:tcW w:w="1035" w:type="pct"/>
          </w:tcPr>
          <w:p w14:paraId="17310077"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BDE99*</w:t>
            </w:r>
          </w:p>
        </w:tc>
        <w:tc>
          <w:tcPr>
            <w:tcW w:w="778" w:type="pct"/>
          </w:tcPr>
          <w:p w14:paraId="4DEB97EB"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5</w:t>
            </w:r>
          </w:p>
        </w:tc>
        <w:tc>
          <w:tcPr>
            <w:tcW w:w="2278" w:type="pct"/>
          </w:tcPr>
          <w:p w14:paraId="622FDF2C"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2, 2’,4, 4’, 5-pentabromodiphenyl ether</w:t>
            </w:r>
          </w:p>
        </w:tc>
        <w:tc>
          <w:tcPr>
            <w:tcW w:w="908" w:type="pct"/>
          </w:tcPr>
          <w:p w14:paraId="61917BCA"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7.32</w:t>
            </w:r>
          </w:p>
        </w:tc>
      </w:tr>
      <w:tr w:rsidR="00FC360C" w:rsidRPr="0055733C" w14:paraId="6E1BAF37" w14:textId="77777777" w:rsidTr="002F237A">
        <w:trPr>
          <w:cantSplit/>
        </w:trPr>
        <w:tc>
          <w:tcPr>
            <w:tcW w:w="1035" w:type="pct"/>
          </w:tcPr>
          <w:p w14:paraId="2C4A8560"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BDE85</w:t>
            </w:r>
          </w:p>
        </w:tc>
        <w:tc>
          <w:tcPr>
            <w:tcW w:w="778" w:type="pct"/>
          </w:tcPr>
          <w:p w14:paraId="41EB7E94"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5</w:t>
            </w:r>
          </w:p>
        </w:tc>
        <w:tc>
          <w:tcPr>
            <w:tcW w:w="2278" w:type="pct"/>
          </w:tcPr>
          <w:p w14:paraId="0263D148"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2, 2’,3, 4, 4’-pentabromodiphenyl ether</w:t>
            </w:r>
          </w:p>
        </w:tc>
        <w:tc>
          <w:tcPr>
            <w:tcW w:w="908" w:type="pct"/>
          </w:tcPr>
          <w:p w14:paraId="4A605EA5"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7.37</w:t>
            </w:r>
          </w:p>
        </w:tc>
      </w:tr>
      <w:tr w:rsidR="00FC360C" w:rsidRPr="0055733C" w14:paraId="49F53FA2" w14:textId="77777777" w:rsidTr="002F237A">
        <w:trPr>
          <w:cantSplit/>
        </w:trPr>
        <w:tc>
          <w:tcPr>
            <w:tcW w:w="1035" w:type="pct"/>
          </w:tcPr>
          <w:p w14:paraId="371DC891"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BDE154*</w:t>
            </w:r>
          </w:p>
        </w:tc>
        <w:tc>
          <w:tcPr>
            <w:tcW w:w="778" w:type="pct"/>
          </w:tcPr>
          <w:p w14:paraId="0CA4389F"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6</w:t>
            </w:r>
          </w:p>
        </w:tc>
        <w:tc>
          <w:tcPr>
            <w:tcW w:w="2278" w:type="pct"/>
          </w:tcPr>
          <w:p w14:paraId="131CEC5A"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2, 2’,4, 4’, 5, 6’-hexabromodiphenyl ether</w:t>
            </w:r>
          </w:p>
        </w:tc>
        <w:tc>
          <w:tcPr>
            <w:tcW w:w="908" w:type="pct"/>
          </w:tcPr>
          <w:p w14:paraId="57A40233"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7.82</w:t>
            </w:r>
          </w:p>
        </w:tc>
      </w:tr>
      <w:tr w:rsidR="00FC360C" w:rsidRPr="0055733C" w14:paraId="076985F5" w14:textId="77777777" w:rsidTr="002F237A">
        <w:trPr>
          <w:cantSplit/>
        </w:trPr>
        <w:tc>
          <w:tcPr>
            <w:tcW w:w="1035" w:type="pct"/>
          </w:tcPr>
          <w:p w14:paraId="60971346"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BDE153*</w:t>
            </w:r>
          </w:p>
        </w:tc>
        <w:tc>
          <w:tcPr>
            <w:tcW w:w="778" w:type="pct"/>
          </w:tcPr>
          <w:p w14:paraId="1ECB5413"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6</w:t>
            </w:r>
          </w:p>
        </w:tc>
        <w:tc>
          <w:tcPr>
            <w:tcW w:w="2278" w:type="pct"/>
          </w:tcPr>
          <w:p w14:paraId="7965291A"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2, 2’,4, 4’, 5, 5’-hexabromodiphenyl ether</w:t>
            </w:r>
          </w:p>
        </w:tc>
        <w:tc>
          <w:tcPr>
            <w:tcW w:w="908" w:type="pct"/>
          </w:tcPr>
          <w:p w14:paraId="38E6C03C"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7.90</w:t>
            </w:r>
          </w:p>
        </w:tc>
      </w:tr>
      <w:tr w:rsidR="00FC360C" w:rsidRPr="0055733C" w14:paraId="6943C6E0" w14:textId="77777777" w:rsidTr="002F237A">
        <w:trPr>
          <w:cantSplit/>
        </w:trPr>
        <w:tc>
          <w:tcPr>
            <w:tcW w:w="1035" w:type="pct"/>
          </w:tcPr>
          <w:p w14:paraId="7644B868"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BDE138</w:t>
            </w:r>
          </w:p>
        </w:tc>
        <w:tc>
          <w:tcPr>
            <w:tcW w:w="778" w:type="pct"/>
          </w:tcPr>
          <w:p w14:paraId="456354A8"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6</w:t>
            </w:r>
          </w:p>
        </w:tc>
        <w:tc>
          <w:tcPr>
            <w:tcW w:w="2278" w:type="pct"/>
          </w:tcPr>
          <w:p w14:paraId="0EB39A02"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2, 2’,3, 4, 4’, 5’-hexabromodiphenyl ether</w:t>
            </w:r>
          </w:p>
        </w:tc>
        <w:tc>
          <w:tcPr>
            <w:tcW w:w="908" w:type="pct"/>
          </w:tcPr>
          <w:p w14:paraId="1B280490"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p>
        </w:tc>
      </w:tr>
      <w:tr w:rsidR="00FC360C" w:rsidRPr="0055733C" w14:paraId="5763D53D" w14:textId="77777777" w:rsidTr="002F237A">
        <w:trPr>
          <w:cantSplit/>
        </w:trPr>
        <w:tc>
          <w:tcPr>
            <w:tcW w:w="1035" w:type="pct"/>
          </w:tcPr>
          <w:p w14:paraId="683172EA"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BDE190</w:t>
            </w:r>
          </w:p>
        </w:tc>
        <w:tc>
          <w:tcPr>
            <w:tcW w:w="778" w:type="pct"/>
          </w:tcPr>
          <w:p w14:paraId="4C12584B"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7</w:t>
            </w:r>
          </w:p>
        </w:tc>
        <w:tc>
          <w:tcPr>
            <w:tcW w:w="2278" w:type="pct"/>
          </w:tcPr>
          <w:p w14:paraId="76D2148D"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23 3’,44’,56-heptabromodiphenyl ether</w:t>
            </w:r>
          </w:p>
        </w:tc>
        <w:tc>
          <w:tcPr>
            <w:tcW w:w="908" w:type="pct"/>
          </w:tcPr>
          <w:p w14:paraId="746B6738"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p>
        </w:tc>
      </w:tr>
      <w:tr w:rsidR="00FC360C" w:rsidRPr="0055733C" w14:paraId="33557DBF" w14:textId="77777777" w:rsidTr="002F237A">
        <w:trPr>
          <w:cantSplit/>
        </w:trPr>
        <w:tc>
          <w:tcPr>
            <w:tcW w:w="1035" w:type="pct"/>
          </w:tcPr>
          <w:p w14:paraId="2BF875C7"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BDE183*</w:t>
            </w:r>
          </w:p>
        </w:tc>
        <w:tc>
          <w:tcPr>
            <w:tcW w:w="778" w:type="pct"/>
          </w:tcPr>
          <w:p w14:paraId="75CB2D5B"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7</w:t>
            </w:r>
          </w:p>
        </w:tc>
        <w:tc>
          <w:tcPr>
            <w:tcW w:w="2278" w:type="pct"/>
          </w:tcPr>
          <w:p w14:paraId="0E97E2A4" w14:textId="77777777" w:rsidR="00FC360C" w:rsidRPr="0055733C" w:rsidRDefault="00FC360C" w:rsidP="0055733C">
            <w:pPr>
              <w:pStyle w:val="table"/>
              <w:keepNext/>
              <w:widowControl w:val="0"/>
              <w:spacing w:before="0" w:after="0" w:line="276" w:lineRule="auto"/>
              <w:rPr>
                <w:rFonts w:ascii="Calibri" w:hAnsi="Calibri" w:cs="Arial"/>
                <w:noProof w:val="0"/>
                <w:sz w:val="22"/>
                <w:szCs w:val="22"/>
              </w:rPr>
            </w:pPr>
            <w:r w:rsidRPr="0055733C">
              <w:rPr>
                <w:rFonts w:ascii="Calibri" w:hAnsi="Calibri" w:cs="Arial"/>
                <w:noProof w:val="0"/>
                <w:sz w:val="22"/>
                <w:szCs w:val="22"/>
              </w:rPr>
              <w:t>22',34 4',5',6-heptabromodipheny l ether</w:t>
            </w:r>
          </w:p>
        </w:tc>
        <w:tc>
          <w:tcPr>
            <w:tcW w:w="908" w:type="pct"/>
          </w:tcPr>
          <w:p w14:paraId="73DE5450" w14:textId="77777777" w:rsidR="00FC360C" w:rsidRPr="0055733C" w:rsidRDefault="00FC360C" w:rsidP="0055733C">
            <w:pPr>
              <w:pStyle w:val="table"/>
              <w:keepNext/>
              <w:widowControl w:val="0"/>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8.27</w:t>
            </w:r>
          </w:p>
        </w:tc>
      </w:tr>
      <w:tr w:rsidR="00FC360C" w:rsidRPr="0055733C" w14:paraId="60711C22" w14:textId="77777777" w:rsidTr="002F237A">
        <w:tc>
          <w:tcPr>
            <w:tcW w:w="1035" w:type="pct"/>
          </w:tcPr>
          <w:p w14:paraId="71C5C573" w14:textId="77777777" w:rsidR="00FC360C" w:rsidRPr="0055733C" w:rsidRDefault="00FC360C" w:rsidP="0055733C">
            <w:pPr>
              <w:pStyle w:val="table"/>
              <w:spacing w:before="0" w:after="0" w:line="276" w:lineRule="auto"/>
              <w:rPr>
                <w:rFonts w:ascii="Calibri" w:hAnsi="Calibri" w:cs="Arial"/>
                <w:noProof w:val="0"/>
                <w:sz w:val="22"/>
                <w:szCs w:val="22"/>
              </w:rPr>
            </w:pPr>
            <w:r w:rsidRPr="0055733C">
              <w:rPr>
                <w:rFonts w:ascii="Calibri" w:hAnsi="Calibri" w:cs="Arial"/>
                <w:noProof w:val="0"/>
                <w:sz w:val="22"/>
                <w:szCs w:val="22"/>
              </w:rPr>
              <w:t>BDE209*</w:t>
            </w:r>
          </w:p>
        </w:tc>
        <w:tc>
          <w:tcPr>
            <w:tcW w:w="778" w:type="pct"/>
          </w:tcPr>
          <w:p w14:paraId="4B34CE67" w14:textId="77777777" w:rsidR="00FC360C" w:rsidRPr="0055733C" w:rsidRDefault="00FC360C" w:rsidP="0055733C">
            <w:pPr>
              <w:pStyle w:val="table"/>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10</w:t>
            </w:r>
          </w:p>
        </w:tc>
        <w:tc>
          <w:tcPr>
            <w:tcW w:w="2278" w:type="pct"/>
          </w:tcPr>
          <w:p w14:paraId="43DF288C" w14:textId="77777777" w:rsidR="00FC360C" w:rsidRPr="0055733C" w:rsidRDefault="00FC360C" w:rsidP="0055733C">
            <w:pPr>
              <w:pStyle w:val="table"/>
              <w:spacing w:before="0" w:after="0" w:line="276" w:lineRule="auto"/>
              <w:rPr>
                <w:rFonts w:ascii="Calibri" w:hAnsi="Calibri" w:cs="Arial"/>
                <w:noProof w:val="0"/>
                <w:sz w:val="22"/>
                <w:szCs w:val="22"/>
              </w:rPr>
            </w:pPr>
            <w:r w:rsidRPr="0055733C">
              <w:rPr>
                <w:rFonts w:ascii="Calibri" w:hAnsi="Calibri" w:cs="Arial"/>
                <w:noProof w:val="0"/>
                <w:sz w:val="22"/>
                <w:szCs w:val="22"/>
              </w:rPr>
              <w:t>Decabromodiphenyl ether</w:t>
            </w:r>
          </w:p>
        </w:tc>
        <w:tc>
          <w:tcPr>
            <w:tcW w:w="908" w:type="pct"/>
          </w:tcPr>
          <w:p w14:paraId="6323689C" w14:textId="77777777" w:rsidR="00FC360C" w:rsidRPr="0055733C" w:rsidRDefault="00FC360C" w:rsidP="0055733C">
            <w:pPr>
              <w:pStyle w:val="table"/>
              <w:spacing w:before="0" w:after="0" w:line="276" w:lineRule="auto"/>
              <w:jc w:val="center"/>
              <w:rPr>
                <w:rFonts w:ascii="Calibri" w:hAnsi="Calibri" w:cs="Arial"/>
                <w:noProof w:val="0"/>
                <w:sz w:val="22"/>
                <w:szCs w:val="22"/>
              </w:rPr>
            </w:pPr>
            <w:r w:rsidRPr="0055733C">
              <w:rPr>
                <w:rFonts w:ascii="Calibri" w:hAnsi="Calibri" w:cs="Arial"/>
                <w:noProof w:val="0"/>
                <w:sz w:val="22"/>
                <w:szCs w:val="22"/>
              </w:rPr>
              <w:t>10.33</w:t>
            </w:r>
          </w:p>
        </w:tc>
      </w:tr>
    </w:tbl>
    <w:p w14:paraId="6E514108" w14:textId="77777777" w:rsidR="00FC360C" w:rsidRPr="0055733C" w:rsidRDefault="00FC360C" w:rsidP="0055733C">
      <w:pPr>
        <w:pStyle w:val="TableNotes"/>
        <w:spacing w:before="0" w:after="120" w:line="276" w:lineRule="auto"/>
        <w:rPr>
          <w:rFonts w:ascii="Calibri" w:hAnsi="Calibri" w:cs="Arial"/>
          <w:b w:val="0"/>
          <w:sz w:val="22"/>
          <w:szCs w:val="22"/>
        </w:rPr>
      </w:pPr>
      <w:r w:rsidRPr="0055733C">
        <w:rPr>
          <w:rFonts w:ascii="Calibri" w:hAnsi="Calibri" w:cs="Arial"/>
          <w:b w:val="0"/>
          <w:sz w:val="22"/>
          <w:szCs w:val="22"/>
        </w:rPr>
        <w:t xml:space="preserve">* Congeners proposed by Law </w:t>
      </w:r>
      <w:r w:rsidRPr="0055733C">
        <w:rPr>
          <w:rFonts w:ascii="Calibri" w:hAnsi="Calibri" w:cs="Arial"/>
          <w:b w:val="0"/>
          <w:i/>
          <w:sz w:val="22"/>
          <w:szCs w:val="22"/>
        </w:rPr>
        <w:t>et al.</w:t>
      </w:r>
      <w:r w:rsidRPr="0055733C">
        <w:rPr>
          <w:rFonts w:ascii="Calibri" w:hAnsi="Calibri" w:cs="Arial"/>
          <w:b w:val="0"/>
          <w:sz w:val="22"/>
          <w:szCs w:val="22"/>
        </w:rPr>
        <w:t xml:space="preserve"> as a minimum congener set for use when determining BDEs; they are also included </w:t>
      </w:r>
      <w:r w:rsidR="0055733C" w:rsidRPr="0055733C">
        <w:rPr>
          <w:rFonts w:ascii="Calibri" w:hAnsi="Calibri" w:cs="Arial"/>
          <w:b w:val="0"/>
          <w:sz w:val="22"/>
          <w:szCs w:val="22"/>
        </w:rPr>
        <w:t>in the QUASIMEME scheme</w:t>
      </w:r>
    </w:p>
    <w:p w14:paraId="3E38B356" w14:textId="77777777" w:rsidR="00FC360C" w:rsidRPr="0055733C" w:rsidRDefault="00FC360C" w:rsidP="0055733C">
      <w:pPr>
        <w:pStyle w:val="Heading3"/>
      </w:pPr>
      <w:bookmarkStart w:id="207" w:name="_Toc511217494"/>
      <w:r w:rsidRPr="0055733C">
        <w:t>5.9.1</w:t>
      </w:r>
      <w:r w:rsidRPr="0055733C">
        <w:tab/>
        <w:t>Detection Methods</w:t>
      </w:r>
      <w:bookmarkEnd w:id="207"/>
    </w:p>
    <w:p w14:paraId="2044C595" w14:textId="78F74FE5" w:rsidR="00FC360C" w:rsidRPr="0055733C" w:rsidRDefault="00953614" w:rsidP="0055733C">
      <w:pPr>
        <w:pStyle w:val="BodyText"/>
        <w:spacing w:after="120" w:line="276" w:lineRule="auto"/>
        <w:rPr>
          <w:rFonts w:ascii="Calibri" w:hAnsi="Calibri"/>
          <w:sz w:val="22"/>
          <w:szCs w:val="22"/>
        </w:rPr>
      </w:pPr>
      <w:r>
        <w:rPr>
          <w:rFonts w:ascii="Calibri" w:hAnsi="Calibri"/>
          <w:sz w:val="22"/>
          <w:szCs w:val="22"/>
        </w:rPr>
        <w:t>Either gas chromatography-</w:t>
      </w:r>
      <w:r w:rsidR="00FC360C" w:rsidRPr="0055733C">
        <w:rPr>
          <w:rFonts w:ascii="Calibri" w:hAnsi="Calibri"/>
          <w:sz w:val="22"/>
          <w:szCs w:val="22"/>
        </w:rPr>
        <w:t>m</w:t>
      </w:r>
      <w:r>
        <w:rPr>
          <w:rFonts w:ascii="Calibri" w:hAnsi="Calibri"/>
          <w:sz w:val="22"/>
          <w:szCs w:val="22"/>
        </w:rPr>
        <w:t>ass spectrometry (GC-MS) or GC-</w:t>
      </w:r>
      <w:r w:rsidR="00FC360C" w:rsidRPr="0055733C">
        <w:rPr>
          <w:rFonts w:ascii="Calibri" w:hAnsi="Calibri"/>
          <w:sz w:val="22"/>
          <w:szCs w:val="22"/>
        </w:rPr>
        <w:t xml:space="preserve">MS-MS (ion trap or triple quadropole) should be used. GC-ECD is rarely used due to the limited linear range, and lack of selectivity. If GC-ECD is used then the clean-up will need to separate out all other organohalogenated compounds which may give co-elution problems. Both high and low resolution GC-MS can be used in conjunction with either electron ionisation (EI) or electron capture negative ionisation (ECNI). Although gas chromatography-high resolution mass spectrometry with electron impact ionisation (GC-HRMS) is the best method to unambiguously identify and quantify PBDEs in environmental samples, the expense and limited availability means that most laboratories use low resolution GC-MS normally in ECNI mode. Lower brominated PBDEs (mono- and di-BDEs) show better sensitivity in EI mode. However, the higher brominated PBDEs (&gt;3 bromines) give better sensitivity using the ECNI mode; limits of detection for these congeners are approximately 10 fold lower in ECNI compared to EI. ECNI shows improved sensitivity compared to positive impact chemical ionisation (PCI). Therefore, GC-ECNI-MS is used most frequently for the analysis of PBDEs in environmental samples. Either ammonia or methane may be used as the reagent gas when using chemical ionisation. </w:t>
      </w:r>
    </w:p>
    <w:p w14:paraId="095CA8B8" w14:textId="77777777" w:rsidR="00FC360C" w:rsidRPr="0055733C" w:rsidRDefault="00FC360C" w:rsidP="0055733C">
      <w:pPr>
        <w:pStyle w:val="Heading3"/>
      </w:pPr>
      <w:bookmarkStart w:id="208" w:name="_Toc511217495"/>
      <w:r w:rsidRPr="0055733C">
        <w:t>5.9.2</w:t>
      </w:r>
      <w:r w:rsidRPr="0055733C">
        <w:tab/>
        <w:t>GC-MS</w:t>
      </w:r>
      <w:bookmarkEnd w:id="208"/>
    </w:p>
    <w:p w14:paraId="42C1482D"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The base ions detected using NCI are the bromine ions (</w:t>
      </w:r>
      <w:r w:rsidRPr="0055733C">
        <w:rPr>
          <w:rFonts w:ascii="Calibri" w:hAnsi="Calibri"/>
          <w:i/>
          <w:sz w:val="22"/>
          <w:szCs w:val="22"/>
        </w:rPr>
        <w:t>m/z</w:t>
      </w:r>
      <w:r w:rsidRPr="0055733C">
        <w:rPr>
          <w:rFonts w:ascii="Calibri" w:hAnsi="Calibri"/>
          <w:sz w:val="22"/>
          <w:szCs w:val="22"/>
        </w:rPr>
        <w:t xml:space="preserve"> = 79/81) for the tri- to hepta-BDEs. BDE congeners show the typical 79Br (50.5%) and 81Br (49.5%) isotope distribution pattern. One of the drawbacks of the CI mode is that isotopically labelled standards</w:t>
      </w:r>
      <w:r w:rsidRPr="0055733C">
        <w:rPr>
          <w:rFonts w:ascii="Calibri" w:hAnsi="Calibri"/>
          <w:sz w:val="22"/>
          <w:szCs w:val="22"/>
          <w:vertAlign w:val="superscript"/>
        </w:rPr>
        <w:t xml:space="preserve"> </w:t>
      </w:r>
      <w:r w:rsidRPr="0055733C">
        <w:rPr>
          <w:rFonts w:ascii="Calibri" w:hAnsi="Calibri"/>
          <w:sz w:val="22"/>
          <w:szCs w:val="22"/>
        </w:rPr>
        <w:t>(</w:t>
      </w:r>
      <w:r w:rsidRPr="0055733C">
        <w:rPr>
          <w:rFonts w:ascii="Calibri" w:hAnsi="Calibri"/>
          <w:sz w:val="22"/>
          <w:szCs w:val="22"/>
          <w:vertAlign w:val="superscript"/>
        </w:rPr>
        <w:t>13</w:t>
      </w:r>
      <w:r w:rsidRPr="0055733C">
        <w:rPr>
          <w:rFonts w:ascii="Calibri" w:hAnsi="Calibri"/>
          <w:sz w:val="22"/>
          <w:szCs w:val="22"/>
        </w:rPr>
        <w:t>C)</w:t>
      </w:r>
      <w:r w:rsidRPr="0055733C">
        <w:rPr>
          <w:rFonts w:ascii="Calibri" w:hAnsi="Calibri"/>
          <w:sz w:val="22"/>
          <w:szCs w:val="22"/>
          <w:vertAlign w:val="superscript"/>
        </w:rPr>
        <w:t xml:space="preserve"> </w:t>
      </w:r>
      <w:r w:rsidRPr="0055733C">
        <w:rPr>
          <w:rFonts w:ascii="Calibri" w:hAnsi="Calibri"/>
          <w:sz w:val="22"/>
          <w:szCs w:val="22"/>
        </w:rPr>
        <w:t>cannot be used as internal standards for quantification purposes when only the bromide ions are monitored. However, mono fluorinated BDEs may be used as internal standards. Alternatively using GC-ECNI-MS a recovery standard can be added prior to extraction. CB198 and other halogenated compounds not present in environmental samples can be used as recovery standards. Larger fragment ions, necessary for confirmation, are only found for BDE209. These are formed by the cleavage of the ether bond to give the pentabromo phenoxy ion (</w:t>
      </w:r>
      <w:r w:rsidRPr="0055733C">
        <w:rPr>
          <w:rFonts w:ascii="Calibri" w:hAnsi="Calibri"/>
          <w:i/>
          <w:sz w:val="22"/>
          <w:szCs w:val="22"/>
        </w:rPr>
        <w:t xml:space="preserve">m/z = </w:t>
      </w:r>
      <w:r w:rsidRPr="0055733C">
        <w:rPr>
          <w:rFonts w:ascii="Calibri" w:hAnsi="Calibri"/>
          <w:sz w:val="22"/>
          <w:szCs w:val="22"/>
        </w:rPr>
        <w:t>484/486). In general an internal standard method should be used for the quantification of PBDEs.</w:t>
      </w:r>
    </w:p>
    <w:p w14:paraId="0BFABC12"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One advantage of using EI is that </w:t>
      </w:r>
      <w:r w:rsidRPr="0055733C">
        <w:rPr>
          <w:rFonts w:ascii="Calibri" w:hAnsi="Calibri"/>
          <w:sz w:val="22"/>
          <w:szCs w:val="22"/>
          <w:vertAlign w:val="superscript"/>
        </w:rPr>
        <w:t>13</w:t>
      </w:r>
      <w:r w:rsidRPr="0055733C">
        <w:rPr>
          <w:rFonts w:ascii="Calibri" w:hAnsi="Calibri"/>
          <w:sz w:val="22"/>
          <w:szCs w:val="22"/>
        </w:rPr>
        <w:t>C labelled internal standards may be used. The major ions formed in EI mode are the molecular ions which can be used for identification and quantification purposes. Other fragment ions are also formed in EI mode which can be used as confirmatory ions.</w:t>
      </w:r>
    </w:p>
    <w:p w14:paraId="2D0DAA39" w14:textId="77777777" w:rsidR="00FC360C" w:rsidRPr="0055733C" w:rsidRDefault="00FC360C" w:rsidP="0055733C">
      <w:pPr>
        <w:pStyle w:val="Heading3"/>
      </w:pPr>
      <w:bookmarkStart w:id="209" w:name="_Toc511217496"/>
      <w:r w:rsidRPr="0055733C">
        <w:t>5.9.3</w:t>
      </w:r>
      <w:r w:rsidRPr="0055733C">
        <w:tab/>
        <w:t>Possible pitfalls and solutions</w:t>
      </w:r>
      <w:bookmarkEnd w:id="209"/>
    </w:p>
    <w:p w14:paraId="00482294"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Degradation of PBDEs, particularly BDE209, can occur on the GC. The presence of a hump or rising baseline before BDE209 is an indication of degradation during injection, whereas the presence of lower brominated BDE (nona-, octa- and eventually other lower brominated BDEs) indicates possible degradation during extraction and clean-up. To minimise this, the GC liners and injection syringe should be changed regularly. Silanising both the syringe and liner may help. When using on-column injection, the choice of retention gap can also have an effect on the degradation of BDE209 during analysis. Deactivated fused silica retention gaps are often used. The QUASIMEME (Quality Assurance of Information for Marine Environmental Monitoring) external quality assurance scheme has also highlighted the difficulties with the analysis of BDE209 with CV% for this congener ranging from 40 – 256%. As a result, many laborator</w:t>
      </w:r>
      <w:r w:rsidR="0055733C">
        <w:rPr>
          <w:rFonts w:ascii="Calibri" w:hAnsi="Calibri"/>
          <w:sz w:val="22"/>
          <w:szCs w:val="22"/>
        </w:rPr>
        <w:t xml:space="preserve">ies do not analyse for BDE209. </w:t>
      </w:r>
    </w:p>
    <w:p w14:paraId="6A634162" w14:textId="77777777" w:rsidR="00FC360C" w:rsidRPr="00F63BAF" w:rsidRDefault="00FC360C" w:rsidP="0055733C">
      <w:pPr>
        <w:pStyle w:val="Heading1"/>
      </w:pPr>
      <w:bookmarkStart w:id="210" w:name="_Toc511217497"/>
      <w:r w:rsidRPr="00F63BAF">
        <w:t>6</w:t>
      </w:r>
      <w:r w:rsidRPr="00F63BAF">
        <w:tab/>
        <w:t>Calibration and Quantification</w:t>
      </w:r>
      <w:bookmarkEnd w:id="210"/>
    </w:p>
    <w:p w14:paraId="7CD04097" w14:textId="77777777" w:rsidR="00FC360C" w:rsidRPr="0055733C" w:rsidRDefault="00FC360C" w:rsidP="0055733C">
      <w:pPr>
        <w:pStyle w:val="Heading2"/>
        <w:spacing w:before="0"/>
        <w:rPr>
          <w:szCs w:val="22"/>
        </w:rPr>
      </w:pPr>
      <w:bookmarkStart w:id="211" w:name="_Toc511217498"/>
      <w:r w:rsidRPr="0055733C">
        <w:rPr>
          <w:szCs w:val="22"/>
        </w:rPr>
        <w:t>6.1</w:t>
      </w:r>
      <w:r w:rsidRPr="0055733C">
        <w:rPr>
          <w:szCs w:val="22"/>
        </w:rPr>
        <w:tab/>
        <w:t>Standards</w:t>
      </w:r>
      <w:bookmarkEnd w:id="211"/>
    </w:p>
    <w:p w14:paraId="5C4ACFF9"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Standard solutions of known purity should be used for the preparation of calibration standards. If the quality of the standard materials is not guaranteed by the producer or supplier (as for certified reference materials), then it should be checked by GC-MS analysis. In addition, certified standard solutions are available from QUASIMEME and other suppliers for cross-checking. Calibration standards should be stored in the dark because some PBDEs are photosensitive, and ideally solutions to be stored should be sealed in amber, glass ampoules. Otherwise, they can be stored in a refrigerator in stoppered measuring cylinders or flasks that are gas tight to avoid evaporation of the solvent during storage.</w:t>
      </w:r>
    </w:p>
    <w:p w14:paraId="3D196BAF"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Ideally, internal standards should fall within the range of the compounds to be determined, and should not include compounds which may be present in the samples. A range of </w:t>
      </w:r>
      <w:r w:rsidRPr="0055733C">
        <w:rPr>
          <w:rFonts w:ascii="Calibri" w:hAnsi="Calibri"/>
          <w:sz w:val="22"/>
          <w:szCs w:val="22"/>
          <w:vertAlign w:val="superscript"/>
        </w:rPr>
        <w:t>13</w:t>
      </w:r>
      <w:r w:rsidRPr="0055733C">
        <w:rPr>
          <w:rFonts w:ascii="Calibri" w:hAnsi="Calibri"/>
          <w:sz w:val="22"/>
          <w:szCs w:val="22"/>
        </w:rPr>
        <w:t xml:space="preserve">C-labelled PBDEs are available for use as internal standards in PBDE analysis using GC-EIMS. However, when using GC-ECNI-MS these are of little value as, for the majority of congeners, only the bromine ions can be monitored. For BDE209 a high molecular weight fragment is formed during GC-ECNI-MS and, therefore, </w:t>
      </w:r>
      <w:r w:rsidRPr="0055733C">
        <w:rPr>
          <w:rFonts w:ascii="Calibri" w:hAnsi="Calibri"/>
          <w:sz w:val="22"/>
          <w:szCs w:val="22"/>
          <w:vertAlign w:val="superscript"/>
        </w:rPr>
        <w:t>13</w:t>
      </w:r>
      <w:r w:rsidRPr="0055733C">
        <w:rPr>
          <w:rFonts w:ascii="Calibri" w:hAnsi="Calibri"/>
          <w:sz w:val="22"/>
          <w:szCs w:val="22"/>
        </w:rPr>
        <w:t>C labelled BDE209 should be used. When GC-ECNIMS is used mono fluorinated BDEs may be used as internal standards or a recovery standard added to each sample prior to extraction and the recovery calculated as a check on the method.</w:t>
      </w:r>
    </w:p>
    <w:p w14:paraId="1344E574" w14:textId="77777777" w:rsidR="00FC360C" w:rsidRPr="0055733C" w:rsidRDefault="00FC360C" w:rsidP="0055733C">
      <w:pPr>
        <w:pStyle w:val="Heading2"/>
      </w:pPr>
      <w:bookmarkStart w:id="212" w:name="_Toc511217499"/>
      <w:r w:rsidRPr="0055733C">
        <w:t>6.2</w:t>
      </w:r>
      <w:r w:rsidRPr="0055733C">
        <w:tab/>
        <w:t>Calibration</w:t>
      </w:r>
      <w:bookmarkEnd w:id="212"/>
    </w:p>
    <w:p w14:paraId="5523548D"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Multilevel calibration with at least five calibration levels is preferred to adequately define the calibration curve. In general, GC-MS calibration is linear over a considerable concentration range but exhibits non-linear behaviour when the mass of a compound injected is low due to adsorption. The use of a syringe standard is recommended, for example BDE190. Quantification should be conducted in the linear region of the calibration curve, or the non-linear region must be well characterised during the calibration procedure. Internal standardisation should be used for the quantification of PBDEs.</w:t>
      </w:r>
    </w:p>
    <w:p w14:paraId="476F9504" w14:textId="77777777" w:rsidR="00FC360C" w:rsidRPr="00F63BAF" w:rsidRDefault="00FC360C" w:rsidP="00FC360C"/>
    <w:p w14:paraId="1EB49498" w14:textId="77777777" w:rsidR="00FC360C" w:rsidRPr="00F63BAF" w:rsidRDefault="00FC360C" w:rsidP="0055733C">
      <w:pPr>
        <w:pStyle w:val="Heading1"/>
      </w:pPr>
      <w:bookmarkStart w:id="213" w:name="_Toc511217500"/>
      <w:r w:rsidRPr="00F63BAF">
        <w:t>7</w:t>
      </w:r>
      <w:r w:rsidRPr="00F63BAF">
        <w:tab/>
        <w:t>Analytical Quality Control</w:t>
      </w:r>
      <w:bookmarkEnd w:id="213"/>
    </w:p>
    <w:p w14:paraId="10B55267"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Planners of monitoring programmes must decide on the accuracy, precision, repeatability, and limits of detection and determination which they consider acceptable. Achievable limits of determination for each individual component are as follows:</w:t>
      </w:r>
    </w:p>
    <w:p w14:paraId="17270253" w14:textId="77777777" w:rsidR="00FC360C" w:rsidRPr="0055733C" w:rsidRDefault="00FC360C" w:rsidP="0055733C">
      <w:pPr>
        <w:pStyle w:val="BodyText"/>
        <w:numPr>
          <w:ilvl w:val="0"/>
          <w:numId w:val="28"/>
        </w:numPr>
        <w:spacing w:after="120" w:line="276" w:lineRule="auto"/>
        <w:rPr>
          <w:rFonts w:ascii="Calibri" w:hAnsi="Calibri"/>
          <w:sz w:val="22"/>
          <w:szCs w:val="22"/>
        </w:rPr>
      </w:pPr>
      <w:r w:rsidRPr="0055733C">
        <w:rPr>
          <w:rFonts w:ascii="Calibri" w:hAnsi="Calibri"/>
          <w:sz w:val="22"/>
          <w:szCs w:val="22"/>
        </w:rPr>
        <w:t xml:space="preserve">for GC-ECNI-MS measurements: 0.05 </w:t>
      </w:r>
      <w:r w:rsidRPr="0055733C">
        <w:rPr>
          <w:rFonts w:ascii="Calibri" w:hAnsi="Calibri"/>
          <w:sz w:val="22"/>
          <w:szCs w:val="22"/>
        </w:rPr>
        <w:sym w:font="Symbol" w:char="F06D"/>
      </w:r>
      <w:r w:rsidRPr="0055733C">
        <w:rPr>
          <w:rFonts w:ascii="Calibri" w:hAnsi="Calibri"/>
          <w:sz w:val="22"/>
          <w:szCs w:val="22"/>
        </w:rPr>
        <w:t>g kg</w:t>
      </w:r>
      <w:r w:rsidRPr="0055733C">
        <w:rPr>
          <w:rFonts w:ascii="Calibri" w:hAnsi="Calibri"/>
          <w:sz w:val="22"/>
          <w:szCs w:val="22"/>
          <w:vertAlign w:val="superscript"/>
        </w:rPr>
        <w:sym w:font="Symbol" w:char="F02D"/>
      </w:r>
      <w:r w:rsidRPr="0055733C">
        <w:rPr>
          <w:rFonts w:ascii="Calibri" w:hAnsi="Calibri"/>
          <w:sz w:val="22"/>
          <w:szCs w:val="22"/>
          <w:vertAlign w:val="superscript"/>
        </w:rPr>
        <w:t>1</w:t>
      </w:r>
      <w:r w:rsidRPr="0055733C">
        <w:rPr>
          <w:rFonts w:ascii="Calibri" w:hAnsi="Calibri"/>
          <w:sz w:val="22"/>
          <w:szCs w:val="22"/>
        </w:rPr>
        <w:t xml:space="preserve"> wet weight for tri- to hepta-BDEs and 0.50 </w:t>
      </w:r>
      <w:r w:rsidRPr="0055733C">
        <w:rPr>
          <w:rFonts w:ascii="Calibri" w:hAnsi="Calibri"/>
          <w:sz w:val="22"/>
          <w:szCs w:val="22"/>
        </w:rPr>
        <w:sym w:font="Symbol" w:char="F06D"/>
      </w:r>
      <w:r w:rsidRPr="0055733C">
        <w:rPr>
          <w:rFonts w:ascii="Calibri" w:hAnsi="Calibri"/>
          <w:sz w:val="22"/>
          <w:szCs w:val="22"/>
        </w:rPr>
        <w:t>g kg</w:t>
      </w:r>
      <w:r w:rsidRPr="0055733C">
        <w:rPr>
          <w:rFonts w:ascii="Calibri" w:hAnsi="Calibri"/>
          <w:sz w:val="22"/>
          <w:szCs w:val="22"/>
          <w:vertAlign w:val="superscript"/>
        </w:rPr>
        <w:sym w:font="Symbol" w:char="F02D"/>
      </w:r>
      <w:r w:rsidRPr="0055733C">
        <w:rPr>
          <w:rFonts w:ascii="Calibri" w:hAnsi="Calibri"/>
          <w:sz w:val="22"/>
          <w:szCs w:val="22"/>
          <w:vertAlign w:val="superscript"/>
        </w:rPr>
        <w:t>1</w:t>
      </w:r>
      <w:r w:rsidRPr="0055733C">
        <w:rPr>
          <w:rFonts w:ascii="Calibri" w:hAnsi="Calibri"/>
          <w:sz w:val="22"/>
          <w:szCs w:val="22"/>
        </w:rPr>
        <w:t xml:space="preserve"> wet weight for BDE209;</w:t>
      </w:r>
    </w:p>
    <w:p w14:paraId="4E90F9E0" w14:textId="77777777" w:rsidR="00FC360C" w:rsidRPr="0055733C" w:rsidRDefault="00FC360C" w:rsidP="0055733C">
      <w:pPr>
        <w:pStyle w:val="BodyText"/>
        <w:numPr>
          <w:ilvl w:val="0"/>
          <w:numId w:val="28"/>
        </w:numPr>
        <w:spacing w:after="120" w:line="276" w:lineRule="auto"/>
        <w:rPr>
          <w:rFonts w:ascii="Calibri" w:hAnsi="Calibri"/>
          <w:sz w:val="22"/>
          <w:szCs w:val="22"/>
        </w:rPr>
      </w:pPr>
      <w:proofErr w:type="gramStart"/>
      <w:r w:rsidRPr="0055733C">
        <w:rPr>
          <w:rFonts w:ascii="Calibri" w:hAnsi="Calibri"/>
          <w:sz w:val="22"/>
          <w:szCs w:val="22"/>
        </w:rPr>
        <w:t>for</w:t>
      </w:r>
      <w:proofErr w:type="gramEnd"/>
      <w:r w:rsidRPr="0055733C">
        <w:rPr>
          <w:rFonts w:ascii="Calibri" w:hAnsi="Calibri"/>
          <w:sz w:val="22"/>
          <w:szCs w:val="22"/>
        </w:rPr>
        <w:t xml:space="preserve"> GC-EIMS: 0.5 </w:t>
      </w:r>
      <w:r w:rsidRPr="0055733C">
        <w:rPr>
          <w:rFonts w:ascii="Calibri" w:hAnsi="Calibri"/>
          <w:sz w:val="22"/>
          <w:szCs w:val="22"/>
        </w:rPr>
        <w:sym w:font="Symbol" w:char="F06D"/>
      </w:r>
      <w:r w:rsidRPr="0055733C">
        <w:rPr>
          <w:rFonts w:ascii="Calibri" w:hAnsi="Calibri"/>
          <w:sz w:val="22"/>
          <w:szCs w:val="22"/>
        </w:rPr>
        <w:t>g kg</w:t>
      </w:r>
      <w:r w:rsidRPr="0055733C">
        <w:rPr>
          <w:rFonts w:ascii="Calibri" w:hAnsi="Calibri"/>
          <w:sz w:val="22"/>
          <w:szCs w:val="22"/>
          <w:vertAlign w:val="superscript"/>
        </w:rPr>
        <w:sym w:font="Symbol" w:char="F02D"/>
      </w:r>
      <w:r w:rsidRPr="0055733C">
        <w:rPr>
          <w:rFonts w:ascii="Calibri" w:hAnsi="Calibri"/>
          <w:sz w:val="22"/>
          <w:szCs w:val="22"/>
          <w:vertAlign w:val="superscript"/>
        </w:rPr>
        <w:t>1</w:t>
      </w:r>
      <w:r w:rsidRPr="0055733C">
        <w:rPr>
          <w:rFonts w:ascii="Calibri" w:hAnsi="Calibri"/>
          <w:sz w:val="22"/>
          <w:szCs w:val="22"/>
        </w:rPr>
        <w:t xml:space="preserve"> wet weight.</w:t>
      </w:r>
    </w:p>
    <w:p w14:paraId="2ACEEA68" w14:textId="77777777" w:rsidR="00FC360C" w:rsidRPr="0055733C" w:rsidRDefault="00FC360C" w:rsidP="0055733C">
      <w:pPr>
        <w:pStyle w:val="BodyText"/>
        <w:numPr>
          <w:ilvl w:val="0"/>
          <w:numId w:val="28"/>
        </w:numPr>
        <w:spacing w:after="120" w:line="276" w:lineRule="auto"/>
        <w:rPr>
          <w:rFonts w:ascii="Calibri" w:hAnsi="Calibri"/>
          <w:sz w:val="22"/>
          <w:szCs w:val="22"/>
        </w:rPr>
      </w:pPr>
      <w:proofErr w:type="gramStart"/>
      <w:r w:rsidRPr="0055733C">
        <w:rPr>
          <w:rFonts w:ascii="Calibri" w:hAnsi="Calibri"/>
          <w:sz w:val="22"/>
          <w:szCs w:val="22"/>
        </w:rPr>
        <w:t>for</w:t>
      </w:r>
      <w:proofErr w:type="gramEnd"/>
      <w:r w:rsidRPr="0055733C">
        <w:rPr>
          <w:rFonts w:ascii="Calibri" w:hAnsi="Calibri"/>
          <w:sz w:val="22"/>
          <w:szCs w:val="22"/>
        </w:rPr>
        <w:t xml:space="preserve"> high resolution GC-MS: 0.02 ng kg</w:t>
      </w:r>
      <w:r w:rsidRPr="0055733C">
        <w:rPr>
          <w:rFonts w:ascii="Calibri" w:hAnsi="Calibri"/>
          <w:sz w:val="22"/>
          <w:szCs w:val="22"/>
          <w:vertAlign w:val="superscript"/>
        </w:rPr>
        <w:sym w:font="Symbol" w:char="F02D"/>
      </w:r>
      <w:r w:rsidRPr="0055733C">
        <w:rPr>
          <w:rFonts w:ascii="Calibri" w:hAnsi="Calibri"/>
          <w:sz w:val="22"/>
          <w:szCs w:val="22"/>
          <w:vertAlign w:val="superscript"/>
        </w:rPr>
        <w:t>1</w:t>
      </w:r>
      <w:r w:rsidRPr="0055733C">
        <w:rPr>
          <w:rFonts w:ascii="Calibri" w:hAnsi="Calibri"/>
          <w:sz w:val="22"/>
          <w:szCs w:val="22"/>
        </w:rPr>
        <w:t xml:space="preserve"> wet weight for tri- to hepta-BDEs and 0.5 ng kg</w:t>
      </w:r>
      <w:r w:rsidRPr="0055733C">
        <w:rPr>
          <w:rFonts w:ascii="Calibri" w:hAnsi="Calibri"/>
          <w:sz w:val="22"/>
          <w:szCs w:val="22"/>
          <w:vertAlign w:val="superscript"/>
        </w:rPr>
        <w:sym w:font="Symbol" w:char="F02D"/>
      </w:r>
      <w:r w:rsidRPr="0055733C">
        <w:rPr>
          <w:rFonts w:ascii="Calibri" w:hAnsi="Calibri"/>
          <w:sz w:val="22"/>
          <w:szCs w:val="22"/>
          <w:vertAlign w:val="superscript"/>
        </w:rPr>
        <w:t>1</w:t>
      </w:r>
      <w:r w:rsidRPr="0055733C">
        <w:rPr>
          <w:rFonts w:ascii="Calibri" w:hAnsi="Calibri"/>
          <w:sz w:val="22"/>
          <w:szCs w:val="22"/>
        </w:rPr>
        <w:t xml:space="preserve"> wet weight for BDE209.</w:t>
      </w:r>
    </w:p>
    <w:p w14:paraId="5F035E10" w14:textId="397AE4FC"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A procedural blank should be measured with each batch of samples, and should be prepared simultaneously using the same chemical reagents and solvents as for the samples. Its purpose is to indicate sample contamination by interfering compounds, which will result in errors in quantification. Recoveries should be checked for all samples. Recoveries should be between 70 and 120% if not samples should be repeated. The procedural blank is also very important in the calculation of limits of detection and limits of quantification for the analytical method. In addition, a laboratory reference material (LRM) or certified reference material (CRM) should be analysed within each sample batch. The LRM must be homogeneous and well-characterised for the determinands of interest within the analytical laboratory. Ideally the LRM or CRM should be of the same matrix type (e.g., liver, muscle, </w:t>
      </w:r>
      <w:r w:rsidR="000B2293">
        <w:rPr>
          <w:rFonts w:ascii="Calibri" w:hAnsi="Calibri"/>
          <w:sz w:val="22"/>
          <w:szCs w:val="22"/>
        </w:rPr>
        <w:t>mussel</w:t>
      </w:r>
      <w:r w:rsidRPr="0055733C">
        <w:rPr>
          <w:rFonts w:ascii="Calibri" w:hAnsi="Calibri"/>
          <w:sz w:val="22"/>
          <w:szCs w:val="22"/>
        </w:rPr>
        <w:t xml:space="preserve"> tissue) as the samples, and the determinand concentrations should be in the same range as those in the samples. The data produced for the LRM or CRM in successive sample batches should be used to prepare control charts. It is also useful to analyse the LRM or CRM in duplicate from time to time to check within-batch analytical variability. The analysis of an LRM is primarily intended as a check that the analytical method is under control and yields acceptable precision. A CRM may be analysed periodically in order to check the method bias. CRMs certified for PBDEs are available (Wise et al.). At regular intervals, the laboratory should participate in an intercomparison or proficiency exercise in which samples are circulated without knowledge of the determinand concentrations, in order to provide an independent check on performa</w:t>
      </w:r>
      <w:r w:rsidR="0055733C">
        <w:rPr>
          <w:rFonts w:ascii="Calibri" w:hAnsi="Calibri"/>
          <w:sz w:val="22"/>
          <w:szCs w:val="22"/>
        </w:rPr>
        <w:t>nce.</w:t>
      </w:r>
    </w:p>
    <w:p w14:paraId="1F3C7431" w14:textId="77777777" w:rsidR="00FC360C" w:rsidRPr="00F63BAF" w:rsidRDefault="00FC360C" w:rsidP="0055733C">
      <w:pPr>
        <w:pStyle w:val="Heading1"/>
      </w:pPr>
      <w:bookmarkStart w:id="214" w:name="_Toc511217501"/>
      <w:r w:rsidRPr="00F63BAF">
        <w:t>8</w:t>
      </w:r>
      <w:r w:rsidRPr="00F63BAF">
        <w:tab/>
        <w:t>Data Reporting</w:t>
      </w:r>
      <w:bookmarkEnd w:id="214"/>
    </w:p>
    <w:p w14:paraId="6D423040"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The calculation of results and the reporting of data can represent major sources of error. Control procedures should be established in order to ensure that data are correct and to obviate transcription errors. Data stored on databases should be checked and validated, and checks are also necessary when data are transferred between databases. If possible data should be reported in accordance with the latest ICES reporting formats.</w:t>
      </w:r>
    </w:p>
    <w:p w14:paraId="1F41E6C9" w14:textId="77777777" w:rsidR="00FC360C" w:rsidRPr="00F63BAF" w:rsidRDefault="00FC360C" w:rsidP="0055733C">
      <w:pPr>
        <w:pStyle w:val="Heading1"/>
      </w:pPr>
      <w:r w:rsidRPr="00F63BAF">
        <w:br w:type="page"/>
      </w:r>
      <w:bookmarkStart w:id="215" w:name="_Toc511217502"/>
      <w:r w:rsidRPr="00F63BAF">
        <w:t>9</w:t>
      </w:r>
      <w:r w:rsidRPr="00F63BAF">
        <w:tab/>
        <w:t>References</w:t>
      </w:r>
      <w:bookmarkEnd w:id="215"/>
    </w:p>
    <w:p w14:paraId="3E3F7746" w14:textId="77777777" w:rsidR="00FC360C" w:rsidRPr="00F63BAF" w:rsidRDefault="00FC360C" w:rsidP="0055733C">
      <w:proofErr w:type="gramStart"/>
      <w:r w:rsidRPr="00F63BAF">
        <w:t>Bligh, E. G., and Dyer, W. J. 1959.</w:t>
      </w:r>
      <w:proofErr w:type="gramEnd"/>
      <w:r w:rsidRPr="00F63BAF">
        <w:t xml:space="preserve"> </w:t>
      </w:r>
      <w:proofErr w:type="gramStart"/>
      <w:r w:rsidRPr="00F63BAF">
        <w:t>A rapid method of total lipid extraction and purification.</w:t>
      </w:r>
      <w:proofErr w:type="gramEnd"/>
      <w:r w:rsidRPr="00F63BAF">
        <w:t xml:space="preserve"> </w:t>
      </w:r>
      <w:proofErr w:type="gramStart"/>
      <w:r w:rsidRPr="00F63BAF">
        <w:t>Canadian Journal of Biochemistry and Physiology.</w:t>
      </w:r>
      <w:proofErr w:type="gramEnd"/>
      <w:r w:rsidRPr="00F63BAF">
        <w:t xml:space="preserve"> 37: 911–917.</w:t>
      </w:r>
    </w:p>
    <w:p w14:paraId="23CF927F" w14:textId="77777777" w:rsidR="00FC360C" w:rsidRPr="00F63BAF" w:rsidRDefault="00FC360C" w:rsidP="0055733C">
      <w:proofErr w:type="gramStart"/>
      <w:r w:rsidRPr="00F63BAF">
        <w:t>de</w:t>
      </w:r>
      <w:proofErr w:type="gramEnd"/>
      <w:r w:rsidRPr="00F63BAF">
        <w:t xml:space="preserve"> Boer, J., Allchin, C. R., Zegers B., and Boon J. P. 2001. Method for the analysis of polybrominated diphenyl ethers, Trends in Anal. Chem., 20: 591 – 599.</w:t>
      </w:r>
    </w:p>
    <w:p w14:paraId="6D33D259" w14:textId="26529FE9" w:rsidR="00FC360C" w:rsidRPr="00F63BAF" w:rsidRDefault="00FC360C" w:rsidP="0055733C">
      <w:r w:rsidRPr="00F63BAF">
        <w:t>de Boer, J., and Wells, D. E. 2006, Pitfalls in the analysis of brominated flame retardants in environmental, human and food samples</w:t>
      </w:r>
      <w:r w:rsidR="00953614">
        <w:t xml:space="preserve"> –</w:t>
      </w:r>
      <w:r w:rsidRPr="00F63BAF">
        <w:t xml:space="preserve"> </w:t>
      </w:r>
      <w:r w:rsidR="00953614">
        <w:t>i</w:t>
      </w:r>
      <w:r w:rsidRPr="00F63BAF">
        <w:t>ncluding results of three international interlaboratory studies, Trends in Anal. Chem., 25: 364 – 572.</w:t>
      </w:r>
    </w:p>
    <w:p w14:paraId="781993B8" w14:textId="77777777" w:rsidR="00FC360C" w:rsidRPr="00F63BAF" w:rsidRDefault="00FC360C" w:rsidP="0055733C">
      <w:r w:rsidRPr="00F63BAF">
        <w:t>Braekevelt, E., Tittlelier, S. A., Tomy, G. 2003, Direct measurement of octanol-water partition coefficients of some environmentally relevant brominated diphenyl ether congeners, Chemosphere, 51: 563 – 567.</w:t>
      </w:r>
    </w:p>
    <w:p w14:paraId="0844EF8F" w14:textId="51656D0C" w:rsidR="00FC360C" w:rsidRPr="00F63BAF" w:rsidRDefault="00FC360C" w:rsidP="0055733C">
      <w:r w:rsidRPr="00F63BAF">
        <w:t xml:space="preserve">Covaci, A., Voorspoels, S., and de Boer, J. 2003. </w:t>
      </w:r>
      <w:proofErr w:type="gramStart"/>
      <w:r w:rsidRPr="00F63BAF">
        <w:t>Determination of brominated flame retardants, with emphasis on polybrominated diphenyl ethers (PBDEs) in environmental and human samples</w:t>
      </w:r>
      <w:r w:rsidR="00953614">
        <w:t xml:space="preserve"> –</w:t>
      </w:r>
      <w:r w:rsidRPr="00F63BAF">
        <w:t xml:space="preserve"> a review, Environ.</w:t>
      </w:r>
      <w:proofErr w:type="gramEnd"/>
      <w:r w:rsidRPr="00F63BAF">
        <w:t xml:space="preserve"> Int., 29: 735 – 756.</w:t>
      </w:r>
    </w:p>
    <w:p w14:paraId="57A70236" w14:textId="77777777" w:rsidR="00FC360C" w:rsidRPr="00F63BAF" w:rsidRDefault="00FC360C" w:rsidP="0055733C">
      <w:r w:rsidRPr="00F63BAF">
        <w:t xml:space="preserve">Hanson, S. W. F., and Olley, J. 1963. </w:t>
      </w:r>
      <w:proofErr w:type="gramStart"/>
      <w:r w:rsidRPr="00F63BAF">
        <w:t>Application of the Bligh and Dyer method of lipid</w:t>
      </w:r>
      <w:r w:rsidRPr="00F63BAF">
        <w:br/>
        <w:t>extraction to tissue homogenates.</w:t>
      </w:r>
      <w:proofErr w:type="gramEnd"/>
      <w:r w:rsidRPr="00F63BAF">
        <w:t xml:space="preserve"> </w:t>
      </w:r>
      <w:proofErr w:type="gramStart"/>
      <w:r w:rsidRPr="00F63BAF">
        <w:t>Biochem.</w:t>
      </w:r>
      <w:proofErr w:type="gramEnd"/>
      <w:r w:rsidRPr="00F63BAF">
        <w:t xml:space="preserve"> </w:t>
      </w:r>
      <w:proofErr w:type="gramStart"/>
      <w:r w:rsidRPr="00F63BAF">
        <w:t>J., 89: 101 102.</w:t>
      </w:r>
      <w:proofErr w:type="gramEnd"/>
    </w:p>
    <w:p w14:paraId="3D0CB379" w14:textId="77777777" w:rsidR="00FC360C" w:rsidRPr="00F63BAF" w:rsidRDefault="00FC360C" w:rsidP="0055733C">
      <w:proofErr w:type="gramStart"/>
      <w:r w:rsidRPr="00F63BAF">
        <w:t>Korytár, P., Covaci, A., de Boer, J., Gelbin, A., and Brinkman, U. A.Th.</w:t>
      </w:r>
      <w:proofErr w:type="gramEnd"/>
      <w:r w:rsidRPr="00F63BAF">
        <w:t xml:space="preserve"> 2005. Retention-time database of 126 polybrominated diphenyl ether congeners and two Bromkal technical mixtures on seven capillary gas chromatographic columns. Journal of Chromatography </w:t>
      </w:r>
      <w:proofErr w:type="gramStart"/>
      <w:r w:rsidRPr="00F63BAF">
        <w:t>A</w:t>
      </w:r>
      <w:proofErr w:type="gramEnd"/>
      <w:r w:rsidRPr="00F63BAF">
        <w:t xml:space="preserve"> 1065: 239–249.</w:t>
      </w:r>
    </w:p>
    <w:p w14:paraId="2B4E0B57" w14:textId="77777777" w:rsidR="00FC360C" w:rsidRPr="00F63BAF" w:rsidRDefault="00FC360C" w:rsidP="0055733C">
      <w:r w:rsidRPr="00F63BAF">
        <w:t>Law, Allchin, R. J., C. R. deBoer J., Covaci, A.., Herzke, D., Lepom, P., Morris, S., Tronczynski, J., and deWit, C. A. 2006. Levels and trends of brominated flame retardants in the European environment, Chemosphere, 64: 187 – 208.</w:t>
      </w:r>
    </w:p>
    <w:p w14:paraId="6C15CF09" w14:textId="77777777" w:rsidR="00FC360C" w:rsidRPr="00F63BAF" w:rsidRDefault="00FC360C" w:rsidP="0055733C">
      <w:proofErr w:type="gramStart"/>
      <w:r w:rsidRPr="00F63BAF">
        <w:t>OSPAR Commission, 1999.</w:t>
      </w:r>
      <w:proofErr w:type="gramEnd"/>
      <w:r w:rsidRPr="00F63BAF">
        <w:t xml:space="preserve"> </w:t>
      </w:r>
      <w:proofErr w:type="gramStart"/>
      <w:r w:rsidRPr="00F63BAF">
        <w:t>JAMP Guidelines for Monitoring Contaminants in Biota.</w:t>
      </w:r>
      <w:proofErr w:type="gramEnd"/>
    </w:p>
    <w:p w14:paraId="1BB48295" w14:textId="77777777" w:rsidR="00FC360C" w:rsidRPr="00F63BAF" w:rsidRDefault="00FC360C" w:rsidP="0055733C">
      <w:r w:rsidRPr="00F63BAF">
        <w:t xml:space="preserve">Smedes, F. 1999. </w:t>
      </w:r>
      <w:proofErr w:type="gramStart"/>
      <w:r w:rsidRPr="00F63BAF">
        <w:t>Determination of total lipid using non-chlorinated solvents.</w:t>
      </w:r>
      <w:proofErr w:type="gramEnd"/>
      <w:r w:rsidRPr="00F63BAF">
        <w:t xml:space="preserve"> Analyst, 124: 1711–1718.</w:t>
      </w:r>
    </w:p>
    <w:p w14:paraId="770260C6" w14:textId="77777777" w:rsidR="00FC360C" w:rsidRPr="00F63BAF" w:rsidRDefault="00FC360C" w:rsidP="0055733C">
      <w:r w:rsidRPr="00F63BAF">
        <w:t>Sporring, S., Wiberg, K., Bjorklund, E., and Haglund, P. 2003. Combined extraction/Clean-up strategies for fast determination of PCDD/Fs and WHO PCBs in food and feed samples using accelerated solvent extraction, Organohalogen Compounds, 60–65, Dioxin 2003, Boston.</w:t>
      </w:r>
    </w:p>
    <w:p w14:paraId="3147732F" w14:textId="77777777" w:rsidR="00FC360C" w:rsidRPr="00F63BAF" w:rsidRDefault="00FC360C" w:rsidP="0055733C">
      <w:r w:rsidRPr="00F63BAF">
        <w:t xml:space="preserve">Wise, S. A., Poster, D. L., Kucklick, J. R., Keller, J. M., VanderPol, S. S., Sander, L. C., and Schantz, M. M., 2006. Standard reference materials (SRMs) for determination of organic contaminants in environmental samples, Analytical and Bioanalytical Chemistry, 386: 1153–1190. </w:t>
      </w:r>
      <w:bookmarkStart w:id="216" w:name="_Toc163527665"/>
      <w:bookmarkStart w:id="217" w:name="_Toc163529302"/>
    </w:p>
    <w:p w14:paraId="1D1A913E" w14:textId="77777777" w:rsidR="00FC360C" w:rsidRPr="00F63BAF" w:rsidRDefault="00FC360C" w:rsidP="0055733C">
      <w:pPr>
        <w:pStyle w:val="Title"/>
      </w:pPr>
      <w:r w:rsidRPr="00F63BAF">
        <w:br w:type="page"/>
      </w:r>
      <w:bookmarkStart w:id="218" w:name="_Toc511217503"/>
      <w:bookmarkEnd w:id="216"/>
      <w:bookmarkEnd w:id="217"/>
      <w:r w:rsidRPr="00F63BAF">
        <w:t>Technical Annex 5: Hexabromocyclododecane (HBCD) in biota</w:t>
      </w:r>
      <w:bookmarkEnd w:id="218"/>
    </w:p>
    <w:p w14:paraId="1F42AFB9" w14:textId="77777777" w:rsidR="00FC360C" w:rsidRPr="00F63BAF" w:rsidRDefault="00FC360C" w:rsidP="0055733C">
      <w:pPr>
        <w:pStyle w:val="Heading1"/>
      </w:pPr>
      <w:bookmarkStart w:id="219" w:name="_Toc511217504"/>
      <w:r w:rsidRPr="00F63BAF">
        <w:t>1</w:t>
      </w:r>
      <w:r w:rsidRPr="00F63BAF">
        <w:tab/>
        <w:t>Introduction</w:t>
      </w:r>
      <w:bookmarkEnd w:id="219"/>
    </w:p>
    <w:p w14:paraId="5C5C0886"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This annex provides advice on hexabromocyclododecane (HBCD)</w:t>
      </w:r>
      <w:r w:rsidRPr="0055733C">
        <w:rPr>
          <w:rFonts w:ascii="Calibri" w:hAnsi="Calibri"/>
          <w:b/>
          <w:sz w:val="22"/>
          <w:szCs w:val="22"/>
        </w:rPr>
        <w:t xml:space="preserve"> </w:t>
      </w:r>
      <w:r w:rsidRPr="0055733C">
        <w:rPr>
          <w:rFonts w:ascii="Calibri" w:hAnsi="Calibri"/>
          <w:sz w:val="22"/>
          <w:szCs w:val="22"/>
        </w:rPr>
        <w:t xml:space="preserve">analysis for biota. The analysis of HBCD in biota generally involves extraction with organic solvents, clean-up (removal of lipid) and either gas chromatographic separation with mass-spectrometric (MS) detection or liquid chromatography with MS detection. All stages of the procedure are susceptible to insufficient recovery and/or contamination. Where possible, quality control procedures are recommended in order to check the method’s performance. These guidelines are intended to encourage and assist analytical chemists to reconsider their methods and to improve their procedures and/or the associated quality control measures where necessary. </w:t>
      </w:r>
    </w:p>
    <w:p w14:paraId="51BFDEFC"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HBCD is produced by the bromination of cycldodec-15 9-triene and has been used since the late 1970s. HBCD is an additive flame retardant that is predominately used in foams and expanded polystyrene and in textile back coatings. HBCD can be released to the environment during its production and while manufacturing other products, and during disposal of products containing this chemical. In addition, HBCD may continue to leak out of treated material and constitute a diffuse source of this compound to the environment. Atmospheric transportation is thought to be a major pathway for HBCD into the marine environment; in addition, point sources may exist. HBCD has been found in remote areas of Sweden and Finland and in the Arctic. </w:t>
      </w:r>
    </w:p>
    <w:p w14:paraId="48DA4F60" w14:textId="77777777" w:rsidR="00FC360C" w:rsidRPr="0055733C" w:rsidRDefault="00FC360C" w:rsidP="0055733C">
      <w:pPr>
        <w:pStyle w:val="BodyText"/>
        <w:spacing w:after="120" w:line="276" w:lineRule="auto"/>
        <w:rPr>
          <w:rFonts w:ascii="Calibri" w:hAnsi="Calibri"/>
          <w:sz w:val="22"/>
          <w:szCs w:val="22"/>
          <w:vertAlign w:val="superscript"/>
        </w:rPr>
      </w:pPr>
      <w:r w:rsidRPr="0055733C">
        <w:rPr>
          <w:rFonts w:ascii="Calibri" w:hAnsi="Calibri"/>
          <w:sz w:val="22"/>
          <w:szCs w:val="22"/>
        </w:rPr>
        <w:t xml:space="preserve">Theoretically, there are sixteen possible stereoisomers of HBCD; 6 enantiomeric pairs and 4 meso forms. However, in technical HBCD mixtures mainly three of the 6 enatiomeric pairs are found, namely α-, β- and γ-HBCD, with the dominant isomer being γ-HBCD (Law </w:t>
      </w:r>
      <w:r w:rsidRPr="0055733C">
        <w:rPr>
          <w:rFonts w:ascii="Calibri" w:hAnsi="Calibri"/>
          <w:i/>
          <w:sz w:val="22"/>
          <w:szCs w:val="22"/>
        </w:rPr>
        <w:t>et al.</w:t>
      </w:r>
      <w:r w:rsidRPr="0055733C">
        <w:rPr>
          <w:rFonts w:ascii="Calibri" w:hAnsi="Calibri"/>
          <w:sz w:val="22"/>
          <w:szCs w:val="22"/>
        </w:rPr>
        <w:t xml:space="preserve">, 2005). In sediment the γ- isomer also dominates but in biota the major isomer is α-HBCD. </w:t>
      </w:r>
      <w:proofErr w:type="gramStart"/>
      <w:r w:rsidRPr="0055733C">
        <w:rPr>
          <w:rFonts w:ascii="Calibri" w:hAnsi="Calibri"/>
          <w:sz w:val="22"/>
          <w:szCs w:val="22"/>
        </w:rPr>
        <w:t>β-HBCD</w:t>
      </w:r>
      <w:proofErr w:type="gramEnd"/>
      <w:r w:rsidRPr="0055733C">
        <w:rPr>
          <w:rFonts w:ascii="Calibri" w:hAnsi="Calibri"/>
          <w:sz w:val="22"/>
          <w:szCs w:val="22"/>
        </w:rPr>
        <w:t xml:space="preserve"> is always a minor component. HBCD has a high octanol water partition coefficient (Log K</w:t>
      </w:r>
      <w:r w:rsidRPr="0055733C">
        <w:rPr>
          <w:rFonts w:ascii="Calibri" w:hAnsi="Calibri"/>
          <w:sz w:val="22"/>
          <w:szCs w:val="22"/>
          <w:vertAlign w:val="subscript"/>
        </w:rPr>
        <w:t xml:space="preserve">ow </w:t>
      </w:r>
      <w:r w:rsidRPr="0055733C">
        <w:rPr>
          <w:rFonts w:ascii="Calibri" w:hAnsi="Calibri"/>
          <w:sz w:val="22"/>
          <w:szCs w:val="22"/>
        </w:rPr>
        <w:t xml:space="preserve">= 5.8) and, the potential to bioaccumulate. </w:t>
      </w:r>
    </w:p>
    <w:p w14:paraId="7A23E9F1" w14:textId="77777777" w:rsidR="00FC360C" w:rsidRPr="0055733C" w:rsidRDefault="00FC360C" w:rsidP="0055733C">
      <w:pPr>
        <w:pStyle w:val="Heading1"/>
      </w:pPr>
      <w:bookmarkStart w:id="220" w:name="_Toc511217505"/>
      <w:r w:rsidRPr="0055733C">
        <w:t>2</w:t>
      </w:r>
      <w:r w:rsidRPr="0055733C">
        <w:tab/>
        <w:t>Appropriate Species for Analysis of HBCD</w:t>
      </w:r>
      <w:bookmarkEnd w:id="220"/>
    </w:p>
    <w:p w14:paraId="4ED2BB1C"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Guidance on the selection of appropriate species for contaminant monitoring is given in the </w:t>
      </w:r>
      <w:r w:rsidR="007D149A">
        <w:rPr>
          <w:rFonts w:ascii="Calibri" w:hAnsi="Calibri"/>
          <w:sz w:val="22"/>
          <w:szCs w:val="22"/>
        </w:rPr>
        <w:t>CEMP</w:t>
      </w:r>
      <w:r w:rsidRPr="0055733C">
        <w:rPr>
          <w:rFonts w:ascii="Calibri" w:hAnsi="Calibri"/>
          <w:sz w:val="22"/>
          <w:szCs w:val="22"/>
        </w:rPr>
        <w:t xml:space="preserve"> guidelines. Other species such as sole, hake and oysters may also be appropriate. Existing data indicates that HBCD concentrations for shellfish are very low and, therefore, detecting long term trends may be difficult using these species. High trophic level organisms and lipid rich tissue will accumulate higher levels of HBCD and, therefore, may be more suitable for temporal trend monitoring. </w:t>
      </w:r>
    </w:p>
    <w:p w14:paraId="0561050E" w14:textId="77777777" w:rsidR="00FC360C" w:rsidRPr="0055733C" w:rsidRDefault="00FC360C" w:rsidP="0055733C">
      <w:pPr>
        <w:pStyle w:val="Heading1"/>
      </w:pPr>
      <w:bookmarkStart w:id="221" w:name="_Toc511217506"/>
      <w:r w:rsidRPr="0055733C">
        <w:t>3</w:t>
      </w:r>
      <w:r w:rsidRPr="0055733C">
        <w:tab/>
        <w:t>Transportation</w:t>
      </w:r>
      <w:bookmarkEnd w:id="221"/>
    </w:p>
    <w:p w14:paraId="760BA26E"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Fish samples should be kept cool or frozen (at a temperature of -20</w:t>
      </w:r>
      <w:r w:rsidRPr="0055733C">
        <w:rPr>
          <w:rFonts w:ascii="Calibri" w:hAnsi="Calibri"/>
          <w:sz w:val="22"/>
          <w:szCs w:val="22"/>
        </w:rPr>
        <w:sym w:font="Symbol" w:char="F0B0"/>
      </w:r>
      <w:r w:rsidRPr="0055733C">
        <w:rPr>
          <w:rFonts w:ascii="Calibri" w:hAnsi="Calibri"/>
          <w:sz w:val="22"/>
          <w:szCs w:val="22"/>
        </w:rPr>
        <w:t>C or lower) as soon as possible after collection. Live mussels should be transported in closed containers at temperatures between 5</w:t>
      </w:r>
      <w:r w:rsidRPr="0055733C">
        <w:rPr>
          <w:rFonts w:ascii="Calibri" w:hAnsi="Calibri"/>
          <w:sz w:val="22"/>
          <w:szCs w:val="22"/>
        </w:rPr>
        <w:sym w:font="Symbol" w:char="F0B0"/>
      </w:r>
      <w:r w:rsidRPr="0055733C">
        <w:rPr>
          <w:rFonts w:ascii="Calibri" w:hAnsi="Calibri"/>
          <w:sz w:val="22"/>
          <w:szCs w:val="22"/>
        </w:rPr>
        <w:t>C and 10</w:t>
      </w:r>
      <w:r w:rsidRPr="0055733C">
        <w:rPr>
          <w:rFonts w:ascii="Calibri" w:hAnsi="Calibri"/>
          <w:sz w:val="22"/>
          <w:szCs w:val="22"/>
        </w:rPr>
        <w:sym w:font="Symbol" w:char="F0B0"/>
      </w:r>
      <w:r w:rsidRPr="0055733C">
        <w:rPr>
          <w:rFonts w:ascii="Calibri" w:hAnsi="Calibri"/>
          <w:sz w:val="22"/>
          <w:szCs w:val="22"/>
        </w:rPr>
        <w:t xml:space="preserve">C. For live animals it is important that the transport time is short and controlled (e.g. maximum of 24 hours). Frozen fish samples should be </w:t>
      </w:r>
      <w:r w:rsidRPr="0055733C">
        <w:rPr>
          <w:rFonts w:ascii="Calibri" w:hAnsi="Calibri"/>
          <w:spacing w:val="2"/>
          <w:sz w:val="22"/>
          <w:szCs w:val="22"/>
        </w:rPr>
        <w:t xml:space="preserve">transported in closed metal or glass (cleaned and pre-baked) containers at temperatures below </w:t>
      </w:r>
      <w:r w:rsidRPr="0055733C">
        <w:rPr>
          <w:rFonts w:ascii="Calibri" w:hAnsi="Calibri"/>
          <w:sz w:val="22"/>
          <w:szCs w:val="22"/>
        </w:rPr>
        <w:t>-20</w:t>
      </w:r>
      <w:r w:rsidRPr="0055733C">
        <w:rPr>
          <w:rFonts w:ascii="Calibri" w:hAnsi="Calibri"/>
          <w:sz w:val="22"/>
          <w:szCs w:val="22"/>
        </w:rPr>
        <w:sym w:font="Symbol" w:char="F0B0"/>
      </w:r>
      <w:r w:rsidRPr="0055733C">
        <w:rPr>
          <w:rFonts w:ascii="Calibri" w:hAnsi="Calibri"/>
          <w:sz w:val="22"/>
          <w:szCs w:val="22"/>
        </w:rPr>
        <w:t xml:space="preserve">C. </w:t>
      </w:r>
    </w:p>
    <w:p w14:paraId="37634694" w14:textId="77777777" w:rsidR="00FC360C" w:rsidRPr="0055733C" w:rsidRDefault="00FC360C" w:rsidP="0055733C">
      <w:pPr>
        <w:pStyle w:val="Heading1"/>
      </w:pPr>
      <w:bookmarkStart w:id="222" w:name="_Toc511217507"/>
      <w:r w:rsidRPr="0055733C">
        <w:t>4</w:t>
      </w:r>
      <w:r w:rsidRPr="0055733C">
        <w:tab/>
        <w:t>Pre-treatment and Storage</w:t>
      </w:r>
      <w:bookmarkEnd w:id="222"/>
    </w:p>
    <w:p w14:paraId="769775E7" w14:textId="77777777" w:rsidR="00FC360C" w:rsidRPr="0055733C" w:rsidRDefault="00FC360C" w:rsidP="0055733C">
      <w:pPr>
        <w:pStyle w:val="Heading2"/>
      </w:pPr>
      <w:bookmarkStart w:id="223" w:name="_Toc511217508"/>
      <w:r w:rsidRPr="0055733C">
        <w:t>4.1</w:t>
      </w:r>
      <w:r w:rsidRPr="0055733C">
        <w:tab/>
        <w:t>Contamination</w:t>
      </w:r>
      <w:bookmarkEnd w:id="223"/>
    </w:p>
    <w:p w14:paraId="2B930C77"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Sample contamination may occur during sampling, sample handling, pre-treatment and analysis, due to the environment, the containers or packing materials used, the instruments used during sample preparation, and from the equipment, solvents and reagents used during the analytical procedures. Controlled conditions are therefore required for all procedures, including the dissection of fish on-board ship. It is important that the likely sources of contamination are identified and steps taken to preclude sample handling in areas where contamination can occur. A ship is a working vessel and there can always be procedures occurring as a result of the day-to-day operations (deck cleaning, automatic overboard bilge discharges, etc.) which could affect the sampling process. One way of minimising the risk is to conduct dissection in a clean area, such as within a laminar-flow hood, away from the deck areas of the vessel. </w:t>
      </w:r>
    </w:p>
    <w:p w14:paraId="4351FA49" w14:textId="77777777" w:rsidR="00FC360C" w:rsidRPr="0055733C" w:rsidRDefault="00FC360C" w:rsidP="0055733C">
      <w:pPr>
        <w:pStyle w:val="Heading2"/>
      </w:pPr>
      <w:bookmarkStart w:id="224" w:name="_Toc511217509"/>
      <w:r w:rsidRPr="0055733C">
        <w:t>4.2</w:t>
      </w:r>
      <w:r w:rsidRPr="0055733C">
        <w:tab/>
        <w:t>Shellfish</w:t>
      </w:r>
      <w:bookmarkEnd w:id="224"/>
    </w:p>
    <w:p w14:paraId="3AFBA02E" w14:textId="77777777" w:rsidR="00FC360C" w:rsidRPr="0055733C" w:rsidRDefault="00FC360C" w:rsidP="0055733C">
      <w:pPr>
        <w:pStyle w:val="Heading3"/>
      </w:pPr>
      <w:bookmarkStart w:id="225" w:name="_Toc511217510"/>
      <w:r w:rsidRPr="0055733C">
        <w:t>4.2.1</w:t>
      </w:r>
      <w:r w:rsidRPr="0055733C">
        <w:tab/>
        <w:t>Depuration</w:t>
      </w:r>
      <w:bookmarkEnd w:id="225"/>
    </w:p>
    <w:p w14:paraId="623CE07F"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Depending upon the situation, it may be desirable to </w:t>
      </w:r>
      <w:proofErr w:type="gramStart"/>
      <w:r w:rsidRPr="0055733C">
        <w:rPr>
          <w:rFonts w:ascii="Calibri" w:hAnsi="Calibri"/>
          <w:sz w:val="22"/>
          <w:szCs w:val="22"/>
        </w:rPr>
        <w:t>depurate</w:t>
      </w:r>
      <w:proofErr w:type="gramEnd"/>
      <w:r w:rsidRPr="0055733C">
        <w:rPr>
          <w:rFonts w:ascii="Calibri" w:hAnsi="Calibri"/>
          <w:sz w:val="22"/>
          <w:szCs w:val="22"/>
        </w:rPr>
        <w:t xml:space="preserve"> shellfish so as to void the gut contents and any associated contaminants before freezing or sample preparation. This is usually applied close to point sources, where the gut contents may contain significant quantities of HBCD associated with food and sediment particles which are not truly assimilated into the tissues of the mussels. Depuration should be undertaken in controlled conditions and in filtered water taken from the sampling site; depuration over a period of 24 hours is usually sufficient. The aquarium should be aerated and temperature controlled?</w:t>
      </w:r>
    </w:p>
    <w:p w14:paraId="547D5588" w14:textId="77777777" w:rsidR="00FC360C" w:rsidRPr="0055733C" w:rsidRDefault="00FC360C" w:rsidP="0055733C">
      <w:pPr>
        <w:pStyle w:val="Heading3"/>
      </w:pPr>
      <w:bookmarkStart w:id="226" w:name="_Toc511217511"/>
      <w:r w:rsidRPr="0055733C">
        <w:t>4.2.2</w:t>
      </w:r>
      <w:r w:rsidRPr="0055733C">
        <w:tab/>
        <w:t>Dissection and storage</w:t>
      </w:r>
      <w:bookmarkEnd w:id="226"/>
    </w:p>
    <w:p w14:paraId="674723BC"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Mussels should be shucked live and opened with minimal tissue damage by detaching the adductor muscles from the interior of at least one valve. The soft tissues should be removed and homogenised as soon as possible, and frozen in solvent washed glass jars (pre-baked at 450</w:t>
      </w:r>
      <w:r w:rsidRPr="0055733C">
        <w:rPr>
          <w:rFonts w:ascii="Calibri" w:hAnsi="Calibri"/>
          <w:sz w:val="22"/>
          <w:szCs w:val="22"/>
          <w:vertAlign w:val="superscript"/>
        </w:rPr>
        <w:t>o</w:t>
      </w:r>
      <w:r w:rsidRPr="0055733C">
        <w:rPr>
          <w:rFonts w:ascii="Calibri" w:hAnsi="Calibri"/>
          <w:sz w:val="22"/>
          <w:szCs w:val="22"/>
        </w:rPr>
        <w:t>C) or aluminium tins at -20</w:t>
      </w:r>
      <w:r w:rsidRPr="0055733C">
        <w:rPr>
          <w:rFonts w:ascii="Calibri" w:hAnsi="Calibri"/>
          <w:sz w:val="22"/>
          <w:szCs w:val="22"/>
        </w:rPr>
        <w:sym w:font="Symbol" w:char="F0B0"/>
      </w:r>
      <w:r w:rsidRPr="0055733C">
        <w:rPr>
          <w:rFonts w:ascii="Calibri" w:hAnsi="Calibri"/>
          <w:sz w:val="22"/>
          <w:szCs w:val="22"/>
        </w:rPr>
        <w:t>C until analysis.</w:t>
      </w:r>
    </w:p>
    <w:p w14:paraId="2F32E1A1"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When samples are processed, both at sea and onshore, the dissection must be undertaken by trained personnel on a clean bench wearing clean gloves and using clean stainless steel knives and scalpels. Stainless steel tweezers are recommended for holding tissues during dissection. After each sample has been prepared, all tools and equipment (such as homogenisers) should be cleaned by wiping down with tissue and solvent washed. Knives should only be sharpened using steel to prevent contamination of the blade from the oils used to lubricate sharpening blocks.</w:t>
      </w:r>
    </w:p>
    <w:p w14:paraId="4E069A68" w14:textId="77777777" w:rsidR="00FC360C" w:rsidRPr="0055733C" w:rsidRDefault="00FC360C" w:rsidP="0055733C">
      <w:pPr>
        <w:pStyle w:val="Heading2"/>
      </w:pPr>
      <w:bookmarkStart w:id="227" w:name="_Toc511217512"/>
      <w:r w:rsidRPr="0055733C">
        <w:t>4.3</w:t>
      </w:r>
      <w:r w:rsidRPr="0055733C">
        <w:tab/>
        <w:t>Fish</w:t>
      </w:r>
      <w:bookmarkEnd w:id="227"/>
    </w:p>
    <w:p w14:paraId="6E5E551B" w14:textId="77777777" w:rsidR="00FC360C" w:rsidRPr="0055733C" w:rsidRDefault="00FC360C" w:rsidP="0055733C">
      <w:pPr>
        <w:pStyle w:val="Heading3"/>
      </w:pPr>
      <w:bookmarkStart w:id="228" w:name="_Toc511217513"/>
      <w:r w:rsidRPr="0055733C">
        <w:t>4.3.1</w:t>
      </w:r>
      <w:r w:rsidRPr="0055733C">
        <w:tab/>
        <w:t>Dissection and storage</w:t>
      </w:r>
      <w:bookmarkEnd w:id="228"/>
    </w:p>
    <w:p w14:paraId="33F3D808"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Ungutted fish should be wrapped separately in suitable material (e.g. aluminium foil) and frozen. If plastic bags or boxes are used, then they should be used as outer containers only, and should not come into contact with tissues. Organ samples (e.g. livers) should be stored in solvent washed containers, made of glass, stainless steel or aluminium, or should be wrapped in pre-cleaned aluminium foil. Cold air should be able to circulate between the samples in order that the minimum freezing time can be attained (maximum 12 hours). The individual samples should be clearly and indelibly labelled and stored together in a suitable container at a temperature of -20</w:t>
      </w:r>
      <w:r w:rsidRPr="0055733C">
        <w:rPr>
          <w:rFonts w:ascii="Calibri" w:hAnsi="Calibri"/>
          <w:sz w:val="22"/>
          <w:szCs w:val="22"/>
        </w:rPr>
        <w:sym w:font="Symbol" w:char="F0B0"/>
      </w:r>
      <w:r w:rsidRPr="0055733C">
        <w:rPr>
          <w:rFonts w:ascii="Calibri" w:hAnsi="Calibri"/>
          <w:sz w:val="22"/>
          <w:szCs w:val="22"/>
        </w:rPr>
        <w:t>C until analysis. If the samples are to be transported during this period (e.g. from the ship to the laboratory), then arrangements must be made which ensure that the samples do not thaw out during transport.</w:t>
      </w:r>
    </w:p>
    <w:p w14:paraId="2CB3820D" w14:textId="77777777" w:rsidR="0055733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When samples are processed, both at sea and onshore, the dissection must be undertaken by trained personnel on a bench previously washed with detergent (e.g. Decon 90) wearing clean gloves and using solvent washed stainless steel knives and scalpels. Stainless steel tweezers are recommended for holding tissues during dissection. After each sample has been prepared, all tools and equipment (such as homogenisers) should be cleaned by wiping with t</w:t>
      </w:r>
      <w:r w:rsidR="0055733C">
        <w:rPr>
          <w:rFonts w:ascii="Calibri" w:hAnsi="Calibri"/>
          <w:sz w:val="22"/>
          <w:szCs w:val="22"/>
        </w:rPr>
        <w:t>issue and rinsing with solvent.</w:t>
      </w:r>
    </w:p>
    <w:p w14:paraId="7D90E9B6" w14:textId="77777777" w:rsidR="00FC360C" w:rsidRPr="0055733C" w:rsidRDefault="00FC360C" w:rsidP="0055733C">
      <w:pPr>
        <w:pStyle w:val="Heading3"/>
      </w:pPr>
      <w:bookmarkStart w:id="229" w:name="_Toc511217514"/>
      <w:r w:rsidRPr="0055733C">
        <w:t>4.3.2</w:t>
      </w:r>
      <w:r w:rsidRPr="0055733C">
        <w:tab/>
        <w:t>Subsampling</w:t>
      </w:r>
      <w:bookmarkEnd w:id="229"/>
    </w:p>
    <w:p w14:paraId="3B62E5C7"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When sampling fish muscle, care should be taken to avoid including any epidermis or subcutaneous fatty tissue in the sample. Samples should be taken underneath the red muscle layer. In order to ensure uniformity, the right side dorso-lateral muscle should be sampled. If possible, the entire right side dorsal lateral fillet should be homogenised and sub-samples taken for replicate HBCD determinations. If, however, the amount of material to be homogenised is too large, a specific portion of the dorsal musculature should be chosen. It is recommended that the portion of the muscle lying directly under the first dorsal fin is used in this case.</w:t>
      </w:r>
    </w:p>
    <w:p w14:paraId="5C15C41B"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When dissecting the liver, care should be taken to avoid contamination from the other organs. If bile samples are to be taken then they should be collected first. If the whole liver is not to be homogenised, a specific portion should be chosen in order to ensure comparability. When pooling of tissues is necessary, an equivalent quantity of tissue should be taken from each fish, e.g. 10 % from each whole fillet.</w:t>
      </w:r>
    </w:p>
    <w:p w14:paraId="4A111E38" w14:textId="77777777" w:rsidR="00FC360C" w:rsidRPr="0055733C" w:rsidRDefault="00FC360C" w:rsidP="0055733C">
      <w:pPr>
        <w:pStyle w:val="Heading1"/>
      </w:pPr>
      <w:bookmarkStart w:id="230" w:name="_Toc511217515"/>
      <w:r w:rsidRPr="0055733C">
        <w:t>5</w:t>
      </w:r>
      <w:r w:rsidRPr="0055733C">
        <w:tab/>
        <w:t>Analysis</w:t>
      </w:r>
      <w:bookmarkEnd w:id="230"/>
    </w:p>
    <w:p w14:paraId="0DC11F17" w14:textId="77777777" w:rsidR="00FC360C" w:rsidRPr="0055733C" w:rsidRDefault="00FC360C" w:rsidP="0055733C">
      <w:pPr>
        <w:pStyle w:val="Heading2"/>
      </w:pPr>
      <w:bookmarkStart w:id="231" w:name="_Toc511217516"/>
      <w:r w:rsidRPr="0055733C">
        <w:t>5.1</w:t>
      </w:r>
      <w:r w:rsidRPr="0055733C">
        <w:tab/>
        <w:t>Solvent Purity and Blanks</w:t>
      </w:r>
      <w:bookmarkEnd w:id="231"/>
    </w:p>
    <w:p w14:paraId="44D2798A"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For work at low concentrations, the use of high-purity solvents is essential and particularly when large solvent volumes are being used for extraction and column clean-up. All batches of solvents should be checked for purity by concentration of an aliquot of solvent by at least the same volume factor as used in the overall analytical procedure. Batches which show significant contamination, which will interfere with analysis, should be rejected. All glassware should be solvent-rinsed immediately prior to use as it will collect contamination from the laboratory atmosphere during storage. Heating of glass</w:t>
      </w:r>
      <w:r w:rsidRPr="0055733C">
        <w:rPr>
          <w:rFonts w:ascii="Calibri" w:hAnsi="Calibri"/>
          <w:sz w:val="22"/>
          <w:szCs w:val="22"/>
        </w:rPr>
        <w:softHyphen/>
        <w:t>ware in an oven (e.g. at 450</w:t>
      </w:r>
      <w:r w:rsidRPr="0055733C">
        <w:rPr>
          <w:rFonts w:ascii="Calibri" w:hAnsi="Calibri"/>
          <w:sz w:val="22"/>
          <w:szCs w:val="22"/>
        </w:rPr>
        <w:sym w:font="Symbol" w:char="F0B0"/>
      </w:r>
      <w:r w:rsidRPr="0055733C">
        <w:rPr>
          <w:rFonts w:ascii="Calibri" w:hAnsi="Calibri"/>
          <w:sz w:val="22"/>
          <w:szCs w:val="22"/>
        </w:rPr>
        <w:t>C for 24 hours) can also be useful in removing contamination. Pre-cleaning of all reagents (alumina, silica, sodium sulphate, hydromatrix etc) is essential.</w:t>
      </w:r>
    </w:p>
    <w:p w14:paraId="598D8836" w14:textId="77777777" w:rsidR="00FC360C" w:rsidRPr="0055733C" w:rsidRDefault="00FC360C" w:rsidP="0055733C">
      <w:pPr>
        <w:pStyle w:val="Heading2"/>
      </w:pPr>
      <w:bookmarkStart w:id="232" w:name="_Toc511217517"/>
      <w:r w:rsidRPr="0055733C">
        <w:t>5.2</w:t>
      </w:r>
      <w:r w:rsidRPr="0055733C">
        <w:tab/>
        <w:t>Preparation of materials</w:t>
      </w:r>
      <w:bookmarkEnd w:id="232"/>
    </w:p>
    <w:p w14:paraId="25AF5ABB"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Solvents, reagents and adsorptive materials must be free of HBCD and other interfering compounds. If not, then they must be purified using appropriate methods. Reagents and absorptive materials should be purified by solvent extraction and/or by heating in a muffle oven as appropriate. Glass fibre materials (e.g. Soxhlet thimbles and filter papers used in pressurised extraction (PLE)) should be cleaned by solvent extraction and/or pre-baked at 450</w:t>
      </w:r>
      <w:r w:rsidRPr="0055733C">
        <w:rPr>
          <w:rFonts w:ascii="Calibri" w:hAnsi="Calibri"/>
          <w:sz w:val="22"/>
          <w:szCs w:val="22"/>
          <w:vertAlign w:val="superscript"/>
        </w:rPr>
        <w:t>o</w:t>
      </w:r>
      <w:r w:rsidRPr="0055733C">
        <w:rPr>
          <w:rFonts w:ascii="Calibri" w:hAnsi="Calibri"/>
          <w:sz w:val="22"/>
          <w:szCs w:val="22"/>
        </w:rPr>
        <w:t>C overnight. It should be borne in mind that clean materials can be re-contaminated by exposure to laboratory air, particularly in urban locations, and so storage after cleaning is of critical importance. Ideally, materials should be prepared immediately before use, but if they are to be stored, then the conditions should be considered critically. All containers which come into contact with the sample should be made of glass or aluminium, and should be pre-cleaned before use. Appropriate cleaning methods would include washing with detergents, rinsing with water and finally solvent rinsing immediately before use.</w:t>
      </w:r>
    </w:p>
    <w:p w14:paraId="53388CFA" w14:textId="77777777" w:rsidR="00FC360C" w:rsidRPr="0055733C" w:rsidRDefault="00FC360C" w:rsidP="0055733C">
      <w:pPr>
        <w:pStyle w:val="Heading2"/>
      </w:pPr>
      <w:bookmarkStart w:id="233" w:name="_Toc511217518"/>
      <w:r w:rsidRPr="0055733C">
        <w:t>5.3</w:t>
      </w:r>
      <w:r w:rsidRPr="0055733C">
        <w:tab/>
        <w:t>Lipid determination</w:t>
      </w:r>
      <w:bookmarkEnd w:id="233"/>
    </w:p>
    <w:p w14:paraId="3B8532E1"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The determination of the lipid content of tissues can be of use in characterising the samples. This will enable reporting concentrations on a wet weight or lipid weight basis. The lipid content should be determined on a separate subsample of the tissue homogenate, as some of the extraction techniques used routinely for HBCD determination (e.g. PLE with fat retainers) destroy or remove lipid materials. The total lipid should be determined using the method of Bligh and Dyer (1959) as modified by Hanson and Olley (1963) or an equivalent method such as Smedes (1999). Extractable lipid may be used, particularly if the sample size is small and lipid content is high. It has been shown that if the lipid content is high (&gt;5%) then this will be comparable to the total lipid. Gravimetric determination of the dry matter content of the sample is recommended.</w:t>
      </w:r>
    </w:p>
    <w:p w14:paraId="7FFDB654" w14:textId="77777777" w:rsidR="00FC360C" w:rsidRPr="0055733C" w:rsidRDefault="00FC360C" w:rsidP="0055733C">
      <w:pPr>
        <w:pStyle w:val="Heading2"/>
      </w:pPr>
      <w:bookmarkStart w:id="234" w:name="_Toc511217519"/>
      <w:r w:rsidRPr="0055733C">
        <w:t>5.4</w:t>
      </w:r>
      <w:r w:rsidRPr="0055733C">
        <w:tab/>
        <w:t>Extraction and clean-up</w:t>
      </w:r>
      <w:bookmarkEnd w:id="234"/>
    </w:p>
    <w:p w14:paraId="4348B77E"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HBCD is lipophilic and, therefore, can concentrate in the lipids of an organism. HBCD can be extracted using extraction techniques used for other lipophilic, non-polar compounds such as CBs and PBDEs (Morris </w:t>
      </w:r>
      <w:r w:rsidRPr="0055733C">
        <w:rPr>
          <w:rFonts w:ascii="Calibri" w:hAnsi="Calibri"/>
          <w:i/>
          <w:sz w:val="22"/>
          <w:szCs w:val="22"/>
        </w:rPr>
        <w:t>et al.</w:t>
      </w:r>
      <w:r w:rsidRPr="0055733C">
        <w:rPr>
          <w:rFonts w:ascii="Calibri" w:hAnsi="Calibri"/>
          <w:sz w:val="22"/>
          <w:szCs w:val="22"/>
        </w:rPr>
        <w:t xml:space="preserve">, 2006). A range of extraction methods have been used for the extraction of HBCD from biota. These include the more traditional methods such as Soxhlet or Ultra Turrax homogenisation and newer automated methods such as pressurised liquid extraction (PLE). However, most laboratories are still using the traditional Soxhlet extraction. For Soxhlets, hexane/acetone mixtures are commonly used combined with an extraction time of between 6 and 24 hrs. Hexane/acetone mixtures are also used with PLE (if no fat retainers are used) with an extraction time of ~ 10 min per sample. PLE or Soxhlet are therefore the preferred methods with PLE having the advantage of using less solvent, being fully automated and taking less time than Soxhlet. </w:t>
      </w:r>
    </w:p>
    <w:p w14:paraId="57B423BB"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Tissue extracts will always contain many compounds other than HBCD, and a suitable clean</w:t>
      </w:r>
      <w:r w:rsidR="000F2818">
        <w:rPr>
          <w:rFonts w:ascii="Calibri" w:hAnsi="Calibri"/>
          <w:sz w:val="22"/>
          <w:szCs w:val="22"/>
        </w:rPr>
        <w:t>-</w:t>
      </w:r>
      <w:r w:rsidRPr="0055733C">
        <w:rPr>
          <w:rFonts w:ascii="Calibri" w:hAnsi="Calibri"/>
          <w:sz w:val="22"/>
          <w:szCs w:val="22"/>
        </w:rPr>
        <w:t>up is necessary to remove those compounds which may interfere with the subsequent analysis. Different techniques may be used, either singly or in combination, and the choice will be influenced by the selectivity and sensitivity of the final measurement technique and also by the extraction method employed. If Soxhlet extraction is used, then there is a much greater quantity of residual lipid to be removed before the analytical determination can be made. The most commonly used clean-up methods involve the use of alumina or silica adsorption chromatography, but gel permeation chromatography (GPC) can also be employed. For GPC, two serial columns are often used for improved lipid separation. Solvent mixtures such as dichloromethane/hexane or cyclohexane/ethyl acetate can be used as eluents for GPC. Depending on the detection method being used and the lipid content of the sample it may be necessary to use a second clean-up step to separate HBCD from other interfering compounds. HBCD is stable under acid conditions; therefore treatment with sulphuric acid or acid impregnated silica columns may be used in the clean-up.</w:t>
      </w:r>
    </w:p>
    <w:p w14:paraId="34CB974C"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One advantage of using PLE extraction is that it is possible to combine the clean</w:t>
      </w:r>
      <w:r w:rsidR="000F2818">
        <w:rPr>
          <w:rFonts w:ascii="Calibri" w:hAnsi="Calibri"/>
          <w:sz w:val="22"/>
          <w:szCs w:val="22"/>
        </w:rPr>
        <w:t>-</w:t>
      </w:r>
      <w:r w:rsidRPr="0055733C">
        <w:rPr>
          <w:rFonts w:ascii="Calibri" w:hAnsi="Calibri"/>
          <w:sz w:val="22"/>
          <w:szCs w:val="22"/>
        </w:rPr>
        <w:t xml:space="preserve">up with the extraction, especially where mass spectrometry is being used as the detection method. Methods have been developed by Lund University for online clean-up and fractionation of dioxins, furans and PCBs with PLE for food, feed and environmental samples (Sporring </w:t>
      </w:r>
      <w:r w:rsidRPr="0055733C">
        <w:rPr>
          <w:rFonts w:ascii="Calibri" w:hAnsi="Calibri"/>
          <w:i/>
          <w:sz w:val="22"/>
          <w:szCs w:val="22"/>
        </w:rPr>
        <w:t>et al.</w:t>
      </w:r>
      <w:r w:rsidRPr="0055733C">
        <w:rPr>
          <w:rFonts w:ascii="Calibri" w:hAnsi="Calibri"/>
          <w:sz w:val="22"/>
          <w:szCs w:val="22"/>
        </w:rPr>
        <w:t xml:space="preserve"> 2003). The first method utilises a fat retainer for the on-line clean-up of fat. Silica impregnated with sulphuric acid, alumina and florisil have all been used as fat retainers. A non-polar extraction solvent such as hexane should be used if fat retainers are used during PLE. This method can also be applied to the extraction of HBCD. However, if tetrabromobisphenol A (TBBP-A) is also to be extracted, this method is not possible due to retention on the fat retainer. </w:t>
      </w:r>
    </w:p>
    <w:p w14:paraId="01781AB3" w14:textId="77777777" w:rsidR="00FC360C" w:rsidRPr="0055733C" w:rsidRDefault="00FC360C" w:rsidP="0055733C">
      <w:pPr>
        <w:pStyle w:val="Heading2"/>
      </w:pPr>
      <w:bookmarkStart w:id="235" w:name="_Toc511217520"/>
      <w:r w:rsidRPr="0055733C">
        <w:t>5.5</w:t>
      </w:r>
      <w:r w:rsidRPr="0055733C">
        <w:tab/>
        <w:t>Pre-concentration</w:t>
      </w:r>
      <w:bookmarkEnd w:id="235"/>
    </w:p>
    <w:p w14:paraId="77A50191"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napToGrid w:val="0"/>
          <w:sz w:val="22"/>
          <w:szCs w:val="22"/>
        </w:rPr>
        <w:t>Turbo-vap sample concentrators can be used to reduce solvent volume. The use of rotary-film evaporators is more time consuming but more controllable. Buchi Syncore systems are also more controllable and are as rapid as Turbo-vaps and have the advantage of automatically rinsing down the sides of the vial (if flushback module fitted) while concentrating. In contrast to PBDEs and CBs where the evaporation steps have to be carefully optimised to avoid losses of the lower brominated/chlorinated compounds, loss of HBCD during concentrations is not an issue</w:t>
      </w:r>
      <w:r w:rsidRPr="0055733C">
        <w:rPr>
          <w:rFonts w:ascii="Calibri" w:hAnsi="Calibri"/>
          <w:sz w:val="22"/>
          <w:szCs w:val="22"/>
        </w:rPr>
        <w:t xml:space="preserve">. When reducing the sample to a final volume, solvents can be removed by a stream of clean nitrogen gas. Suitable solvents for injection into the gas chromatograph (GC) include pentane, hexane, heptane and </w:t>
      </w:r>
      <w:r w:rsidRPr="0055733C">
        <w:rPr>
          <w:rFonts w:ascii="Calibri" w:hAnsi="Calibri"/>
          <w:i/>
          <w:sz w:val="22"/>
          <w:szCs w:val="22"/>
        </w:rPr>
        <w:t>iso</w:t>
      </w:r>
      <w:r w:rsidRPr="0055733C">
        <w:rPr>
          <w:rFonts w:ascii="Calibri" w:hAnsi="Calibri"/>
          <w:sz w:val="22"/>
          <w:szCs w:val="22"/>
        </w:rPr>
        <w:t>-octane. For analysis by LC-MS samples are normally taken to dryness and reconstituted in methanol.</w:t>
      </w:r>
    </w:p>
    <w:p w14:paraId="103A0EE4" w14:textId="77777777" w:rsidR="00FC360C" w:rsidRPr="0055733C" w:rsidRDefault="00FC360C" w:rsidP="0055733C">
      <w:pPr>
        <w:pStyle w:val="Heading2"/>
      </w:pPr>
      <w:bookmarkStart w:id="236" w:name="_Toc511217521"/>
      <w:r w:rsidRPr="0055733C">
        <w:t>5.6</w:t>
      </w:r>
      <w:r w:rsidRPr="0055733C">
        <w:tab/>
        <w:t>Instrumental determination of HBCD</w:t>
      </w:r>
      <w:bookmarkEnd w:id="236"/>
    </w:p>
    <w:p w14:paraId="1E59FF8C" w14:textId="3BAFFBF9"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Analysis of HBCD is less straightforward than the analyses of PBDEs and a different approach is normally required. HBCD can be de</w:t>
      </w:r>
      <w:r w:rsidR="00953614">
        <w:rPr>
          <w:rFonts w:ascii="Calibri" w:hAnsi="Calibri"/>
          <w:sz w:val="22"/>
          <w:szCs w:val="22"/>
        </w:rPr>
        <w:t>termined by gas chromatography-</w:t>
      </w:r>
      <w:r w:rsidRPr="0055733C">
        <w:rPr>
          <w:rFonts w:ascii="Calibri" w:hAnsi="Calibri"/>
          <w:sz w:val="22"/>
          <w:szCs w:val="22"/>
        </w:rPr>
        <w:t xml:space="preserve">mass spectrometry (GC-MS), but the analysis can be problematic. The uncertainty is greater than for PBDEs analysed using the same method (Covaci </w:t>
      </w:r>
      <w:r w:rsidRPr="0055733C">
        <w:rPr>
          <w:rFonts w:ascii="Calibri" w:hAnsi="Calibri"/>
          <w:i/>
          <w:sz w:val="22"/>
          <w:szCs w:val="22"/>
        </w:rPr>
        <w:t>et al.</w:t>
      </w:r>
      <w:r w:rsidRPr="0055733C">
        <w:rPr>
          <w:rFonts w:ascii="Calibri" w:hAnsi="Calibri"/>
          <w:sz w:val="22"/>
          <w:szCs w:val="22"/>
        </w:rPr>
        <w:t xml:space="preserve">, 2003). In addition, the three main HBCD diastereoisomers found in technical mixtures cannot be separated by GC and a total concentration only can be determined. A liquid chromatography (LC) method is required to separate the three diastereoisomers, with separation of enantiomers being possible with a chiral HPLC column. </w:t>
      </w:r>
    </w:p>
    <w:p w14:paraId="7DAD529B" w14:textId="77777777" w:rsidR="00FC360C" w:rsidRPr="0055733C" w:rsidRDefault="00FC360C" w:rsidP="0055733C">
      <w:pPr>
        <w:pStyle w:val="Heading3"/>
      </w:pPr>
      <w:bookmarkStart w:id="237" w:name="_Toc511217522"/>
      <w:r w:rsidRPr="0055733C">
        <w:t>5.6.1</w:t>
      </w:r>
      <w:r w:rsidRPr="0055733C">
        <w:tab/>
        <w:t>GC-MS</w:t>
      </w:r>
      <w:bookmarkEnd w:id="237"/>
      <w:r w:rsidRPr="0055733C">
        <w:t xml:space="preserve"> </w:t>
      </w:r>
    </w:p>
    <w:p w14:paraId="7D46FFB6"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Few publications analyse HBCD along with the PBDEs by GC-MS, although it has been done using both GC- electron capture negative ionisation (ECNI) and high resolution GC-MS. GC-electron capture detection (ECD) is rarely used due to the limited linear range, and lack of selectivity. If GC-ECD is used then the clean-up will need to separate out all other organohalgenated compounds which may give co-elution problems. Splitless, pulsed-splitless, programmed temperature vaporiser (PTV) and on-column injectors have been used for the determination of HBCD. Automatic sample injection should be used wherever possible to improve the reproducibility of injection and the precision of the overall method. Mainly non-polar columns are used, for example HT-8, DB-5, STX-500. </w:t>
      </w:r>
      <w:proofErr w:type="gramStart"/>
      <w:r w:rsidRPr="0055733C">
        <w:rPr>
          <w:rFonts w:ascii="Calibri" w:hAnsi="Calibri"/>
          <w:sz w:val="22"/>
          <w:szCs w:val="22"/>
        </w:rPr>
        <w:t>Both high and low resolution GC-MS can be used in conjunction with either electron ionisation (EI) or</w:t>
      </w:r>
      <w:proofErr w:type="gramEnd"/>
      <w:r w:rsidRPr="0055733C">
        <w:rPr>
          <w:rFonts w:ascii="Calibri" w:hAnsi="Calibri"/>
          <w:sz w:val="22"/>
          <w:szCs w:val="22"/>
        </w:rPr>
        <w:t xml:space="preserve"> ECNI. Most laboratories using GC for HBCD use low resolution GC-MS normally in ECNI mode. ECNI shows improved sensitivity compared to EI or positive impact chemical ionisation (PCI). When GC-ECNI-MS is used, the bromine ion is monitored. One of the drawbacks of the CI mode is that isotopically labelled standards</w:t>
      </w:r>
      <w:r w:rsidRPr="0055733C">
        <w:rPr>
          <w:rFonts w:ascii="Calibri" w:hAnsi="Calibri"/>
          <w:sz w:val="22"/>
          <w:szCs w:val="22"/>
          <w:vertAlign w:val="superscript"/>
        </w:rPr>
        <w:t xml:space="preserve"> </w:t>
      </w:r>
      <w:r w:rsidRPr="0055733C">
        <w:rPr>
          <w:rFonts w:ascii="Calibri" w:hAnsi="Calibri"/>
          <w:sz w:val="22"/>
          <w:szCs w:val="22"/>
        </w:rPr>
        <w:t>(</w:t>
      </w:r>
      <w:r w:rsidRPr="0055733C">
        <w:rPr>
          <w:rFonts w:ascii="Calibri" w:hAnsi="Calibri"/>
          <w:sz w:val="22"/>
          <w:szCs w:val="22"/>
          <w:vertAlign w:val="superscript"/>
        </w:rPr>
        <w:t>13</w:t>
      </w:r>
      <w:r w:rsidRPr="0055733C">
        <w:rPr>
          <w:rFonts w:ascii="Calibri" w:hAnsi="Calibri"/>
          <w:sz w:val="22"/>
          <w:szCs w:val="22"/>
        </w:rPr>
        <w:t>C)</w:t>
      </w:r>
      <w:r w:rsidRPr="0055733C">
        <w:rPr>
          <w:rFonts w:ascii="Calibri" w:hAnsi="Calibri"/>
          <w:sz w:val="22"/>
          <w:szCs w:val="22"/>
          <w:vertAlign w:val="superscript"/>
        </w:rPr>
        <w:t xml:space="preserve"> </w:t>
      </w:r>
      <w:r w:rsidRPr="0055733C">
        <w:rPr>
          <w:rFonts w:ascii="Calibri" w:hAnsi="Calibri"/>
          <w:sz w:val="22"/>
          <w:szCs w:val="22"/>
        </w:rPr>
        <w:t xml:space="preserve">cannot be used as internal standards for quantification purposes when only the bromine ions are monitored. Larger fragment ions, required for structural confirmation are not formed in ECNI mode. Either ammonia or methane may be used as the reagent gas when using chemical ionisation. </w:t>
      </w:r>
    </w:p>
    <w:p w14:paraId="27CCEF9E"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HBCD isomers interconvert at temperatures &gt;160</w:t>
      </w:r>
      <w:r w:rsidRPr="0055733C">
        <w:rPr>
          <w:rFonts w:ascii="Calibri" w:hAnsi="Calibri"/>
          <w:sz w:val="22"/>
          <w:szCs w:val="22"/>
          <w:vertAlign w:val="superscript"/>
        </w:rPr>
        <w:t>o</w:t>
      </w:r>
      <w:r w:rsidRPr="0055733C">
        <w:rPr>
          <w:rFonts w:ascii="Calibri" w:hAnsi="Calibri"/>
          <w:sz w:val="22"/>
          <w:szCs w:val="22"/>
        </w:rPr>
        <w:t xml:space="preserve">C, therefore the three HBCD diastereoisomers cannot be separated and a broad hump is obtained in the GC chromatogram. In addition, the three diastereoisomers will have different response factors and, therefore, the concentration of HBCD cannot be determined accurately by GC-MS (Wells and de Boer, 2006). Furthermore HBCD degrades at </w:t>
      </w:r>
      <w:proofErr w:type="gramStart"/>
      <w:r w:rsidRPr="0055733C">
        <w:rPr>
          <w:rFonts w:ascii="Calibri" w:hAnsi="Calibri"/>
          <w:sz w:val="22"/>
          <w:szCs w:val="22"/>
        </w:rPr>
        <w:t>240</w:t>
      </w:r>
      <w:r w:rsidRPr="0055733C">
        <w:rPr>
          <w:rFonts w:ascii="Calibri" w:hAnsi="Calibri"/>
          <w:sz w:val="22"/>
          <w:szCs w:val="22"/>
          <w:vertAlign w:val="superscript"/>
        </w:rPr>
        <w:t>o</w:t>
      </w:r>
      <w:r w:rsidRPr="0055733C">
        <w:rPr>
          <w:rFonts w:ascii="Calibri" w:hAnsi="Calibri"/>
          <w:sz w:val="22"/>
          <w:szCs w:val="22"/>
        </w:rPr>
        <w:t>C,</w:t>
      </w:r>
      <w:proofErr w:type="gramEnd"/>
      <w:r w:rsidRPr="0055733C">
        <w:rPr>
          <w:rFonts w:ascii="Calibri" w:hAnsi="Calibri"/>
          <w:sz w:val="22"/>
          <w:szCs w:val="22"/>
        </w:rPr>
        <w:t xml:space="preserve"> therefore, there may be significant losses of HBCD during GC analysis. Cold on-column injection, short GC columns and thin stationary films can minimise the degradation of HBCD. </w:t>
      </w:r>
      <w:proofErr w:type="gramStart"/>
      <w:r w:rsidRPr="0055733C">
        <w:rPr>
          <w:rFonts w:ascii="Calibri" w:hAnsi="Calibri"/>
          <w:sz w:val="22"/>
          <w:szCs w:val="22"/>
        </w:rPr>
        <w:t>When analysing for HBCD by GC-MS the liner should be changed after each batch of samples to keep it as clean as possible.</w:t>
      </w:r>
      <w:proofErr w:type="gramEnd"/>
      <w:r w:rsidRPr="0055733C">
        <w:rPr>
          <w:rFonts w:ascii="Calibri" w:hAnsi="Calibri"/>
          <w:sz w:val="22"/>
          <w:szCs w:val="22"/>
        </w:rPr>
        <w:t xml:space="preserve"> Co-elution of HBCD with certain PBDEs can also be a problem.</w:t>
      </w:r>
    </w:p>
    <w:p w14:paraId="7C1135AB" w14:textId="77777777" w:rsidR="00FC360C" w:rsidRPr="0055733C" w:rsidRDefault="00FC360C" w:rsidP="0055733C">
      <w:pPr>
        <w:pStyle w:val="Heading3"/>
      </w:pPr>
      <w:bookmarkStart w:id="238" w:name="_Toc511217523"/>
      <w:r w:rsidRPr="0055733C">
        <w:t>5.6.2</w:t>
      </w:r>
      <w:r w:rsidRPr="0055733C">
        <w:tab/>
        <w:t>LC-MS</w:t>
      </w:r>
      <w:bookmarkEnd w:id="238"/>
    </w:p>
    <w:p w14:paraId="3B44E6F2"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A reverse phase column should be used for analysis of HBCD by LC-MS. The three diastereoisomers found in the technical mixture should separate easily using a column such as a C</w:t>
      </w:r>
      <w:r w:rsidRPr="0055733C">
        <w:rPr>
          <w:rFonts w:ascii="Calibri" w:hAnsi="Calibri"/>
          <w:sz w:val="22"/>
          <w:szCs w:val="22"/>
          <w:vertAlign w:val="subscript"/>
        </w:rPr>
        <w:t>18</w:t>
      </w:r>
      <w:r w:rsidRPr="0055733C">
        <w:rPr>
          <w:rFonts w:ascii="Calibri" w:hAnsi="Calibri"/>
          <w:sz w:val="22"/>
          <w:szCs w:val="22"/>
        </w:rPr>
        <w:t xml:space="preserve"> and either methanol/water or acetonitrile/water, normally with ammonium acetate (10 mM), as the mobile phase. Typically the flow rate will be around 250 µl min</w:t>
      </w:r>
      <w:r w:rsidRPr="0055733C">
        <w:rPr>
          <w:rFonts w:ascii="Calibri" w:hAnsi="Calibri"/>
          <w:sz w:val="22"/>
          <w:szCs w:val="22"/>
          <w:vertAlign w:val="superscript"/>
        </w:rPr>
        <w:t>-1</w:t>
      </w:r>
      <w:r w:rsidRPr="0055733C">
        <w:rPr>
          <w:rFonts w:ascii="Calibri" w:hAnsi="Calibri"/>
          <w:sz w:val="22"/>
          <w:szCs w:val="22"/>
        </w:rPr>
        <w:t xml:space="preserve"> and a gradient programme will be required. HPLC with chiral columns such as permethylated β-cyclodextrin columns can also be used to separate the enantiomers of </w:t>
      </w:r>
      <w:proofErr w:type="gramStart"/>
      <w:r w:rsidRPr="0055733C">
        <w:rPr>
          <w:rFonts w:ascii="Calibri" w:hAnsi="Calibri"/>
          <w:sz w:val="22"/>
          <w:szCs w:val="22"/>
        </w:rPr>
        <w:t>the α</w:t>
      </w:r>
      <w:proofErr w:type="gramEnd"/>
      <w:r w:rsidRPr="0055733C">
        <w:rPr>
          <w:rFonts w:ascii="Calibri" w:hAnsi="Calibri"/>
          <w:sz w:val="22"/>
          <w:szCs w:val="22"/>
        </w:rPr>
        <w:t xml:space="preserve">, β, γ-HBCD diastereoisomers. Either electrospray or atmospheric pressure chemical ionisation (APCI) can be used. However, electrospray is more sensitive and is therefore recommended. </w:t>
      </w:r>
      <w:proofErr w:type="gramStart"/>
      <w:r w:rsidRPr="0055733C">
        <w:rPr>
          <w:rFonts w:ascii="Calibri" w:hAnsi="Calibri"/>
          <w:sz w:val="22"/>
          <w:szCs w:val="22"/>
        </w:rPr>
        <w:t>Clean-up of the samples before analysis is important to avoid matrix effects and ion suppression.</w:t>
      </w:r>
      <w:proofErr w:type="gramEnd"/>
      <w:r w:rsidRPr="0055733C">
        <w:rPr>
          <w:rFonts w:ascii="Calibri" w:hAnsi="Calibri"/>
          <w:sz w:val="22"/>
          <w:szCs w:val="22"/>
        </w:rPr>
        <w:t xml:space="preserve"> The deprotonated molecular ion (</w:t>
      </w:r>
      <w:r w:rsidRPr="0055733C">
        <w:rPr>
          <w:rFonts w:ascii="Calibri" w:hAnsi="Calibri"/>
          <w:i/>
          <w:sz w:val="22"/>
          <w:szCs w:val="22"/>
        </w:rPr>
        <w:t>m/z</w:t>
      </w:r>
      <w:r w:rsidRPr="0055733C">
        <w:rPr>
          <w:rFonts w:ascii="Calibri" w:hAnsi="Calibri"/>
          <w:sz w:val="22"/>
          <w:szCs w:val="22"/>
        </w:rPr>
        <w:t xml:space="preserve"> = 640.7) should be the major ion, fragment ions may also be identified to be used as qualifier ions. LC-MS has been reported to have poorer detection limits compared to GC-MS, with the sensitivity being approximately 10 times less than that of the GC-NCIMS method. Using LC-MS and </w:t>
      </w:r>
      <w:r w:rsidR="000F2818">
        <w:rPr>
          <w:rFonts w:ascii="Calibri" w:hAnsi="Calibri"/>
          <w:sz w:val="22"/>
          <w:szCs w:val="22"/>
        </w:rPr>
        <w:t xml:space="preserve">with an injection volume of ~15 </w:t>
      </w:r>
      <w:r w:rsidRPr="0055733C">
        <w:rPr>
          <w:rFonts w:ascii="Calibri" w:hAnsi="Calibri"/>
          <w:sz w:val="22"/>
          <w:szCs w:val="22"/>
        </w:rPr>
        <w:t xml:space="preserve">μl, it should be possible to detect around 0.5 ng on column (Morris </w:t>
      </w:r>
      <w:r w:rsidRPr="0055733C">
        <w:rPr>
          <w:rFonts w:ascii="Calibri" w:hAnsi="Calibri"/>
          <w:i/>
          <w:sz w:val="22"/>
          <w:szCs w:val="22"/>
        </w:rPr>
        <w:t>et al.</w:t>
      </w:r>
      <w:r w:rsidRPr="0055733C">
        <w:rPr>
          <w:rFonts w:ascii="Calibri" w:hAnsi="Calibri"/>
          <w:sz w:val="22"/>
          <w:szCs w:val="22"/>
        </w:rPr>
        <w:t>, 2004). LC-MS-MS can usually overcome the problem of higher detection limits.</w:t>
      </w:r>
    </w:p>
    <w:p w14:paraId="5D5C9546" w14:textId="77777777" w:rsidR="00FC360C" w:rsidRPr="0055733C" w:rsidRDefault="00FC360C" w:rsidP="0055733C">
      <w:pPr>
        <w:pStyle w:val="Heading1"/>
      </w:pPr>
      <w:bookmarkStart w:id="239" w:name="_Toc511217524"/>
      <w:r w:rsidRPr="0055733C">
        <w:t>6</w:t>
      </w:r>
      <w:r w:rsidRPr="0055733C">
        <w:tab/>
        <w:t>Calibration and Quantification</w:t>
      </w:r>
      <w:bookmarkEnd w:id="239"/>
    </w:p>
    <w:p w14:paraId="43D78395" w14:textId="77777777" w:rsidR="00FC360C" w:rsidRPr="0055733C" w:rsidRDefault="00FC360C" w:rsidP="0055733C">
      <w:pPr>
        <w:pStyle w:val="Heading2"/>
      </w:pPr>
      <w:bookmarkStart w:id="240" w:name="_Toc511217525"/>
      <w:r w:rsidRPr="0055733C">
        <w:t>6.1</w:t>
      </w:r>
      <w:r w:rsidRPr="0055733C">
        <w:tab/>
        <w:t>Standards</w:t>
      </w:r>
      <w:bookmarkEnd w:id="240"/>
    </w:p>
    <w:p w14:paraId="3DDFCD36"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HBCD standard solutions for each of the three major stereoisomers (α-, β- and γ-HBCD) of known purity should be used for the preparation of calibration standards. If the quality of the standard materials is not guaranteed by the producer or supplier (as for certified reference materials), then it should be checked by GC-MS analysis. In addition, certified standard solutions are available from QUASIMEME and other suppliers for cross-checking. Calibration standards should be stored in sealed amber glass ampoules. Otherwise, they can be stored in a refrigerator in stoppered measuring cylinders or flasks that are gas tight to avoid evaporation of the solvent during storage. </w:t>
      </w:r>
    </w:p>
    <w:p w14:paraId="4DD0618A"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Ideally, internal standards should fall within the range of the compounds to be determined, and should not include compounds which may be present in the samples. Deuterated and </w:t>
      </w:r>
      <w:r w:rsidRPr="0055733C">
        <w:rPr>
          <w:rFonts w:ascii="Calibri" w:hAnsi="Calibri"/>
          <w:sz w:val="22"/>
          <w:szCs w:val="22"/>
          <w:vertAlign w:val="superscript"/>
        </w:rPr>
        <w:t>13</w:t>
      </w:r>
      <w:r w:rsidRPr="0055733C">
        <w:rPr>
          <w:rFonts w:ascii="Calibri" w:hAnsi="Calibri"/>
          <w:sz w:val="22"/>
          <w:szCs w:val="22"/>
        </w:rPr>
        <w:t xml:space="preserve">C-labelled HBCD standards are available for the three major diastereoisomers for use as internal standards in HBCD analysis using GC-EIMS or LC-MS. However, deuterated standards are less expensive and are therefore the preferred option. As HBCD is prone to ion suppression it is recommended that a labelled standard should be used for each isomer being analysed by LC-MS. When using GC-ECNI-MS these are of little value as only the bromine ions can be monitored. When GC-ECNI-MS is used for the analysis a recovery standard should be added to each sample prior to extraction and the recovery calculated as a check on the method. </w:t>
      </w:r>
    </w:p>
    <w:p w14:paraId="4E3ACB91" w14:textId="77777777" w:rsidR="00FC360C" w:rsidRPr="0055733C" w:rsidRDefault="00FC360C" w:rsidP="0055733C">
      <w:pPr>
        <w:pStyle w:val="Heading2"/>
      </w:pPr>
      <w:bookmarkStart w:id="241" w:name="_Toc511217526"/>
      <w:r w:rsidRPr="0055733C">
        <w:t>6.2</w:t>
      </w:r>
      <w:r w:rsidRPr="0055733C">
        <w:tab/>
        <w:t>Calibration</w:t>
      </w:r>
      <w:bookmarkEnd w:id="241"/>
    </w:p>
    <w:p w14:paraId="40A04AC0"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Multilevel calibration with at least five calibration levels is preferred to adequately define the calibration curve. In general, GC-MS calibration is linear over a considerable concentration range but exhibits non-linear behaviour when the mass of a compound injected is low due to adsorption. Quantification should be conducted in the linear region of the calibration curve, or the non-linear region must be well characterised during the calibration procedure. External standardisation is used for HBCD with GC-ECNI-MS as the bromine ions only are monitored. An internal standard method may be used when GC-EIMS or LC-MS is used. </w:t>
      </w:r>
    </w:p>
    <w:p w14:paraId="60606FC1" w14:textId="77777777" w:rsidR="00FC360C" w:rsidRPr="0055733C" w:rsidRDefault="00FC360C" w:rsidP="0055733C">
      <w:pPr>
        <w:pStyle w:val="Heading1"/>
      </w:pPr>
      <w:bookmarkStart w:id="242" w:name="_Toc511217527"/>
      <w:r w:rsidRPr="0055733C">
        <w:t>7</w:t>
      </w:r>
      <w:r w:rsidRPr="0055733C">
        <w:tab/>
        <w:t>Analytical Quality Control</w:t>
      </w:r>
      <w:bookmarkEnd w:id="242"/>
    </w:p>
    <w:p w14:paraId="6EAC2E4E"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Planners of monitoring programmes must decide on the accuracy, precision, repeatability, and limits of detection and determination which they consider acceptable. Achievable limits of determination for each individual component are as follows:</w:t>
      </w:r>
    </w:p>
    <w:p w14:paraId="5E795574" w14:textId="77777777" w:rsidR="00FC360C" w:rsidRPr="0055733C" w:rsidRDefault="00FC360C" w:rsidP="0055733C">
      <w:pPr>
        <w:pStyle w:val="BodyText"/>
        <w:numPr>
          <w:ilvl w:val="0"/>
          <w:numId w:val="29"/>
        </w:numPr>
        <w:spacing w:after="120" w:line="276" w:lineRule="auto"/>
        <w:rPr>
          <w:rFonts w:ascii="Calibri" w:hAnsi="Calibri"/>
          <w:sz w:val="22"/>
          <w:szCs w:val="22"/>
        </w:rPr>
      </w:pPr>
      <w:r w:rsidRPr="0055733C">
        <w:rPr>
          <w:rFonts w:ascii="Calibri" w:hAnsi="Calibri"/>
          <w:sz w:val="22"/>
          <w:szCs w:val="22"/>
        </w:rPr>
        <w:t xml:space="preserve">for GC-ECNI-MS: 0.05 </w:t>
      </w:r>
      <w:r w:rsidRPr="0055733C">
        <w:rPr>
          <w:rFonts w:ascii="Calibri" w:hAnsi="Calibri"/>
          <w:sz w:val="22"/>
          <w:szCs w:val="22"/>
        </w:rPr>
        <w:sym w:font="Symbol" w:char="F06D"/>
      </w:r>
      <w:r w:rsidRPr="0055733C">
        <w:rPr>
          <w:rFonts w:ascii="Calibri" w:hAnsi="Calibri"/>
          <w:sz w:val="22"/>
          <w:szCs w:val="22"/>
        </w:rPr>
        <w:t>g kg</w:t>
      </w:r>
      <w:r w:rsidRPr="0055733C">
        <w:rPr>
          <w:rFonts w:ascii="Calibri" w:hAnsi="Calibri"/>
          <w:sz w:val="22"/>
          <w:szCs w:val="22"/>
          <w:vertAlign w:val="superscript"/>
        </w:rPr>
        <w:sym w:font="Symbol" w:char="F02D"/>
      </w:r>
      <w:r w:rsidRPr="0055733C">
        <w:rPr>
          <w:rFonts w:ascii="Calibri" w:hAnsi="Calibri"/>
          <w:sz w:val="22"/>
          <w:szCs w:val="22"/>
          <w:vertAlign w:val="superscript"/>
        </w:rPr>
        <w:t>1</w:t>
      </w:r>
      <w:r w:rsidRPr="0055733C">
        <w:rPr>
          <w:rFonts w:ascii="Calibri" w:hAnsi="Calibri"/>
          <w:sz w:val="22"/>
          <w:szCs w:val="22"/>
        </w:rPr>
        <w:t xml:space="preserve"> wet weight </w:t>
      </w:r>
    </w:p>
    <w:p w14:paraId="6FD02B5D" w14:textId="77777777" w:rsidR="00FC360C" w:rsidRPr="0055733C" w:rsidRDefault="00FC360C" w:rsidP="0055733C">
      <w:pPr>
        <w:pStyle w:val="BodyText"/>
        <w:numPr>
          <w:ilvl w:val="0"/>
          <w:numId w:val="29"/>
        </w:numPr>
        <w:spacing w:after="120" w:line="276" w:lineRule="auto"/>
        <w:rPr>
          <w:rFonts w:ascii="Calibri" w:hAnsi="Calibri"/>
          <w:sz w:val="22"/>
          <w:szCs w:val="22"/>
        </w:rPr>
      </w:pPr>
      <w:proofErr w:type="gramStart"/>
      <w:r w:rsidRPr="0055733C">
        <w:rPr>
          <w:rFonts w:ascii="Calibri" w:hAnsi="Calibri"/>
          <w:sz w:val="22"/>
          <w:szCs w:val="22"/>
        </w:rPr>
        <w:t>for</w:t>
      </w:r>
      <w:proofErr w:type="gramEnd"/>
      <w:r w:rsidRPr="0055733C">
        <w:rPr>
          <w:rFonts w:ascii="Calibri" w:hAnsi="Calibri"/>
          <w:sz w:val="22"/>
          <w:szCs w:val="22"/>
        </w:rPr>
        <w:t xml:space="preserve"> LC-MS: 0.5 </w:t>
      </w:r>
      <w:r w:rsidRPr="0055733C">
        <w:rPr>
          <w:rFonts w:ascii="Calibri" w:hAnsi="Calibri"/>
          <w:sz w:val="22"/>
          <w:szCs w:val="22"/>
        </w:rPr>
        <w:sym w:font="Symbol" w:char="F06D"/>
      </w:r>
      <w:r w:rsidRPr="0055733C">
        <w:rPr>
          <w:rFonts w:ascii="Calibri" w:hAnsi="Calibri"/>
          <w:sz w:val="22"/>
          <w:szCs w:val="22"/>
        </w:rPr>
        <w:t>g kg</w:t>
      </w:r>
      <w:r w:rsidRPr="0055733C">
        <w:rPr>
          <w:rFonts w:ascii="Calibri" w:hAnsi="Calibri"/>
          <w:sz w:val="22"/>
          <w:szCs w:val="22"/>
          <w:vertAlign w:val="superscript"/>
        </w:rPr>
        <w:sym w:font="Symbol" w:char="F02D"/>
      </w:r>
      <w:r w:rsidRPr="0055733C">
        <w:rPr>
          <w:rFonts w:ascii="Calibri" w:hAnsi="Calibri"/>
          <w:sz w:val="22"/>
          <w:szCs w:val="22"/>
          <w:vertAlign w:val="superscript"/>
        </w:rPr>
        <w:t>1</w:t>
      </w:r>
      <w:r w:rsidRPr="0055733C">
        <w:rPr>
          <w:rFonts w:ascii="Calibri" w:hAnsi="Calibri"/>
          <w:sz w:val="22"/>
          <w:szCs w:val="22"/>
        </w:rPr>
        <w:t xml:space="preserve"> wet weight.</w:t>
      </w:r>
    </w:p>
    <w:p w14:paraId="201C8207" w14:textId="77777777" w:rsidR="00FC360C" w:rsidRPr="0055733C" w:rsidRDefault="00FC360C" w:rsidP="0055733C">
      <w:pPr>
        <w:pStyle w:val="BodyText"/>
        <w:numPr>
          <w:ilvl w:val="0"/>
          <w:numId w:val="29"/>
        </w:numPr>
        <w:spacing w:after="120" w:line="276" w:lineRule="auto"/>
        <w:rPr>
          <w:rFonts w:ascii="Calibri" w:hAnsi="Calibri"/>
          <w:sz w:val="22"/>
          <w:szCs w:val="22"/>
        </w:rPr>
      </w:pPr>
      <w:r w:rsidRPr="0055733C">
        <w:rPr>
          <w:rFonts w:ascii="Calibri" w:hAnsi="Calibri"/>
          <w:sz w:val="22"/>
          <w:szCs w:val="22"/>
        </w:rPr>
        <w:t>for LC-MS/MS: 0.05</w:t>
      </w:r>
      <w:r w:rsidRPr="0055733C">
        <w:rPr>
          <w:rFonts w:ascii="Calibri" w:hAnsi="Calibri"/>
          <w:sz w:val="22"/>
          <w:szCs w:val="22"/>
        </w:rPr>
        <w:sym w:font="Symbol" w:char="F06D"/>
      </w:r>
      <w:r w:rsidRPr="0055733C">
        <w:rPr>
          <w:rFonts w:ascii="Calibri" w:hAnsi="Calibri"/>
          <w:sz w:val="22"/>
          <w:szCs w:val="22"/>
        </w:rPr>
        <w:t>g kg</w:t>
      </w:r>
      <w:r w:rsidRPr="0055733C">
        <w:rPr>
          <w:rFonts w:ascii="Calibri" w:hAnsi="Calibri"/>
          <w:sz w:val="22"/>
          <w:szCs w:val="22"/>
          <w:vertAlign w:val="superscript"/>
        </w:rPr>
        <w:sym w:font="Symbol" w:char="F02D"/>
      </w:r>
      <w:r w:rsidRPr="0055733C">
        <w:rPr>
          <w:rFonts w:ascii="Calibri" w:hAnsi="Calibri"/>
          <w:sz w:val="22"/>
          <w:szCs w:val="22"/>
          <w:vertAlign w:val="superscript"/>
        </w:rPr>
        <w:t>1</w:t>
      </w:r>
      <w:r w:rsidRPr="0055733C">
        <w:rPr>
          <w:rFonts w:ascii="Calibri" w:hAnsi="Calibri"/>
          <w:sz w:val="22"/>
          <w:szCs w:val="22"/>
        </w:rPr>
        <w:t xml:space="preserve"> wet weight</w:t>
      </w:r>
    </w:p>
    <w:p w14:paraId="00B5081C"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A procedural blank should be measured with each batch of samples, and should be prepared simultaneously using the same chemical reagents and solvents as for the samples. Its purpose is to indicate sample contamination by interfering compounds, which will result in errors in quantification. The procedural blank is also very important in the calculation of limits of detection and limits of quantification for the analytical method. For GC-EIMS or LC-MS analysis, labelled standards can be added after or prior to extraction, whilst those from which the absolute recovery will be assessed are added prior to GC-MS injection. This ensures that the calculated HBCD concentrations are corrected for the recovery obtained in each case. For GC-ECNI-MS, recovery of HBCD should be checked and reported. In the case of GC-ECNI-MS a recovery standard such as CB198 should be added prior to extraction and the recovery calculated for each sample, by reference to an external standard. </w:t>
      </w:r>
    </w:p>
    <w:p w14:paraId="3C04CB2D"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In addition, a laboratory reference material (LRM) or certified reference material (CRM) should be analysed within each sample batch if available. The LRM must be homogeneous and well-characterised for the determinands of interest within the analytical laboratory. Ideally the LRM or CRM should be of the same matrix type (e.g., liver, muscle, mussel tissue) as the samples, and the determinand concentrations should be in the same range as those in the samples. The data produced for the LRM or CRM in successive sample batches should be used to prepare control charts. It is also useful to analyse the LRM or CRM in duplicate from time to time to check within-batch analytical variability. The analysis of an LRM is primarily intended as a check that the analytical method is under control and yields acceptable precision. A CRM may be analysed periodically in order to check the method bias. The availability of biota CRMs certified for HBCD is very limited. At regular intervals, the laboratory should participate in an intercomparison or proficiency exercise in which samples are circulated without knowledge of the determinand concentrations, in order to provide an independent check on performance.</w:t>
      </w:r>
    </w:p>
    <w:p w14:paraId="1EF34F3F" w14:textId="77777777" w:rsidR="00FC360C" w:rsidRPr="0055733C" w:rsidRDefault="00FC360C" w:rsidP="0055733C">
      <w:pPr>
        <w:pStyle w:val="Heading1"/>
      </w:pPr>
      <w:bookmarkStart w:id="243" w:name="_Toc511217528"/>
      <w:r w:rsidRPr="0055733C">
        <w:t>8</w:t>
      </w:r>
      <w:r w:rsidRPr="0055733C">
        <w:tab/>
        <w:t>Data Reporting</w:t>
      </w:r>
      <w:bookmarkEnd w:id="243"/>
    </w:p>
    <w:p w14:paraId="7733F747"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The calculation of results and the reporting of data can represent major sources of error. Control procedures should be established in order to ensure that data are correct and to obviate transcription errors. Data stored on databases should be checked and validated, and checks are also necessary when data are transferred between databases. If possible data should be reported in accordance with the latest ICES reporting formats.</w:t>
      </w:r>
    </w:p>
    <w:p w14:paraId="1FA2655E" w14:textId="77777777" w:rsidR="00FC360C" w:rsidRPr="0055733C" w:rsidRDefault="00FC360C" w:rsidP="0055733C">
      <w:pPr>
        <w:pStyle w:val="Heading1"/>
      </w:pPr>
      <w:bookmarkStart w:id="244" w:name="_Toc511217529"/>
      <w:r w:rsidRPr="0055733C">
        <w:t>9</w:t>
      </w:r>
      <w:r w:rsidRPr="0055733C">
        <w:tab/>
        <w:t>References</w:t>
      </w:r>
      <w:bookmarkEnd w:id="244"/>
    </w:p>
    <w:p w14:paraId="34178351" w14:textId="77777777" w:rsidR="00FC360C" w:rsidRPr="0055733C" w:rsidRDefault="00FC360C" w:rsidP="0055733C">
      <w:pPr>
        <w:pStyle w:val="BodyText"/>
        <w:spacing w:after="120" w:line="276" w:lineRule="auto"/>
        <w:rPr>
          <w:rFonts w:ascii="Calibri" w:hAnsi="Calibri"/>
          <w:sz w:val="22"/>
          <w:szCs w:val="22"/>
        </w:rPr>
      </w:pPr>
      <w:proofErr w:type="gramStart"/>
      <w:r w:rsidRPr="0055733C">
        <w:rPr>
          <w:rFonts w:ascii="Calibri" w:hAnsi="Calibri"/>
          <w:sz w:val="22"/>
          <w:szCs w:val="22"/>
        </w:rPr>
        <w:t>Bligh, E. G., and Dyer, W. J. 1959.</w:t>
      </w:r>
      <w:proofErr w:type="gramEnd"/>
      <w:r w:rsidRPr="0055733C">
        <w:rPr>
          <w:rFonts w:ascii="Calibri" w:hAnsi="Calibri"/>
          <w:sz w:val="22"/>
          <w:szCs w:val="22"/>
        </w:rPr>
        <w:t xml:space="preserve"> </w:t>
      </w:r>
      <w:proofErr w:type="gramStart"/>
      <w:r w:rsidRPr="0055733C">
        <w:rPr>
          <w:rFonts w:ascii="Calibri" w:hAnsi="Calibri"/>
          <w:sz w:val="22"/>
          <w:szCs w:val="22"/>
        </w:rPr>
        <w:t>A rapid method of total lipid extraction and purification.</w:t>
      </w:r>
      <w:proofErr w:type="gramEnd"/>
      <w:r w:rsidRPr="0055733C">
        <w:rPr>
          <w:rFonts w:ascii="Calibri" w:hAnsi="Calibri"/>
          <w:sz w:val="22"/>
          <w:szCs w:val="22"/>
        </w:rPr>
        <w:t xml:space="preserve"> </w:t>
      </w:r>
      <w:proofErr w:type="gramStart"/>
      <w:r w:rsidRPr="0055733C">
        <w:rPr>
          <w:rFonts w:ascii="Calibri" w:hAnsi="Calibri"/>
          <w:sz w:val="22"/>
          <w:szCs w:val="22"/>
        </w:rPr>
        <w:t>Canadian Journal of Biochemistry and Physiology.</w:t>
      </w:r>
      <w:proofErr w:type="gramEnd"/>
      <w:r w:rsidRPr="0055733C">
        <w:rPr>
          <w:rFonts w:ascii="Calibri" w:hAnsi="Calibri"/>
          <w:sz w:val="22"/>
          <w:szCs w:val="22"/>
        </w:rPr>
        <w:t xml:space="preserve"> 37: 911–917.</w:t>
      </w:r>
    </w:p>
    <w:p w14:paraId="05158ECD" w14:textId="225A760D"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De Boer, J., and Wells, D. E. 2006, Pitfalls in the analysis of brominated flame retardants in environmental, human and food samples</w:t>
      </w:r>
      <w:r w:rsidR="00953614">
        <w:rPr>
          <w:rFonts w:ascii="Calibri" w:hAnsi="Calibri"/>
          <w:sz w:val="22"/>
          <w:szCs w:val="22"/>
        </w:rPr>
        <w:t xml:space="preserve"> –</w:t>
      </w:r>
      <w:r w:rsidRPr="0055733C">
        <w:rPr>
          <w:rFonts w:ascii="Calibri" w:hAnsi="Calibri"/>
          <w:sz w:val="22"/>
          <w:szCs w:val="22"/>
        </w:rPr>
        <w:t xml:space="preserve"> </w:t>
      </w:r>
      <w:r w:rsidR="00953614">
        <w:rPr>
          <w:rFonts w:ascii="Calibri" w:hAnsi="Calibri"/>
          <w:sz w:val="22"/>
          <w:szCs w:val="22"/>
        </w:rPr>
        <w:t>i</w:t>
      </w:r>
      <w:r w:rsidRPr="0055733C">
        <w:rPr>
          <w:rFonts w:ascii="Calibri" w:hAnsi="Calibri"/>
          <w:sz w:val="22"/>
          <w:szCs w:val="22"/>
        </w:rPr>
        <w:t>ncluding results of three international interlaboratory studies, Trends in Anal. Chem., 25: 364 – 572.</w:t>
      </w:r>
    </w:p>
    <w:p w14:paraId="2713EFD1" w14:textId="3F577593"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Covaci, A., Voorspoels, S., and de Boer, J. 2003. </w:t>
      </w:r>
      <w:proofErr w:type="gramStart"/>
      <w:r w:rsidRPr="0055733C">
        <w:rPr>
          <w:rFonts w:ascii="Calibri" w:hAnsi="Calibri"/>
          <w:sz w:val="22"/>
          <w:szCs w:val="22"/>
        </w:rPr>
        <w:t>Determination of brominated flame retardants, with emphasis on polybrominated diphenyl ethers (PBDEs) in environmental and human samples</w:t>
      </w:r>
      <w:r w:rsidR="00953614">
        <w:rPr>
          <w:rFonts w:ascii="Calibri" w:hAnsi="Calibri"/>
          <w:sz w:val="22"/>
          <w:szCs w:val="22"/>
        </w:rPr>
        <w:t xml:space="preserve"> –</w:t>
      </w:r>
      <w:r w:rsidRPr="0055733C">
        <w:rPr>
          <w:rFonts w:ascii="Calibri" w:hAnsi="Calibri"/>
          <w:sz w:val="22"/>
          <w:szCs w:val="22"/>
        </w:rPr>
        <w:t xml:space="preserve"> a review, Environ.</w:t>
      </w:r>
      <w:proofErr w:type="gramEnd"/>
      <w:r w:rsidRPr="0055733C">
        <w:rPr>
          <w:rFonts w:ascii="Calibri" w:hAnsi="Calibri"/>
          <w:sz w:val="22"/>
          <w:szCs w:val="22"/>
        </w:rPr>
        <w:t xml:space="preserve"> Int., 29: 735 – 756.</w:t>
      </w:r>
    </w:p>
    <w:p w14:paraId="42E3F83F"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Hanson, S. W. F., and Olley, J. 1963. </w:t>
      </w:r>
      <w:proofErr w:type="gramStart"/>
      <w:r w:rsidRPr="0055733C">
        <w:rPr>
          <w:rFonts w:ascii="Calibri" w:hAnsi="Calibri"/>
          <w:sz w:val="22"/>
          <w:szCs w:val="22"/>
        </w:rPr>
        <w:t>Application of the Bligh and Dyer method of lipid</w:t>
      </w:r>
      <w:r w:rsidRPr="0055733C">
        <w:rPr>
          <w:rFonts w:ascii="Calibri" w:hAnsi="Calibri"/>
          <w:sz w:val="22"/>
          <w:szCs w:val="22"/>
        </w:rPr>
        <w:br/>
        <w:t>extraction to tissue homogenates.</w:t>
      </w:r>
      <w:proofErr w:type="gramEnd"/>
      <w:r w:rsidRPr="0055733C">
        <w:rPr>
          <w:rFonts w:ascii="Calibri" w:hAnsi="Calibri"/>
          <w:sz w:val="22"/>
          <w:szCs w:val="22"/>
        </w:rPr>
        <w:t xml:space="preserve"> </w:t>
      </w:r>
      <w:proofErr w:type="gramStart"/>
      <w:r w:rsidRPr="0055733C">
        <w:rPr>
          <w:rFonts w:ascii="Calibri" w:hAnsi="Calibri"/>
          <w:sz w:val="22"/>
          <w:szCs w:val="22"/>
        </w:rPr>
        <w:t>Biochem.</w:t>
      </w:r>
      <w:proofErr w:type="gramEnd"/>
      <w:r w:rsidRPr="0055733C">
        <w:rPr>
          <w:rFonts w:ascii="Calibri" w:hAnsi="Calibri"/>
          <w:sz w:val="22"/>
          <w:szCs w:val="22"/>
        </w:rPr>
        <w:t xml:space="preserve"> </w:t>
      </w:r>
      <w:proofErr w:type="gramStart"/>
      <w:r w:rsidRPr="0055733C">
        <w:rPr>
          <w:rFonts w:ascii="Calibri" w:hAnsi="Calibri"/>
          <w:sz w:val="22"/>
          <w:szCs w:val="22"/>
        </w:rPr>
        <w:t>J., 89: 101 102.</w:t>
      </w:r>
      <w:proofErr w:type="gramEnd"/>
    </w:p>
    <w:p w14:paraId="3EB76220" w14:textId="77777777" w:rsidR="00FC360C" w:rsidRPr="0055733C" w:rsidRDefault="00FC360C" w:rsidP="0055733C">
      <w:pPr>
        <w:pStyle w:val="BodyText"/>
        <w:spacing w:after="120" w:line="276" w:lineRule="auto"/>
        <w:rPr>
          <w:rFonts w:ascii="Calibri" w:hAnsi="Calibri"/>
          <w:sz w:val="22"/>
          <w:szCs w:val="22"/>
        </w:rPr>
      </w:pPr>
      <w:proofErr w:type="gramStart"/>
      <w:r w:rsidRPr="0055733C">
        <w:rPr>
          <w:rFonts w:ascii="Calibri" w:hAnsi="Calibri"/>
          <w:sz w:val="22"/>
          <w:szCs w:val="22"/>
        </w:rPr>
        <w:t>Law, R. J., Kohler, M., Heeb, N. V., Gerecke, A. C., Schmid, P., Voorspoels, S., Covaci, A., Becher, G., Janak, K., and Thomsen, C., 2005.</w:t>
      </w:r>
      <w:proofErr w:type="gramEnd"/>
      <w:r w:rsidRPr="0055733C">
        <w:rPr>
          <w:rFonts w:ascii="Calibri" w:hAnsi="Calibri"/>
          <w:sz w:val="22"/>
          <w:szCs w:val="22"/>
        </w:rPr>
        <w:t xml:space="preserve"> Hexabromocyclododecane challenges scientists and regulators, July 1, 281A – 287A.</w:t>
      </w:r>
    </w:p>
    <w:p w14:paraId="1C3C4C47"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S. Morris, Allchin, C. R., Zegers, B. N., Haftka, J. H., Boon, J. P., C. Belpaire, P. Leonards, E. G., S. P. J. Van Leeuwen and J. d e Boer, 2004. Distribution and fate of HBCD and TBBP-A brominated flame retardants in North Sea estuaries and aquatic food webs, Environ. Sci. Technol., 38: 5497 – 5504.</w:t>
      </w:r>
    </w:p>
    <w:p w14:paraId="504713C9"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Morris, S., Bersuder, P. , Allchin, C. R., Zegers, B., Boon, J. P., Leonards, E. G and de Boer, J., 2006. Determination of the brominated flame retardant, hexabromocyclododecane, in sediments and biota by liquid chromatography-electrospray ionisation mass spectrometry, Trends in Anal. Chem., 25: 343 – 349.</w:t>
      </w:r>
    </w:p>
    <w:p w14:paraId="51CEF79C"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Smedes, F. 1999. </w:t>
      </w:r>
      <w:proofErr w:type="gramStart"/>
      <w:r w:rsidRPr="0055733C">
        <w:rPr>
          <w:rFonts w:ascii="Calibri" w:hAnsi="Calibri"/>
          <w:sz w:val="22"/>
          <w:szCs w:val="22"/>
        </w:rPr>
        <w:t>Determination of total lipid using non-chlorinated solvents.</w:t>
      </w:r>
      <w:proofErr w:type="gramEnd"/>
      <w:r w:rsidRPr="0055733C">
        <w:rPr>
          <w:rFonts w:ascii="Calibri" w:hAnsi="Calibri"/>
          <w:sz w:val="22"/>
          <w:szCs w:val="22"/>
        </w:rPr>
        <w:t xml:space="preserve"> Analyst, 124: 1711–1718.</w:t>
      </w:r>
    </w:p>
    <w:p w14:paraId="0BFE039A"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Sporring, S., Wiberg, K., Bjorklund, E., and Haglund, P. 2003. Combined extraction/Clean-up strategies for fast determination of PCDD/Fs and WHO PCBs in food and feed samples using accelerated solvent extraction, Organohalogen Compounds, 60–65, Dioxin 2003, Boston.</w:t>
      </w:r>
    </w:p>
    <w:p w14:paraId="2ADCDBF3" w14:textId="77777777" w:rsidR="00FC360C" w:rsidRPr="00F63BAF" w:rsidRDefault="00FC360C" w:rsidP="0055733C">
      <w:pPr>
        <w:pStyle w:val="Title"/>
      </w:pPr>
      <w:r w:rsidRPr="00F63BAF">
        <w:br w:type="page"/>
      </w:r>
      <w:bookmarkStart w:id="245" w:name="_Toc511217530"/>
      <w:r w:rsidRPr="00F63BAF">
        <w:t>Technical Annex 6: Perfluorinated compounds in biota</w:t>
      </w:r>
      <w:bookmarkEnd w:id="245"/>
    </w:p>
    <w:p w14:paraId="75EECB2C" w14:textId="77777777" w:rsidR="00FC360C" w:rsidRPr="0055733C" w:rsidRDefault="00FC360C" w:rsidP="0055733C">
      <w:pPr>
        <w:pStyle w:val="Heading1"/>
      </w:pPr>
      <w:bookmarkStart w:id="246" w:name="_Toc511217531"/>
      <w:r w:rsidRPr="0055733C">
        <w:t>1.</w:t>
      </w:r>
      <w:r w:rsidRPr="0055733C">
        <w:tab/>
        <w:t>Introduction</w:t>
      </w:r>
      <w:bookmarkEnd w:id="246"/>
    </w:p>
    <w:p w14:paraId="64F54547"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Per- and polyfluorinated compounds (PFCs) are man-made chemicals and are ubiquitous in the environment </w:t>
      </w:r>
      <w:r w:rsidRPr="0055733C">
        <w:rPr>
          <w:rFonts w:ascii="Calibri" w:hAnsi="Calibri"/>
          <w:sz w:val="22"/>
          <w:szCs w:val="22"/>
        </w:rPr>
        <w:fldChar w:fldCharType="begin"/>
      </w:r>
      <w:r w:rsidRPr="0055733C">
        <w:rPr>
          <w:rFonts w:ascii="Calibri" w:hAnsi="Calibri"/>
          <w:sz w:val="22"/>
          <w:szCs w:val="22"/>
        </w:rPr>
        <w:instrText xml:space="preserve"> ADDIN EN.CITE &lt;EndNote&gt;&lt;Cite&gt;&lt;Author&gt;Giesy&lt;/Author&gt;&lt;Year&gt;2001&lt;/Year&gt;&lt;RecNum&gt;1&lt;/RecNum&gt;&lt;record&gt;&lt;rec-number&gt;1&lt;/rec-number&gt;&lt;ref-type name="Journal Article"&gt;17&lt;/ref-type&gt;&lt;contributors&gt;&lt;authors&gt;&lt;author&gt;Giesy, John P.&lt;/author&gt;&lt;author&gt;Kannan, Kurunthachalam&lt;/author&gt;&lt;/authors&gt;&lt;/contributors&gt;&lt;titles&gt;&lt;title&gt;Global distribution of perfluorooctane sulfonate in wildlife.&lt;/title&gt;&lt;secondary-title&gt;Environ. Sci. Technol.&lt;/secondary-title&gt;&lt;/titles&gt;&lt;periodical&gt;&lt;full-title&gt;Environ. Sci. Technol.&lt;/full-title&gt;&lt;/periodical&gt;&lt;pages&gt;1339-1342&lt;/pages&gt;&lt;volume&gt;35&lt;/volume&gt;&lt;number&gt;7&lt;/number&gt;&lt;keywords&gt;&lt;keyword&gt;Global distribution&lt;/keyword&gt;&lt;keyword&gt;PFOS&lt;/keyword&gt;&lt;keyword&gt;PFOSA&lt;/keyword&gt;&lt;keyword&gt;PFHxS&lt;/keyword&gt;&lt;keyword&gt;biota&lt;/keyword&gt;&lt;keyword&gt;urban areas&lt;/keyword&gt;&lt;keyword&gt;remote areas&lt;/keyword&gt;&lt;/keywords&gt;&lt;dates&gt;&lt;year&gt;2001&lt;/year&gt;&lt;/dates&gt;&lt;urls&gt;&lt;/urls&gt;&lt;/record&gt;&lt;/Cite&gt;&lt;/EndNote&gt;</w:instrText>
      </w:r>
      <w:r w:rsidRPr="0055733C">
        <w:rPr>
          <w:rFonts w:ascii="Calibri" w:hAnsi="Calibri"/>
          <w:sz w:val="22"/>
          <w:szCs w:val="22"/>
        </w:rPr>
        <w:fldChar w:fldCharType="separate"/>
      </w:r>
      <w:r w:rsidRPr="0055733C">
        <w:rPr>
          <w:rFonts w:ascii="Calibri" w:hAnsi="Calibri"/>
          <w:sz w:val="22"/>
          <w:szCs w:val="22"/>
        </w:rPr>
        <w:t>(1)</w:t>
      </w:r>
      <w:r w:rsidRPr="0055733C">
        <w:rPr>
          <w:rFonts w:ascii="Calibri" w:hAnsi="Calibri"/>
          <w:sz w:val="22"/>
          <w:szCs w:val="22"/>
        </w:rPr>
        <w:fldChar w:fldCharType="end"/>
      </w:r>
      <w:r w:rsidRPr="0055733C">
        <w:rPr>
          <w:rFonts w:ascii="Calibri" w:hAnsi="Calibri"/>
          <w:sz w:val="22"/>
          <w:szCs w:val="22"/>
        </w:rPr>
        <w:t xml:space="preserve">. PFCs are widely used as processing additives during fluoropolymer production and as surfactants in consumer applications, including surface coatings for carpets, furniture and paper products. They are also components in breathable, waterproof fabrics, fire-fighting foams and insulators for electric wires </w:t>
      </w:r>
      <w:r w:rsidRPr="0055733C">
        <w:rPr>
          <w:rFonts w:ascii="Calibri" w:hAnsi="Calibri"/>
          <w:sz w:val="22"/>
          <w:szCs w:val="22"/>
        </w:rPr>
        <w:fldChar w:fldCharType="begin"/>
      </w:r>
      <w:r w:rsidRPr="0055733C">
        <w:rPr>
          <w:rFonts w:ascii="Calibri" w:hAnsi="Calibri"/>
          <w:sz w:val="22"/>
          <w:szCs w:val="22"/>
        </w:rPr>
        <w:instrText xml:space="preserve"> ADDIN EN.CITE &lt;EndNote&gt;&lt;Cite&gt;&lt;Author&gt;Kissa&lt;/Author&gt;&lt;Year&gt;2001&lt;/Year&gt;&lt;RecNum&gt;180&lt;/RecNum&gt;&lt;record&gt;&lt;rec-number&gt;180&lt;/rec-number&gt;&lt;ref-type name="Journal Article"&gt;17&lt;/ref-type&gt;&lt;contributors&gt;&lt;authors&gt;&lt;author&gt;Kissa, E.&lt;/author&gt;&lt;/authors&gt;&lt;secondary-authors&gt;&lt;author&gt;Hubbard, Arthurt T.&lt;/author&gt;&lt;/secondary-authors&gt;&lt;/contributors&gt;&lt;titles&gt;&lt;title&gt;Fluorinated Surfactants and Repellents&lt;/title&gt;&lt;secondary-title&gt;Marcel Dekker&lt;/secondary-title&gt;&lt;/titles&gt;&lt;periodical&gt;&lt;full-title&gt;Marcel Dekker&lt;/full-title&gt;&lt;/periodical&gt;&lt;volume&gt;97&lt;/volume&gt;&lt;dates&gt;&lt;year&gt;2001&lt;/year&gt;&lt;/dates&gt;&lt;pub-location&gt;New York&lt;/pub-location&gt;&lt;publisher&gt;Marcel Dekker&lt;/publisher&gt;&lt;urls&gt;&lt;/urls&gt;&lt;/record&gt;&lt;/Cite&gt;&lt;/EndNote&gt;</w:instrText>
      </w:r>
      <w:r w:rsidRPr="0055733C">
        <w:rPr>
          <w:rFonts w:ascii="Calibri" w:hAnsi="Calibri"/>
          <w:sz w:val="22"/>
          <w:szCs w:val="22"/>
        </w:rPr>
        <w:fldChar w:fldCharType="separate"/>
      </w:r>
      <w:r w:rsidRPr="0055733C">
        <w:rPr>
          <w:rFonts w:ascii="Calibri" w:hAnsi="Calibri"/>
          <w:sz w:val="22"/>
          <w:szCs w:val="22"/>
        </w:rPr>
        <w:t>(2)</w:t>
      </w:r>
      <w:r w:rsidRPr="0055733C">
        <w:rPr>
          <w:rFonts w:ascii="Calibri" w:hAnsi="Calibri"/>
          <w:sz w:val="22"/>
          <w:szCs w:val="22"/>
        </w:rPr>
        <w:fldChar w:fldCharType="end"/>
      </w:r>
      <w:r w:rsidRPr="0055733C">
        <w:rPr>
          <w:rFonts w:ascii="Calibri" w:hAnsi="Calibri"/>
          <w:sz w:val="22"/>
          <w:szCs w:val="22"/>
        </w:rPr>
        <w:t>. From the production and use of these products, PFCs can be released into the environment.</w:t>
      </w:r>
    </w:p>
    <w:p w14:paraId="306F9D05"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In this document, the name PFCs refers to compounds with a hydrophilic functional group and a hydrophobic fully fluorinated chain which can vary in length. The polyfluorinated acids have high water solubilities, low pK</w:t>
      </w:r>
      <w:r w:rsidRPr="0055733C">
        <w:rPr>
          <w:rFonts w:ascii="Calibri" w:hAnsi="Calibri"/>
          <w:sz w:val="22"/>
          <w:szCs w:val="22"/>
          <w:vertAlign w:val="subscript"/>
        </w:rPr>
        <w:t>a</w:t>
      </w:r>
      <w:r w:rsidRPr="0055733C">
        <w:rPr>
          <w:rFonts w:ascii="Calibri" w:hAnsi="Calibri"/>
          <w:sz w:val="22"/>
          <w:szCs w:val="22"/>
        </w:rPr>
        <w:t xml:space="preserve"> values and are therefore dissociated at environmentally relevant pH values </w:t>
      </w:r>
      <w:r w:rsidRPr="0055733C">
        <w:rPr>
          <w:rFonts w:ascii="Calibri" w:hAnsi="Calibri"/>
          <w:sz w:val="22"/>
          <w:szCs w:val="22"/>
        </w:rPr>
        <w:fldChar w:fldCharType="begin"/>
      </w:r>
      <w:r w:rsidRPr="0055733C">
        <w:rPr>
          <w:rFonts w:ascii="Calibri" w:hAnsi="Calibri"/>
          <w:sz w:val="22"/>
          <w:szCs w:val="22"/>
        </w:rPr>
        <w:instrText xml:space="preserve"> ADDIN EN.CITE &lt;EndNote&gt;&lt;Cite&gt;&lt;Author&gt;Kissa&lt;/Author&gt;&lt;Year&gt;2001&lt;/Year&gt;&lt;RecNum&gt;180&lt;/RecNum&gt;&lt;record&gt;&lt;rec-number&gt;180&lt;/rec-number&gt;&lt;ref-type name="Journal Article"&gt;17&lt;/ref-type&gt;&lt;contributors&gt;&lt;authors&gt;&lt;author&gt;Kissa, E.&lt;/author&gt;&lt;/authors&gt;&lt;secondary-authors&gt;&lt;author&gt;Hubbard, Arthurt T.&lt;/author&gt;&lt;/secondary-authors&gt;&lt;/contributors&gt;&lt;titles&gt;&lt;title&gt;Fluorinated Surfactants and Repellents&lt;/title&gt;&lt;secondary-title&gt;Marcel Dekker&lt;/secondary-title&gt;&lt;/titles&gt;&lt;periodical&gt;&lt;full-title&gt;Marcel Dekker&lt;/full-title&gt;&lt;/periodical&gt;&lt;volume&gt;97&lt;/volume&gt;&lt;dates&gt;&lt;year&gt;2001&lt;/year&gt;&lt;/dates&gt;&lt;pub-location&gt;New York&lt;/pub-location&gt;&lt;publisher&gt;Marcel Dekker&lt;/publisher&gt;&lt;urls&gt;&lt;/urls&gt;&lt;/record&gt;&lt;/Cite&gt;&lt;/EndNote&gt;</w:instrText>
      </w:r>
      <w:r w:rsidRPr="0055733C">
        <w:rPr>
          <w:rFonts w:ascii="Calibri" w:hAnsi="Calibri"/>
          <w:sz w:val="22"/>
          <w:szCs w:val="22"/>
        </w:rPr>
        <w:fldChar w:fldCharType="separate"/>
      </w:r>
      <w:r w:rsidRPr="0055733C">
        <w:rPr>
          <w:rFonts w:ascii="Calibri" w:hAnsi="Calibri"/>
          <w:sz w:val="22"/>
          <w:szCs w:val="22"/>
        </w:rPr>
        <w:t>(2)</w:t>
      </w:r>
      <w:r w:rsidRPr="0055733C">
        <w:rPr>
          <w:rFonts w:ascii="Calibri" w:hAnsi="Calibri"/>
          <w:sz w:val="22"/>
          <w:szCs w:val="22"/>
        </w:rPr>
        <w:fldChar w:fldCharType="end"/>
      </w:r>
      <w:r w:rsidRPr="0055733C">
        <w:rPr>
          <w:rFonts w:ascii="Calibri" w:hAnsi="Calibri"/>
          <w:sz w:val="22"/>
          <w:szCs w:val="22"/>
        </w:rPr>
        <w:t xml:space="preserve">. Perfluorinated sulfonamides and fluorotelomer alcohols (FTOHs) are neutral compounds currently discussed as precursors to perfluorooctane sulfonate (PFOS) and perfluorinated carboxylic acids (PFCAs) </w:t>
      </w:r>
      <w:r w:rsidRPr="0055733C">
        <w:rPr>
          <w:rFonts w:ascii="Calibri" w:hAnsi="Calibri"/>
          <w:sz w:val="22"/>
          <w:szCs w:val="22"/>
        </w:rPr>
        <w:fldChar w:fldCharType="begin"/>
      </w:r>
      <w:r w:rsidRPr="0055733C">
        <w:rPr>
          <w:rFonts w:ascii="Calibri" w:hAnsi="Calibri"/>
          <w:sz w:val="22"/>
          <w:szCs w:val="22"/>
        </w:rPr>
        <w:instrText xml:space="preserve"> ADDIN EN.CITE &lt;EndNote&gt;&lt;Cite&gt;&lt;Author&gt;Ellis&lt;/Author&gt;&lt;Year&gt;2004&lt;/Year&gt;&lt;RecNum&gt;76&lt;/RecNum&gt;&lt;record&gt;&lt;rec-number&gt;76&lt;/rec-number&gt;&lt;ref-type name="Journal Article"&gt;17&lt;/ref-type&gt;&lt;contributors&gt;&lt;authors&gt;&lt;author&gt;Ellis, D. A.&lt;/author&gt;&lt;author&gt;Martin, J. W.&lt;/author&gt;&lt;author&gt;Mabury, S. A.&lt;/author&gt;&lt;author&gt;De Silva, A. O.&lt;/author&gt;&lt;author&gt;Hurley, M. D.&lt;/author&gt;&lt;author&gt;Sulbaek Anderson, M. D.&lt;/author&gt;&lt;author&gt;Wallington, T. J.&lt;/author&gt;&lt;/authors&gt;&lt;/contributors&gt;&lt;titles&gt;&lt;title&gt;Degradation of Fluorotelomer Alcohols: A Likely Atmospheric Source of Perfluorinated Carboxylic Acids&lt;/title&gt;&lt;secondary-title&gt;Environ. Sci. Technol.&lt;/secondary-title&gt;&lt;/titles&gt;&lt;periodical&gt;&lt;full-title&gt;Environ. Sci. Technol.&lt;/full-title&gt;&lt;/periodical&gt;&lt;pages&gt;3316-3321&lt;/pages&gt;&lt;volume&gt;38&lt;/volume&gt;&lt;number&gt;12&lt;/number&gt;&lt;keywords&gt;&lt;keyword&gt;FTOHs&lt;/keyword&gt;&lt;keyword&gt;PFCAs&lt;/keyword&gt;&lt;keyword&gt;source&lt;/keyword&gt;&lt;keyword&gt;long-range transport&lt;/keyword&gt;&lt;/keywords&gt;&lt;dates&gt;&lt;year&gt;2004&lt;/year&gt;&lt;/dates&gt;&lt;urls&gt;&lt;/urls&gt;&lt;/record&gt;&lt;/Cite&gt;&lt;/EndNote&gt;</w:instrText>
      </w:r>
      <w:r w:rsidRPr="0055733C">
        <w:rPr>
          <w:rFonts w:ascii="Calibri" w:hAnsi="Calibri"/>
          <w:sz w:val="22"/>
          <w:szCs w:val="22"/>
        </w:rPr>
        <w:fldChar w:fldCharType="separate"/>
      </w:r>
      <w:r w:rsidRPr="0055733C">
        <w:rPr>
          <w:rFonts w:ascii="Calibri" w:hAnsi="Calibri"/>
          <w:sz w:val="22"/>
          <w:szCs w:val="22"/>
        </w:rPr>
        <w:t>(3)</w:t>
      </w:r>
      <w:r w:rsidRPr="0055733C">
        <w:rPr>
          <w:rFonts w:ascii="Calibri" w:hAnsi="Calibri"/>
          <w:sz w:val="22"/>
          <w:szCs w:val="22"/>
        </w:rPr>
        <w:fldChar w:fldCharType="end"/>
      </w:r>
      <w:r w:rsidRPr="0055733C">
        <w:rPr>
          <w:rFonts w:ascii="Calibri" w:hAnsi="Calibri"/>
          <w:sz w:val="22"/>
          <w:szCs w:val="22"/>
        </w:rPr>
        <w:t>.</w:t>
      </w:r>
    </w:p>
    <w:p w14:paraId="44E795B1"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The objective of this technical annex is to provide advice on the analysis of PFCs in biota. The detection of PFCs at ppb levels is complex because of </w:t>
      </w:r>
      <w:r w:rsidRPr="0055733C">
        <w:rPr>
          <w:rStyle w:val="CommentReference"/>
          <w:rFonts w:ascii="Calibri" w:hAnsi="Calibri"/>
          <w:sz w:val="22"/>
          <w:szCs w:val="22"/>
        </w:rPr>
        <w:t xml:space="preserve">a </w:t>
      </w:r>
      <w:r w:rsidRPr="0055733C">
        <w:rPr>
          <w:rFonts w:ascii="Calibri" w:hAnsi="Calibri"/>
          <w:sz w:val="22"/>
          <w:szCs w:val="22"/>
        </w:rPr>
        <w:t xml:space="preserve">risk of contamination during sample handling, storage, preparation and instrumental analysis. Several methods to determine PFCs in biota tissue are applied in various laboratories, but they generally apply extraction with medium polar organic solvents, clean-up steps and liquid-chromatography (LC) with mass spectrometric detection (MS). International Standard Organisation (ISO) has already promoted a standard for the determination of PFOS and perfluorooctanoic acid (PFOA) in water </w:t>
      </w:r>
      <w:r w:rsidRPr="0055733C">
        <w:rPr>
          <w:rFonts w:ascii="Calibri" w:hAnsi="Calibri"/>
          <w:sz w:val="22"/>
          <w:szCs w:val="22"/>
        </w:rPr>
        <w:fldChar w:fldCharType="begin"/>
      </w:r>
      <w:r w:rsidRPr="0055733C">
        <w:rPr>
          <w:rFonts w:ascii="Calibri" w:hAnsi="Calibri"/>
          <w:sz w:val="22"/>
          <w:szCs w:val="22"/>
        </w:rPr>
        <w:instrText xml:space="preserve"> ADDIN EN.CITE &lt;EndNote&gt;&lt;Cite&gt;&lt;RecNum&gt;381&lt;/RecNum&gt;&lt;record&gt;&lt;rec-number&gt;381&lt;/rec-number&gt;&lt;ref-type name="Journal Article"&gt;17&lt;/ref-type&gt;&lt;contributors&gt;&lt;/contributors&gt;&lt;titles&gt;&lt;title&gt;Draft International Standard ISO/DIS 25101&lt;/title&gt;&lt;/titles&gt;&lt;pages&gt;&lt;style face="bold" font="default" size="100%"&gt;2006&lt;/style&gt;&lt;/pages&gt;&lt;volume&gt;Water quality - Determination of perfluorooctanesulfonate (PFOS) and perfluorooctanate (PFOA) - Method for unfiltered samples using solid phase extraction and liquid chromatography/mass spectrometry&lt;/volume&gt;&lt;dates&gt;&lt;/dates&gt;&lt;urls&gt;&lt;/urls&gt;&lt;/record&gt;&lt;/Cite&gt;&lt;/EndNote&gt;</w:instrText>
      </w:r>
      <w:r w:rsidRPr="0055733C">
        <w:rPr>
          <w:rFonts w:ascii="Calibri" w:hAnsi="Calibri"/>
          <w:sz w:val="22"/>
          <w:szCs w:val="22"/>
        </w:rPr>
        <w:fldChar w:fldCharType="separate"/>
      </w:r>
      <w:r w:rsidRPr="0055733C">
        <w:rPr>
          <w:rFonts w:ascii="Calibri" w:hAnsi="Calibri"/>
          <w:sz w:val="22"/>
          <w:szCs w:val="22"/>
        </w:rPr>
        <w:t>(4)</w:t>
      </w:r>
      <w:r w:rsidRPr="0055733C">
        <w:rPr>
          <w:rFonts w:ascii="Calibri" w:hAnsi="Calibri"/>
          <w:sz w:val="22"/>
          <w:szCs w:val="22"/>
        </w:rPr>
        <w:fldChar w:fldCharType="end"/>
      </w:r>
      <w:r w:rsidRPr="0055733C">
        <w:rPr>
          <w:rFonts w:ascii="Calibri" w:hAnsi="Calibri"/>
          <w:sz w:val="22"/>
          <w:szCs w:val="22"/>
        </w:rPr>
        <w:t xml:space="preserve">, but at present no standard is available for the analysis of biota samples. </w:t>
      </w:r>
    </w:p>
    <w:p w14:paraId="03668F15" w14:textId="77777777" w:rsidR="00FC360C" w:rsidRPr="0055733C" w:rsidRDefault="00FC360C" w:rsidP="0055733C">
      <w:pPr>
        <w:pStyle w:val="Heading1"/>
      </w:pPr>
      <w:bookmarkStart w:id="247" w:name="_Toc511217532"/>
      <w:r w:rsidRPr="0055733C">
        <w:t>2</w:t>
      </w:r>
      <w:r w:rsidRPr="0055733C">
        <w:tab/>
        <w:t>Analyses</w:t>
      </w:r>
      <w:bookmarkEnd w:id="247"/>
    </w:p>
    <w:p w14:paraId="108BBBB3"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Table 1.5.5.4.1 gives an overview of PFCs relevant for analysis in biota. They are chosen from the following groups: Perfluorinated sulfonates (PFSAs), perfluorinated sulfinates (PFSiAs), PFCAs and perfluorinated sulfonamides. For monitoring purposes, the high-volume chemicals PFOS and PFOA are considered the most important PFCs and should be included in biota monitoring. Additionally, it is suggested that long-chained PFCs (≥ C</w:t>
      </w:r>
      <w:r w:rsidRPr="0055733C">
        <w:rPr>
          <w:rFonts w:ascii="Calibri" w:hAnsi="Calibri"/>
          <w:sz w:val="22"/>
          <w:szCs w:val="22"/>
          <w:vertAlign w:val="subscript"/>
        </w:rPr>
        <w:t>8</w:t>
      </w:r>
      <w:r w:rsidRPr="0055733C">
        <w:rPr>
          <w:rFonts w:ascii="Calibri" w:hAnsi="Calibri"/>
          <w:sz w:val="22"/>
          <w:szCs w:val="22"/>
        </w:rPr>
        <w:t>) should be included in analysis due to their bioaccumulative potential. The substitute perfluorobutane sulfonate is likely to bioaccumulate to a lesser extent and might be more relevant for water monitoring. However, until more information is available, perfluorobutane sulfonate might be included in biota monitoring as well. Table 1.5.5.4.1 also includes suggestions for appropriate internal standards (IS). It is strongly recommended to use mass-labelled compounds as IS for PFC-analysis.</w:t>
      </w:r>
    </w:p>
    <w:p w14:paraId="5BAC75CD" w14:textId="77777777" w:rsidR="00FC360C" w:rsidRPr="0055733C" w:rsidRDefault="00FC360C" w:rsidP="0055733C">
      <w:pPr>
        <w:rPr>
          <w:szCs w:val="22"/>
        </w:rPr>
      </w:pPr>
    </w:p>
    <w:tbl>
      <w:tblPr>
        <w:tblW w:w="9195" w:type="dxa"/>
        <w:tblBorders>
          <w:top w:val="single" w:sz="12" w:space="0" w:color="auto"/>
          <w:bottom w:val="single" w:sz="12" w:space="0" w:color="auto"/>
        </w:tblBorders>
        <w:tblLayout w:type="fixed"/>
        <w:tblCellMar>
          <w:left w:w="70" w:type="dxa"/>
          <w:right w:w="70" w:type="dxa"/>
        </w:tblCellMar>
        <w:tblLook w:val="01E0" w:firstRow="1" w:lastRow="1" w:firstColumn="1" w:lastColumn="1" w:noHBand="0" w:noVBand="0"/>
      </w:tblPr>
      <w:tblGrid>
        <w:gridCol w:w="3618"/>
        <w:gridCol w:w="1799"/>
        <w:gridCol w:w="2339"/>
        <w:gridCol w:w="1439"/>
      </w:tblGrid>
      <w:tr w:rsidR="00FC360C" w:rsidRPr="0055733C" w14:paraId="4EDC8FEF" w14:textId="77777777" w:rsidTr="002F237A">
        <w:tc>
          <w:tcPr>
            <w:tcW w:w="9200" w:type="dxa"/>
            <w:gridSpan w:val="4"/>
            <w:tcBorders>
              <w:top w:val="nil"/>
              <w:left w:val="nil"/>
              <w:bottom w:val="single" w:sz="12" w:space="0" w:color="auto"/>
              <w:right w:val="nil"/>
            </w:tcBorders>
          </w:tcPr>
          <w:p w14:paraId="02302706" w14:textId="77777777" w:rsidR="00FC360C" w:rsidRPr="0055733C" w:rsidRDefault="00FC360C" w:rsidP="0055733C">
            <w:pPr>
              <w:spacing w:after="0"/>
              <w:ind w:left="1622" w:hanging="1622"/>
              <w:rPr>
                <w:rFonts w:cs="Arial"/>
                <w:sz w:val="20"/>
              </w:rPr>
            </w:pPr>
            <w:r w:rsidRPr="0055733C">
              <w:rPr>
                <w:rFonts w:cs="Arial"/>
                <w:b/>
                <w:sz w:val="20"/>
              </w:rPr>
              <w:t>Table 1.5.5.4.1</w:t>
            </w:r>
            <w:r w:rsidR="0055733C" w:rsidRPr="0055733C">
              <w:rPr>
                <w:rFonts w:cs="Arial"/>
                <w:sz w:val="20"/>
              </w:rPr>
              <w:t>:</w:t>
            </w:r>
            <w:r w:rsidRPr="0055733C">
              <w:rPr>
                <w:rFonts w:cs="Arial"/>
                <w:b/>
                <w:sz w:val="20"/>
              </w:rPr>
              <w:tab/>
            </w:r>
            <w:r w:rsidRPr="0055733C">
              <w:rPr>
                <w:rFonts w:cs="Arial"/>
                <w:sz w:val="20"/>
              </w:rPr>
              <w:t>Full names, acronyms, formulas, and Chemical Abstract System (CAS) numbers of PFCs relevant for biota analysis.</w:t>
            </w:r>
          </w:p>
          <w:p w14:paraId="0C55B3BA" w14:textId="77777777" w:rsidR="00FC360C" w:rsidRPr="0055733C" w:rsidRDefault="00FC360C" w:rsidP="0055733C">
            <w:pPr>
              <w:spacing w:after="0"/>
              <w:ind w:left="1622" w:hanging="1622"/>
              <w:rPr>
                <w:rFonts w:cs="Arial"/>
                <w:b/>
                <w:sz w:val="20"/>
              </w:rPr>
            </w:pPr>
          </w:p>
        </w:tc>
      </w:tr>
      <w:tr w:rsidR="00FC360C" w:rsidRPr="0055733C" w14:paraId="020A10EC" w14:textId="77777777" w:rsidTr="002F237A">
        <w:trPr>
          <w:trHeight w:val="340"/>
        </w:trPr>
        <w:tc>
          <w:tcPr>
            <w:tcW w:w="3620" w:type="dxa"/>
            <w:tcBorders>
              <w:top w:val="single" w:sz="12" w:space="0" w:color="auto"/>
              <w:left w:val="nil"/>
              <w:bottom w:val="single" w:sz="4" w:space="0" w:color="auto"/>
              <w:right w:val="nil"/>
            </w:tcBorders>
          </w:tcPr>
          <w:p w14:paraId="7E8A987B" w14:textId="77777777" w:rsidR="00FC360C" w:rsidRPr="0055733C" w:rsidRDefault="00FC360C" w:rsidP="0055733C">
            <w:pPr>
              <w:spacing w:after="0"/>
              <w:rPr>
                <w:rFonts w:cs="Arial"/>
                <w:b/>
                <w:sz w:val="20"/>
              </w:rPr>
            </w:pPr>
            <w:r w:rsidRPr="0055733C">
              <w:rPr>
                <w:rFonts w:cs="Arial"/>
                <w:b/>
                <w:sz w:val="20"/>
              </w:rPr>
              <w:t>Analyte</w:t>
            </w:r>
          </w:p>
        </w:tc>
        <w:tc>
          <w:tcPr>
            <w:tcW w:w="1800" w:type="dxa"/>
            <w:tcBorders>
              <w:top w:val="single" w:sz="12" w:space="0" w:color="auto"/>
              <w:left w:val="nil"/>
              <w:bottom w:val="single" w:sz="4" w:space="0" w:color="auto"/>
              <w:right w:val="nil"/>
            </w:tcBorders>
          </w:tcPr>
          <w:p w14:paraId="2608A158" w14:textId="77777777" w:rsidR="00FC360C" w:rsidRPr="0055733C" w:rsidRDefault="00FC360C" w:rsidP="0055733C">
            <w:pPr>
              <w:spacing w:after="0"/>
              <w:rPr>
                <w:rFonts w:cs="Arial"/>
                <w:b/>
                <w:sz w:val="20"/>
              </w:rPr>
            </w:pPr>
            <w:r w:rsidRPr="0055733C">
              <w:rPr>
                <w:rFonts w:cs="Arial"/>
                <w:b/>
                <w:sz w:val="20"/>
              </w:rPr>
              <w:t>Acronym</w:t>
            </w:r>
          </w:p>
        </w:tc>
        <w:tc>
          <w:tcPr>
            <w:tcW w:w="2340" w:type="dxa"/>
            <w:tcBorders>
              <w:top w:val="single" w:sz="12" w:space="0" w:color="auto"/>
              <w:left w:val="nil"/>
              <w:bottom w:val="single" w:sz="4" w:space="0" w:color="auto"/>
              <w:right w:val="nil"/>
            </w:tcBorders>
          </w:tcPr>
          <w:p w14:paraId="34226DC8" w14:textId="77777777" w:rsidR="00FC360C" w:rsidRPr="0055733C" w:rsidRDefault="00FC360C" w:rsidP="0055733C">
            <w:pPr>
              <w:spacing w:after="0"/>
              <w:rPr>
                <w:rFonts w:cs="Arial"/>
                <w:b/>
                <w:sz w:val="20"/>
              </w:rPr>
            </w:pPr>
            <w:r w:rsidRPr="0055733C">
              <w:rPr>
                <w:rFonts w:cs="Arial"/>
                <w:b/>
                <w:sz w:val="20"/>
              </w:rPr>
              <w:t>Formula</w:t>
            </w:r>
          </w:p>
        </w:tc>
        <w:tc>
          <w:tcPr>
            <w:tcW w:w="1440" w:type="dxa"/>
            <w:tcBorders>
              <w:top w:val="single" w:sz="12" w:space="0" w:color="auto"/>
              <w:left w:val="nil"/>
              <w:bottom w:val="single" w:sz="4" w:space="0" w:color="auto"/>
              <w:right w:val="nil"/>
            </w:tcBorders>
          </w:tcPr>
          <w:p w14:paraId="27DA7011" w14:textId="77777777" w:rsidR="00FC360C" w:rsidRPr="0055733C" w:rsidRDefault="00FC360C" w:rsidP="0055733C">
            <w:pPr>
              <w:spacing w:after="0"/>
              <w:rPr>
                <w:rFonts w:cs="Arial"/>
                <w:b/>
                <w:sz w:val="20"/>
              </w:rPr>
            </w:pPr>
            <w:r w:rsidRPr="0055733C">
              <w:rPr>
                <w:rFonts w:cs="Arial"/>
                <w:b/>
                <w:sz w:val="20"/>
              </w:rPr>
              <w:t>CAS</w:t>
            </w:r>
            <w:r w:rsidRPr="0055733C">
              <w:rPr>
                <w:rFonts w:cs="Arial"/>
                <w:b/>
                <w:sz w:val="20"/>
                <w:vertAlign w:val="superscript"/>
              </w:rPr>
              <w:t>a</w:t>
            </w:r>
            <w:r w:rsidRPr="0055733C">
              <w:rPr>
                <w:rFonts w:cs="Arial"/>
                <w:b/>
                <w:sz w:val="20"/>
              </w:rPr>
              <w:t>-Number</w:t>
            </w:r>
          </w:p>
        </w:tc>
      </w:tr>
      <w:tr w:rsidR="00FC360C" w:rsidRPr="0055733C" w14:paraId="26DC7D81" w14:textId="77777777" w:rsidTr="002F237A">
        <w:trPr>
          <w:trHeight w:val="340"/>
        </w:trPr>
        <w:tc>
          <w:tcPr>
            <w:tcW w:w="3620" w:type="dxa"/>
            <w:tcBorders>
              <w:top w:val="single" w:sz="4" w:space="0" w:color="auto"/>
              <w:left w:val="nil"/>
              <w:bottom w:val="nil"/>
              <w:right w:val="nil"/>
            </w:tcBorders>
          </w:tcPr>
          <w:p w14:paraId="5737F1EB" w14:textId="77777777" w:rsidR="00FC360C" w:rsidRPr="0055733C" w:rsidRDefault="00FC360C" w:rsidP="0055733C">
            <w:pPr>
              <w:pStyle w:val="Caption"/>
              <w:spacing w:before="0" w:after="0" w:line="276" w:lineRule="auto"/>
              <w:rPr>
                <w:rFonts w:ascii="Calibri" w:hAnsi="Calibri" w:cs="Arial"/>
                <w:b w:val="0"/>
                <w:sz w:val="20"/>
                <w:lang w:val="en-GB"/>
              </w:rPr>
            </w:pPr>
            <w:r w:rsidRPr="0055733C">
              <w:rPr>
                <w:rFonts w:ascii="Calibri" w:hAnsi="Calibri" w:cs="Arial"/>
                <w:b w:val="0"/>
                <w:sz w:val="20"/>
                <w:lang w:val="en-GB"/>
              </w:rPr>
              <w:t>Perfluorobutanoic acid</w:t>
            </w:r>
          </w:p>
        </w:tc>
        <w:tc>
          <w:tcPr>
            <w:tcW w:w="1800" w:type="dxa"/>
            <w:tcBorders>
              <w:top w:val="single" w:sz="4" w:space="0" w:color="auto"/>
              <w:left w:val="nil"/>
              <w:bottom w:val="nil"/>
              <w:right w:val="nil"/>
            </w:tcBorders>
          </w:tcPr>
          <w:p w14:paraId="1848A974" w14:textId="77777777" w:rsidR="00FC360C" w:rsidRPr="0055733C" w:rsidRDefault="00FC360C" w:rsidP="0055733C">
            <w:pPr>
              <w:pStyle w:val="BodyText2"/>
              <w:spacing w:after="0" w:line="276" w:lineRule="auto"/>
              <w:jc w:val="both"/>
              <w:rPr>
                <w:rFonts w:ascii="Calibri" w:hAnsi="Calibri" w:cs="Arial"/>
              </w:rPr>
            </w:pPr>
            <w:r w:rsidRPr="0055733C">
              <w:rPr>
                <w:rFonts w:ascii="Calibri" w:hAnsi="Calibri" w:cs="Arial"/>
                <w:b/>
                <w:i/>
              </w:rPr>
              <w:t>PFBA</w:t>
            </w:r>
          </w:p>
        </w:tc>
        <w:tc>
          <w:tcPr>
            <w:tcW w:w="2340" w:type="dxa"/>
            <w:tcBorders>
              <w:top w:val="single" w:sz="4" w:space="0" w:color="auto"/>
              <w:left w:val="nil"/>
              <w:bottom w:val="nil"/>
              <w:right w:val="nil"/>
            </w:tcBorders>
          </w:tcPr>
          <w:p w14:paraId="369992E5"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C</w:t>
            </w:r>
            <w:r w:rsidRPr="0055733C">
              <w:rPr>
                <w:rFonts w:ascii="Calibri" w:hAnsi="Calibri" w:cs="Arial"/>
                <w:sz w:val="20"/>
                <w:szCs w:val="20"/>
                <w:vertAlign w:val="subscript"/>
                <w:lang w:val="en-GB"/>
              </w:rPr>
              <w:t>3</w:t>
            </w:r>
            <w:r w:rsidRPr="0055733C">
              <w:rPr>
                <w:rFonts w:ascii="Calibri" w:hAnsi="Calibri" w:cs="Arial"/>
                <w:sz w:val="20"/>
                <w:szCs w:val="20"/>
                <w:lang w:val="en-GB"/>
              </w:rPr>
              <w:t>F</w:t>
            </w:r>
            <w:r w:rsidRPr="0055733C">
              <w:rPr>
                <w:rFonts w:ascii="Calibri" w:hAnsi="Calibri" w:cs="Arial"/>
                <w:sz w:val="20"/>
                <w:szCs w:val="20"/>
                <w:vertAlign w:val="subscript"/>
                <w:lang w:val="en-GB"/>
              </w:rPr>
              <w:t>7</w:t>
            </w:r>
            <w:r w:rsidRPr="0055733C">
              <w:rPr>
                <w:rFonts w:ascii="Calibri" w:hAnsi="Calibri" w:cs="Arial"/>
                <w:sz w:val="20"/>
                <w:szCs w:val="20"/>
                <w:lang w:val="en-GB"/>
              </w:rPr>
              <w:t>COOH</w:t>
            </w:r>
          </w:p>
        </w:tc>
        <w:tc>
          <w:tcPr>
            <w:tcW w:w="1440" w:type="dxa"/>
            <w:tcBorders>
              <w:top w:val="single" w:sz="4" w:space="0" w:color="auto"/>
              <w:left w:val="nil"/>
              <w:bottom w:val="nil"/>
              <w:right w:val="nil"/>
            </w:tcBorders>
          </w:tcPr>
          <w:p w14:paraId="3CA5272B" w14:textId="77777777" w:rsidR="00FC360C" w:rsidRPr="0055733C" w:rsidRDefault="00FC360C" w:rsidP="0055733C">
            <w:pPr>
              <w:spacing w:after="0"/>
              <w:rPr>
                <w:rFonts w:cs="Arial"/>
                <w:sz w:val="20"/>
              </w:rPr>
            </w:pPr>
            <w:r w:rsidRPr="0055733C">
              <w:rPr>
                <w:rFonts w:cs="Arial"/>
                <w:sz w:val="20"/>
              </w:rPr>
              <w:t>375-22-4</w:t>
            </w:r>
          </w:p>
        </w:tc>
      </w:tr>
      <w:tr w:rsidR="00FC360C" w:rsidRPr="0055733C" w14:paraId="3C7B4358" w14:textId="77777777" w:rsidTr="002F237A">
        <w:trPr>
          <w:trHeight w:val="340"/>
        </w:trPr>
        <w:tc>
          <w:tcPr>
            <w:tcW w:w="3620" w:type="dxa"/>
            <w:tcBorders>
              <w:top w:val="nil"/>
              <w:left w:val="nil"/>
              <w:bottom w:val="nil"/>
              <w:right w:val="nil"/>
            </w:tcBorders>
          </w:tcPr>
          <w:p w14:paraId="73C79261" w14:textId="77777777" w:rsidR="00FC360C" w:rsidRPr="0055733C" w:rsidRDefault="00FC360C" w:rsidP="0055733C">
            <w:pPr>
              <w:pStyle w:val="Caption"/>
              <w:spacing w:before="0" w:after="0" w:line="276" w:lineRule="auto"/>
              <w:rPr>
                <w:rFonts w:ascii="Calibri" w:hAnsi="Calibri" w:cs="Arial"/>
                <w:b w:val="0"/>
                <w:sz w:val="20"/>
                <w:lang w:val="en-GB"/>
              </w:rPr>
            </w:pPr>
            <w:r w:rsidRPr="0055733C">
              <w:rPr>
                <w:rFonts w:ascii="Calibri" w:hAnsi="Calibri" w:cs="Arial"/>
                <w:b w:val="0"/>
                <w:sz w:val="20"/>
                <w:lang w:val="en-GB"/>
              </w:rPr>
              <w:t>Perfluoropentanoic acid</w:t>
            </w:r>
          </w:p>
        </w:tc>
        <w:tc>
          <w:tcPr>
            <w:tcW w:w="1800" w:type="dxa"/>
            <w:tcBorders>
              <w:top w:val="nil"/>
              <w:left w:val="nil"/>
              <w:bottom w:val="nil"/>
              <w:right w:val="nil"/>
            </w:tcBorders>
          </w:tcPr>
          <w:p w14:paraId="4A478F3F" w14:textId="77777777" w:rsidR="00FC360C" w:rsidRPr="0055733C" w:rsidRDefault="00FC360C" w:rsidP="0055733C">
            <w:pPr>
              <w:pStyle w:val="BodyText2"/>
              <w:spacing w:after="0" w:line="276" w:lineRule="auto"/>
              <w:jc w:val="both"/>
              <w:rPr>
                <w:rFonts w:ascii="Calibri" w:hAnsi="Calibri" w:cs="Arial"/>
              </w:rPr>
            </w:pPr>
            <w:r w:rsidRPr="0055733C">
              <w:rPr>
                <w:rFonts w:ascii="Calibri" w:hAnsi="Calibri" w:cs="Arial"/>
                <w:b/>
                <w:i/>
              </w:rPr>
              <w:t>PFPA</w:t>
            </w:r>
          </w:p>
        </w:tc>
        <w:tc>
          <w:tcPr>
            <w:tcW w:w="2340" w:type="dxa"/>
            <w:tcBorders>
              <w:top w:val="nil"/>
              <w:left w:val="nil"/>
              <w:bottom w:val="nil"/>
              <w:right w:val="nil"/>
            </w:tcBorders>
          </w:tcPr>
          <w:p w14:paraId="364F2F0A"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C</w:t>
            </w:r>
            <w:r w:rsidRPr="0055733C">
              <w:rPr>
                <w:rFonts w:ascii="Calibri" w:hAnsi="Calibri" w:cs="Arial"/>
                <w:sz w:val="20"/>
                <w:szCs w:val="20"/>
                <w:vertAlign w:val="subscript"/>
                <w:lang w:val="en-GB"/>
              </w:rPr>
              <w:t>4</w:t>
            </w:r>
            <w:r w:rsidRPr="0055733C">
              <w:rPr>
                <w:rFonts w:ascii="Calibri" w:hAnsi="Calibri" w:cs="Arial"/>
                <w:sz w:val="20"/>
                <w:szCs w:val="20"/>
                <w:lang w:val="en-GB"/>
              </w:rPr>
              <w:t>F</w:t>
            </w:r>
            <w:r w:rsidRPr="0055733C">
              <w:rPr>
                <w:rFonts w:ascii="Calibri" w:hAnsi="Calibri" w:cs="Arial"/>
                <w:sz w:val="20"/>
                <w:szCs w:val="20"/>
                <w:vertAlign w:val="subscript"/>
                <w:lang w:val="en-GB"/>
              </w:rPr>
              <w:t>9</w:t>
            </w:r>
            <w:r w:rsidRPr="0055733C">
              <w:rPr>
                <w:rFonts w:ascii="Calibri" w:hAnsi="Calibri" w:cs="Arial"/>
                <w:sz w:val="20"/>
                <w:szCs w:val="20"/>
                <w:lang w:val="en-GB"/>
              </w:rPr>
              <w:t>COOH</w:t>
            </w:r>
          </w:p>
        </w:tc>
        <w:tc>
          <w:tcPr>
            <w:tcW w:w="1440" w:type="dxa"/>
            <w:tcBorders>
              <w:top w:val="nil"/>
              <w:left w:val="nil"/>
              <w:bottom w:val="nil"/>
              <w:right w:val="nil"/>
            </w:tcBorders>
          </w:tcPr>
          <w:p w14:paraId="16CC7398" w14:textId="77777777" w:rsidR="00FC360C" w:rsidRPr="0055733C" w:rsidRDefault="00FC360C" w:rsidP="0055733C">
            <w:pPr>
              <w:spacing w:after="0"/>
              <w:rPr>
                <w:rFonts w:cs="Arial"/>
                <w:sz w:val="20"/>
              </w:rPr>
            </w:pPr>
            <w:r w:rsidRPr="0055733C">
              <w:rPr>
                <w:rFonts w:cs="Arial"/>
                <w:sz w:val="20"/>
              </w:rPr>
              <w:t>2706-90-3</w:t>
            </w:r>
          </w:p>
        </w:tc>
      </w:tr>
      <w:tr w:rsidR="00FC360C" w:rsidRPr="0055733C" w14:paraId="717C3EBC" w14:textId="77777777" w:rsidTr="002F237A">
        <w:trPr>
          <w:trHeight w:val="340"/>
        </w:trPr>
        <w:tc>
          <w:tcPr>
            <w:tcW w:w="3620" w:type="dxa"/>
            <w:tcBorders>
              <w:top w:val="nil"/>
              <w:left w:val="nil"/>
              <w:bottom w:val="nil"/>
              <w:right w:val="nil"/>
            </w:tcBorders>
          </w:tcPr>
          <w:p w14:paraId="5FD3587D" w14:textId="77777777" w:rsidR="00FC360C" w:rsidRPr="0055733C" w:rsidRDefault="00FC360C" w:rsidP="0055733C">
            <w:pPr>
              <w:pStyle w:val="Caption"/>
              <w:spacing w:before="0" w:after="0" w:line="276" w:lineRule="auto"/>
              <w:rPr>
                <w:rFonts w:ascii="Calibri" w:hAnsi="Calibri" w:cs="Arial"/>
                <w:b w:val="0"/>
                <w:sz w:val="20"/>
                <w:lang w:val="en-GB"/>
              </w:rPr>
            </w:pPr>
            <w:r w:rsidRPr="0055733C">
              <w:rPr>
                <w:rFonts w:ascii="Calibri" w:hAnsi="Calibri" w:cs="Arial"/>
                <w:b w:val="0"/>
                <w:sz w:val="20"/>
                <w:lang w:val="en-GB"/>
              </w:rPr>
              <w:t>Perfluorohexanoic acid</w:t>
            </w:r>
          </w:p>
        </w:tc>
        <w:tc>
          <w:tcPr>
            <w:tcW w:w="1800" w:type="dxa"/>
            <w:tcBorders>
              <w:top w:val="nil"/>
              <w:left w:val="nil"/>
              <w:bottom w:val="nil"/>
              <w:right w:val="nil"/>
            </w:tcBorders>
          </w:tcPr>
          <w:p w14:paraId="49F6A53A" w14:textId="77777777" w:rsidR="00FC360C" w:rsidRPr="0055733C" w:rsidRDefault="00FC360C" w:rsidP="0055733C">
            <w:pPr>
              <w:pStyle w:val="BodyText2"/>
              <w:spacing w:after="0" w:line="276" w:lineRule="auto"/>
              <w:jc w:val="both"/>
              <w:rPr>
                <w:rFonts w:ascii="Calibri" w:hAnsi="Calibri" w:cs="Arial"/>
              </w:rPr>
            </w:pPr>
            <w:r w:rsidRPr="0055733C">
              <w:rPr>
                <w:rFonts w:ascii="Calibri" w:hAnsi="Calibri" w:cs="Arial"/>
                <w:b/>
                <w:i/>
              </w:rPr>
              <w:t>PFHxA</w:t>
            </w:r>
          </w:p>
        </w:tc>
        <w:tc>
          <w:tcPr>
            <w:tcW w:w="2340" w:type="dxa"/>
            <w:tcBorders>
              <w:top w:val="nil"/>
              <w:left w:val="nil"/>
              <w:bottom w:val="nil"/>
              <w:right w:val="nil"/>
            </w:tcBorders>
          </w:tcPr>
          <w:p w14:paraId="162D788A"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C</w:t>
            </w:r>
            <w:r w:rsidRPr="0055733C">
              <w:rPr>
                <w:rFonts w:ascii="Calibri" w:hAnsi="Calibri" w:cs="Arial"/>
                <w:sz w:val="20"/>
                <w:szCs w:val="20"/>
                <w:vertAlign w:val="subscript"/>
                <w:lang w:val="en-GB"/>
              </w:rPr>
              <w:t>5</w:t>
            </w:r>
            <w:r w:rsidRPr="0055733C">
              <w:rPr>
                <w:rFonts w:ascii="Calibri" w:hAnsi="Calibri" w:cs="Arial"/>
                <w:sz w:val="20"/>
                <w:szCs w:val="20"/>
                <w:lang w:val="en-GB"/>
              </w:rPr>
              <w:t>F</w:t>
            </w:r>
            <w:r w:rsidRPr="0055733C">
              <w:rPr>
                <w:rFonts w:ascii="Calibri" w:hAnsi="Calibri" w:cs="Arial"/>
                <w:sz w:val="20"/>
                <w:szCs w:val="20"/>
                <w:vertAlign w:val="subscript"/>
                <w:lang w:val="en-GB"/>
              </w:rPr>
              <w:t>11</w:t>
            </w:r>
            <w:r w:rsidRPr="0055733C">
              <w:rPr>
                <w:rFonts w:ascii="Calibri" w:hAnsi="Calibri" w:cs="Arial"/>
                <w:sz w:val="20"/>
                <w:szCs w:val="20"/>
                <w:lang w:val="en-GB"/>
              </w:rPr>
              <w:t>COOH</w:t>
            </w:r>
          </w:p>
        </w:tc>
        <w:tc>
          <w:tcPr>
            <w:tcW w:w="1440" w:type="dxa"/>
            <w:tcBorders>
              <w:top w:val="nil"/>
              <w:left w:val="nil"/>
              <w:bottom w:val="nil"/>
              <w:right w:val="nil"/>
            </w:tcBorders>
          </w:tcPr>
          <w:p w14:paraId="69761122" w14:textId="77777777" w:rsidR="00FC360C" w:rsidRPr="0055733C" w:rsidRDefault="00FC360C" w:rsidP="0055733C">
            <w:pPr>
              <w:spacing w:after="0"/>
              <w:rPr>
                <w:rFonts w:cs="Arial"/>
                <w:sz w:val="20"/>
              </w:rPr>
            </w:pPr>
            <w:r w:rsidRPr="0055733C">
              <w:rPr>
                <w:rFonts w:cs="Arial"/>
                <w:sz w:val="20"/>
              </w:rPr>
              <w:t>307-24-4</w:t>
            </w:r>
          </w:p>
        </w:tc>
      </w:tr>
      <w:tr w:rsidR="00FC360C" w:rsidRPr="0055733C" w14:paraId="4BF32942" w14:textId="77777777" w:rsidTr="002F237A">
        <w:trPr>
          <w:trHeight w:val="340"/>
        </w:trPr>
        <w:tc>
          <w:tcPr>
            <w:tcW w:w="3620" w:type="dxa"/>
            <w:tcBorders>
              <w:top w:val="nil"/>
              <w:left w:val="nil"/>
              <w:bottom w:val="nil"/>
              <w:right w:val="nil"/>
            </w:tcBorders>
          </w:tcPr>
          <w:p w14:paraId="467F9607" w14:textId="77777777" w:rsidR="00FC360C" w:rsidRPr="0055733C" w:rsidRDefault="00FC360C" w:rsidP="0055733C">
            <w:pPr>
              <w:pStyle w:val="Caption"/>
              <w:spacing w:before="0" w:after="0" w:line="276" w:lineRule="auto"/>
              <w:rPr>
                <w:rFonts w:ascii="Calibri" w:hAnsi="Calibri"/>
                <w:b w:val="0"/>
                <w:sz w:val="20"/>
                <w:lang w:val="en-GB"/>
              </w:rPr>
            </w:pPr>
            <w:r w:rsidRPr="0055733C">
              <w:rPr>
                <w:rFonts w:ascii="Calibri" w:hAnsi="Calibri"/>
                <w:b w:val="0"/>
                <w:sz w:val="20"/>
                <w:lang w:val="en-GB"/>
              </w:rPr>
              <w:t xml:space="preserve">Perfluoroheptanoic acid </w:t>
            </w:r>
          </w:p>
        </w:tc>
        <w:tc>
          <w:tcPr>
            <w:tcW w:w="1800" w:type="dxa"/>
            <w:tcBorders>
              <w:top w:val="nil"/>
              <w:left w:val="nil"/>
              <w:bottom w:val="nil"/>
              <w:right w:val="nil"/>
            </w:tcBorders>
          </w:tcPr>
          <w:p w14:paraId="27AB5B64" w14:textId="77777777" w:rsidR="00FC360C" w:rsidRPr="0055733C" w:rsidRDefault="00FC360C" w:rsidP="0055733C">
            <w:pPr>
              <w:pStyle w:val="BodyText2"/>
              <w:spacing w:after="0" w:line="276" w:lineRule="auto"/>
              <w:jc w:val="both"/>
              <w:rPr>
                <w:rFonts w:ascii="Calibri" w:hAnsi="Calibri"/>
              </w:rPr>
            </w:pPr>
            <w:r w:rsidRPr="0055733C">
              <w:rPr>
                <w:rFonts w:ascii="Calibri" w:hAnsi="Calibri"/>
                <w:b/>
                <w:i/>
              </w:rPr>
              <w:t>PFHpA</w:t>
            </w:r>
          </w:p>
        </w:tc>
        <w:tc>
          <w:tcPr>
            <w:tcW w:w="2340" w:type="dxa"/>
            <w:tcBorders>
              <w:top w:val="nil"/>
              <w:left w:val="nil"/>
              <w:bottom w:val="nil"/>
              <w:right w:val="nil"/>
            </w:tcBorders>
          </w:tcPr>
          <w:p w14:paraId="73DDE4CA" w14:textId="77777777" w:rsidR="00FC360C" w:rsidRPr="0055733C" w:rsidRDefault="00FC360C" w:rsidP="0055733C">
            <w:pPr>
              <w:pStyle w:val="Formatvorlage1"/>
              <w:spacing w:line="276" w:lineRule="auto"/>
              <w:jc w:val="both"/>
              <w:rPr>
                <w:rFonts w:ascii="Calibri" w:hAnsi="Calibri"/>
                <w:sz w:val="20"/>
                <w:szCs w:val="20"/>
                <w:lang w:val="en-GB"/>
              </w:rPr>
            </w:pPr>
            <w:r w:rsidRPr="0055733C">
              <w:rPr>
                <w:rFonts w:ascii="Calibri" w:hAnsi="Calibri"/>
                <w:sz w:val="20"/>
                <w:szCs w:val="20"/>
                <w:lang w:val="en-GB"/>
              </w:rPr>
              <w:t>C</w:t>
            </w:r>
            <w:r w:rsidRPr="0055733C">
              <w:rPr>
                <w:rFonts w:ascii="Calibri" w:hAnsi="Calibri"/>
                <w:sz w:val="20"/>
                <w:szCs w:val="20"/>
                <w:vertAlign w:val="subscript"/>
                <w:lang w:val="en-GB"/>
              </w:rPr>
              <w:t>6</w:t>
            </w:r>
            <w:r w:rsidRPr="0055733C">
              <w:rPr>
                <w:rFonts w:ascii="Calibri" w:hAnsi="Calibri"/>
                <w:sz w:val="20"/>
                <w:szCs w:val="20"/>
                <w:lang w:val="en-GB"/>
              </w:rPr>
              <w:t>F</w:t>
            </w:r>
            <w:r w:rsidRPr="0055733C">
              <w:rPr>
                <w:rFonts w:ascii="Calibri" w:hAnsi="Calibri"/>
                <w:sz w:val="20"/>
                <w:szCs w:val="20"/>
                <w:vertAlign w:val="subscript"/>
                <w:lang w:val="en-GB"/>
              </w:rPr>
              <w:t>13</w:t>
            </w:r>
            <w:r w:rsidRPr="0055733C">
              <w:rPr>
                <w:rFonts w:ascii="Calibri" w:hAnsi="Calibri"/>
                <w:sz w:val="20"/>
                <w:szCs w:val="20"/>
                <w:lang w:val="en-GB"/>
              </w:rPr>
              <w:t>COOH</w:t>
            </w:r>
          </w:p>
        </w:tc>
        <w:tc>
          <w:tcPr>
            <w:tcW w:w="1440" w:type="dxa"/>
            <w:tcBorders>
              <w:top w:val="nil"/>
              <w:left w:val="nil"/>
              <w:bottom w:val="nil"/>
              <w:right w:val="nil"/>
            </w:tcBorders>
          </w:tcPr>
          <w:p w14:paraId="229F14F1" w14:textId="77777777" w:rsidR="00FC360C" w:rsidRPr="0055733C" w:rsidRDefault="00FC360C" w:rsidP="0055733C">
            <w:pPr>
              <w:spacing w:after="0"/>
              <w:rPr>
                <w:sz w:val="20"/>
              </w:rPr>
            </w:pPr>
            <w:r w:rsidRPr="0055733C">
              <w:rPr>
                <w:sz w:val="20"/>
              </w:rPr>
              <w:t>375-85-9</w:t>
            </w:r>
          </w:p>
        </w:tc>
      </w:tr>
      <w:tr w:rsidR="00FC360C" w:rsidRPr="0055733C" w14:paraId="1E74213A" w14:textId="77777777" w:rsidTr="002F237A">
        <w:trPr>
          <w:trHeight w:val="340"/>
        </w:trPr>
        <w:tc>
          <w:tcPr>
            <w:tcW w:w="3620" w:type="dxa"/>
            <w:tcBorders>
              <w:top w:val="nil"/>
              <w:left w:val="nil"/>
              <w:bottom w:val="nil"/>
              <w:right w:val="nil"/>
            </w:tcBorders>
          </w:tcPr>
          <w:p w14:paraId="4A829C4C" w14:textId="77777777" w:rsidR="00FC360C" w:rsidRPr="0055733C" w:rsidRDefault="00FC360C" w:rsidP="0055733C">
            <w:pPr>
              <w:pStyle w:val="Caption"/>
              <w:spacing w:before="0" w:after="0" w:line="276" w:lineRule="auto"/>
              <w:rPr>
                <w:rFonts w:ascii="Calibri" w:hAnsi="Calibri" w:cs="Arial"/>
                <w:b w:val="0"/>
                <w:sz w:val="20"/>
                <w:lang w:val="en-GB"/>
              </w:rPr>
            </w:pPr>
            <w:r w:rsidRPr="0055733C">
              <w:rPr>
                <w:rFonts w:ascii="Calibri" w:hAnsi="Calibri" w:cs="Arial"/>
                <w:b w:val="0"/>
                <w:sz w:val="20"/>
                <w:lang w:val="en-GB"/>
              </w:rPr>
              <w:t>Perfluorooctanoic acid</w:t>
            </w:r>
          </w:p>
        </w:tc>
        <w:tc>
          <w:tcPr>
            <w:tcW w:w="1800" w:type="dxa"/>
            <w:tcBorders>
              <w:top w:val="nil"/>
              <w:left w:val="nil"/>
              <w:bottom w:val="nil"/>
              <w:right w:val="nil"/>
            </w:tcBorders>
          </w:tcPr>
          <w:p w14:paraId="0FB2E8DA" w14:textId="77777777" w:rsidR="00FC360C" w:rsidRPr="0055733C" w:rsidRDefault="00FC360C" w:rsidP="0055733C">
            <w:pPr>
              <w:pStyle w:val="BodyText2"/>
              <w:spacing w:after="0" w:line="276" w:lineRule="auto"/>
              <w:jc w:val="both"/>
              <w:rPr>
                <w:rFonts w:ascii="Calibri" w:hAnsi="Calibri" w:cs="Arial"/>
              </w:rPr>
            </w:pPr>
            <w:r w:rsidRPr="0055733C">
              <w:rPr>
                <w:rFonts w:ascii="Calibri" w:hAnsi="Calibri" w:cs="Arial"/>
                <w:b/>
                <w:i/>
              </w:rPr>
              <w:t>PFOA</w:t>
            </w:r>
          </w:p>
        </w:tc>
        <w:tc>
          <w:tcPr>
            <w:tcW w:w="2340" w:type="dxa"/>
            <w:tcBorders>
              <w:top w:val="nil"/>
              <w:left w:val="nil"/>
              <w:bottom w:val="nil"/>
              <w:right w:val="nil"/>
            </w:tcBorders>
          </w:tcPr>
          <w:p w14:paraId="5D9BB37B"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C</w:t>
            </w:r>
            <w:r w:rsidRPr="0055733C">
              <w:rPr>
                <w:rFonts w:ascii="Calibri" w:hAnsi="Calibri" w:cs="Arial"/>
                <w:sz w:val="20"/>
                <w:szCs w:val="20"/>
                <w:vertAlign w:val="subscript"/>
                <w:lang w:val="en-GB"/>
              </w:rPr>
              <w:t>7</w:t>
            </w:r>
            <w:r w:rsidRPr="0055733C">
              <w:rPr>
                <w:rFonts w:ascii="Calibri" w:hAnsi="Calibri" w:cs="Arial"/>
                <w:sz w:val="20"/>
                <w:szCs w:val="20"/>
                <w:lang w:val="en-GB"/>
              </w:rPr>
              <w:t>F</w:t>
            </w:r>
            <w:r w:rsidRPr="0055733C">
              <w:rPr>
                <w:rFonts w:ascii="Calibri" w:hAnsi="Calibri" w:cs="Arial"/>
                <w:sz w:val="20"/>
                <w:szCs w:val="20"/>
                <w:vertAlign w:val="subscript"/>
                <w:lang w:val="en-GB"/>
              </w:rPr>
              <w:t>15</w:t>
            </w:r>
            <w:r w:rsidRPr="0055733C">
              <w:rPr>
                <w:rFonts w:ascii="Calibri" w:hAnsi="Calibri" w:cs="Arial"/>
                <w:sz w:val="20"/>
                <w:szCs w:val="20"/>
                <w:lang w:val="en-GB"/>
              </w:rPr>
              <w:t>COOH</w:t>
            </w:r>
          </w:p>
        </w:tc>
        <w:tc>
          <w:tcPr>
            <w:tcW w:w="1440" w:type="dxa"/>
            <w:tcBorders>
              <w:top w:val="nil"/>
              <w:left w:val="nil"/>
              <w:bottom w:val="nil"/>
              <w:right w:val="nil"/>
            </w:tcBorders>
          </w:tcPr>
          <w:p w14:paraId="3941700B" w14:textId="77777777" w:rsidR="00FC360C" w:rsidRPr="0055733C" w:rsidRDefault="00FC360C" w:rsidP="0055733C">
            <w:pPr>
              <w:spacing w:after="0"/>
              <w:rPr>
                <w:rFonts w:cs="Arial"/>
                <w:sz w:val="20"/>
              </w:rPr>
            </w:pPr>
            <w:r w:rsidRPr="0055733C">
              <w:rPr>
                <w:rFonts w:cs="Arial"/>
                <w:sz w:val="20"/>
              </w:rPr>
              <w:t>335-67-1</w:t>
            </w:r>
          </w:p>
        </w:tc>
      </w:tr>
      <w:tr w:rsidR="00FC360C" w:rsidRPr="0055733C" w14:paraId="159C6F5E" w14:textId="77777777" w:rsidTr="002F237A">
        <w:trPr>
          <w:trHeight w:val="340"/>
        </w:trPr>
        <w:tc>
          <w:tcPr>
            <w:tcW w:w="3620" w:type="dxa"/>
            <w:tcBorders>
              <w:top w:val="nil"/>
              <w:left w:val="nil"/>
              <w:bottom w:val="nil"/>
              <w:right w:val="nil"/>
            </w:tcBorders>
          </w:tcPr>
          <w:p w14:paraId="682B6FA1" w14:textId="77777777" w:rsidR="00FC360C" w:rsidRPr="0055733C" w:rsidRDefault="00FC360C" w:rsidP="0055733C">
            <w:pPr>
              <w:pStyle w:val="Caption"/>
              <w:spacing w:before="0" w:after="0" w:line="276" w:lineRule="auto"/>
              <w:rPr>
                <w:rFonts w:ascii="Calibri" w:hAnsi="Calibri" w:cs="Arial"/>
                <w:b w:val="0"/>
                <w:sz w:val="20"/>
                <w:lang w:val="en-GB"/>
              </w:rPr>
            </w:pPr>
            <w:r w:rsidRPr="0055733C">
              <w:rPr>
                <w:rFonts w:ascii="Calibri" w:hAnsi="Calibri" w:cs="Arial"/>
                <w:b w:val="0"/>
                <w:sz w:val="20"/>
                <w:lang w:val="en-GB"/>
              </w:rPr>
              <w:t>Perfluorononanoic acid</w:t>
            </w:r>
          </w:p>
        </w:tc>
        <w:tc>
          <w:tcPr>
            <w:tcW w:w="1800" w:type="dxa"/>
            <w:tcBorders>
              <w:top w:val="nil"/>
              <w:left w:val="nil"/>
              <w:bottom w:val="nil"/>
              <w:right w:val="nil"/>
            </w:tcBorders>
          </w:tcPr>
          <w:p w14:paraId="65667137" w14:textId="77777777" w:rsidR="00FC360C" w:rsidRPr="0055733C" w:rsidRDefault="00FC360C" w:rsidP="0055733C">
            <w:pPr>
              <w:pStyle w:val="BodyText2"/>
              <w:spacing w:after="0" w:line="276" w:lineRule="auto"/>
              <w:jc w:val="both"/>
              <w:rPr>
                <w:rFonts w:ascii="Calibri" w:hAnsi="Calibri" w:cs="Arial"/>
              </w:rPr>
            </w:pPr>
            <w:r w:rsidRPr="0055733C">
              <w:rPr>
                <w:rFonts w:ascii="Calibri" w:hAnsi="Calibri" w:cs="Arial"/>
                <w:b/>
                <w:i/>
              </w:rPr>
              <w:t>PFNA</w:t>
            </w:r>
          </w:p>
        </w:tc>
        <w:tc>
          <w:tcPr>
            <w:tcW w:w="2340" w:type="dxa"/>
            <w:tcBorders>
              <w:top w:val="nil"/>
              <w:left w:val="nil"/>
              <w:bottom w:val="nil"/>
              <w:right w:val="nil"/>
            </w:tcBorders>
          </w:tcPr>
          <w:p w14:paraId="2612433E"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C</w:t>
            </w:r>
            <w:r w:rsidRPr="0055733C">
              <w:rPr>
                <w:rFonts w:ascii="Calibri" w:hAnsi="Calibri" w:cs="Arial"/>
                <w:sz w:val="20"/>
                <w:szCs w:val="20"/>
                <w:vertAlign w:val="subscript"/>
                <w:lang w:val="en-GB"/>
              </w:rPr>
              <w:t>8</w:t>
            </w:r>
            <w:r w:rsidRPr="0055733C">
              <w:rPr>
                <w:rFonts w:ascii="Calibri" w:hAnsi="Calibri" w:cs="Arial"/>
                <w:sz w:val="20"/>
                <w:szCs w:val="20"/>
                <w:lang w:val="en-GB"/>
              </w:rPr>
              <w:t>F</w:t>
            </w:r>
            <w:r w:rsidRPr="0055733C">
              <w:rPr>
                <w:rFonts w:ascii="Calibri" w:hAnsi="Calibri" w:cs="Arial"/>
                <w:sz w:val="20"/>
                <w:szCs w:val="20"/>
                <w:vertAlign w:val="subscript"/>
                <w:lang w:val="en-GB"/>
              </w:rPr>
              <w:t>17</w:t>
            </w:r>
            <w:r w:rsidRPr="0055733C">
              <w:rPr>
                <w:rFonts w:ascii="Calibri" w:hAnsi="Calibri" w:cs="Arial"/>
                <w:sz w:val="20"/>
                <w:szCs w:val="20"/>
                <w:lang w:val="en-GB"/>
              </w:rPr>
              <w:t>COOH</w:t>
            </w:r>
          </w:p>
        </w:tc>
        <w:tc>
          <w:tcPr>
            <w:tcW w:w="1440" w:type="dxa"/>
            <w:tcBorders>
              <w:top w:val="nil"/>
              <w:left w:val="nil"/>
              <w:bottom w:val="nil"/>
              <w:right w:val="nil"/>
            </w:tcBorders>
          </w:tcPr>
          <w:p w14:paraId="25AA6975" w14:textId="77777777" w:rsidR="00FC360C" w:rsidRPr="0055733C" w:rsidRDefault="00FC360C" w:rsidP="0055733C">
            <w:pPr>
              <w:spacing w:after="0"/>
              <w:rPr>
                <w:rFonts w:cs="Arial"/>
                <w:sz w:val="20"/>
              </w:rPr>
            </w:pPr>
            <w:r w:rsidRPr="0055733C">
              <w:rPr>
                <w:rFonts w:cs="Arial"/>
                <w:sz w:val="20"/>
              </w:rPr>
              <w:t>375-95-1</w:t>
            </w:r>
          </w:p>
        </w:tc>
      </w:tr>
      <w:tr w:rsidR="00FC360C" w:rsidRPr="0055733C" w14:paraId="28A63F6A" w14:textId="77777777" w:rsidTr="002F237A">
        <w:trPr>
          <w:trHeight w:val="340"/>
        </w:trPr>
        <w:tc>
          <w:tcPr>
            <w:tcW w:w="3620" w:type="dxa"/>
            <w:tcBorders>
              <w:top w:val="nil"/>
              <w:left w:val="nil"/>
              <w:bottom w:val="nil"/>
              <w:right w:val="nil"/>
            </w:tcBorders>
          </w:tcPr>
          <w:p w14:paraId="2D693607" w14:textId="77777777" w:rsidR="00FC360C" w:rsidRPr="0055733C" w:rsidRDefault="00FC360C" w:rsidP="0055733C">
            <w:pPr>
              <w:pStyle w:val="Caption"/>
              <w:spacing w:before="0" w:after="0" w:line="276" w:lineRule="auto"/>
              <w:rPr>
                <w:rFonts w:ascii="Calibri" w:hAnsi="Calibri" w:cs="Arial"/>
                <w:b w:val="0"/>
                <w:sz w:val="20"/>
                <w:lang w:val="en-GB"/>
              </w:rPr>
            </w:pPr>
            <w:r w:rsidRPr="0055733C">
              <w:rPr>
                <w:rFonts w:ascii="Calibri" w:hAnsi="Calibri" w:cs="Arial"/>
                <w:b w:val="0"/>
                <w:sz w:val="20"/>
                <w:lang w:val="en-GB"/>
              </w:rPr>
              <w:t>Perfluorodecanoic acid</w:t>
            </w:r>
          </w:p>
        </w:tc>
        <w:tc>
          <w:tcPr>
            <w:tcW w:w="1800" w:type="dxa"/>
            <w:tcBorders>
              <w:top w:val="nil"/>
              <w:left w:val="nil"/>
              <w:bottom w:val="nil"/>
              <w:right w:val="nil"/>
            </w:tcBorders>
          </w:tcPr>
          <w:p w14:paraId="384A6BF5" w14:textId="77777777" w:rsidR="00FC360C" w:rsidRPr="0055733C" w:rsidRDefault="00FC360C" w:rsidP="0055733C">
            <w:pPr>
              <w:pStyle w:val="BodyText2"/>
              <w:spacing w:after="0" w:line="276" w:lineRule="auto"/>
              <w:jc w:val="both"/>
              <w:rPr>
                <w:rFonts w:ascii="Calibri" w:hAnsi="Calibri" w:cs="Arial"/>
              </w:rPr>
            </w:pPr>
            <w:r w:rsidRPr="0055733C">
              <w:rPr>
                <w:rFonts w:ascii="Calibri" w:hAnsi="Calibri" w:cs="Arial"/>
                <w:b/>
                <w:i/>
              </w:rPr>
              <w:t>PFDA</w:t>
            </w:r>
          </w:p>
        </w:tc>
        <w:tc>
          <w:tcPr>
            <w:tcW w:w="2340" w:type="dxa"/>
            <w:tcBorders>
              <w:top w:val="nil"/>
              <w:left w:val="nil"/>
              <w:bottom w:val="nil"/>
              <w:right w:val="nil"/>
            </w:tcBorders>
          </w:tcPr>
          <w:p w14:paraId="1A1C5F70"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C</w:t>
            </w:r>
            <w:r w:rsidRPr="0055733C">
              <w:rPr>
                <w:rFonts w:ascii="Calibri" w:hAnsi="Calibri" w:cs="Arial"/>
                <w:sz w:val="20"/>
                <w:szCs w:val="20"/>
                <w:vertAlign w:val="subscript"/>
                <w:lang w:val="en-GB"/>
              </w:rPr>
              <w:t>9</w:t>
            </w:r>
            <w:r w:rsidRPr="0055733C">
              <w:rPr>
                <w:rFonts w:ascii="Calibri" w:hAnsi="Calibri" w:cs="Arial"/>
                <w:sz w:val="20"/>
                <w:szCs w:val="20"/>
                <w:lang w:val="en-GB"/>
              </w:rPr>
              <w:t>F</w:t>
            </w:r>
            <w:r w:rsidRPr="0055733C">
              <w:rPr>
                <w:rFonts w:ascii="Calibri" w:hAnsi="Calibri" w:cs="Arial"/>
                <w:sz w:val="20"/>
                <w:szCs w:val="20"/>
                <w:vertAlign w:val="subscript"/>
                <w:lang w:val="en-GB"/>
              </w:rPr>
              <w:t>19</w:t>
            </w:r>
            <w:r w:rsidRPr="0055733C">
              <w:rPr>
                <w:rFonts w:ascii="Calibri" w:hAnsi="Calibri" w:cs="Arial"/>
                <w:sz w:val="20"/>
                <w:szCs w:val="20"/>
                <w:lang w:val="en-GB"/>
              </w:rPr>
              <w:t>COOH</w:t>
            </w:r>
          </w:p>
        </w:tc>
        <w:tc>
          <w:tcPr>
            <w:tcW w:w="1440" w:type="dxa"/>
            <w:tcBorders>
              <w:top w:val="nil"/>
              <w:left w:val="nil"/>
              <w:bottom w:val="nil"/>
              <w:right w:val="nil"/>
            </w:tcBorders>
          </w:tcPr>
          <w:p w14:paraId="4D85FF76" w14:textId="77777777" w:rsidR="00FC360C" w:rsidRPr="0055733C" w:rsidRDefault="00FC360C" w:rsidP="0055733C">
            <w:pPr>
              <w:spacing w:after="0"/>
              <w:rPr>
                <w:rFonts w:cs="Arial"/>
                <w:sz w:val="20"/>
              </w:rPr>
            </w:pPr>
            <w:r w:rsidRPr="0055733C">
              <w:rPr>
                <w:rFonts w:cs="Arial"/>
                <w:sz w:val="20"/>
              </w:rPr>
              <w:t>335-76-2</w:t>
            </w:r>
          </w:p>
        </w:tc>
      </w:tr>
      <w:tr w:rsidR="00FC360C" w:rsidRPr="0055733C" w14:paraId="126013F8" w14:textId="77777777" w:rsidTr="002F237A">
        <w:trPr>
          <w:trHeight w:val="340"/>
        </w:trPr>
        <w:tc>
          <w:tcPr>
            <w:tcW w:w="3620" w:type="dxa"/>
            <w:tcBorders>
              <w:top w:val="nil"/>
              <w:left w:val="nil"/>
              <w:bottom w:val="nil"/>
              <w:right w:val="nil"/>
            </w:tcBorders>
          </w:tcPr>
          <w:p w14:paraId="0CDB8E6B" w14:textId="77777777" w:rsidR="00FC360C" w:rsidRPr="0055733C" w:rsidRDefault="00FC360C" w:rsidP="0055733C">
            <w:pPr>
              <w:pStyle w:val="Caption"/>
              <w:spacing w:before="0" w:after="0" w:line="276" w:lineRule="auto"/>
              <w:rPr>
                <w:rFonts w:ascii="Calibri" w:hAnsi="Calibri" w:cs="Arial"/>
                <w:b w:val="0"/>
                <w:sz w:val="20"/>
                <w:lang w:val="en-GB"/>
              </w:rPr>
            </w:pPr>
            <w:r w:rsidRPr="0055733C">
              <w:rPr>
                <w:rFonts w:ascii="Calibri" w:hAnsi="Calibri" w:cs="Arial"/>
                <w:b w:val="0"/>
                <w:sz w:val="20"/>
                <w:lang w:val="en-GB"/>
              </w:rPr>
              <w:t>Perfluoroundecanoic acid</w:t>
            </w:r>
          </w:p>
        </w:tc>
        <w:tc>
          <w:tcPr>
            <w:tcW w:w="1800" w:type="dxa"/>
            <w:tcBorders>
              <w:top w:val="nil"/>
              <w:left w:val="nil"/>
              <w:bottom w:val="nil"/>
              <w:right w:val="nil"/>
            </w:tcBorders>
          </w:tcPr>
          <w:p w14:paraId="5DF3483B" w14:textId="77777777" w:rsidR="00FC360C" w:rsidRPr="0055733C" w:rsidRDefault="00FC360C" w:rsidP="0055733C">
            <w:pPr>
              <w:pStyle w:val="BodyText2"/>
              <w:spacing w:after="0" w:line="276" w:lineRule="auto"/>
              <w:jc w:val="both"/>
              <w:rPr>
                <w:rFonts w:ascii="Calibri" w:hAnsi="Calibri" w:cs="Arial"/>
              </w:rPr>
            </w:pPr>
            <w:r w:rsidRPr="0055733C">
              <w:rPr>
                <w:rFonts w:ascii="Calibri" w:hAnsi="Calibri" w:cs="Arial"/>
                <w:b/>
                <w:i/>
              </w:rPr>
              <w:t>PFUnDA</w:t>
            </w:r>
          </w:p>
        </w:tc>
        <w:tc>
          <w:tcPr>
            <w:tcW w:w="2340" w:type="dxa"/>
            <w:tcBorders>
              <w:top w:val="nil"/>
              <w:left w:val="nil"/>
              <w:bottom w:val="nil"/>
              <w:right w:val="nil"/>
            </w:tcBorders>
          </w:tcPr>
          <w:p w14:paraId="5926E376"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C</w:t>
            </w:r>
            <w:r w:rsidRPr="0055733C">
              <w:rPr>
                <w:rFonts w:ascii="Calibri" w:hAnsi="Calibri" w:cs="Arial"/>
                <w:sz w:val="20"/>
                <w:szCs w:val="20"/>
                <w:vertAlign w:val="subscript"/>
                <w:lang w:val="en-GB"/>
              </w:rPr>
              <w:t>10</w:t>
            </w:r>
            <w:r w:rsidRPr="0055733C">
              <w:rPr>
                <w:rFonts w:ascii="Calibri" w:hAnsi="Calibri" w:cs="Arial"/>
                <w:sz w:val="20"/>
                <w:szCs w:val="20"/>
                <w:lang w:val="en-GB"/>
              </w:rPr>
              <w:t>F</w:t>
            </w:r>
            <w:r w:rsidRPr="0055733C">
              <w:rPr>
                <w:rFonts w:ascii="Calibri" w:hAnsi="Calibri" w:cs="Arial"/>
                <w:sz w:val="20"/>
                <w:szCs w:val="20"/>
                <w:vertAlign w:val="subscript"/>
                <w:lang w:val="en-GB"/>
              </w:rPr>
              <w:t>21</w:t>
            </w:r>
            <w:r w:rsidRPr="0055733C">
              <w:rPr>
                <w:rFonts w:ascii="Calibri" w:hAnsi="Calibri" w:cs="Arial"/>
                <w:sz w:val="20"/>
                <w:szCs w:val="20"/>
                <w:lang w:val="en-GB"/>
              </w:rPr>
              <w:t>COOH</w:t>
            </w:r>
          </w:p>
        </w:tc>
        <w:tc>
          <w:tcPr>
            <w:tcW w:w="1440" w:type="dxa"/>
            <w:tcBorders>
              <w:top w:val="nil"/>
              <w:left w:val="nil"/>
              <w:bottom w:val="nil"/>
              <w:right w:val="nil"/>
            </w:tcBorders>
          </w:tcPr>
          <w:p w14:paraId="43F11283" w14:textId="77777777" w:rsidR="00FC360C" w:rsidRPr="0055733C" w:rsidRDefault="00FC360C" w:rsidP="0055733C">
            <w:pPr>
              <w:spacing w:after="0"/>
              <w:rPr>
                <w:rFonts w:cs="Arial"/>
                <w:sz w:val="20"/>
              </w:rPr>
            </w:pPr>
            <w:r w:rsidRPr="0055733C">
              <w:rPr>
                <w:rFonts w:cs="Arial"/>
                <w:sz w:val="20"/>
              </w:rPr>
              <w:t>4234-23-5</w:t>
            </w:r>
          </w:p>
        </w:tc>
      </w:tr>
      <w:tr w:rsidR="00FC360C" w:rsidRPr="0055733C" w14:paraId="6086376E" w14:textId="77777777" w:rsidTr="002F237A">
        <w:trPr>
          <w:trHeight w:val="340"/>
        </w:trPr>
        <w:tc>
          <w:tcPr>
            <w:tcW w:w="3620" w:type="dxa"/>
            <w:tcBorders>
              <w:top w:val="nil"/>
              <w:left w:val="nil"/>
              <w:bottom w:val="nil"/>
              <w:right w:val="nil"/>
            </w:tcBorders>
          </w:tcPr>
          <w:p w14:paraId="0AEAC58C" w14:textId="77777777" w:rsidR="00FC360C" w:rsidRPr="0055733C" w:rsidRDefault="00FC360C" w:rsidP="0055733C">
            <w:pPr>
              <w:pStyle w:val="Caption"/>
              <w:spacing w:before="0" w:after="0" w:line="276" w:lineRule="auto"/>
              <w:rPr>
                <w:rFonts w:ascii="Calibri" w:hAnsi="Calibri" w:cs="Arial"/>
                <w:b w:val="0"/>
                <w:sz w:val="20"/>
                <w:lang w:val="en-GB"/>
              </w:rPr>
            </w:pPr>
            <w:r w:rsidRPr="0055733C">
              <w:rPr>
                <w:rFonts w:ascii="Calibri" w:hAnsi="Calibri" w:cs="Arial"/>
                <w:b w:val="0"/>
                <w:sz w:val="20"/>
                <w:lang w:val="en-GB"/>
              </w:rPr>
              <w:t>Perfluorododecanoic acid</w:t>
            </w:r>
          </w:p>
        </w:tc>
        <w:tc>
          <w:tcPr>
            <w:tcW w:w="1800" w:type="dxa"/>
            <w:tcBorders>
              <w:top w:val="nil"/>
              <w:left w:val="nil"/>
              <w:bottom w:val="nil"/>
              <w:right w:val="nil"/>
            </w:tcBorders>
          </w:tcPr>
          <w:p w14:paraId="6BA94507" w14:textId="77777777" w:rsidR="00FC360C" w:rsidRPr="0055733C" w:rsidRDefault="00FC360C" w:rsidP="0055733C">
            <w:pPr>
              <w:pStyle w:val="BodyText2"/>
              <w:spacing w:after="0" w:line="276" w:lineRule="auto"/>
              <w:jc w:val="both"/>
              <w:rPr>
                <w:rFonts w:ascii="Calibri" w:hAnsi="Calibri" w:cs="Arial"/>
              </w:rPr>
            </w:pPr>
            <w:r w:rsidRPr="0055733C">
              <w:rPr>
                <w:rFonts w:ascii="Calibri" w:hAnsi="Calibri" w:cs="Arial"/>
                <w:b/>
                <w:i/>
              </w:rPr>
              <w:t>PFDoDA</w:t>
            </w:r>
          </w:p>
        </w:tc>
        <w:tc>
          <w:tcPr>
            <w:tcW w:w="2340" w:type="dxa"/>
            <w:tcBorders>
              <w:top w:val="nil"/>
              <w:left w:val="nil"/>
              <w:bottom w:val="nil"/>
              <w:right w:val="nil"/>
            </w:tcBorders>
          </w:tcPr>
          <w:p w14:paraId="57CA0E16"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C</w:t>
            </w:r>
            <w:r w:rsidRPr="0055733C">
              <w:rPr>
                <w:rFonts w:ascii="Calibri" w:hAnsi="Calibri" w:cs="Arial"/>
                <w:sz w:val="20"/>
                <w:szCs w:val="20"/>
                <w:vertAlign w:val="subscript"/>
                <w:lang w:val="en-GB"/>
              </w:rPr>
              <w:t>11</w:t>
            </w:r>
            <w:r w:rsidRPr="0055733C">
              <w:rPr>
                <w:rFonts w:ascii="Calibri" w:hAnsi="Calibri" w:cs="Arial"/>
                <w:sz w:val="20"/>
                <w:szCs w:val="20"/>
                <w:lang w:val="en-GB"/>
              </w:rPr>
              <w:t>F</w:t>
            </w:r>
            <w:r w:rsidRPr="0055733C">
              <w:rPr>
                <w:rFonts w:ascii="Calibri" w:hAnsi="Calibri" w:cs="Arial"/>
                <w:sz w:val="20"/>
                <w:szCs w:val="20"/>
                <w:vertAlign w:val="subscript"/>
                <w:lang w:val="en-GB"/>
              </w:rPr>
              <w:t>23</w:t>
            </w:r>
            <w:r w:rsidRPr="0055733C">
              <w:rPr>
                <w:rFonts w:ascii="Calibri" w:hAnsi="Calibri" w:cs="Arial"/>
                <w:sz w:val="20"/>
                <w:szCs w:val="20"/>
                <w:lang w:val="en-GB"/>
              </w:rPr>
              <w:t>COOH</w:t>
            </w:r>
          </w:p>
        </w:tc>
        <w:tc>
          <w:tcPr>
            <w:tcW w:w="1440" w:type="dxa"/>
            <w:tcBorders>
              <w:top w:val="nil"/>
              <w:left w:val="nil"/>
              <w:bottom w:val="nil"/>
              <w:right w:val="nil"/>
            </w:tcBorders>
          </w:tcPr>
          <w:p w14:paraId="7D8B353C" w14:textId="77777777" w:rsidR="00FC360C" w:rsidRPr="0055733C" w:rsidRDefault="00FC360C" w:rsidP="0055733C">
            <w:pPr>
              <w:spacing w:after="0"/>
              <w:rPr>
                <w:rFonts w:cs="Arial"/>
                <w:sz w:val="20"/>
              </w:rPr>
            </w:pPr>
            <w:r w:rsidRPr="0055733C">
              <w:rPr>
                <w:rFonts w:cs="Arial"/>
                <w:sz w:val="20"/>
              </w:rPr>
              <w:t>307-55-1</w:t>
            </w:r>
          </w:p>
        </w:tc>
      </w:tr>
      <w:tr w:rsidR="00FC360C" w:rsidRPr="0055733C" w14:paraId="1ED19132" w14:textId="77777777" w:rsidTr="002F237A">
        <w:trPr>
          <w:trHeight w:val="340"/>
        </w:trPr>
        <w:tc>
          <w:tcPr>
            <w:tcW w:w="3620" w:type="dxa"/>
            <w:tcBorders>
              <w:top w:val="nil"/>
              <w:left w:val="nil"/>
              <w:bottom w:val="nil"/>
              <w:right w:val="nil"/>
            </w:tcBorders>
          </w:tcPr>
          <w:p w14:paraId="180961E3" w14:textId="77777777" w:rsidR="00FC360C" w:rsidRPr="0055733C" w:rsidRDefault="00FC360C" w:rsidP="0055733C">
            <w:pPr>
              <w:pStyle w:val="Caption"/>
              <w:spacing w:before="0" w:after="0" w:line="276" w:lineRule="auto"/>
              <w:rPr>
                <w:rFonts w:ascii="Calibri" w:hAnsi="Calibri" w:cs="Arial"/>
                <w:b w:val="0"/>
                <w:sz w:val="20"/>
                <w:lang w:val="en-GB"/>
              </w:rPr>
            </w:pPr>
            <w:r w:rsidRPr="0055733C">
              <w:rPr>
                <w:rFonts w:ascii="Calibri" w:hAnsi="Calibri" w:cs="Arial"/>
                <w:b w:val="0"/>
                <w:sz w:val="20"/>
                <w:lang w:val="en-GB"/>
              </w:rPr>
              <w:t>Perfluorotridecanoic acid</w:t>
            </w:r>
          </w:p>
        </w:tc>
        <w:tc>
          <w:tcPr>
            <w:tcW w:w="1800" w:type="dxa"/>
            <w:tcBorders>
              <w:top w:val="nil"/>
              <w:left w:val="nil"/>
              <w:bottom w:val="nil"/>
              <w:right w:val="nil"/>
            </w:tcBorders>
          </w:tcPr>
          <w:p w14:paraId="3AFCFCA9" w14:textId="77777777" w:rsidR="00FC360C" w:rsidRPr="0055733C" w:rsidRDefault="00FC360C" w:rsidP="0055733C">
            <w:pPr>
              <w:pStyle w:val="BodyText2"/>
              <w:spacing w:after="0" w:line="276" w:lineRule="auto"/>
              <w:jc w:val="both"/>
              <w:rPr>
                <w:rFonts w:ascii="Calibri" w:hAnsi="Calibri" w:cs="Arial"/>
              </w:rPr>
            </w:pPr>
            <w:r w:rsidRPr="0055733C">
              <w:rPr>
                <w:rFonts w:ascii="Calibri" w:hAnsi="Calibri" w:cs="Arial"/>
                <w:b/>
                <w:i/>
              </w:rPr>
              <w:t>PFTriDA</w:t>
            </w:r>
          </w:p>
        </w:tc>
        <w:tc>
          <w:tcPr>
            <w:tcW w:w="2340" w:type="dxa"/>
            <w:tcBorders>
              <w:top w:val="nil"/>
              <w:left w:val="nil"/>
              <w:bottom w:val="nil"/>
              <w:right w:val="nil"/>
            </w:tcBorders>
          </w:tcPr>
          <w:p w14:paraId="1675A5E8"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C</w:t>
            </w:r>
            <w:r w:rsidRPr="0055733C">
              <w:rPr>
                <w:rFonts w:ascii="Calibri" w:hAnsi="Calibri" w:cs="Arial"/>
                <w:sz w:val="20"/>
                <w:szCs w:val="20"/>
                <w:vertAlign w:val="subscript"/>
                <w:lang w:val="en-GB"/>
              </w:rPr>
              <w:t>15</w:t>
            </w:r>
            <w:r w:rsidRPr="0055733C">
              <w:rPr>
                <w:rFonts w:ascii="Calibri" w:hAnsi="Calibri" w:cs="Arial"/>
                <w:sz w:val="20"/>
                <w:szCs w:val="20"/>
                <w:lang w:val="en-GB"/>
              </w:rPr>
              <w:t>F</w:t>
            </w:r>
            <w:r w:rsidRPr="0055733C">
              <w:rPr>
                <w:rFonts w:ascii="Calibri" w:hAnsi="Calibri" w:cs="Arial"/>
                <w:sz w:val="20"/>
                <w:szCs w:val="20"/>
                <w:vertAlign w:val="subscript"/>
                <w:lang w:val="en-GB"/>
              </w:rPr>
              <w:t>25</w:t>
            </w:r>
            <w:r w:rsidRPr="0055733C">
              <w:rPr>
                <w:rFonts w:ascii="Calibri" w:hAnsi="Calibri" w:cs="Arial"/>
                <w:sz w:val="20"/>
                <w:szCs w:val="20"/>
                <w:lang w:val="en-GB"/>
              </w:rPr>
              <w:t>COOH</w:t>
            </w:r>
          </w:p>
        </w:tc>
        <w:tc>
          <w:tcPr>
            <w:tcW w:w="1440" w:type="dxa"/>
            <w:tcBorders>
              <w:top w:val="nil"/>
              <w:left w:val="nil"/>
              <w:bottom w:val="nil"/>
              <w:right w:val="nil"/>
            </w:tcBorders>
          </w:tcPr>
          <w:p w14:paraId="3A6A65D6" w14:textId="77777777" w:rsidR="00FC360C" w:rsidRPr="0055733C" w:rsidRDefault="00FC360C" w:rsidP="0055733C">
            <w:pPr>
              <w:spacing w:after="0"/>
              <w:rPr>
                <w:rFonts w:cs="Arial"/>
                <w:sz w:val="20"/>
              </w:rPr>
            </w:pPr>
            <w:r w:rsidRPr="0055733C">
              <w:rPr>
                <w:rFonts w:cs="Arial"/>
                <w:sz w:val="20"/>
              </w:rPr>
              <w:t>72629-94-8</w:t>
            </w:r>
          </w:p>
        </w:tc>
      </w:tr>
      <w:tr w:rsidR="00FC360C" w:rsidRPr="0055733C" w14:paraId="19F59D2B" w14:textId="77777777" w:rsidTr="002F237A">
        <w:trPr>
          <w:trHeight w:val="340"/>
        </w:trPr>
        <w:tc>
          <w:tcPr>
            <w:tcW w:w="3620" w:type="dxa"/>
            <w:tcBorders>
              <w:top w:val="nil"/>
              <w:left w:val="nil"/>
              <w:bottom w:val="nil"/>
              <w:right w:val="nil"/>
            </w:tcBorders>
          </w:tcPr>
          <w:p w14:paraId="68BBE575" w14:textId="77777777" w:rsidR="00FC360C" w:rsidRPr="0055733C" w:rsidRDefault="00FC360C" w:rsidP="0055733C">
            <w:pPr>
              <w:pStyle w:val="Caption"/>
              <w:spacing w:before="0" w:after="0" w:line="276" w:lineRule="auto"/>
              <w:rPr>
                <w:rFonts w:ascii="Calibri" w:hAnsi="Calibri" w:cs="Arial"/>
                <w:b w:val="0"/>
                <w:sz w:val="20"/>
                <w:lang w:val="en-GB"/>
              </w:rPr>
            </w:pPr>
            <w:r w:rsidRPr="0055733C">
              <w:rPr>
                <w:rFonts w:ascii="Calibri" w:hAnsi="Calibri" w:cs="Arial"/>
                <w:b w:val="0"/>
                <w:sz w:val="20"/>
                <w:lang w:val="en-GB"/>
              </w:rPr>
              <w:t>Perfluorotetradecanoic acid</w:t>
            </w:r>
          </w:p>
        </w:tc>
        <w:tc>
          <w:tcPr>
            <w:tcW w:w="1800" w:type="dxa"/>
            <w:tcBorders>
              <w:top w:val="nil"/>
              <w:left w:val="nil"/>
              <w:bottom w:val="nil"/>
              <w:right w:val="nil"/>
            </w:tcBorders>
          </w:tcPr>
          <w:p w14:paraId="0B5E9F7C" w14:textId="77777777" w:rsidR="00FC360C" w:rsidRPr="0055733C" w:rsidRDefault="00FC360C" w:rsidP="0055733C">
            <w:pPr>
              <w:pStyle w:val="BodyText2"/>
              <w:spacing w:after="0" w:line="276" w:lineRule="auto"/>
              <w:jc w:val="both"/>
              <w:rPr>
                <w:rFonts w:ascii="Calibri" w:hAnsi="Calibri" w:cs="Arial"/>
              </w:rPr>
            </w:pPr>
            <w:r w:rsidRPr="0055733C">
              <w:rPr>
                <w:rFonts w:ascii="Calibri" w:hAnsi="Calibri" w:cs="Arial"/>
                <w:b/>
                <w:i/>
              </w:rPr>
              <w:t>PFTeDA</w:t>
            </w:r>
          </w:p>
        </w:tc>
        <w:tc>
          <w:tcPr>
            <w:tcW w:w="2340" w:type="dxa"/>
            <w:tcBorders>
              <w:top w:val="nil"/>
              <w:left w:val="nil"/>
              <w:bottom w:val="nil"/>
              <w:right w:val="nil"/>
            </w:tcBorders>
          </w:tcPr>
          <w:p w14:paraId="481913B1"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C</w:t>
            </w:r>
            <w:r w:rsidRPr="0055733C">
              <w:rPr>
                <w:rFonts w:ascii="Calibri" w:hAnsi="Calibri" w:cs="Arial"/>
                <w:sz w:val="20"/>
                <w:szCs w:val="20"/>
                <w:vertAlign w:val="subscript"/>
                <w:lang w:val="en-GB"/>
              </w:rPr>
              <w:t>13</w:t>
            </w:r>
            <w:r w:rsidRPr="0055733C">
              <w:rPr>
                <w:rFonts w:ascii="Calibri" w:hAnsi="Calibri" w:cs="Arial"/>
                <w:sz w:val="20"/>
                <w:szCs w:val="20"/>
                <w:lang w:val="en-GB"/>
              </w:rPr>
              <w:t>F</w:t>
            </w:r>
            <w:r w:rsidRPr="0055733C">
              <w:rPr>
                <w:rFonts w:ascii="Calibri" w:hAnsi="Calibri" w:cs="Arial"/>
                <w:sz w:val="20"/>
                <w:szCs w:val="20"/>
                <w:vertAlign w:val="subscript"/>
                <w:lang w:val="en-GB"/>
              </w:rPr>
              <w:t>27</w:t>
            </w:r>
            <w:r w:rsidRPr="0055733C">
              <w:rPr>
                <w:rFonts w:ascii="Calibri" w:hAnsi="Calibri" w:cs="Arial"/>
                <w:sz w:val="20"/>
                <w:szCs w:val="20"/>
                <w:lang w:val="en-GB"/>
              </w:rPr>
              <w:t>COOH</w:t>
            </w:r>
          </w:p>
        </w:tc>
        <w:tc>
          <w:tcPr>
            <w:tcW w:w="1440" w:type="dxa"/>
            <w:tcBorders>
              <w:top w:val="nil"/>
              <w:left w:val="nil"/>
              <w:bottom w:val="nil"/>
              <w:right w:val="nil"/>
            </w:tcBorders>
          </w:tcPr>
          <w:p w14:paraId="05153742" w14:textId="77777777" w:rsidR="00FC360C" w:rsidRPr="0055733C" w:rsidRDefault="00FC360C" w:rsidP="0055733C">
            <w:pPr>
              <w:spacing w:after="0"/>
              <w:rPr>
                <w:rFonts w:cs="Arial"/>
                <w:sz w:val="20"/>
              </w:rPr>
            </w:pPr>
            <w:r w:rsidRPr="0055733C">
              <w:rPr>
                <w:rFonts w:cs="Arial"/>
                <w:sz w:val="20"/>
              </w:rPr>
              <w:t>376-06-7</w:t>
            </w:r>
          </w:p>
        </w:tc>
      </w:tr>
      <w:tr w:rsidR="00FC360C" w:rsidRPr="0055733C" w14:paraId="2D391A05" w14:textId="77777777" w:rsidTr="002F237A">
        <w:trPr>
          <w:trHeight w:val="340"/>
        </w:trPr>
        <w:tc>
          <w:tcPr>
            <w:tcW w:w="3620" w:type="dxa"/>
            <w:tcBorders>
              <w:top w:val="nil"/>
              <w:left w:val="nil"/>
              <w:bottom w:val="nil"/>
              <w:right w:val="nil"/>
            </w:tcBorders>
          </w:tcPr>
          <w:p w14:paraId="7E9B4B51" w14:textId="77777777" w:rsidR="00FC360C" w:rsidRPr="0055733C" w:rsidRDefault="00FC360C" w:rsidP="0055733C">
            <w:pPr>
              <w:pStyle w:val="Caption"/>
              <w:spacing w:before="0" w:after="0" w:line="276" w:lineRule="auto"/>
              <w:rPr>
                <w:rFonts w:ascii="Calibri" w:hAnsi="Calibri" w:cs="Arial"/>
                <w:b w:val="0"/>
                <w:sz w:val="20"/>
                <w:lang w:val="en-GB"/>
              </w:rPr>
            </w:pPr>
            <w:r w:rsidRPr="0055733C">
              <w:rPr>
                <w:rFonts w:ascii="Calibri" w:hAnsi="Calibri" w:cs="Arial"/>
                <w:b w:val="0"/>
                <w:sz w:val="20"/>
                <w:lang w:val="en-GB"/>
              </w:rPr>
              <w:t>Perfluorohexadecanoic acid</w:t>
            </w:r>
          </w:p>
        </w:tc>
        <w:tc>
          <w:tcPr>
            <w:tcW w:w="1800" w:type="dxa"/>
            <w:tcBorders>
              <w:top w:val="nil"/>
              <w:left w:val="nil"/>
              <w:bottom w:val="nil"/>
              <w:right w:val="nil"/>
            </w:tcBorders>
          </w:tcPr>
          <w:p w14:paraId="26A55452" w14:textId="77777777" w:rsidR="00FC360C" w:rsidRPr="0055733C" w:rsidRDefault="00FC360C" w:rsidP="0055733C">
            <w:pPr>
              <w:pStyle w:val="BodyText2"/>
              <w:spacing w:after="0" w:line="276" w:lineRule="auto"/>
              <w:jc w:val="both"/>
              <w:rPr>
                <w:rFonts w:ascii="Calibri" w:hAnsi="Calibri" w:cs="Arial"/>
              </w:rPr>
            </w:pPr>
            <w:r w:rsidRPr="0055733C">
              <w:rPr>
                <w:rFonts w:ascii="Calibri" w:hAnsi="Calibri" w:cs="Arial"/>
                <w:b/>
                <w:i/>
              </w:rPr>
              <w:t>PFHxDA</w:t>
            </w:r>
          </w:p>
        </w:tc>
        <w:tc>
          <w:tcPr>
            <w:tcW w:w="2340" w:type="dxa"/>
            <w:tcBorders>
              <w:top w:val="nil"/>
              <w:left w:val="nil"/>
              <w:bottom w:val="nil"/>
              <w:right w:val="nil"/>
            </w:tcBorders>
          </w:tcPr>
          <w:p w14:paraId="2FA084DD"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C</w:t>
            </w:r>
            <w:r w:rsidRPr="0055733C">
              <w:rPr>
                <w:rFonts w:ascii="Calibri" w:hAnsi="Calibri" w:cs="Arial"/>
                <w:sz w:val="20"/>
                <w:szCs w:val="20"/>
                <w:vertAlign w:val="subscript"/>
                <w:lang w:val="en-GB"/>
              </w:rPr>
              <w:t>15</w:t>
            </w:r>
            <w:r w:rsidRPr="0055733C">
              <w:rPr>
                <w:rFonts w:ascii="Calibri" w:hAnsi="Calibri" w:cs="Arial"/>
                <w:sz w:val="20"/>
                <w:szCs w:val="20"/>
                <w:lang w:val="en-GB"/>
              </w:rPr>
              <w:t>F</w:t>
            </w:r>
            <w:r w:rsidRPr="0055733C">
              <w:rPr>
                <w:rFonts w:ascii="Calibri" w:hAnsi="Calibri" w:cs="Arial"/>
                <w:sz w:val="20"/>
                <w:szCs w:val="20"/>
                <w:vertAlign w:val="subscript"/>
                <w:lang w:val="en-GB"/>
              </w:rPr>
              <w:t>31</w:t>
            </w:r>
            <w:r w:rsidRPr="0055733C">
              <w:rPr>
                <w:rFonts w:ascii="Calibri" w:hAnsi="Calibri" w:cs="Arial"/>
                <w:sz w:val="20"/>
                <w:szCs w:val="20"/>
                <w:lang w:val="en-GB"/>
              </w:rPr>
              <w:t>COOH</w:t>
            </w:r>
          </w:p>
        </w:tc>
        <w:tc>
          <w:tcPr>
            <w:tcW w:w="1440" w:type="dxa"/>
            <w:tcBorders>
              <w:top w:val="nil"/>
              <w:left w:val="nil"/>
              <w:bottom w:val="nil"/>
              <w:right w:val="nil"/>
            </w:tcBorders>
          </w:tcPr>
          <w:p w14:paraId="3C15D92B" w14:textId="77777777" w:rsidR="00FC360C" w:rsidRPr="0055733C" w:rsidRDefault="00FC360C" w:rsidP="0055733C">
            <w:pPr>
              <w:spacing w:after="0"/>
              <w:rPr>
                <w:rFonts w:cs="Arial"/>
                <w:sz w:val="20"/>
              </w:rPr>
            </w:pPr>
            <w:r w:rsidRPr="0055733C">
              <w:rPr>
                <w:rFonts w:cs="Arial"/>
                <w:sz w:val="20"/>
              </w:rPr>
              <w:t>67905-19-5</w:t>
            </w:r>
          </w:p>
        </w:tc>
      </w:tr>
      <w:tr w:rsidR="00FC360C" w:rsidRPr="0055733C" w14:paraId="66648875" w14:textId="77777777" w:rsidTr="002F237A">
        <w:trPr>
          <w:trHeight w:val="340"/>
        </w:trPr>
        <w:tc>
          <w:tcPr>
            <w:tcW w:w="3620" w:type="dxa"/>
            <w:tcBorders>
              <w:top w:val="nil"/>
              <w:left w:val="nil"/>
              <w:bottom w:val="nil"/>
              <w:right w:val="nil"/>
            </w:tcBorders>
          </w:tcPr>
          <w:p w14:paraId="02A7EBAA" w14:textId="77777777" w:rsidR="00FC360C" w:rsidRPr="0055733C" w:rsidRDefault="00FC360C" w:rsidP="0055733C">
            <w:pPr>
              <w:pStyle w:val="Title"/>
              <w:spacing w:before="0" w:after="0"/>
              <w:rPr>
                <w:sz w:val="20"/>
                <w:szCs w:val="20"/>
              </w:rPr>
            </w:pPr>
            <w:bookmarkStart w:id="248" w:name="_Toc511217533"/>
            <w:r w:rsidRPr="0055733C">
              <w:rPr>
                <w:sz w:val="20"/>
                <w:szCs w:val="20"/>
              </w:rPr>
              <w:t>Perfluorobutane sulfonate</w:t>
            </w:r>
            <w:bookmarkEnd w:id="248"/>
          </w:p>
        </w:tc>
        <w:tc>
          <w:tcPr>
            <w:tcW w:w="1800" w:type="dxa"/>
            <w:tcBorders>
              <w:top w:val="nil"/>
              <w:left w:val="nil"/>
              <w:bottom w:val="nil"/>
              <w:right w:val="nil"/>
            </w:tcBorders>
          </w:tcPr>
          <w:p w14:paraId="7F0894EC" w14:textId="77777777" w:rsidR="00FC360C" w:rsidRPr="0055733C" w:rsidRDefault="00FC360C" w:rsidP="0055733C">
            <w:pPr>
              <w:pStyle w:val="BodyText2"/>
              <w:spacing w:after="0" w:line="276" w:lineRule="auto"/>
              <w:jc w:val="both"/>
              <w:rPr>
                <w:rFonts w:ascii="Calibri" w:hAnsi="Calibri" w:cs="Arial"/>
              </w:rPr>
            </w:pPr>
            <w:r w:rsidRPr="0055733C">
              <w:rPr>
                <w:rFonts w:ascii="Calibri" w:hAnsi="Calibri" w:cs="Arial"/>
                <w:b/>
                <w:i/>
              </w:rPr>
              <w:t>PFBS</w:t>
            </w:r>
          </w:p>
        </w:tc>
        <w:tc>
          <w:tcPr>
            <w:tcW w:w="2340" w:type="dxa"/>
            <w:tcBorders>
              <w:top w:val="nil"/>
              <w:left w:val="nil"/>
              <w:bottom w:val="nil"/>
              <w:right w:val="nil"/>
            </w:tcBorders>
          </w:tcPr>
          <w:p w14:paraId="07461C79"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C</w:t>
            </w:r>
            <w:r w:rsidRPr="0055733C">
              <w:rPr>
                <w:rFonts w:ascii="Calibri" w:hAnsi="Calibri" w:cs="Arial"/>
                <w:sz w:val="20"/>
                <w:szCs w:val="20"/>
                <w:vertAlign w:val="subscript"/>
                <w:lang w:val="en-GB"/>
              </w:rPr>
              <w:t>4</w:t>
            </w:r>
            <w:r w:rsidRPr="0055733C">
              <w:rPr>
                <w:rFonts w:ascii="Calibri" w:hAnsi="Calibri" w:cs="Arial"/>
                <w:sz w:val="20"/>
                <w:szCs w:val="20"/>
                <w:lang w:val="en-GB"/>
              </w:rPr>
              <w:t>F</w:t>
            </w:r>
            <w:r w:rsidRPr="0055733C">
              <w:rPr>
                <w:rFonts w:ascii="Calibri" w:hAnsi="Calibri" w:cs="Arial"/>
                <w:sz w:val="20"/>
                <w:szCs w:val="20"/>
                <w:vertAlign w:val="subscript"/>
                <w:lang w:val="en-GB"/>
              </w:rPr>
              <w:t>9</w:t>
            </w:r>
            <w:r w:rsidRPr="0055733C">
              <w:rPr>
                <w:rFonts w:ascii="Calibri" w:hAnsi="Calibri" w:cs="Arial"/>
                <w:sz w:val="20"/>
                <w:szCs w:val="20"/>
                <w:lang w:val="en-GB"/>
              </w:rPr>
              <w:t>SO</w:t>
            </w:r>
            <w:r w:rsidRPr="0055733C">
              <w:rPr>
                <w:rFonts w:ascii="Calibri" w:hAnsi="Calibri" w:cs="Arial"/>
                <w:sz w:val="20"/>
                <w:szCs w:val="20"/>
                <w:vertAlign w:val="subscript"/>
                <w:lang w:val="en-GB"/>
              </w:rPr>
              <w:t>2</w:t>
            </w:r>
            <w:r w:rsidRPr="0055733C">
              <w:rPr>
                <w:rFonts w:ascii="Calibri" w:hAnsi="Calibri" w:cs="Arial"/>
                <w:sz w:val="20"/>
                <w:szCs w:val="20"/>
                <w:lang w:val="en-GB"/>
              </w:rPr>
              <w:t>O</w:t>
            </w:r>
            <w:r w:rsidRPr="0055733C">
              <w:rPr>
                <w:rFonts w:ascii="Calibri" w:hAnsi="Calibri" w:cs="Arial"/>
                <w:sz w:val="20"/>
                <w:szCs w:val="20"/>
                <w:vertAlign w:val="superscript"/>
                <w:lang w:val="en-GB"/>
              </w:rPr>
              <w:t>-</w:t>
            </w:r>
          </w:p>
        </w:tc>
        <w:tc>
          <w:tcPr>
            <w:tcW w:w="1440" w:type="dxa"/>
            <w:tcBorders>
              <w:top w:val="nil"/>
              <w:left w:val="nil"/>
              <w:bottom w:val="nil"/>
              <w:right w:val="nil"/>
            </w:tcBorders>
          </w:tcPr>
          <w:p w14:paraId="27BF0661" w14:textId="77777777" w:rsidR="00FC360C" w:rsidRPr="0055733C" w:rsidRDefault="00FC360C" w:rsidP="0055733C">
            <w:pPr>
              <w:spacing w:after="0"/>
              <w:rPr>
                <w:rFonts w:cs="Arial"/>
                <w:sz w:val="20"/>
              </w:rPr>
            </w:pPr>
            <w:r w:rsidRPr="0055733C">
              <w:rPr>
                <w:rFonts w:cs="Arial"/>
                <w:sz w:val="20"/>
              </w:rPr>
              <w:t>29420-49-3 (potassium salt)</w:t>
            </w:r>
          </w:p>
        </w:tc>
      </w:tr>
      <w:tr w:rsidR="00FC360C" w:rsidRPr="0055733C" w14:paraId="6697216F" w14:textId="77777777" w:rsidTr="002F237A">
        <w:trPr>
          <w:trHeight w:val="340"/>
        </w:trPr>
        <w:tc>
          <w:tcPr>
            <w:tcW w:w="3620" w:type="dxa"/>
            <w:tcBorders>
              <w:top w:val="nil"/>
              <w:left w:val="nil"/>
              <w:bottom w:val="nil"/>
              <w:right w:val="nil"/>
            </w:tcBorders>
          </w:tcPr>
          <w:p w14:paraId="39D3ECD0" w14:textId="77777777" w:rsidR="00FC360C" w:rsidRPr="0055733C" w:rsidRDefault="00FC360C" w:rsidP="0055733C">
            <w:pPr>
              <w:pStyle w:val="Caption"/>
              <w:spacing w:before="0" w:after="0" w:line="276" w:lineRule="auto"/>
              <w:rPr>
                <w:rFonts w:ascii="Calibri" w:hAnsi="Calibri" w:cs="Arial"/>
                <w:b w:val="0"/>
                <w:sz w:val="20"/>
                <w:lang w:val="en-GB"/>
              </w:rPr>
            </w:pPr>
            <w:r w:rsidRPr="0055733C">
              <w:rPr>
                <w:rFonts w:ascii="Calibri" w:hAnsi="Calibri" w:cs="Arial"/>
                <w:b w:val="0"/>
                <w:sz w:val="20"/>
                <w:lang w:val="en-GB"/>
              </w:rPr>
              <w:t>Perfluorohexane sulfonate</w:t>
            </w:r>
          </w:p>
        </w:tc>
        <w:tc>
          <w:tcPr>
            <w:tcW w:w="1800" w:type="dxa"/>
            <w:tcBorders>
              <w:top w:val="nil"/>
              <w:left w:val="nil"/>
              <w:bottom w:val="nil"/>
              <w:right w:val="nil"/>
            </w:tcBorders>
          </w:tcPr>
          <w:p w14:paraId="1230A827" w14:textId="77777777" w:rsidR="00FC360C" w:rsidRPr="0055733C" w:rsidRDefault="00FC360C" w:rsidP="0055733C">
            <w:pPr>
              <w:pStyle w:val="BodyText2"/>
              <w:spacing w:after="0" w:line="276" w:lineRule="auto"/>
              <w:jc w:val="both"/>
              <w:rPr>
                <w:rFonts w:ascii="Calibri" w:hAnsi="Calibri" w:cs="Arial"/>
              </w:rPr>
            </w:pPr>
            <w:r w:rsidRPr="0055733C">
              <w:rPr>
                <w:rFonts w:ascii="Calibri" w:hAnsi="Calibri" w:cs="Arial"/>
                <w:b/>
                <w:i/>
              </w:rPr>
              <w:t>PFHxS</w:t>
            </w:r>
          </w:p>
        </w:tc>
        <w:tc>
          <w:tcPr>
            <w:tcW w:w="2340" w:type="dxa"/>
            <w:tcBorders>
              <w:top w:val="nil"/>
              <w:left w:val="nil"/>
              <w:bottom w:val="nil"/>
              <w:right w:val="nil"/>
            </w:tcBorders>
          </w:tcPr>
          <w:p w14:paraId="6FAFA9AC"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C</w:t>
            </w:r>
            <w:r w:rsidRPr="0055733C">
              <w:rPr>
                <w:rFonts w:ascii="Calibri" w:hAnsi="Calibri" w:cs="Arial"/>
                <w:sz w:val="20"/>
                <w:szCs w:val="20"/>
                <w:vertAlign w:val="subscript"/>
                <w:lang w:val="en-GB"/>
              </w:rPr>
              <w:t>6</w:t>
            </w:r>
            <w:r w:rsidRPr="0055733C">
              <w:rPr>
                <w:rFonts w:ascii="Calibri" w:hAnsi="Calibri" w:cs="Arial"/>
                <w:sz w:val="20"/>
                <w:szCs w:val="20"/>
                <w:lang w:val="en-GB"/>
              </w:rPr>
              <w:t>F</w:t>
            </w:r>
            <w:r w:rsidRPr="0055733C">
              <w:rPr>
                <w:rFonts w:ascii="Calibri" w:hAnsi="Calibri" w:cs="Arial"/>
                <w:sz w:val="20"/>
                <w:szCs w:val="20"/>
                <w:vertAlign w:val="subscript"/>
                <w:lang w:val="en-GB"/>
              </w:rPr>
              <w:t>13</w:t>
            </w:r>
            <w:r w:rsidRPr="0055733C">
              <w:rPr>
                <w:rFonts w:ascii="Calibri" w:hAnsi="Calibri" w:cs="Arial"/>
                <w:sz w:val="20"/>
                <w:szCs w:val="20"/>
                <w:lang w:val="en-GB"/>
              </w:rPr>
              <w:t>SO</w:t>
            </w:r>
            <w:r w:rsidRPr="0055733C">
              <w:rPr>
                <w:rFonts w:ascii="Calibri" w:hAnsi="Calibri" w:cs="Arial"/>
                <w:sz w:val="20"/>
                <w:szCs w:val="20"/>
                <w:vertAlign w:val="subscript"/>
                <w:lang w:val="en-GB"/>
              </w:rPr>
              <w:t>2</w:t>
            </w:r>
            <w:r w:rsidRPr="0055733C">
              <w:rPr>
                <w:rFonts w:ascii="Calibri" w:hAnsi="Calibri" w:cs="Arial"/>
                <w:sz w:val="20"/>
                <w:szCs w:val="20"/>
                <w:lang w:val="en-GB"/>
              </w:rPr>
              <w:t>O</w:t>
            </w:r>
            <w:r w:rsidRPr="0055733C">
              <w:rPr>
                <w:rFonts w:ascii="Calibri" w:hAnsi="Calibri" w:cs="Arial"/>
                <w:sz w:val="20"/>
                <w:szCs w:val="20"/>
                <w:vertAlign w:val="superscript"/>
                <w:lang w:val="en-GB"/>
              </w:rPr>
              <w:t>-</w:t>
            </w:r>
          </w:p>
        </w:tc>
        <w:tc>
          <w:tcPr>
            <w:tcW w:w="1440" w:type="dxa"/>
            <w:tcBorders>
              <w:top w:val="nil"/>
              <w:left w:val="nil"/>
              <w:bottom w:val="nil"/>
              <w:right w:val="nil"/>
            </w:tcBorders>
          </w:tcPr>
          <w:p w14:paraId="410D0C97" w14:textId="77777777" w:rsidR="00FC360C" w:rsidRPr="0055733C" w:rsidRDefault="00FC360C" w:rsidP="0055733C">
            <w:pPr>
              <w:spacing w:after="0"/>
              <w:rPr>
                <w:rFonts w:cs="Arial"/>
                <w:sz w:val="20"/>
              </w:rPr>
            </w:pPr>
            <w:r w:rsidRPr="0055733C">
              <w:rPr>
                <w:rFonts w:cs="Arial"/>
                <w:sz w:val="20"/>
              </w:rPr>
              <w:t>3871-99-6</w:t>
            </w:r>
          </w:p>
          <w:p w14:paraId="2CA8E648" w14:textId="77777777" w:rsidR="00FC360C" w:rsidRPr="0055733C" w:rsidRDefault="00FC360C" w:rsidP="0055733C">
            <w:pPr>
              <w:spacing w:after="0"/>
              <w:rPr>
                <w:rFonts w:cs="Arial"/>
                <w:sz w:val="20"/>
              </w:rPr>
            </w:pPr>
            <w:r w:rsidRPr="0055733C">
              <w:rPr>
                <w:rFonts w:cs="Arial"/>
                <w:sz w:val="20"/>
              </w:rPr>
              <w:t>(potassium salt)</w:t>
            </w:r>
          </w:p>
        </w:tc>
      </w:tr>
      <w:tr w:rsidR="00FC360C" w:rsidRPr="0055733C" w14:paraId="1A16BFC2" w14:textId="77777777" w:rsidTr="002F237A">
        <w:trPr>
          <w:trHeight w:val="340"/>
        </w:trPr>
        <w:tc>
          <w:tcPr>
            <w:tcW w:w="3620" w:type="dxa"/>
            <w:tcBorders>
              <w:top w:val="nil"/>
              <w:left w:val="nil"/>
              <w:bottom w:val="nil"/>
              <w:right w:val="nil"/>
            </w:tcBorders>
          </w:tcPr>
          <w:p w14:paraId="4EEA91E4" w14:textId="77777777" w:rsidR="00FC360C" w:rsidRPr="0055733C" w:rsidRDefault="00FC360C" w:rsidP="0055733C">
            <w:pPr>
              <w:pStyle w:val="Caption"/>
              <w:spacing w:before="0" w:after="0" w:line="276" w:lineRule="auto"/>
              <w:rPr>
                <w:rFonts w:ascii="Calibri" w:hAnsi="Calibri" w:cs="Arial"/>
                <w:b w:val="0"/>
                <w:sz w:val="20"/>
                <w:lang w:val="en-GB"/>
              </w:rPr>
            </w:pPr>
            <w:r w:rsidRPr="0055733C">
              <w:rPr>
                <w:rFonts w:ascii="Calibri" w:hAnsi="Calibri" w:cs="Arial"/>
                <w:b w:val="0"/>
                <w:sz w:val="20"/>
                <w:lang w:val="en-GB"/>
              </w:rPr>
              <w:t>Perfluoroheptane sulfonate</w:t>
            </w:r>
          </w:p>
        </w:tc>
        <w:tc>
          <w:tcPr>
            <w:tcW w:w="1800" w:type="dxa"/>
            <w:tcBorders>
              <w:top w:val="nil"/>
              <w:left w:val="nil"/>
              <w:bottom w:val="nil"/>
              <w:right w:val="nil"/>
            </w:tcBorders>
          </w:tcPr>
          <w:p w14:paraId="17EBA741" w14:textId="77777777" w:rsidR="00FC360C" w:rsidRPr="0055733C" w:rsidRDefault="00FC360C" w:rsidP="0055733C">
            <w:pPr>
              <w:pStyle w:val="BodyText2"/>
              <w:spacing w:after="0" w:line="276" w:lineRule="auto"/>
              <w:jc w:val="both"/>
              <w:rPr>
                <w:rFonts w:ascii="Calibri" w:hAnsi="Calibri" w:cs="Arial"/>
              </w:rPr>
            </w:pPr>
            <w:r w:rsidRPr="0055733C">
              <w:rPr>
                <w:rFonts w:ascii="Calibri" w:hAnsi="Calibri" w:cs="Arial"/>
                <w:b/>
                <w:i/>
              </w:rPr>
              <w:t>PFHpS</w:t>
            </w:r>
          </w:p>
        </w:tc>
        <w:tc>
          <w:tcPr>
            <w:tcW w:w="2340" w:type="dxa"/>
            <w:tcBorders>
              <w:top w:val="nil"/>
              <w:left w:val="nil"/>
              <w:bottom w:val="nil"/>
              <w:right w:val="nil"/>
            </w:tcBorders>
          </w:tcPr>
          <w:p w14:paraId="467C30C5"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C</w:t>
            </w:r>
            <w:r w:rsidRPr="0055733C">
              <w:rPr>
                <w:rFonts w:ascii="Calibri" w:hAnsi="Calibri" w:cs="Arial"/>
                <w:sz w:val="20"/>
                <w:szCs w:val="20"/>
                <w:vertAlign w:val="subscript"/>
                <w:lang w:val="en-GB"/>
              </w:rPr>
              <w:t>7</w:t>
            </w:r>
            <w:r w:rsidRPr="0055733C">
              <w:rPr>
                <w:rFonts w:ascii="Calibri" w:hAnsi="Calibri" w:cs="Arial"/>
                <w:sz w:val="20"/>
                <w:szCs w:val="20"/>
                <w:lang w:val="en-GB"/>
              </w:rPr>
              <w:t>F</w:t>
            </w:r>
            <w:r w:rsidRPr="0055733C">
              <w:rPr>
                <w:rFonts w:ascii="Calibri" w:hAnsi="Calibri" w:cs="Arial"/>
                <w:sz w:val="20"/>
                <w:szCs w:val="20"/>
                <w:vertAlign w:val="subscript"/>
                <w:lang w:val="en-GB"/>
              </w:rPr>
              <w:t>15</w:t>
            </w:r>
            <w:r w:rsidRPr="0055733C">
              <w:rPr>
                <w:rFonts w:ascii="Calibri" w:hAnsi="Calibri" w:cs="Arial"/>
                <w:sz w:val="20"/>
                <w:szCs w:val="20"/>
                <w:lang w:val="en-GB"/>
              </w:rPr>
              <w:t>SO</w:t>
            </w:r>
            <w:r w:rsidRPr="0055733C">
              <w:rPr>
                <w:rFonts w:ascii="Calibri" w:hAnsi="Calibri" w:cs="Arial"/>
                <w:sz w:val="20"/>
                <w:szCs w:val="20"/>
                <w:vertAlign w:val="subscript"/>
                <w:lang w:val="en-GB"/>
              </w:rPr>
              <w:t>2</w:t>
            </w:r>
            <w:r w:rsidRPr="0055733C">
              <w:rPr>
                <w:rFonts w:ascii="Calibri" w:hAnsi="Calibri" w:cs="Arial"/>
                <w:sz w:val="20"/>
                <w:szCs w:val="20"/>
                <w:lang w:val="en-GB"/>
              </w:rPr>
              <w:t>O</w:t>
            </w:r>
            <w:r w:rsidRPr="0055733C">
              <w:rPr>
                <w:rFonts w:ascii="Calibri" w:hAnsi="Calibri" w:cs="Arial"/>
                <w:sz w:val="20"/>
                <w:szCs w:val="20"/>
                <w:vertAlign w:val="superscript"/>
                <w:lang w:val="en-GB"/>
              </w:rPr>
              <w:t>-</w:t>
            </w:r>
          </w:p>
        </w:tc>
        <w:tc>
          <w:tcPr>
            <w:tcW w:w="1440" w:type="dxa"/>
            <w:tcBorders>
              <w:top w:val="nil"/>
              <w:left w:val="nil"/>
              <w:bottom w:val="nil"/>
              <w:right w:val="nil"/>
            </w:tcBorders>
          </w:tcPr>
          <w:p w14:paraId="2567CC56" w14:textId="77777777" w:rsidR="00FC360C" w:rsidRPr="0055733C" w:rsidRDefault="00FC360C" w:rsidP="0055733C">
            <w:pPr>
              <w:spacing w:after="0"/>
              <w:rPr>
                <w:rFonts w:cs="Arial"/>
                <w:sz w:val="20"/>
              </w:rPr>
            </w:pPr>
            <w:r w:rsidRPr="0055733C">
              <w:rPr>
                <w:rFonts w:cs="Arial"/>
                <w:sz w:val="20"/>
              </w:rPr>
              <w:t>n.a.</w:t>
            </w:r>
          </w:p>
        </w:tc>
      </w:tr>
      <w:tr w:rsidR="00FC360C" w:rsidRPr="0055733C" w14:paraId="3C855130" w14:textId="77777777" w:rsidTr="002F237A">
        <w:trPr>
          <w:trHeight w:val="340"/>
        </w:trPr>
        <w:tc>
          <w:tcPr>
            <w:tcW w:w="3620" w:type="dxa"/>
            <w:tcBorders>
              <w:top w:val="nil"/>
              <w:left w:val="nil"/>
              <w:bottom w:val="nil"/>
              <w:right w:val="nil"/>
            </w:tcBorders>
          </w:tcPr>
          <w:p w14:paraId="75C73803" w14:textId="77777777" w:rsidR="00FC360C" w:rsidRPr="0055733C" w:rsidRDefault="00FC360C" w:rsidP="0055733C">
            <w:pPr>
              <w:pStyle w:val="Caption"/>
              <w:spacing w:before="0" w:after="0" w:line="276" w:lineRule="auto"/>
              <w:rPr>
                <w:rFonts w:ascii="Calibri" w:hAnsi="Calibri" w:cs="Arial"/>
                <w:b w:val="0"/>
                <w:sz w:val="20"/>
                <w:lang w:val="en-GB"/>
              </w:rPr>
            </w:pPr>
            <w:r w:rsidRPr="0055733C">
              <w:rPr>
                <w:rFonts w:ascii="Calibri" w:hAnsi="Calibri" w:cs="Arial"/>
                <w:b w:val="0"/>
                <w:sz w:val="20"/>
                <w:lang w:val="en-GB"/>
              </w:rPr>
              <w:t>Perfluorooctane sulfonate</w:t>
            </w:r>
          </w:p>
        </w:tc>
        <w:tc>
          <w:tcPr>
            <w:tcW w:w="1800" w:type="dxa"/>
            <w:tcBorders>
              <w:top w:val="nil"/>
              <w:left w:val="nil"/>
              <w:bottom w:val="nil"/>
              <w:right w:val="nil"/>
            </w:tcBorders>
          </w:tcPr>
          <w:p w14:paraId="76BCB051" w14:textId="77777777" w:rsidR="00FC360C" w:rsidRPr="0055733C" w:rsidRDefault="00FC360C" w:rsidP="0055733C">
            <w:pPr>
              <w:pStyle w:val="BodyText2"/>
              <w:spacing w:after="0" w:line="276" w:lineRule="auto"/>
              <w:jc w:val="both"/>
              <w:rPr>
                <w:rFonts w:ascii="Calibri" w:hAnsi="Calibri" w:cs="Arial"/>
              </w:rPr>
            </w:pPr>
            <w:r w:rsidRPr="0055733C">
              <w:rPr>
                <w:rFonts w:ascii="Calibri" w:hAnsi="Calibri" w:cs="Arial"/>
                <w:b/>
                <w:i/>
              </w:rPr>
              <w:t>PFOS</w:t>
            </w:r>
          </w:p>
        </w:tc>
        <w:tc>
          <w:tcPr>
            <w:tcW w:w="2340" w:type="dxa"/>
            <w:tcBorders>
              <w:top w:val="nil"/>
              <w:left w:val="nil"/>
              <w:bottom w:val="nil"/>
              <w:right w:val="nil"/>
            </w:tcBorders>
          </w:tcPr>
          <w:p w14:paraId="3FC4FC8D"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C</w:t>
            </w:r>
            <w:r w:rsidRPr="0055733C">
              <w:rPr>
                <w:rFonts w:ascii="Calibri" w:hAnsi="Calibri" w:cs="Arial"/>
                <w:sz w:val="20"/>
                <w:szCs w:val="20"/>
                <w:vertAlign w:val="subscript"/>
                <w:lang w:val="en-GB"/>
              </w:rPr>
              <w:t>8</w:t>
            </w:r>
            <w:r w:rsidRPr="0055733C">
              <w:rPr>
                <w:rFonts w:ascii="Calibri" w:hAnsi="Calibri" w:cs="Arial"/>
                <w:sz w:val="20"/>
                <w:szCs w:val="20"/>
                <w:lang w:val="en-GB"/>
              </w:rPr>
              <w:t>F</w:t>
            </w:r>
            <w:r w:rsidRPr="0055733C">
              <w:rPr>
                <w:rFonts w:ascii="Calibri" w:hAnsi="Calibri" w:cs="Arial"/>
                <w:sz w:val="20"/>
                <w:szCs w:val="20"/>
                <w:vertAlign w:val="subscript"/>
                <w:lang w:val="en-GB"/>
              </w:rPr>
              <w:t>17</w:t>
            </w:r>
            <w:r w:rsidRPr="0055733C">
              <w:rPr>
                <w:rFonts w:ascii="Calibri" w:hAnsi="Calibri" w:cs="Arial"/>
                <w:sz w:val="20"/>
                <w:szCs w:val="20"/>
                <w:lang w:val="en-GB"/>
              </w:rPr>
              <w:t>SO</w:t>
            </w:r>
            <w:r w:rsidRPr="0055733C">
              <w:rPr>
                <w:rFonts w:ascii="Calibri" w:hAnsi="Calibri" w:cs="Arial"/>
                <w:sz w:val="20"/>
                <w:szCs w:val="20"/>
                <w:vertAlign w:val="subscript"/>
                <w:lang w:val="en-GB"/>
              </w:rPr>
              <w:t>2</w:t>
            </w:r>
            <w:r w:rsidRPr="0055733C">
              <w:rPr>
                <w:rFonts w:ascii="Calibri" w:hAnsi="Calibri" w:cs="Arial"/>
                <w:sz w:val="20"/>
                <w:szCs w:val="20"/>
                <w:lang w:val="en-GB"/>
              </w:rPr>
              <w:t>O</w:t>
            </w:r>
            <w:r w:rsidRPr="0055733C">
              <w:rPr>
                <w:rFonts w:ascii="Calibri" w:hAnsi="Calibri" w:cs="Arial"/>
                <w:sz w:val="20"/>
                <w:szCs w:val="20"/>
                <w:vertAlign w:val="superscript"/>
                <w:lang w:val="en-GB"/>
              </w:rPr>
              <w:t>-</w:t>
            </w:r>
          </w:p>
        </w:tc>
        <w:tc>
          <w:tcPr>
            <w:tcW w:w="1440" w:type="dxa"/>
            <w:tcBorders>
              <w:top w:val="nil"/>
              <w:left w:val="nil"/>
              <w:bottom w:val="nil"/>
              <w:right w:val="nil"/>
            </w:tcBorders>
          </w:tcPr>
          <w:p w14:paraId="03198112" w14:textId="77777777" w:rsidR="00FC360C" w:rsidRPr="0055733C" w:rsidRDefault="00FC360C" w:rsidP="0055733C">
            <w:pPr>
              <w:spacing w:after="0"/>
              <w:rPr>
                <w:rFonts w:cs="Arial"/>
                <w:sz w:val="20"/>
              </w:rPr>
            </w:pPr>
            <w:r w:rsidRPr="0055733C">
              <w:rPr>
                <w:rFonts w:cs="Arial"/>
                <w:sz w:val="20"/>
              </w:rPr>
              <w:t>1763-23-1</w:t>
            </w:r>
          </w:p>
          <w:p w14:paraId="04794CD6" w14:textId="77777777" w:rsidR="00FC360C" w:rsidRPr="0055733C" w:rsidRDefault="00FC360C" w:rsidP="0055733C">
            <w:pPr>
              <w:spacing w:after="0"/>
              <w:rPr>
                <w:rFonts w:cs="Arial"/>
                <w:sz w:val="20"/>
              </w:rPr>
            </w:pPr>
            <w:r w:rsidRPr="0055733C">
              <w:rPr>
                <w:rFonts w:cs="Arial"/>
                <w:sz w:val="20"/>
              </w:rPr>
              <w:t>(sodium salt)</w:t>
            </w:r>
          </w:p>
        </w:tc>
      </w:tr>
      <w:tr w:rsidR="00FC360C" w:rsidRPr="0055733C" w14:paraId="39AF88D0" w14:textId="77777777" w:rsidTr="002F237A">
        <w:trPr>
          <w:trHeight w:val="340"/>
        </w:trPr>
        <w:tc>
          <w:tcPr>
            <w:tcW w:w="3620" w:type="dxa"/>
            <w:tcBorders>
              <w:top w:val="nil"/>
              <w:left w:val="nil"/>
              <w:bottom w:val="nil"/>
              <w:right w:val="nil"/>
            </w:tcBorders>
          </w:tcPr>
          <w:p w14:paraId="618865AF" w14:textId="77777777" w:rsidR="00FC360C" w:rsidRPr="0055733C" w:rsidRDefault="00FC360C" w:rsidP="0055733C">
            <w:pPr>
              <w:spacing w:after="0"/>
              <w:rPr>
                <w:rFonts w:cs="Arial"/>
                <w:sz w:val="20"/>
              </w:rPr>
            </w:pPr>
            <w:r w:rsidRPr="0055733C">
              <w:rPr>
                <w:rFonts w:cs="Arial"/>
                <w:sz w:val="20"/>
              </w:rPr>
              <w:t>Perfluoro-1-decanesulfonate</w:t>
            </w:r>
          </w:p>
        </w:tc>
        <w:tc>
          <w:tcPr>
            <w:tcW w:w="1800" w:type="dxa"/>
            <w:tcBorders>
              <w:top w:val="nil"/>
              <w:left w:val="nil"/>
              <w:bottom w:val="nil"/>
              <w:right w:val="nil"/>
            </w:tcBorders>
          </w:tcPr>
          <w:p w14:paraId="48B1D187" w14:textId="77777777" w:rsidR="00FC360C" w:rsidRPr="0055733C" w:rsidRDefault="00FC360C" w:rsidP="0055733C">
            <w:pPr>
              <w:spacing w:after="0"/>
              <w:rPr>
                <w:rFonts w:cs="Arial"/>
                <w:sz w:val="20"/>
              </w:rPr>
            </w:pPr>
            <w:r w:rsidRPr="0055733C">
              <w:rPr>
                <w:rFonts w:cs="Arial"/>
                <w:sz w:val="20"/>
              </w:rPr>
              <w:t>PFDS</w:t>
            </w:r>
          </w:p>
        </w:tc>
        <w:tc>
          <w:tcPr>
            <w:tcW w:w="2340" w:type="dxa"/>
            <w:tcBorders>
              <w:top w:val="nil"/>
              <w:left w:val="nil"/>
              <w:bottom w:val="nil"/>
              <w:right w:val="nil"/>
            </w:tcBorders>
          </w:tcPr>
          <w:p w14:paraId="68BFF18C" w14:textId="77777777" w:rsidR="00FC360C" w:rsidRPr="0055733C" w:rsidRDefault="00FC360C" w:rsidP="0055733C">
            <w:pPr>
              <w:spacing w:after="0"/>
              <w:rPr>
                <w:rFonts w:cs="Arial"/>
                <w:sz w:val="20"/>
              </w:rPr>
            </w:pPr>
            <w:r w:rsidRPr="0055733C">
              <w:rPr>
                <w:rFonts w:cs="Arial"/>
                <w:sz w:val="20"/>
              </w:rPr>
              <w:t>C</w:t>
            </w:r>
            <w:r w:rsidRPr="0055733C">
              <w:rPr>
                <w:rFonts w:cs="Arial"/>
                <w:sz w:val="20"/>
                <w:vertAlign w:val="subscript"/>
              </w:rPr>
              <w:t>10</w:t>
            </w:r>
            <w:r w:rsidRPr="0055733C">
              <w:rPr>
                <w:rFonts w:cs="Arial"/>
                <w:sz w:val="20"/>
              </w:rPr>
              <w:t>F</w:t>
            </w:r>
            <w:r w:rsidRPr="0055733C">
              <w:rPr>
                <w:rFonts w:cs="Arial"/>
                <w:sz w:val="20"/>
                <w:vertAlign w:val="subscript"/>
              </w:rPr>
              <w:t>21</w:t>
            </w:r>
            <w:r w:rsidRPr="0055733C">
              <w:rPr>
                <w:rFonts w:cs="Arial"/>
                <w:sz w:val="20"/>
              </w:rPr>
              <w:t>SO</w:t>
            </w:r>
            <w:r w:rsidRPr="0055733C">
              <w:rPr>
                <w:rFonts w:cs="Arial"/>
                <w:sz w:val="20"/>
                <w:vertAlign w:val="subscript"/>
              </w:rPr>
              <w:t>2</w:t>
            </w:r>
            <w:r w:rsidRPr="0055733C">
              <w:rPr>
                <w:rFonts w:cs="Arial"/>
                <w:sz w:val="20"/>
              </w:rPr>
              <w:t>O</w:t>
            </w:r>
            <w:r w:rsidRPr="0055733C">
              <w:rPr>
                <w:rFonts w:cs="Arial"/>
                <w:sz w:val="20"/>
                <w:vertAlign w:val="superscript"/>
              </w:rPr>
              <w:t>-</w:t>
            </w:r>
          </w:p>
        </w:tc>
        <w:tc>
          <w:tcPr>
            <w:tcW w:w="1440" w:type="dxa"/>
            <w:tcBorders>
              <w:top w:val="nil"/>
              <w:left w:val="nil"/>
              <w:bottom w:val="nil"/>
              <w:right w:val="nil"/>
            </w:tcBorders>
          </w:tcPr>
          <w:p w14:paraId="26A268F8" w14:textId="77777777" w:rsidR="00FC360C" w:rsidRPr="0055733C" w:rsidRDefault="00FC360C" w:rsidP="0055733C">
            <w:pPr>
              <w:spacing w:after="0"/>
              <w:rPr>
                <w:rFonts w:cs="Arial"/>
                <w:sz w:val="20"/>
              </w:rPr>
            </w:pPr>
            <w:r w:rsidRPr="0055733C">
              <w:rPr>
                <w:rFonts w:cs="Arial"/>
                <w:sz w:val="20"/>
              </w:rPr>
              <w:t>13419-61-9</w:t>
            </w:r>
          </w:p>
          <w:p w14:paraId="3FA1B528" w14:textId="77777777" w:rsidR="00FC360C" w:rsidRPr="0055733C" w:rsidRDefault="00FC360C" w:rsidP="0055733C">
            <w:pPr>
              <w:spacing w:after="0"/>
              <w:rPr>
                <w:rFonts w:cs="Arial"/>
                <w:sz w:val="20"/>
              </w:rPr>
            </w:pPr>
            <w:r w:rsidRPr="0055733C">
              <w:rPr>
                <w:rFonts w:cs="Arial"/>
                <w:sz w:val="20"/>
              </w:rPr>
              <w:t>(sodium salt)</w:t>
            </w:r>
          </w:p>
        </w:tc>
      </w:tr>
      <w:tr w:rsidR="00FC360C" w:rsidRPr="0055733C" w14:paraId="16D8F3A2" w14:textId="77777777" w:rsidTr="002F237A">
        <w:trPr>
          <w:trHeight w:val="340"/>
        </w:trPr>
        <w:tc>
          <w:tcPr>
            <w:tcW w:w="3620" w:type="dxa"/>
            <w:tcBorders>
              <w:top w:val="nil"/>
              <w:left w:val="nil"/>
              <w:bottom w:val="nil"/>
              <w:right w:val="nil"/>
            </w:tcBorders>
          </w:tcPr>
          <w:p w14:paraId="1E205FC4" w14:textId="77777777" w:rsidR="00FC360C" w:rsidRPr="0055733C" w:rsidRDefault="00FC360C" w:rsidP="0055733C">
            <w:pPr>
              <w:spacing w:after="0"/>
              <w:rPr>
                <w:rFonts w:cs="Arial"/>
                <w:sz w:val="20"/>
              </w:rPr>
            </w:pPr>
            <w:r w:rsidRPr="0055733C">
              <w:rPr>
                <w:rFonts w:cs="Arial"/>
                <w:sz w:val="20"/>
              </w:rPr>
              <w:t>1H,1H,2H,2H-perfluorooctane sulfonate</w:t>
            </w:r>
          </w:p>
        </w:tc>
        <w:tc>
          <w:tcPr>
            <w:tcW w:w="1800" w:type="dxa"/>
            <w:tcBorders>
              <w:top w:val="nil"/>
              <w:left w:val="nil"/>
              <w:bottom w:val="nil"/>
              <w:right w:val="nil"/>
            </w:tcBorders>
          </w:tcPr>
          <w:p w14:paraId="5B06B1A0" w14:textId="77777777" w:rsidR="00FC360C" w:rsidRPr="0055733C" w:rsidRDefault="00FC360C" w:rsidP="0055733C">
            <w:pPr>
              <w:spacing w:after="0"/>
              <w:rPr>
                <w:rFonts w:cs="Arial"/>
                <w:sz w:val="20"/>
              </w:rPr>
            </w:pPr>
            <w:r w:rsidRPr="0055733C">
              <w:rPr>
                <w:rFonts w:cs="Arial"/>
                <w:sz w:val="20"/>
              </w:rPr>
              <w:t>THPFOS (6:2 FTS)</w:t>
            </w:r>
          </w:p>
        </w:tc>
        <w:tc>
          <w:tcPr>
            <w:tcW w:w="2340" w:type="dxa"/>
            <w:tcBorders>
              <w:top w:val="nil"/>
              <w:left w:val="nil"/>
              <w:bottom w:val="nil"/>
              <w:right w:val="nil"/>
            </w:tcBorders>
          </w:tcPr>
          <w:p w14:paraId="2AD935A5" w14:textId="77777777" w:rsidR="00FC360C" w:rsidRPr="0055733C" w:rsidRDefault="00FC360C" w:rsidP="0055733C">
            <w:pPr>
              <w:spacing w:after="0"/>
              <w:rPr>
                <w:rFonts w:cs="Arial"/>
                <w:sz w:val="20"/>
              </w:rPr>
            </w:pPr>
            <w:r w:rsidRPr="0055733C">
              <w:rPr>
                <w:rFonts w:cs="Arial"/>
                <w:sz w:val="20"/>
              </w:rPr>
              <w:t>C</w:t>
            </w:r>
            <w:r w:rsidRPr="0055733C">
              <w:rPr>
                <w:rFonts w:cs="Arial"/>
                <w:sz w:val="20"/>
                <w:vertAlign w:val="subscript"/>
              </w:rPr>
              <w:t>6</w:t>
            </w:r>
            <w:r w:rsidRPr="0055733C">
              <w:rPr>
                <w:rFonts w:cs="Arial"/>
                <w:sz w:val="20"/>
              </w:rPr>
              <w:t>F</w:t>
            </w:r>
            <w:r w:rsidRPr="0055733C">
              <w:rPr>
                <w:rFonts w:cs="Arial"/>
                <w:sz w:val="20"/>
                <w:vertAlign w:val="subscript"/>
              </w:rPr>
              <w:t>13</w:t>
            </w:r>
            <w:r w:rsidRPr="0055733C">
              <w:rPr>
                <w:rFonts w:cs="Arial"/>
                <w:sz w:val="20"/>
              </w:rPr>
              <w:t>C</w:t>
            </w:r>
            <w:r w:rsidRPr="0055733C">
              <w:rPr>
                <w:rFonts w:cs="Arial"/>
                <w:sz w:val="20"/>
                <w:vertAlign w:val="subscript"/>
              </w:rPr>
              <w:t>2</w:t>
            </w:r>
            <w:r w:rsidRPr="0055733C">
              <w:rPr>
                <w:rFonts w:cs="Arial"/>
                <w:sz w:val="20"/>
              </w:rPr>
              <w:t>H</w:t>
            </w:r>
            <w:r w:rsidRPr="0055733C">
              <w:rPr>
                <w:rFonts w:cs="Arial"/>
                <w:sz w:val="20"/>
                <w:vertAlign w:val="subscript"/>
              </w:rPr>
              <w:t>4</w:t>
            </w:r>
            <w:r w:rsidRPr="0055733C">
              <w:rPr>
                <w:rFonts w:cs="Arial"/>
                <w:sz w:val="20"/>
              </w:rPr>
              <w:t>SO</w:t>
            </w:r>
            <w:r w:rsidRPr="0055733C">
              <w:rPr>
                <w:rFonts w:cs="Arial"/>
                <w:sz w:val="20"/>
                <w:vertAlign w:val="subscript"/>
              </w:rPr>
              <w:t>3</w:t>
            </w:r>
            <w:r w:rsidRPr="0055733C">
              <w:rPr>
                <w:rFonts w:cs="Arial"/>
                <w:sz w:val="20"/>
                <w:vertAlign w:val="superscript"/>
              </w:rPr>
              <w:t>-</w:t>
            </w:r>
          </w:p>
        </w:tc>
        <w:tc>
          <w:tcPr>
            <w:tcW w:w="1440" w:type="dxa"/>
            <w:tcBorders>
              <w:top w:val="nil"/>
              <w:left w:val="nil"/>
              <w:bottom w:val="nil"/>
              <w:right w:val="nil"/>
            </w:tcBorders>
          </w:tcPr>
          <w:p w14:paraId="69EBD1B5" w14:textId="77777777" w:rsidR="00FC360C" w:rsidRPr="0055733C" w:rsidRDefault="00FC360C" w:rsidP="0055733C">
            <w:pPr>
              <w:spacing w:after="0"/>
              <w:rPr>
                <w:rFonts w:cs="Arial"/>
                <w:sz w:val="20"/>
              </w:rPr>
            </w:pPr>
            <w:r w:rsidRPr="0055733C">
              <w:rPr>
                <w:rFonts w:cs="Arial"/>
                <w:sz w:val="20"/>
              </w:rPr>
              <w:t>27619-97-2</w:t>
            </w:r>
          </w:p>
        </w:tc>
      </w:tr>
      <w:tr w:rsidR="00FC360C" w:rsidRPr="0055733C" w14:paraId="56528971" w14:textId="77777777" w:rsidTr="002F237A">
        <w:trPr>
          <w:trHeight w:val="340"/>
        </w:trPr>
        <w:tc>
          <w:tcPr>
            <w:tcW w:w="3620" w:type="dxa"/>
            <w:tcBorders>
              <w:top w:val="nil"/>
              <w:left w:val="nil"/>
              <w:bottom w:val="nil"/>
              <w:right w:val="nil"/>
            </w:tcBorders>
          </w:tcPr>
          <w:p w14:paraId="1C075064" w14:textId="77777777" w:rsidR="00FC360C" w:rsidRPr="0055733C" w:rsidRDefault="00FC360C" w:rsidP="0055733C">
            <w:pPr>
              <w:spacing w:after="0"/>
              <w:rPr>
                <w:rFonts w:cs="Arial"/>
                <w:sz w:val="20"/>
              </w:rPr>
            </w:pPr>
            <w:r w:rsidRPr="0055733C">
              <w:rPr>
                <w:rFonts w:cs="Arial"/>
                <w:sz w:val="20"/>
              </w:rPr>
              <w:t>Perfluorooctane sulfinate</w:t>
            </w:r>
          </w:p>
        </w:tc>
        <w:tc>
          <w:tcPr>
            <w:tcW w:w="1800" w:type="dxa"/>
            <w:tcBorders>
              <w:top w:val="nil"/>
              <w:left w:val="nil"/>
              <w:bottom w:val="nil"/>
              <w:right w:val="nil"/>
            </w:tcBorders>
          </w:tcPr>
          <w:p w14:paraId="5FA3CB31" w14:textId="77777777" w:rsidR="00FC360C" w:rsidRPr="0055733C" w:rsidRDefault="00FC360C" w:rsidP="0055733C">
            <w:pPr>
              <w:pStyle w:val="BodyText2"/>
              <w:spacing w:after="0" w:line="276" w:lineRule="auto"/>
              <w:jc w:val="both"/>
              <w:rPr>
                <w:rFonts w:ascii="Calibri" w:hAnsi="Calibri" w:cs="Arial"/>
              </w:rPr>
            </w:pPr>
            <w:r w:rsidRPr="0055733C">
              <w:rPr>
                <w:rFonts w:ascii="Calibri" w:hAnsi="Calibri" w:cs="Arial"/>
                <w:b/>
                <w:i/>
              </w:rPr>
              <w:t>PFOSi</w:t>
            </w:r>
          </w:p>
        </w:tc>
        <w:tc>
          <w:tcPr>
            <w:tcW w:w="2340" w:type="dxa"/>
            <w:tcBorders>
              <w:top w:val="nil"/>
              <w:left w:val="nil"/>
              <w:bottom w:val="nil"/>
              <w:right w:val="nil"/>
            </w:tcBorders>
          </w:tcPr>
          <w:p w14:paraId="29B6FFDA"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C</w:t>
            </w:r>
            <w:r w:rsidRPr="0055733C">
              <w:rPr>
                <w:rFonts w:ascii="Calibri" w:hAnsi="Calibri" w:cs="Arial"/>
                <w:sz w:val="20"/>
                <w:szCs w:val="20"/>
                <w:vertAlign w:val="subscript"/>
                <w:lang w:val="en-GB"/>
              </w:rPr>
              <w:t>8</w:t>
            </w:r>
            <w:r w:rsidRPr="0055733C">
              <w:rPr>
                <w:rFonts w:ascii="Calibri" w:hAnsi="Calibri" w:cs="Arial"/>
                <w:sz w:val="20"/>
                <w:szCs w:val="20"/>
                <w:lang w:val="en-GB"/>
              </w:rPr>
              <w:t>F</w:t>
            </w:r>
            <w:r w:rsidRPr="0055733C">
              <w:rPr>
                <w:rFonts w:ascii="Calibri" w:hAnsi="Calibri" w:cs="Arial"/>
                <w:sz w:val="20"/>
                <w:szCs w:val="20"/>
                <w:vertAlign w:val="subscript"/>
                <w:lang w:val="en-GB"/>
              </w:rPr>
              <w:t>17</w:t>
            </w:r>
            <w:r w:rsidRPr="0055733C">
              <w:rPr>
                <w:rFonts w:ascii="Calibri" w:hAnsi="Calibri" w:cs="Arial"/>
                <w:sz w:val="20"/>
                <w:szCs w:val="20"/>
                <w:lang w:val="en-GB"/>
              </w:rPr>
              <w:t>SO</w:t>
            </w:r>
            <w:r w:rsidRPr="0055733C">
              <w:rPr>
                <w:rFonts w:ascii="Calibri" w:hAnsi="Calibri" w:cs="Arial"/>
                <w:sz w:val="20"/>
                <w:szCs w:val="20"/>
                <w:vertAlign w:val="subscript"/>
                <w:lang w:val="en-GB"/>
              </w:rPr>
              <w:t>2</w:t>
            </w:r>
            <w:r w:rsidRPr="0055733C">
              <w:rPr>
                <w:rFonts w:ascii="Calibri" w:hAnsi="Calibri" w:cs="Arial"/>
                <w:sz w:val="20"/>
                <w:szCs w:val="20"/>
                <w:vertAlign w:val="superscript"/>
                <w:lang w:val="en-GB"/>
              </w:rPr>
              <w:t>-</w:t>
            </w:r>
          </w:p>
        </w:tc>
        <w:tc>
          <w:tcPr>
            <w:tcW w:w="1440" w:type="dxa"/>
            <w:tcBorders>
              <w:top w:val="nil"/>
              <w:left w:val="nil"/>
              <w:bottom w:val="nil"/>
              <w:right w:val="nil"/>
            </w:tcBorders>
          </w:tcPr>
          <w:p w14:paraId="6C821AFF" w14:textId="77777777" w:rsidR="00FC360C" w:rsidRPr="0055733C" w:rsidRDefault="00FC360C" w:rsidP="0055733C">
            <w:pPr>
              <w:spacing w:after="0"/>
              <w:rPr>
                <w:rFonts w:cs="Arial"/>
                <w:sz w:val="20"/>
              </w:rPr>
            </w:pPr>
            <w:r w:rsidRPr="0055733C">
              <w:rPr>
                <w:rFonts w:cs="Arial"/>
                <w:sz w:val="20"/>
              </w:rPr>
              <w:t>n.a.</w:t>
            </w:r>
          </w:p>
        </w:tc>
      </w:tr>
      <w:tr w:rsidR="00FC360C" w:rsidRPr="0055733C" w14:paraId="55A2A63F" w14:textId="77777777" w:rsidTr="002F237A">
        <w:trPr>
          <w:trHeight w:val="340"/>
        </w:trPr>
        <w:tc>
          <w:tcPr>
            <w:tcW w:w="3620" w:type="dxa"/>
            <w:tcBorders>
              <w:top w:val="nil"/>
              <w:left w:val="nil"/>
              <w:bottom w:val="nil"/>
              <w:right w:val="nil"/>
            </w:tcBorders>
          </w:tcPr>
          <w:p w14:paraId="376FA7F7" w14:textId="77777777" w:rsidR="00FC360C" w:rsidRPr="0055733C" w:rsidRDefault="00FC360C" w:rsidP="0055733C">
            <w:pPr>
              <w:spacing w:after="0"/>
              <w:rPr>
                <w:rFonts w:cs="Arial"/>
                <w:sz w:val="20"/>
              </w:rPr>
            </w:pPr>
            <w:r w:rsidRPr="0055733C">
              <w:rPr>
                <w:rFonts w:cs="Arial"/>
                <w:sz w:val="20"/>
              </w:rPr>
              <w:t>Perfluorooctane sulfonamide</w:t>
            </w:r>
          </w:p>
        </w:tc>
        <w:tc>
          <w:tcPr>
            <w:tcW w:w="1800" w:type="dxa"/>
            <w:tcBorders>
              <w:top w:val="nil"/>
              <w:left w:val="nil"/>
              <w:bottom w:val="nil"/>
              <w:right w:val="nil"/>
            </w:tcBorders>
          </w:tcPr>
          <w:p w14:paraId="518B887E" w14:textId="77777777" w:rsidR="00FC360C" w:rsidRPr="0055733C" w:rsidRDefault="00FC360C" w:rsidP="0055733C">
            <w:pPr>
              <w:spacing w:after="0"/>
              <w:rPr>
                <w:rFonts w:cs="Arial"/>
                <w:sz w:val="20"/>
              </w:rPr>
            </w:pPr>
            <w:r w:rsidRPr="0055733C">
              <w:rPr>
                <w:rFonts w:cs="Arial"/>
                <w:sz w:val="20"/>
              </w:rPr>
              <w:t>PFOSA</w:t>
            </w:r>
          </w:p>
        </w:tc>
        <w:tc>
          <w:tcPr>
            <w:tcW w:w="2340" w:type="dxa"/>
            <w:tcBorders>
              <w:top w:val="nil"/>
              <w:left w:val="nil"/>
              <w:bottom w:val="nil"/>
              <w:right w:val="nil"/>
            </w:tcBorders>
          </w:tcPr>
          <w:p w14:paraId="71003AD6" w14:textId="77777777" w:rsidR="00FC360C" w:rsidRPr="0055733C" w:rsidRDefault="00FC360C" w:rsidP="0055733C">
            <w:pPr>
              <w:spacing w:after="0"/>
              <w:rPr>
                <w:rFonts w:cs="Arial"/>
                <w:sz w:val="20"/>
              </w:rPr>
            </w:pPr>
            <w:r w:rsidRPr="0055733C">
              <w:rPr>
                <w:rFonts w:cs="Arial"/>
                <w:sz w:val="20"/>
              </w:rPr>
              <w:t>C</w:t>
            </w:r>
            <w:r w:rsidRPr="0055733C">
              <w:rPr>
                <w:rFonts w:cs="Arial"/>
                <w:sz w:val="20"/>
                <w:vertAlign w:val="subscript"/>
              </w:rPr>
              <w:t>8</w:t>
            </w:r>
            <w:r w:rsidRPr="0055733C">
              <w:rPr>
                <w:rFonts w:cs="Arial"/>
                <w:sz w:val="20"/>
              </w:rPr>
              <w:t>F</w:t>
            </w:r>
            <w:r w:rsidRPr="0055733C">
              <w:rPr>
                <w:rFonts w:cs="Arial"/>
                <w:sz w:val="20"/>
                <w:vertAlign w:val="subscript"/>
              </w:rPr>
              <w:t>17</w:t>
            </w:r>
            <w:r w:rsidRPr="0055733C">
              <w:rPr>
                <w:rFonts w:cs="Arial"/>
                <w:sz w:val="20"/>
              </w:rPr>
              <w:t>SO</w:t>
            </w:r>
            <w:r w:rsidRPr="0055733C">
              <w:rPr>
                <w:rFonts w:cs="Arial"/>
                <w:sz w:val="20"/>
                <w:vertAlign w:val="subscript"/>
              </w:rPr>
              <w:t>2</w:t>
            </w:r>
            <w:r w:rsidRPr="0055733C">
              <w:rPr>
                <w:rFonts w:cs="Arial"/>
                <w:sz w:val="20"/>
              </w:rPr>
              <w:t>NH</w:t>
            </w:r>
            <w:r w:rsidRPr="0055733C">
              <w:rPr>
                <w:rFonts w:cs="Arial"/>
                <w:sz w:val="20"/>
                <w:vertAlign w:val="subscript"/>
              </w:rPr>
              <w:t>2</w:t>
            </w:r>
          </w:p>
        </w:tc>
        <w:tc>
          <w:tcPr>
            <w:tcW w:w="1440" w:type="dxa"/>
            <w:tcBorders>
              <w:top w:val="nil"/>
              <w:left w:val="nil"/>
              <w:bottom w:val="nil"/>
              <w:right w:val="nil"/>
            </w:tcBorders>
          </w:tcPr>
          <w:p w14:paraId="30DE279E" w14:textId="77777777" w:rsidR="00FC360C" w:rsidRPr="0055733C" w:rsidRDefault="00FC360C" w:rsidP="0055733C">
            <w:pPr>
              <w:spacing w:after="0"/>
              <w:rPr>
                <w:rFonts w:cs="Arial"/>
                <w:sz w:val="20"/>
              </w:rPr>
            </w:pPr>
            <w:r w:rsidRPr="0055733C">
              <w:rPr>
                <w:rFonts w:cs="Arial"/>
                <w:sz w:val="20"/>
              </w:rPr>
              <w:t>754-91-6</w:t>
            </w:r>
          </w:p>
        </w:tc>
      </w:tr>
      <w:tr w:rsidR="00FC360C" w:rsidRPr="0055733C" w14:paraId="0240E7A5" w14:textId="77777777" w:rsidTr="002F237A">
        <w:trPr>
          <w:trHeight w:val="340"/>
        </w:trPr>
        <w:tc>
          <w:tcPr>
            <w:tcW w:w="3620" w:type="dxa"/>
            <w:tcBorders>
              <w:top w:val="nil"/>
              <w:left w:val="nil"/>
              <w:bottom w:val="nil"/>
              <w:right w:val="nil"/>
            </w:tcBorders>
          </w:tcPr>
          <w:p w14:paraId="5BD0B486" w14:textId="77777777" w:rsidR="00FC360C" w:rsidRPr="0055733C" w:rsidRDefault="00FC360C" w:rsidP="0055733C">
            <w:pPr>
              <w:spacing w:after="0"/>
              <w:rPr>
                <w:rFonts w:cs="Arial"/>
                <w:b/>
                <w:sz w:val="20"/>
              </w:rPr>
            </w:pPr>
          </w:p>
          <w:p w14:paraId="70AA5942" w14:textId="77777777" w:rsidR="00FC360C" w:rsidRPr="0055733C" w:rsidRDefault="00FC360C" w:rsidP="0055733C">
            <w:pPr>
              <w:spacing w:after="0"/>
              <w:rPr>
                <w:rFonts w:cs="Arial"/>
                <w:b/>
                <w:sz w:val="20"/>
              </w:rPr>
            </w:pPr>
            <w:r w:rsidRPr="0055733C">
              <w:rPr>
                <w:rFonts w:cs="Arial"/>
                <w:b/>
                <w:sz w:val="20"/>
              </w:rPr>
              <w:t>Internal Standards</w:t>
            </w:r>
          </w:p>
        </w:tc>
        <w:tc>
          <w:tcPr>
            <w:tcW w:w="1800" w:type="dxa"/>
            <w:tcBorders>
              <w:top w:val="nil"/>
              <w:left w:val="nil"/>
              <w:bottom w:val="nil"/>
              <w:right w:val="nil"/>
            </w:tcBorders>
          </w:tcPr>
          <w:p w14:paraId="522F3E59" w14:textId="77777777" w:rsidR="00FC360C" w:rsidRPr="0055733C" w:rsidRDefault="00FC360C" w:rsidP="0055733C">
            <w:pPr>
              <w:spacing w:after="0"/>
              <w:rPr>
                <w:rFonts w:cs="Arial"/>
                <w:sz w:val="20"/>
              </w:rPr>
            </w:pPr>
          </w:p>
        </w:tc>
        <w:tc>
          <w:tcPr>
            <w:tcW w:w="2340" w:type="dxa"/>
            <w:tcBorders>
              <w:top w:val="nil"/>
              <w:left w:val="nil"/>
              <w:bottom w:val="nil"/>
              <w:right w:val="nil"/>
            </w:tcBorders>
          </w:tcPr>
          <w:p w14:paraId="7977C275" w14:textId="77777777" w:rsidR="00FC360C" w:rsidRPr="0055733C" w:rsidRDefault="00FC360C" w:rsidP="0055733C">
            <w:pPr>
              <w:spacing w:after="0"/>
              <w:rPr>
                <w:rFonts w:cs="Arial"/>
                <w:sz w:val="20"/>
              </w:rPr>
            </w:pPr>
          </w:p>
        </w:tc>
        <w:tc>
          <w:tcPr>
            <w:tcW w:w="1440" w:type="dxa"/>
            <w:tcBorders>
              <w:top w:val="nil"/>
              <w:left w:val="nil"/>
              <w:bottom w:val="nil"/>
              <w:right w:val="nil"/>
            </w:tcBorders>
          </w:tcPr>
          <w:p w14:paraId="026BF273" w14:textId="77777777" w:rsidR="00FC360C" w:rsidRPr="0055733C" w:rsidRDefault="00FC360C" w:rsidP="0055733C">
            <w:pPr>
              <w:spacing w:after="0"/>
              <w:rPr>
                <w:rFonts w:cs="Arial"/>
                <w:sz w:val="20"/>
              </w:rPr>
            </w:pPr>
          </w:p>
        </w:tc>
      </w:tr>
      <w:tr w:rsidR="00FC360C" w:rsidRPr="0055733C" w14:paraId="1E04D00E" w14:textId="77777777" w:rsidTr="002F237A">
        <w:trPr>
          <w:trHeight w:val="340"/>
        </w:trPr>
        <w:tc>
          <w:tcPr>
            <w:tcW w:w="3620" w:type="dxa"/>
            <w:tcBorders>
              <w:top w:val="nil"/>
              <w:left w:val="nil"/>
              <w:bottom w:val="nil"/>
              <w:right w:val="nil"/>
            </w:tcBorders>
          </w:tcPr>
          <w:p w14:paraId="0F034B76" w14:textId="77777777" w:rsidR="00FC360C" w:rsidRPr="0055733C" w:rsidRDefault="00FC360C" w:rsidP="0055733C">
            <w:pPr>
              <w:spacing w:after="0"/>
              <w:rPr>
                <w:rFonts w:cs="Arial"/>
                <w:sz w:val="20"/>
              </w:rPr>
            </w:pPr>
            <w:r w:rsidRPr="0055733C">
              <w:rPr>
                <w:rFonts w:cs="Arial"/>
                <w:sz w:val="20"/>
              </w:rPr>
              <w:t>Perfluoro-n-(1,2,3,4-</w:t>
            </w:r>
            <w:r w:rsidRPr="0055733C">
              <w:rPr>
                <w:rFonts w:cs="Arial"/>
                <w:sz w:val="20"/>
                <w:vertAlign w:val="superscript"/>
              </w:rPr>
              <w:t>13</w:t>
            </w:r>
            <w:r w:rsidRPr="0055733C">
              <w:rPr>
                <w:rFonts w:cs="Arial"/>
                <w:sz w:val="20"/>
              </w:rPr>
              <w:t>C</w:t>
            </w:r>
            <w:r w:rsidRPr="0055733C">
              <w:rPr>
                <w:rFonts w:cs="Arial"/>
                <w:sz w:val="20"/>
                <w:vertAlign w:val="subscript"/>
              </w:rPr>
              <w:t>4</w:t>
            </w:r>
            <w:r w:rsidRPr="0055733C">
              <w:rPr>
                <w:rFonts w:cs="Arial"/>
                <w:sz w:val="20"/>
              </w:rPr>
              <w:t>)butanoic acid</w:t>
            </w:r>
          </w:p>
        </w:tc>
        <w:tc>
          <w:tcPr>
            <w:tcW w:w="1800" w:type="dxa"/>
            <w:tcBorders>
              <w:top w:val="nil"/>
              <w:left w:val="nil"/>
              <w:bottom w:val="nil"/>
              <w:right w:val="nil"/>
            </w:tcBorders>
          </w:tcPr>
          <w:p w14:paraId="0C729FEB" w14:textId="77777777" w:rsidR="00FC360C" w:rsidRPr="0055733C" w:rsidRDefault="00FC360C" w:rsidP="0055733C">
            <w:pPr>
              <w:spacing w:after="0"/>
              <w:rPr>
                <w:rFonts w:cs="Arial"/>
                <w:sz w:val="20"/>
              </w:rPr>
            </w:pPr>
            <w:r w:rsidRPr="0055733C">
              <w:rPr>
                <w:rFonts w:cs="Arial"/>
                <w:sz w:val="20"/>
              </w:rPr>
              <w:t>[</w:t>
            </w:r>
            <w:r w:rsidRPr="0055733C">
              <w:rPr>
                <w:rFonts w:cs="Arial"/>
                <w:sz w:val="20"/>
                <w:vertAlign w:val="superscript"/>
              </w:rPr>
              <w:t>13</w:t>
            </w:r>
            <w:r w:rsidRPr="0055733C">
              <w:rPr>
                <w:rFonts w:cs="Arial"/>
                <w:sz w:val="20"/>
              </w:rPr>
              <w:t>C</w:t>
            </w:r>
            <w:r w:rsidRPr="0055733C">
              <w:rPr>
                <w:rFonts w:cs="Arial"/>
                <w:sz w:val="20"/>
                <w:vertAlign w:val="subscript"/>
              </w:rPr>
              <w:t>4</w:t>
            </w:r>
            <w:r w:rsidRPr="0055733C">
              <w:rPr>
                <w:rFonts w:cs="Arial"/>
                <w:sz w:val="20"/>
              </w:rPr>
              <w:t>]-PFBA</w:t>
            </w:r>
          </w:p>
        </w:tc>
        <w:tc>
          <w:tcPr>
            <w:tcW w:w="2340" w:type="dxa"/>
            <w:tcBorders>
              <w:top w:val="nil"/>
              <w:left w:val="nil"/>
              <w:bottom w:val="nil"/>
              <w:right w:val="nil"/>
            </w:tcBorders>
          </w:tcPr>
          <w:p w14:paraId="246DB31D"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[2,3,4-</w:t>
            </w:r>
            <w:r w:rsidRPr="0055733C">
              <w:rPr>
                <w:rFonts w:ascii="Calibri" w:hAnsi="Calibri" w:cs="Arial"/>
                <w:sz w:val="20"/>
                <w:szCs w:val="20"/>
                <w:vertAlign w:val="superscript"/>
                <w:lang w:val="en-GB"/>
              </w:rPr>
              <w:t>13</w:t>
            </w:r>
            <w:r w:rsidRPr="0055733C">
              <w:rPr>
                <w:rFonts w:ascii="Calibri" w:hAnsi="Calibri" w:cs="Arial"/>
                <w:sz w:val="20"/>
                <w:szCs w:val="20"/>
                <w:lang w:val="en-GB"/>
              </w:rPr>
              <w:t>C</w:t>
            </w:r>
            <w:r w:rsidRPr="0055733C">
              <w:rPr>
                <w:rFonts w:ascii="Calibri" w:hAnsi="Calibri" w:cs="Arial"/>
                <w:sz w:val="20"/>
                <w:szCs w:val="20"/>
                <w:vertAlign w:val="subscript"/>
                <w:lang w:val="en-GB"/>
              </w:rPr>
              <w:t>3</w:t>
            </w:r>
            <w:r w:rsidRPr="0055733C">
              <w:rPr>
                <w:rFonts w:ascii="Calibri" w:hAnsi="Calibri" w:cs="Arial"/>
                <w:sz w:val="20"/>
                <w:szCs w:val="20"/>
                <w:lang w:val="en-GB"/>
              </w:rPr>
              <w:t>]F</w:t>
            </w:r>
            <w:r w:rsidRPr="0055733C">
              <w:rPr>
                <w:rFonts w:ascii="Calibri" w:hAnsi="Calibri" w:cs="Arial"/>
                <w:sz w:val="20"/>
                <w:szCs w:val="20"/>
                <w:vertAlign w:val="subscript"/>
                <w:lang w:val="en-GB"/>
              </w:rPr>
              <w:t>7</w:t>
            </w:r>
            <w:r w:rsidRPr="0055733C">
              <w:rPr>
                <w:rFonts w:ascii="Calibri" w:hAnsi="Calibri" w:cs="Arial"/>
                <w:sz w:val="20"/>
                <w:szCs w:val="20"/>
                <w:vertAlign w:val="superscript"/>
                <w:lang w:val="en-GB"/>
              </w:rPr>
              <w:t>13</w:t>
            </w:r>
            <w:r w:rsidRPr="0055733C">
              <w:rPr>
                <w:rFonts w:ascii="Calibri" w:hAnsi="Calibri" w:cs="Arial"/>
                <w:sz w:val="20"/>
                <w:szCs w:val="20"/>
                <w:lang w:val="en-GB"/>
              </w:rPr>
              <w:t>COOH</w:t>
            </w:r>
          </w:p>
        </w:tc>
        <w:tc>
          <w:tcPr>
            <w:tcW w:w="1440" w:type="dxa"/>
            <w:tcBorders>
              <w:top w:val="nil"/>
              <w:left w:val="nil"/>
              <w:bottom w:val="nil"/>
              <w:right w:val="nil"/>
            </w:tcBorders>
          </w:tcPr>
          <w:p w14:paraId="1F7D1E6C" w14:textId="77777777" w:rsidR="00FC360C" w:rsidRPr="0055733C" w:rsidRDefault="00FC360C" w:rsidP="0055733C">
            <w:pPr>
              <w:spacing w:after="0"/>
              <w:rPr>
                <w:rFonts w:cs="Arial"/>
                <w:sz w:val="20"/>
              </w:rPr>
            </w:pPr>
            <w:r w:rsidRPr="0055733C">
              <w:rPr>
                <w:rFonts w:cs="Arial"/>
                <w:sz w:val="20"/>
              </w:rPr>
              <w:t>n.a.</w:t>
            </w:r>
          </w:p>
        </w:tc>
      </w:tr>
      <w:tr w:rsidR="00FC360C" w:rsidRPr="0055733C" w14:paraId="040ECA13" w14:textId="77777777" w:rsidTr="002F237A">
        <w:trPr>
          <w:trHeight w:val="340"/>
        </w:trPr>
        <w:tc>
          <w:tcPr>
            <w:tcW w:w="3620" w:type="dxa"/>
            <w:tcBorders>
              <w:top w:val="nil"/>
              <w:left w:val="nil"/>
              <w:bottom w:val="nil"/>
              <w:right w:val="nil"/>
            </w:tcBorders>
          </w:tcPr>
          <w:p w14:paraId="39AE731E" w14:textId="77777777" w:rsidR="00FC360C" w:rsidRPr="0055733C" w:rsidRDefault="00FC360C" w:rsidP="0055733C">
            <w:pPr>
              <w:pStyle w:val="Caption"/>
              <w:spacing w:before="0" w:after="0" w:line="276" w:lineRule="auto"/>
              <w:rPr>
                <w:rFonts w:ascii="Calibri" w:hAnsi="Calibri" w:cs="Arial"/>
                <w:b w:val="0"/>
                <w:sz w:val="20"/>
                <w:lang w:val="en-GB"/>
              </w:rPr>
            </w:pPr>
            <w:r w:rsidRPr="0055733C">
              <w:rPr>
                <w:rFonts w:ascii="Calibri" w:hAnsi="Calibri" w:cs="Arial"/>
                <w:b w:val="0"/>
                <w:sz w:val="20"/>
                <w:lang w:val="en-GB"/>
              </w:rPr>
              <w:t>Perfluoro-n-(1,2-</w:t>
            </w:r>
            <w:r w:rsidRPr="0055733C">
              <w:rPr>
                <w:rFonts w:ascii="Calibri" w:hAnsi="Calibri" w:cs="Arial"/>
                <w:b w:val="0"/>
                <w:sz w:val="20"/>
                <w:vertAlign w:val="superscript"/>
                <w:lang w:val="en-GB"/>
              </w:rPr>
              <w:t>13</w:t>
            </w:r>
            <w:r w:rsidRPr="0055733C">
              <w:rPr>
                <w:rFonts w:ascii="Calibri" w:hAnsi="Calibri" w:cs="Arial"/>
                <w:b w:val="0"/>
                <w:sz w:val="20"/>
                <w:lang w:val="en-GB"/>
              </w:rPr>
              <w:t>C</w:t>
            </w:r>
            <w:r w:rsidRPr="0055733C">
              <w:rPr>
                <w:rFonts w:ascii="Calibri" w:hAnsi="Calibri" w:cs="Arial"/>
                <w:b w:val="0"/>
                <w:sz w:val="20"/>
                <w:vertAlign w:val="subscript"/>
                <w:lang w:val="en-GB"/>
              </w:rPr>
              <w:t>2</w:t>
            </w:r>
            <w:r w:rsidRPr="0055733C">
              <w:rPr>
                <w:rFonts w:ascii="Calibri" w:hAnsi="Calibri" w:cs="Arial"/>
                <w:b w:val="0"/>
                <w:sz w:val="20"/>
                <w:lang w:val="en-GB"/>
              </w:rPr>
              <w:t>)hexanoic acid</w:t>
            </w:r>
          </w:p>
        </w:tc>
        <w:tc>
          <w:tcPr>
            <w:tcW w:w="1800" w:type="dxa"/>
            <w:tcBorders>
              <w:top w:val="nil"/>
              <w:left w:val="nil"/>
              <w:bottom w:val="nil"/>
              <w:right w:val="nil"/>
            </w:tcBorders>
          </w:tcPr>
          <w:p w14:paraId="74830B0E" w14:textId="77777777" w:rsidR="00FC360C" w:rsidRPr="0055733C" w:rsidRDefault="00FC360C" w:rsidP="0055733C">
            <w:pPr>
              <w:pStyle w:val="BodyText2"/>
              <w:spacing w:after="0" w:line="276" w:lineRule="auto"/>
              <w:jc w:val="both"/>
              <w:rPr>
                <w:rFonts w:ascii="Calibri" w:hAnsi="Calibri" w:cs="Arial"/>
              </w:rPr>
            </w:pPr>
            <w:r w:rsidRPr="0055733C">
              <w:rPr>
                <w:rFonts w:ascii="Calibri" w:hAnsi="Calibri" w:cs="Arial"/>
                <w:b/>
                <w:i/>
              </w:rPr>
              <w:t>[</w:t>
            </w:r>
            <w:r w:rsidRPr="0055733C">
              <w:rPr>
                <w:rFonts w:ascii="Calibri" w:hAnsi="Calibri" w:cs="Arial"/>
                <w:b/>
                <w:i/>
                <w:vertAlign w:val="superscript"/>
              </w:rPr>
              <w:t>13</w:t>
            </w:r>
            <w:r w:rsidRPr="0055733C">
              <w:rPr>
                <w:rFonts w:ascii="Calibri" w:hAnsi="Calibri" w:cs="Arial"/>
                <w:b/>
                <w:i/>
              </w:rPr>
              <w:t>C</w:t>
            </w:r>
            <w:r w:rsidRPr="0055733C">
              <w:rPr>
                <w:rFonts w:ascii="Calibri" w:hAnsi="Calibri" w:cs="Arial"/>
                <w:b/>
                <w:i/>
                <w:vertAlign w:val="subscript"/>
              </w:rPr>
              <w:t>2</w:t>
            </w:r>
            <w:r w:rsidRPr="0055733C">
              <w:rPr>
                <w:rFonts w:ascii="Calibri" w:hAnsi="Calibri" w:cs="Arial"/>
                <w:b/>
                <w:i/>
              </w:rPr>
              <w:t>]-PFHxA</w:t>
            </w:r>
          </w:p>
        </w:tc>
        <w:tc>
          <w:tcPr>
            <w:tcW w:w="2340" w:type="dxa"/>
            <w:tcBorders>
              <w:top w:val="nil"/>
              <w:left w:val="nil"/>
              <w:bottom w:val="nil"/>
              <w:right w:val="nil"/>
            </w:tcBorders>
          </w:tcPr>
          <w:p w14:paraId="624C0B06"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C</w:t>
            </w:r>
            <w:r w:rsidRPr="0055733C">
              <w:rPr>
                <w:rFonts w:ascii="Calibri" w:hAnsi="Calibri" w:cs="Arial"/>
                <w:sz w:val="20"/>
                <w:szCs w:val="20"/>
                <w:vertAlign w:val="subscript"/>
                <w:lang w:val="en-GB"/>
              </w:rPr>
              <w:t>4</w:t>
            </w:r>
            <w:r w:rsidRPr="0055733C">
              <w:rPr>
                <w:rFonts w:ascii="Calibri" w:hAnsi="Calibri" w:cs="Arial"/>
                <w:sz w:val="20"/>
                <w:szCs w:val="20"/>
                <w:lang w:val="en-GB"/>
              </w:rPr>
              <w:t>F</w:t>
            </w:r>
            <w:r w:rsidRPr="0055733C">
              <w:rPr>
                <w:rFonts w:ascii="Calibri" w:hAnsi="Calibri" w:cs="Arial"/>
                <w:sz w:val="20"/>
                <w:szCs w:val="20"/>
                <w:vertAlign w:val="subscript"/>
                <w:lang w:val="en-GB"/>
              </w:rPr>
              <w:t>9</w:t>
            </w:r>
            <w:r w:rsidRPr="0055733C">
              <w:rPr>
                <w:rFonts w:ascii="Calibri" w:hAnsi="Calibri" w:cs="Arial"/>
                <w:sz w:val="20"/>
                <w:szCs w:val="20"/>
                <w:lang w:val="en-GB"/>
              </w:rPr>
              <w:t>[2-</w:t>
            </w:r>
            <w:r w:rsidRPr="0055733C">
              <w:rPr>
                <w:rFonts w:ascii="Calibri" w:hAnsi="Calibri" w:cs="Arial"/>
                <w:sz w:val="20"/>
                <w:szCs w:val="20"/>
                <w:vertAlign w:val="superscript"/>
                <w:lang w:val="en-GB"/>
              </w:rPr>
              <w:t>13</w:t>
            </w:r>
            <w:r w:rsidRPr="0055733C">
              <w:rPr>
                <w:rFonts w:ascii="Calibri" w:hAnsi="Calibri" w:cs="Arial"/>
                <w:sz w:val="20"/>
                <w:szCs w:val="20"/>
                <w:lang w:val="en-GB"/>
              </w:rPr>
              <w:t>C]F</w:t>
            </w:r>
            <w:r w:rsidRPr="0055733C">
              <w:rPr>
                <w:rFonts w:ascii="Calibri" w:hAnsi="Calibri" w:cs="Arial"/>
                <w:sz w:val="20"/>
                <w:szCs w:val="20"/>
                <w:vertAlign w:val="subscript"/>
                <w:lang w:val="en-GB"/>
              </w:rPr>
              <w:t>2</w:t>
            </w:r>
            <w:r w:rsidRPr="0055733C">
              <w:rPr>
                <w:rFonts w:ascii="Calibri" w:hAnsi="Calibri" w:cs="Arial"/>
                <w:sz w:val="20"/>
                <w:szCs w:val="20"/>
                <w:vertAlign w:val="superscript"/>
                <w:lang w:val="en-GB"/>
              </w:rPr>
              <w:t>13</w:t>
            </w:r>
            <w:r w:rsidRPr="0055733C">
              <w:rPr>
                <w:rFonts w:ascii="Calibri" w:hAnsi="Calibri" w:cs="Arial"/>
                <w:sz w:val="20"/>
                <w:szCs w:val="20"/>
                <w:lang w:val="en-GB"/>
              </w:rPr>
              <w:t>COOH</w:t>
            </w:r>
          </w:p>
        </w:tc>
        <w:tc>
          <w:tcPr>
            <w:tcW w:w="1440" w:type="dxa"/>
            <w:tcBorders>
              <w:top w:val="nil"/>
              <w:left w:val="nil"/>
              <w:bottom w:val="nil"/>
              <w:right w:val="nil"/>
            </w:tcBorders>
          </w:tcPr>
          <w:p w14:paraId="1A4FD799" w14:textId="77777777" w:rsidR="00FC360C" w:rsidRPr="0055733C" w:rsidRDefault="00FC360C" w:rsidP="0055733C">
            <w:pPr>
              <w:spacing w:after="0"/>
              <w:rPr>
                <w:rFonts w:cs="Arial"/>
                <w:sz w:val="20"/>
              </w:rPr>
            </w:pPr>
            <w:r w:rsidRPr="0055733C">
              <w:rPr>
                <w:rFonts w:cs="Arial"/>
                <w:sz w:val="20"/>
              </w:rPr>
              <w:t>n.a.</w:t>
            </w:r>
          </w:p>
        </w:tc>
      </w:tr>
      <w:tr w:rsidR="00FC360C" w:rsidRPr="0055733C" w14:paraId="74FFF265" w14:textId="77777777" w:rsidTr="002F237A">
        <w:trPr>
          <w:trHeight w:val="340"/>
        </w:trPr>
        <w:tc>
          <w:tcPr>
            <w:tcW w:w="3620" w:type="dxa"/>
            <w:tcBorders>
              <w:top w:val="nil"/>
              <w:left w:val="nil"/>
              <w:bottom w:val="nil"/>
              <w:right w:val="nil"/>
            </w:tcBorders>
          </w:tcPr>
          <w:p w14:paraId="466AE4F0" w14:textId="77777777" w:rsidR="00FC360C" w:rsidRPr="0055733C" w:rsidRDefault="00FC360C" w:rsidP="0055733C">
            <w:pPr>
              <w:spacing w:after="0"/>
              <w:rPr>
                <w:rFonts w:cs="Arial"/>
                <w:sz w:val="20"/>
              </w:rPr>
            </w:pPr>
            <w:r w:rsidRPr="0055733C">
              <w:rPr>
                <w:rFonts w:cs="Arial"/>
                <w:sz w:val="20"/>
              </w:rPr>
              <w:t>Perfluoro-n-[1,2,3,4-</w:t>
            </w:r>
            <w:r w:rsidRPr="0055733C">
              <w:rPr>
                <w:rFonts w:cs="Arial"/>
                <w:sz w:val="20"/>
                <w:vertAlign w:val="superscript"/>
              </w:rPr>
              <w:t>13</w:t>
            </w:r>
            <w:r w:rsidRPr="0055733C">
              <w:rPr>
                <w:rFonts w:cs="Arial"/>
                <w:sz w:val="20"/>
              </w:rPr>
              <w:t>C</w:t>
            </w:r>
            <w:r w:rsidRPr="0055733C">
              <w:rPr>
                <w:rFonts w:cs="Arial"/>
                <w:sz w:val="20"/>
                <w:vertAlign w:val="subscript"/>
              </w:rPr>
              <w:t>4</w:t>
            </w:r>
            <w:r w:rsidRPr="0055733C">
              <w:rPr>
                <w:rFonts w:cs="Arial"/>
                <w:sz w:val="20"/>
              </w:rPr>
              <w:t>]octanoic acid</w:t>
            </w:r>
          </w:p>
        </w:tc>
        <w:tc>
          <w:tcPr>
            <w:tcW w:w="1800" w:type="dxa"/>
            <w:tcBorders>
              <w:top w:val="nil"/>
              <w:left w:val="nil"/>
              <w:bottom w:val="nil"/>
              <w:right w:val="nil"/>
            </w:tcBorders>
          </w:tcPr>
          <w:p w14:paraId="0DDDA135" w14:textId="77777777" w:rsidR="00FC360C" w:rsidRPr="0055733C" w:rsidRDefault="00FC360C" w:rsidP="0055733C">
            <w:pPr>
              <w:spacing w:after="0"/>
              <w:rPr>
                <w:rFonts w:cs="Arial"/>
                <w:sz w:val="20"/>
              </w:rPr>
            </w:pPr>
            <w:r w:rsidRPr="0055733C">
              <w:rPr>
                <w:rFonts w:cs="Arial"/>
                <w:sz w:val="20"/>
              </w:rPr>
              <w:t>[</w:t>
            </w:r>
            <w:r w:rsidRPr="0055733C">
              <w:rPr>
                <w:rFonts w:cs="Arial"/>
                <w:sz w:val="20"/>
                <w:vertAlign w:val="superscript"/>
              </w:rPr>
              <w:t>13</w:t>
            </w:r>
            <w:r w:rsidRPr="0055733C">
              <w:rPr>
                <w:rFonts w:cs="Arial"/>
                <w:sz w:val="20"/>
              </w:rPr>
              <w:t>C</w:t>
            </w:r>
            <w:r w:rsidRPr="0055733C">
              <w:rPr>
                <w:rFonts w:cs="Arial"/>
                <w:sz w:val="20"/>
                <w:vertAlign w:val="subscript"/>
              </w:rPr>
              <w:t>4</w:t>
            </w:r>
            <w:r w:rsidRPr="0055733C">
              <w:rPr>
                <w:rFonts w:cs="Arial"/>
                <w:sz w:val="20"/>
              </w:rPr>
              <w:t>]-PFOA</w:t>
            </w:r>
          </w:p>
        </w:tc>
        <w:tc>
          <w:tcPr>
            <w:tcW w:w="2340" w:type="dxa"/>
            <w:tcBorders>
              <w:top w:val="nil"/>
              <w:left w:val="nil"/>
              <w:bottom w:val="nil"/>
              <w:right w:val="nil"/>
            </w:tcBorders>
          </w:tcPr>
          <w:p w14:paraId="0A7E35D0"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C</w:t>
            </w:r>
            <w:r w:rsidRPr="0055733C">
              <w:rPr>
                <w:rFonts w:ascii="Calibri" w:hAnsi="Calibri" w:cs="Arial"/>
                <w:sz w:val="20"/>
                <w:szCs w:val="20"/>
                <w:vertAlign w:val="subscript"/>
                <w:lang w:val="en-GB"/>
              </w:rPr>
              <w:t>4</w:t>
            </w:r>
            <w:r w:rsidRPr="0055733C">
              <w:rPr>
                <w:rFonts w:ascii="Calibri" w:hAnsi="Calibri" w:cs="Arial"/>
                <w:sz w:val="20"/>
                <w:szCs w:val="20"/>
                <w:lang w:val="en-GB"/>
              </w:rPr>
              <w:t>F</w:t>
            </w:r>
            <w:r w:rsidRPr="0055733C">
              <w:rPr>
                <w:rFonts w:ascii="Calibri" w:hAnsi="Calibri" w:cs="Arial"/>
                <w:sz w:val="20"/>
                <w:szCs w:val="20"/>
                <w:vertAlign w:val="subscript"/>
                <w:lang w:val="en-GB"/>
              </w:rPr>
              <w:t>9</w:t>
            </w:r>
            <w:r w:rsidRPr="0055733C">
              <w:rPr>
                <w:rFonts w:ascii="Calibri" w:hAnsi="Calibri" w:cs="Arial"/>
                <w:sz w:val="20"/>
                <w:szCs w:val="20"/>
                <w:lang w:val="en-GB"/>
              </w:rPr>
              <w:t>[2,3,4-</w:t>
            </w:r>
            <w:r w:rsidRPr="0055733C">
              <w:rPr>
                <w:rFonts w:ascii="Calibri" w:hAnsi="Calibri" w:cs="Arial"/>
                <w:sz w:val="20"/>
                <w:szCs w:val="20"/>
                <w:vertAlign w:val="superscript"/>
                <w:lang w:val="en-GB"/>
              </w:rPr>
              <w:t>13</w:t>
            </w:r>
            <w:r w:rsidRPr="0055733C">
              <w:rPr>
                <w:rFonts w:ascii="Calibri" w:hAnsi="Calibri" w:cs="Arial"/>
                <w:sz w:val="20"/>
                <w:szCs w:val="20"/>
                <w:lang w:val="en-GB"/>
              </w:rPr>
              <w:t>C</w:t>
            </w:r>
            <w:r w:rsidRPr="0055733C">
              <w:rPr>
                <w:rFonts w:ascii="Calibri" w:hAnsi="Calibri" w:cs="Arial"/>
                <w:sz w:val="20"/>
                <w:szCs w:val="20"/>
                <w:vertAlign w:val="subscript"/>
                <w:lang w:val="en-GB"/>
              </w:rPr>
              <w:t>3</w:t>
            </w:r>
            <w:r w:rsidRPr="0055733C">
              <w:rPr>
                <w:rFonts w:ascii="Calibri" w:hAnsi="Calibri" w:cs="Arial"/>
                <w:sz w:val="20"/>
                <w:szCs w:val="20"/>
                <w:lang w:val="en-GB"/>
              </w:rPr>
              <w:t>]F</w:t>
            </w:r>
            <w:r w:rsidRPr="0055733C">
              <w:rPr>
                <w:rFonts w:ascii="Calibri" w:hAnsi="Calibri" w:cs="Arial"/>
                <w:sz w:val="20"/>
                <w:szCs w:val="20"/>
                <w:vertAlign w:val="subscript"/>
                <w:lang w:val="en-GB"/>
              </w:rPr>
              <w:t>6</w:t>
            </w:r>
            <w:r w:rsidRPr="0055733C">
              <w:rPr>
                <w:rFonts w:ascii="Calibri" w:hAnsi="Calibri" w:cs="Arial"/>
                <w:sz w:val="20"/>
                <w:szCs w:val="20"/>
                <w:vertAlign w:val="superscript"/>
                <w:lang w:val="en-GB"/>
              </w:rPr>
              <w:t>13</w:t>
            </w:r>
            <w:r w:rsidRPr="0055733C">
              <w:rPr>
                <w:rFonts w:ascii="Calibri" w:hAnsi="Calibri" w:cs="Arial"/>
                <w:sz w:val="20"/>
                <w:szCs w:val="20"/>
                <w:lang w:val="en-GB"/>
              </w:rPr>
              <w:t>COOH</w:t>
            </w:r>
          </w:p>
        </w:tc>
        <w:tc>
          <w:tcPr>
            <w:tcW w:w="1440" w:type="dxa"/>
            <w:tcBorders>
              <w:top w:val="nil"/>
              <w:left w:val="nil"/>
              <w:bottom w:val="nil"/>
              <w:right w:val="nil"/>
            </w:tcBorders>
          </w:tcPr>
          <w:p w14:paraId="26E331F3" w14:textId="77777777" w:rsidR="00FC360C" w:rsidRPr="0055733C" w:rsidRDefault="00FC360C" w:rsidP="0055733C">
            <w:pPr>
              <w:spacing w:after="0"/>
              <w:rPr>
                <w:rFonts w:cs="Arial"/>
                <w:sz w:val="20"/>
              </w:rPr>
            </w:pPr>
            <w:r w:rsidRPr="0055733C">
              <w:rPr>
                <w:rFonts w:cs="Arial"/>
                <w:sz w:val="20"/>
              </w:rPr>
              <w:t>n.a.</w:t>
            </w:r>
          </w:p>
        </w:tc>
      </w:tr>
      <w:tr w:rsidR="00FC360C" w:rsidRPr="0055733C" w14:paraId="07A06DE2" w14:textId="77777777" w:rsidTr="002F237A">
        <w:trPr>
          <w:trHeight w:val="340"/>
        </w:trPr>
        <w:tc>
          <w:tcPr>
            <w:tcW w:w="3620" w:type="dxa"/>
            <w:tcBorders>
              <w:top w:val="nil"/>
              <w:left w:val="nil"/>
              <w:bottom w:val="nil"/>
              <w:right w:val="nil"/>
            </w:tcBorders>
          </w:tcPr>
          <w:p w14:paraId="1A02F299" w14:textId="77777777" w:rsidR="00FC360C" w:rsidRPr="0055733C" w:rsidRDefault="00FC360C" w:rsidP="0055733C">
            <w:pPr>
              <w:pStyle w:val="Caption"/>
              <w:spacing w:before="0" w:after="0" w:line="276" w:lineRule="auto"/>
              <w:rPr>
                <w:rFonts w:ascii="Calibri" w:hAnsi="Calibri" w:cs="Arial"/>
                <w:b w:val="0"/>
                <w:sz w:val="20"/>
                <w:lang w:val="en-GB"/>
              </w:rPr>
            </w:pPr>
            <w:r w:rsidRPr="0055733C">
              <w:rPr>
                <w:rFonts w:ascii="Calibri" w:hAnsi="Calibri" w:cs="Arial"/>
                <w:b w:val="0"/>
                <w:sz w:val="20"/>
                <w:lang w:val="en-GB"/>
              </w:rPr>
              <w:t>Perfluoro-n-[1,2,3,4,5-</w:t>
            </w:r>
            <w:r w:rsidRPr="0055733C">
              <w:rPr>
                <w:rFonts w:ascii="Calibri" w:hAnsi="Calibri" w:cs="Arial"/>
                <w:b w:val="0"/>
                <w:sz w:val="20"/>
                <w:vertAlign w:val="superscript"/>
                <w:lang w:val="en-GB"/>
              </w:rPr>
              <w:t>13</w:t>
            </w:r>
            <w:r w:rsidRPr="0055733C">
              <w:rPr>
                <w:rFonts w:ascii="Calibri" w:hAnsi="Calibri" w:cs="Arial"/>
                <w:b w:val="0"/>
                <w:sz w:val="20"/>
                <w:lang w:val="en-GB"/>
              </w:rPr>
              <w:t>C</w:t>
            </w:r>
            <w:r w:rsidRPr="0055733C">
              <w:rPr>
                <w:rFonts w:ascii="Calibri" w:hAnsi="Calibri" w:cs="Arial"/>
                <w:b w:val="0"/>
                <w:sz w:val="20"/>
                <w:vertAlign w:val="subscript"/>
                <w:lang w:val="en-GB"/>
              </w:rPr>
              <w:t>5</w:t>
            </w:r>
            <w:r w:rsidRPr="0055733C">
              <w:rPr>
                <w:rFonts w:ascii="Calibri" w:hAnsi="Calibri" w:cs="Arial"/>
                <w:b w:val="0"/>
                <w:sz w:val="20"/>
                <w:lang w:val="en-GB"/>
              </w:rPr>
              <w:t>]nonanoic acid</w:t>
            </w:r>
          </w:p>
        </w:tc>
        <w:tc>
          <w:tcPr>
            <w:tcW w:w="1800" w:type="dxa"/>
            <w:tcBorders>
              <w:top w:val="nil"/>
              <w:left w:val="nil"/>
              <w:bottom w:val="nil"/>
              <w:right w:val="nil"/>
            </w:tcBorders>
          </w:tcPr>
          <w:p w14:paraId="7E218C41" w14:textId="77777777" w:rsidR="00FC360C" w:rsidRPr="0055733C" w:rsidRDefault="00FC360C" w:rsidP="0055733C">
            <w:pPr>
              <w:pStyle w:val="BodyText2"/>
              <w:spacing w:after="0" w:line="276" w:lineRule="auto"/>
              <w:jc w:val="both"/>
              <w:rPr>
                <w:rFonts w:ascii="Calibri" w:hAnsi="Calibri" w:cs="Arial"/>
              </w:rPr>
            </w:pPr>
            <w:r w:rsidRPr="0055733C">
              <w:rPr>
                <w:rFonts w:ascii="Calibri" w:hAnsi="Calibri" w:cs="Arial"/>
                <w:b/>
                <w:i/>
              </w:rPr>
              <w:t>[</w:t>
            </w:r>
            <w:r w:rsidRPr="0055733C">
              <w:rPr>
                <w:rFonts w:ascii="Calibri" w:hAnsi="Calibri" w:cs="Arial"/>
                <w:b/>
                <w:i/>
                <w:vertAlign w:val="superscript"/>
              </w:rPr>
              <w:t>13</w:t>
            </w:r>
            <w:r w:rsidRPr="0055733C">
              <w:rPr>
                <w:rFonts w:ascii="Calibri" w:hAnsi="Calibri" w:cs="Arial"/>
                <w:b/>
                <w:i/>
              </w:rPr>
              <w:t>C</w:t>
            </w:r>
            <w:r w:rsidRPr="0055733C">
              <w:rPr>
                <w:rFonts w:ascii="Calibri" w:hAnsi="Calibri" w:cs="Arial"/>
                <w:b/>
                <w:i/>
                <w:vertAlign w:val="subscript"/>
              </w:rPr>
              <w:t>5</w:t>
            </w:r>
            <w:r w:rsidRPr="0055733C">
              <w:rPr>
                <w:rFonts w:ascii="Calibri" w:hAnsi="Calibri" w:cs="Arial"/>
                <w:b/>
                <w:i/>
              </w:rPr>
              <w:t>]-PFNA</w:t>
            </w:r>
          </w:p>
        </w:tc>
        <w:tc>
          <w:tcPr>
            <w:tcW w:w="2340" w:type="dxa"/>
            <w:tcBorders>
              <w:top w:val="nil"/>
              <w:left w:val="nil"/>
              <w:bottom w:val="nil"/>
              <w:right w:val="nil"/>
            </w:tcBorders>
          </w:tcPr>
          <w:p w14:paraId="680E8E0D"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C</w:t>
            </w:r>
            <w:r w:rsidRPr="0055733C">
              <w:rPr>
                <w:rFonts w:ascii="Calibri" w:hAnsi="Calibri" w:cs="Arial"/>
                <w:sz w:val="20"/>
                <w:szCs w:val="20"/>
                <w:vertAlign w:val="subscript"/>
                <w:lang w:val="en-GB"/>
              </w:rPr>
              <w:t>4</w:t>
            </w:r>
            <w:r w:rsidRPr="0055733C">
              <w:rPr>
                <w:rFonts w:ascii="Calibri" w:hAnsi="Calibri" w:cs="Arial"/>
                <w:sz w:val="20"/>
                <w:szCs w:val="20"/>
                <w:lang w:val="en-GB"/>
              </w:rPr>
              <w:t>F</w:t>
            </w:r>
            <w:r w:rsidRPr="0055733C">
              <w:rPr>
                <w:rFonts w:ascii="Calibri" w:hAnsi="Calibri" w:cs="Arial"/>
                <w:sz w:val="20"/>
                <w:szCs w:val="20"/>
                <w:vertAlign w:val="subscript"/>
                <w:lang w:val="en-GB"/>
              </w:rPr>
              <w:t>9</w:t>
            </w:r>
            <w:r w:rsidRPr="0055733C">
              <w:rPr>
                <w:rFonts w:ascii="Calibri" w:hAnsi="Calibri" w:cs="Arial"/>
                <w:sz w:val="20"/>
                <w:szCs w:val="20"/>
                <w:lang w:val="en-GB"/>
              </w:rPr>
              <w:t>[2,3,4,5-</w:t>
            </w:r>
            <w:r w:rsidRPr="0055733C">
              <w:rPr>
                <w:rFonts w:ascii="Calibri" w:hAnsi="Calibri" w:cs="Arial"/>
                <w:sz w:val="20"/>
                <w:szCs w:val="20"/>
                <w:vertAlign w:val="superscript"/>
                <w:lang w:val="en-GB"/>
              </w:rPr>
              <w:t>13</w:t>
            </w:r>
            <w:r w:rsidRPr="0055733C">
              <w:rPr>
                <w:rFonts w:ascii="Calibri" w:hAnsi="Calibri" w:cs="Arial"/>
                <w:sz w:val="20"/>
                <w:szCs w:val="20"/>
                <w:lang w:val="en-GB"/>
              </w:rPr>
              <w:t>C</w:t>
            </w:r>
            <w:r w:rsidRPr="0055733C">
              <w:rPr>
                <w:rFonts w:ascii="Calibri" w:hAnsi="Calibri" w:cs="Arial"/>
                <w:sz w:val="20"/>
                <w:szCs w:val="20"/>
                <w:vertAlign w:val="subscript"/>
                <w:lang w:val="en-GB"/>
              </w:rPr>
              <w:t>4</w:t>
            </w:r>
            <w:r w:rsidRPr="0055733C">
              <w:rPr>
                <w:rFonts w:ascii="Calibri" w:hAnsi="Calibri" w:cs="Arial"/>
                <w:sz w:val="20"/>
                <w:szCs w:val="20"/>
                <w:lang w:val="en-GB"/>
              </w:rPr>
              <w:t>]F</w:t>
            </w:r>
            <w:r w:rsidRPr="0055733C">
              <w:rPr>
                <w:rFonts w:ascii="Calibri" w:hAnsi="Calibri" w:cs="Arial"/>
                <w:sz w:val="20"/>
                <w:szCs w:val="20"/>
                <w:vertAlign w:val="subscript"/>
                <w:lang w:val="en-GB"/>
              </w:rPr>
              <w:t>8</w:t>
            </w:r>
            <w:r w:rsidRPr="0055733C">
              <w:rPr>
                <w:rFonts w:ascii="Calibri" w:hAnsi="Calibri" w:cs="Arial"/>
                <w:sz w:val="20"/>
                <w:szCs w:val="20"/>
                <w:vertAlign w:val="superscript"/>
                <w:lang w:val="en-GB"/>
              </w:rPr>
              <w:t>13</w:t>
            </w:r>
            <w:r w:rsidRPr="0055733C">
              <w:rPr>
                <w:rFonts w:ascii="Calibri" w:hAnsi="Calibri" w:cs="Arial"/>
                <w:sz w:val="20"/>
                <w:szCs w:val="20"/>
                <w:lang w:val="en-GB"/>
              </w:rPr>
              <w:t>COOH</w:t>
            </w:r>
          </w:p>
        </w:tc>
        <w:tc>
          <w:tcPr>
            <w:tcW w:w="1440" w:type="dxa"/>
            <w:tcBorders>
              <w:top w:val="nil"/>
              <w:left w:val="nil"/>
              <w:bottom w:val="nil"/>
              <w:right w:val="nil"/>
            </w:tcBorders>
          </w:tcPr>
          <w:p w14:paraId="116C6D0E" w14:textId="77777777" w:rsidR="00FC360C" w:rsidRPr="0055733C" w:rsidRDefault="00FC360C" w:rsidP="0055733C">
            <w:pPr>
              <w:spacing w:after="0"/>
              <w:rPr>
                <w:rFonts w:cs="Arial"/>
                <w:sz w:val="20"/>
              </w:rPr>
            </w:pPr>
            <w:r w:rsidRPr="0055733C">
              <w:rPr>
                <w:rFonts w:cs="Arial"/>
                <w:sz w:val="20"/>
              </w:rPr>
              <w:t>n.a.</w:t>
            </w:r>
          </w:p>
        </w:tc>
      </w:tr>
      <w:tr w:rsidR="00FC360C" w:rsidRPr="0055733C" w14:paraId="33A6BDEF" w14:textId="77777777" w:rsidTr="002F237A">
        <w:trPr>
          <w:trHeight w:val="340"/>
        </w:trPr>
        <w:tc>
          <w:tcPr>
            <w:tcW w:w="3620" w:type="dxa"/>
            <w:tcBorders>
              <w:top w:val="nil"/>
              <w:left w:val="nil"/>
              <w:bottom w:val="nil"/>
              <w:right w:val="nil"/>
            </w:tcBorders>
          </w:tcPr>
          <w:p w14:paraId="30A428A1" w14:textId="77777777" w:rsidR="00FC360C" w:rsidRPr="0055733C" w:rsidRDefault="00FC360C" w:rsidP="0055733C">
            <w:pPr>
              <w:pStyle w:val="Caption"/>
              <w:spacing w:before="0" w:after="0" w:line="276" w:lineRule="auto"/>
              <w:rPr>
                <w:rFonts w:ascii="Calibri" w:hAnsi="Calibri" w:cs="Arial"/>
                <w:b w:val="0"/>
                <w:sz w:val="20"/>
                <w:lang w:val="en-GB"/>
              </w:rPr>
            </w:pPr>
            <w:r w:rsidRPr="0055733C">
              <w:rPr>
                <w:rFonts w:ascii="Calibri" w:hAnsi="Calibri" w:cs="Arial"/>
                <w:b w:val="0"/>
                <w:sz w:val="20"/>
                <w:lang w:val="en-GB"/>
              </w:rPr>
              <w:t>Perfluoro-n-[1,2-</w:t>
            </w:r>
            <w:r w:rsidRPr="0055733C">
              <w:rPr>
                <w:rFonts w:ascii="Calibri" w:hAnsi="Calibri" w:cs="Arial"/>
                <w:b w:val="0"/>
                <w:sz w:val="20"/>
                <w:vertAlign w:val="superscript"/>
                <w:lang w:val="en-GB"/>
              </w:rPr>
              <w:t>13</w:t>
            </w:r>
            <w:r w:rsidRPr="0055733C">
              <w:rPr>
                <w:rFonts w:ascii="Calibri" w:hAnsi="Calibri" w:cs="Arial"/>
                <w:b w:val="0"/>
                <w:sz w:val="20"/>
                <w:lang w:val="en-GB"/>
              </w:rPr>
              <w:t>C</w:t>
            </w:r>
            <w:r w:rsidRPr="0055733C">
              <w:rPr>
                <w:rFonts w:ascii="Calibri" w:hAnsi="Calibri" w:cs="Arial"/>
                <w:b w:val="0"/>
                <w:sz w:val="20"/>
                <w:vertAlign w:val="subscript"/>
                <w:lang w:val="en-GB"/>
              </w:rPr>
              <w:t>2</w:t>
            </w:r>
            <w:r w:rsidRPr="0055733C">
              <w:rPr>
                <w:rFonts w:ascii="Calibri" w:hAnsi="Calibri" w:cs="Arial"/>
                <w:b w:val="0"/>
                <w:sz w:val="20"/>
                <w:lang w:val="en-GB"/>
              </w:rPr>
              <w:t>]decanoic acid</w:t>
            </w:r>
          </w:p>
        </w:tc>
        <w:tc>
          <w:tcPr>
            <w:tcW w:w="1800" w:type="dxa"/>
            <w:tcBorders>
              <w:top w:val="nil"/>
              <w:left w:val="nil"/>
              <w:bottom w:val="nil"/>
              <w:right w:val="nil"/>
            </w:tcBorders>
          </w:tcPr>
          <w:p w14:paraId="24B784CD" w14:textId="77777777" w:rsidR="00FC360C" w:rsidRPr="0055733C" w:rsidRDefault="00FC360C" w:rsidP="0055733C">
            <w:pPr>
              <w:pStyle w:val="BodyText2"/>
              <w:spacing w:after="0" w:line="276" w:lineRule="auto"/>
              <w:jc w:val="both"/>
              <w:rPr>
                <w:rFonts w:ascii="Calibri" w:hAnsi="Calibri" w:cs="Arial"/>
              </w:rPr>
            </w:pPr>
            <w:r w:rsidRPr="0055733C">
              <w:rPr>
                <w:rFonts w:ascii="Calibri" w:hAnsi="Calibri" w:cs="Arial"/>
                <w:b/>
                <w:i/>
              </w:rPr>
              <w:t>[</w:t>
            </w:r>
            <w:r w:rsidRPr="0055733C">
              <w:rPr>
                <w:rFonts w:ascii="Calibri" w:hAnsi="Calibri" w:cs="Arial"/>
                <w:b/>
                <w:i/>
                <w:vertAlign w:val="superscript"/>
              </w:rPr>
              <w:t>13</w:t>
            </w:r>
            <w:r w:rsidRPr="0055733C">
              <w:rPr>
                <w:rFonts w:ascii="Calibri" w:hAnsi="Calibri" w:cs="Arial"/>
                <w:b/>
                <w:i/>
              </w:rPr>
              <w:t>C</w:t>
            </w:r>
            <w:r w:rsidRPr="0055733C">
              <w:rPr>
                <w:rFonts w:ascii="Calibri" w:hAnsi="Calibri" w:cs="Arial"/>
                <w:b/>
                <w:i/>
                <w:vertAlign w:val="subscript"/>
              </w:rPr>
              <w:t>2</w:t>
            </w:r>
            <w:r w:rsidRPr="0055733C">
              <w:rPr>
                <w:rFonts w:ascii="Calibri" w:hAnsi="Calibri" w:cs="Arial"/>
                <w:b/>
                <w:i/>
              </w:rPr>
              <w:t>]-PFDA</w:t>
            </w:r>
          </w:p>
        </w:tc>
        <w:tc>
          <w:tcPr>
            <w:tcW w:w="2340" w:type="dxa"/>
            <w:tcBorders>
              <w:top w:val="nil"/>
              <w:left w:val="nil"/>
              <w:bottom w:val="nil"/>
              <w:right w:val="nil"/>
            </w:tcBorders>
          </w:tcPr>
          <w:p w14:paraId="2F6E7DEC"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C</w:t>
            </w:r>
            <w:r w:rsidRPr="0055733C">
              <w:rPr>
                <w:rFonts w:ascii="Calibri" w:hAnsi="Calibri" w:cs="Arial"/>
                <w:sz w:val="20"/>
                <w:szCs w:val="20"/>
                <w:vertAlign w:val="subscript"/>
                <w:lang w:val="en-GB"/>
              </w:rPr>
              <w:t>8</w:t>
            </w:r>
            <w:r w:rsidRPr="0055733C">
              <w:rPr>
                <w:rFonts w:ascii="Calibri" w:hAnsi="Calibri" w:cs="Arial"/>
                <w:sz w:val="20"/>
                <w:szCs w:val="20"/>
                <w:lang w:val="en-GB"/>
              </w:rPr>
              <w:t>F</w:t>
            </w:r>
            <w:r w:rsidRPr="0055733C">
              <w:rPr>
                <w:rFonts w:ascii="Calibri" w:hAnsi="Calibri" w:cs="Arial"/>
                <w:sz w:val="20"/>
                <w:szCs w:val="20"/>
                <w:vertAlign w:val="subscript"/>
                <w:lang w:val="en-GB"/>
              </w:rPr>
              <w:t>17</w:t>
            </w:r>
            <w:r w:rsidRPr="0055733C">
              <w:rPr>
                <w:rFonts w:ascii="Calibri" w:hAnsi="Calibri" w:cs="Arial"/>
                <w:sz w:val="20"/>
                <w:szCs w:val="20"/>
                <w:vertAlign w:val="superscript"/>
                <w:lang w:val="en-GB"/>
              </w:rPr>
              <w:t>13</w:t>
            </w:r>
            <w:r w:rsidRPr="0055733C">
              <w:rPr>
                <w:rFonts w:ascii="Calibri" w:hAnsi="Calibri" w:cs="Arial"/>
                <w:sz w:val="20"/>
                <w:szCs w:val="20"/>
                <w:lang w:val="en-GB"/>
              </w:rPr>
              <w:t>CF</w:t>
            </w:r>
            <w:r w:rsidRPr="0055733C">
              <w:rPr>
                <w:rFonts w:ascii="Calibri" w:hAnsi="Calibri" w:cs="Arial"/>
                <w:sz w:val="20"/>
                <w:szCs w:val="20"/>
                <w:vertAlign w:val="subscript"/>
                <w:lang w:val="en-GB"/>
              </w:rPr>
              <w:t>2</w:t>
            </w:r>
            <w:r w:rsidRPr="0055733C">
              <w:rPr>
                <w:rFonts w:ascii="Calibri" w:hAnsi="Calibri" w:cs="Arial"/>
                <w:sz w:val="20"/>
                <w:szCs w:val="20"/>
                <w:vertAlign w:val="superscript"/>
                <w:lang w:val="en-GB"/>
              </w:rPr>
              <w:t>13</w:t>
            </w:r>
            <w:r w:rsidRPr="0055733C">
              <w:rPr>
                <w:rFonts w:ascii="Calibri" w:hAnsi="Calibri" w:cs="Arial"/>
                <w:sz w:val="20"/>
                <w:szCs w:val="20"/>
                <w:lang w:val="en-GB"/>
              </w:rPr>
              <w:t>COOH</w:t>
            </w:r>
          </w:p>
        </w:tc>
        <w:tc>
          <w:tcPr>
            <w:tcW w:w="1440" w:type="dxa"/>
            <w:tcBorders>
              <w:top w:val="nil"/>
              <w:left w:val="nil"/>
              <w:bottom w:val="nil"/>
              <w:right w:val="nil"/>
            </w:tcBorders>
          </w:tcPr>
          <w:p w14:paraId="3CE18B38" w14:textId="77777777" w:rsidR="00FC360C" w:rsidRPr="0055733C" w:rsidRDefault="00FC360C" w:rsidP="0055733C">
            <w:pPr>
              <w:spacing w:after="0"/>
              <w:rPr>
                <w:rFonts w:cs="Arial"/>
                <w:sz w:val="20"/>
              </w:rPr>
            </w:pPr>
            <w:r w:rsidRPr="0055733C">
              <w:rPr>
                <w:rFonts w:cs="Arial"/>
                <w:sz w:val="20"/>
              </w:rPr>
              <w:t>n.a.</w:t>
            </w:r>
          </w:p>
        </w:tc>
      </w:tr>
      <w:tr w:rsidR="00FC360C" w:rsidRPr="0055733C" w14:paraId="7A983A94" w14:textId="77777777" w:rsidTr="002F237A">
        <w:trPr>
          <w:trHeight w:val="340"/>
        </w:trPr>
        <w:tc>
          <w:tcPr>
            <w:tcW w:w="3620" w:type="dxa"/>
            <w:tcBorders>
              <w:top w:val="nil"/>
              <w:left w:val="nil"/>
              <w:bottom w:val="nil"/>
              <w:right w:val="nil"/>
            </w:tcBorders>
          </w:tcPr>
          <w:p w14:paraId="1ED14475" w14:textId="77777777" w:rsidR="00FC360C" w:rsidRPr="0055733C" w:rsidRDefault="00FC360C" w:rsidP="0055733C">
            <w:pPr>
              <w:pStyle w:val="Caption"/>
              <w:spacing w:before="0" w:after="0" w:line="276" w:lineRule="auto"/>
              <w:rPr>
                <w:rFonts w:ascii="Calibri" w:hAnsi="Calibri" w:cs="Arial"/>
                <w:b w:val="0"/>
                <w:sz w:val="20"/>
                <w:lang w:val="en-GB"/>
              </w:rPr>
            </w:pPr>
            <w:r w:rsidRPr="0055733C">
              <w:rPr>
                <w:rFonts w:ascii="Calibri" w:hAnsi="Calibri" w:cs="Arial"/>
                <w:b w:val="0"/>
                <w:sz w:val="20"/>
                <w:lang w:val="en-GB"/>
              </w:rPr>
              <w:t>Perfluoro-n-[1,2-</w:t>
            </w:r>
            <w:r w:rsidRPr="0055733C">
              <w:rPr>
                <w:rFonts w:ascii="Calibri" w:hAnsi="Calibri" w:cs="Arial"/>
                <w:b w:val="0"/>
                <w:sz w:val="20"/>
                <w:vertAlign w:val="superscript"/>
                <w:lang w:val="en-GB"/>
              </w:rPr>
              <w:t>13</w:t>
            </w:r>
            <w:r w:rsidRPr="0055733C">
              <w:rPr>
                <w:rFonts w:ascii="Calibri" w:hAnsi="Calibri" w:cs="Arial"/>
                <w:b w:val="0"/>
                <w:sz w:val="20"/>
                <w:lang w:val="en-GB"/>
              </w:rPr>
              <w:t>C</w:t>
            </w:r>
            <w:r w:rsidRPr="0055733C">
              <w:rPr>
                <w:rFonts w:ascii="Calibri" w:hAnsi="Calibri" w:cs="Arial"/>
                <w:b w:val="0"/>
                <w:sz w:val="20"/>
                <w:vertAlign w:val="subscript"/>
                <w:lang w:val="en-GB"/>
              </w:rPr>
              <w:t>2</w:t>
            </w:r>
            <w:r w:rsidRPr="0055733C">
              <w:rPr>
                <w:rFonts w:ascii="Calibri" w:hAnsi="Calibri" w:cs="Arial"/>
                <w:b w:val="0"/>
                <w:sz w:val="20"/>
                <w:lang w:val="en-GB"/>
              </w:rPr>
              <w:t>]undecanoic acid</w:t>
            </w:r>
          </w:p>
        </w:tc>
        <w:tc>
          <w:tcPr>
            <w:tcW w:w="1800" w:type="dxa"/>
            <w:tcBorders>
              <w:top w:val="nil"/>
              <w:left w:val="nil"/>
              <w:bottom w:val="nil"/>
              <w:right w:val="nil"/>
            </w:tcBorders>
          </w:tcPr>
          <w:p w14:paraId="5D3BECAE" w14:textId="77777777" w:rsidR="00FC360C" w:rsidRPr="0055733C" w:rsidRDefault="00FC360C" w:rsidP="0055733C">
            <w:pPr>
              <w:pStyle w:val="BodyText2"/>
              <w:spacing w:after="0" w:line="276" w:lineRule="auto"/>
              <w:jc w:val="both"/>
              <w:rPr>
                <w:rFonts w:ascii="Calibri" w:hAnsi="Calibri" w:cs="Arial"/>
              </w:rPr>
            </w:pPr>
            <w:r w:rsidRPr="0055733C">
              <w:rPr>
                <w:rFonts w:ascii="Calibri" w:hAnsi="Calibri" w:cs="Arial"/>
                <w:b/>
                <w:i/>
              </w:rPr>
              <w:t>[</w:t>
            </w:r>
            <w:r w:rsidRPr="0055733C">
              <w:rPr>
                <w:rFonts w:ascii="Calibri" w:hAnsi="Calibri" w:cs="Arial"/>
                <w:b/>
                <w:i/>
                <w:vertAlign w:val="superscript"/>
              </w:rPr>
              <w:t>13</w:t>
            </w:r>
            <w:r w:rsidRPr="0055733C">
              <w:rPr>
                <w:rFonts w:ascii="Calibri" w:hAnsi="Calibri" w:cs="Arial"/>
                <w:b/>
                <w:i/>
              </w:rPr>
              <w:t>C</w:t>
            </w:r>
            <w:r w:rsidRPr="0055733C">
              <w:rPr>
                <w:rFonts w:ascii="Calibri" w:hAnsi="Calibri" w:cs="Arial"/>
                <w:b/>
                <w:i/>
                <w:vertAlign w:val="subscript"/>
              </w:rPr>
              <w:t>2</w:t>
            </w:r>
            <w:r w:rsidRPr="0055733C">
              <w:rPr>
                <w:rFonts w:ascii="Calibri" w:hAnsi="Calibri" w:cs="Arial"/>
                <w:b/>
                <w:i/>
              </w:rPr>
              <w:t>]-PFUnDA</w:t>
            </w:r>
          </w:p>
        </w:tc>
        <w:tc>
          <w:tcPr>
            <w:tcW w:w="2340" w:type="dxa"/>
            <w:tcBorders>
              <w:top w:val="nil"/>
              <w:left w:val="nil"/>
              <w:bottom w:val="nil"/>
              <w:right w:val="nil"/>
            </w:tcBorders>
          </w:tcPr>
          <w:p w14:paraId="5EF3C78B"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C</w:t>
            </w:r>
            <w:r w:rsidRPr="0055733C">
              <w:rPr>
                <w:rFonts w:ascii="Calibri" w:hAnsi="Calibri" w:cs="Arial"/>
                <w:sz w:val="20"/>
                <w:szCs w:val="20"/>
                <w:vertAlign w:val="subscript"/>
                <w:lang w:val="en-GB"/>
              </w:rPr>
              <w:t>9</w:t>
            </w:r>
            <w:r w:rsidRPr="0055733C">
              <w:rPr>
                <w:rFonts w:ascii="Calibri" w:hAnsi="Calibri" w:cs="Arial"/>
                <w:sz w:val="20"/>
                <w:szCs w:val="20"/>
                <w:lang w:val="en-GB"/>
              </w:rPr>
              <w:t>F</w:t>
            </w:r>
            <w:r w:rsidRPr="0055733C">
              <w:rPr>
                <w:rFonts w:ascii="Calibri" w:hAnsi="Calibri" w:cs="Arial"/>
                <w:sz w:val="20"/>
                <w:szCs w:val="20"/>
                <w:vertAlign w:val="subscript"/>
                <w:lang w:val="en-GB"/>
              </w:rPr>
              <w:t>19</w:t>
            </w:r>
            <w:r w:rsidRPr="0055733C">
              <w:rPr>
                <w:rFonts w:ascii="Calibri" w:hAnsi="Calibri" w:cs="Arial"/>
                <w:sz w:val="20"/>
                <w:szCs w:val="20"/>
                <w:vertAlign w:val="superscript"/>
                <w:lang w:val="en-GB"/>
              </w:rPr>
              <w:t>13</w:t>
            </w:r>
            <w:r w:rsidRPr="0055733C">
              <w:rPr>
                <w:rFonts w:ascii="Calibri" w:hAnsi="Calibri" w:cs="Arial"/>
                <w:sz w:val="20"/>
                <w:szCs w:val="20"/>
                <w:lang w:val="en-GB"/>
              </w:rPr>
              <w:t>CF</w:t>
            </w:r>
            <w:r w:rsidRPr="0055733C">
              <w:rPr>
                <w:rFonts w:ascii="Calibri" w:hAnsi="Calibri" w:cs="Arial"/>
                <w:sz w:val="20"/>
                <w:szCs w:val="20"/>
                <w:vertAlign w:val="subscript"/>
                <w:lang w:val="en-GB"/>
              </w:rPr>
              <w:t>2</w:t>
            </w:r>
            <w:r w:rsidRPr="0055733C">
              <w:rPr>
                <w:rFonts w:ascii="Calibri" w:hAnsi="Calibri" w:cs="Arial"/>
                <w:sz w:val="20"/>
                <w:szCs w:val="20"/>
                <w:vertAlign w:val="superscript"/>
                <w:lang w:val="en-GB"/>
              </w:rPr>
              <w:t>13</w:t>
            </w:r>
            <w:r w:rsidRPr="0055733C">
              <w:rPr>
                <w:rFonts w:ascii="Calibri" w:hAnsi="Calibri" w:cs="Arial"/>
                <w:sz w:val="20"/>
                <w:szCs w:val="20"/>
                <w:lang w:val="en-GB"/>
              </w:rPr>
              <w:t>COOH</w:t>
            </w:r>
          </w:p>
        </w:tc>
        <w:tc>
          <w:tcPr>
            <w:tcW w:w="1440" w:type="dxa"/>
            <w:tcBorders>
              <w:top w:val="nil"/>
              <w:left w:val="nil"/>
              <w:bottom w:val="nil"/>
              <w:right w:val="nil"/>
            </w:tcBorders>
          </w:tcPr>
          <w:p w14:paraId="493B14C2" w14:textId="77777777" w:rsidR="00FC360C" w:rsidRPr="0055733C" w:rsidRDefault="00FC360C" w:rsidP="0055733C">
            <w:pPr>
              <w:spacing w:after="0"/>
              <w:rPr>
                <w:rFonts w:cs="Arial"/>
                <w:sz w:val="20"/>
              </w:rPr>
            </w:pPr>
            <w:r w:rsidRPr="0055733C">
              <w:rPr>
                <w:rFonts w:cs="Arial"/>
                <w:sz w:val="20"/>
              </w:rPr>
              <w:t>n.a.</w:t>
            </w:r>
          </w:p>
        </w:tc>
      </w:tr>
      <w:tr w:rsidR="00FC360C" w:rsidRPr="0055733C" w14:paraId="49D04A61" w14:textId="77777777" w:rsidTr="002F237A">
        <w:trPr>
          <w:trHeight w:val="340"/>
        </w:trPr>
        <w:tc>
          <w:tcPr>
            <w:tcW w:w="3620" w:type="dxa"/>
            <w:tcBorders>
              <w:top w:val="nil"/>
              <w:left w:val="nil"/>
              <w:bottom w:val="nil"/>
              <w:right w:val="nil"/>
            </w:tcBorders>
          </w:tcPr>
          <w:p w14:paraId="3D0C3361" w14:textId="77777777" w:rsidR="00FC360C" w:rsidRPr="0055733C" w:rsidRDefault="00FC360C" w:rsidP="0055733C">
            <w:pPr>
              <w:pStyle w:val="Caption"/>
              <w:spacing w:before="0" w:after="0" w:line="276" w:lineRule="auto"/>
              <w:rPr>
                <w:rFonts w:ascii="Calibri" w:hAnsi="Calibri" w:cs="Arial"/>
                <w:b w:val="0"/>
                <w:sz w:val="20"/>
                <w:lang w:val="en-GB"/>
              </w:rPr>
            </w:pPr>
            <w:r w:rsidRPr="0055733C">
              <w:rPr>
                <w:rFonts w:ascii="Calibri" w:hAnsi="Calibri" w:cs="Arial"/>
                <w:b w:val="0"/>
                <w:sz w:val="20"/>
                <w:lang w:val="en-GB"/>
              </w:rPr>
              <w:t>Perfluoro-n-[1,2-</w:t>
            </w:r>
            <w:r w:rsidRPr="0055733C">
              <w:rPr>
                <w:rFonts w:ascii="Calibri" w:hAnsi="Calibri" w:cs="Arial"/>
                <w:b w:val="0"/>
                <w:sz w:val="20"/>
                <w:vertAlign w:val="superscript"/>
                <w:lang w:val="en-GB"/>
              </w:rPr>
              <w:t>13</w:t>
            </w:r>
            <w:r w:rsidRPr="0055733C">
              <w:rPr>
                <w:rFonts w:ascii="Calibri" w:hAnsi="Calibri" w:cs="Arial"/>
                <w:b w:val="0"/>
                <w:sz w:val="20"/>
                <w:lang w:val="en-GB"/>
              </w:rPr>
              <w:t>C</w:t>
            </w:r>
            <w:r w:rsidRPr="0055733C">
              <w:rPr>
                <w:rFonts w:ascii="Calibri" w:hAnsi="Calibri" w:cs="Arial"/>
                <w:b w:val="0"/>
                <w:sz w:val="20"/>
                <w:vertAlign w:val="subscript"/>
                <w:lang w:val="en-GB"/>
              </w:rPr>
              <w:t>2</w:t>
            </w:r>
            <w:r w:rsidRPr="0055733C">
              <w:rPr>
                <w:rFonts w:ascii="Calibri" w:hAnsi="Calibri" w:cs="Arial"/>
                <w:b w:val="0"/>
                <w:sz w:val="20"/>
                <w:lang w:val="en-GB"/>
              </w:rPr>
              <w:t>]dodecanoic acid</w:t>
            </w:r>
          </w:p>
        </w:tc>
        <w:tc>
          <w:tcPr>
            <w:tcW w:w="1800" w:type="dxa"/>
            <w:tcBorders>
              <w:top w:val="nil"/>
              <w:left w:val="nil"/>
              <w:bottom w:val="nil"/>
              <w:right w:val="nil"/>
            </w:tcBorders>
          </w:tcPr>
          <w:p w14:paraId="181BF492" w14:textId="77777777" w:rsidR="00FC360C" w:rsidRPr="0055733C" w:rsidRDefault="00FC360C" w:rsidP="0055733C">
            <w:pPr>
              <w:pStyle w:val="BodyText2"/>
              <w:spacing w:after="0" w:line="276" w:lineRule="auto"/>
              <w:jc w:val="both"/>
              <w:rPr>
                <w:rFonts w:ascii="Calibri" w:hAnsi="Calibri" w:cs="Arial"/>
              </w:rPr>
            </w:pPr>
            <w:r w:rsidRPr="0055733C">
              <w:rPr>
                <w:rFonts w:ascii="Calibri" w:hAnsi="Calibri" w:cs="Arial"/>
                <w:b/>
                <w:i/>
              </w:rPr>
              <w:t>[</w:t>
            </w:r>
            <w:r w:rsidRPr="0055733C">
              <w:rPr>
                <w:rFonts w:ascii="Calibri" w:hAnsi="Calibri" w:cs="Arial"/>
                <w:b/>
                <w:i/>
                <w:vertAlign w:val="superscript"/>
              </w:rPr>
              <w:t>13</w:t>
            </w:r>
            <w:r w:rsidRPr="0055733C">
              <w:rPr>
                <w:rFonts w:ascii="Calibri" w:hAnsi="Calibri" w:cs="Arial"/>
                <w:b/>
                <w:i/>
              </w:rPr>
              <w:t>C</w:t>
            </w:r>
            <w:r w:rsidRPr="0055733C">
              <w:rPr>
                <w:rFonts w:ascii="Calibri" w:hAnsi="Calibri" w:cs="Arial"/>
                <w:b/>
                <w:i/>
                <w:vertAlign w:val="subscript"/>
              </w:rPr>
              <w:t>2</w:t>
            </w:r>
            <w:r w:rsidRPr="0055733C">
              <w:rPr>
                <w:rFonts w:ascii="Calibri" w:hAnsi="Calibri" w:cs="Arial"/>
                <w:b/>
                <w:i/>
              </w:rPr>
              <w:t>]-PFDoDA</w:t>
            </w:r>
          </w:p>
        </w:tc>
        <w:tc>
          <w:tcPr>
            <w:tcW w:w="2340" w:type="dxa"/>
            <w:tcBorders>
              <w:top w:val="nil"/>
              <w:left w:val="nil"/>
              <w:bottom w:val="nil"/>
              <w:right w:val="nil"/>
            </w:tcBorders>
          </w:tcPr>
          <w:p w14:paraId="038240D6"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C</w:t>
            </w:r>
            <w:r w:rsidRPr="0055733C">
              <w:rPr>
                <w:rFonts w:ascii="Calibri" w:hAnsi="Calibri" w:cs="Arial"/>
                <w:sz w:val="20"/>
                <w:szCs w:val="20"/>
                <w:vertAlign w:val="subscript"/>
                <w:lang w:val="en-GB"/>
              </w:rPr>
              <w:t>10</w:t>
            </w:r>
            <w:r w:rsidRPr="0055733C">
              <w:rPr>
                <w:rFonts w:ascii="Calibri" w:hAnsi="Calibri" w:cs="Arial"/>
                <w:sz w:val="20"/>
                <w:szCs w:val="20"/>
                <w:lang w:val="en-GB"/>
              </w:rPr>
              <w:t>F</w:t>
            </w:r>
            <w:r w:rsidRPr="0055733C">
              <w:rPr>
                <w:rFonts w:ascii="Calibri" w:hAnsi="Calibri" w:cs="Arial"/>
                <w:sz w:val="20"/>
                <w:szCs w:val="20"/>
                <w:vertAlign w:val="subscript"/>
                <w:lang w:val="en-GB"/>
              </w:rPr>
              <w:t>21</w:t>
            </w:r>
            <w:r w:rsidRPr="0055733C">
              <w:rPr>
                <w:rFonts w:ascii="Calibri" w:hAnsi="Calibri" w:cs="Arial"/>
                <w:sz w:val="20"/>
                <w:szCs w:val="20"/>
                <w:vertAlign w:val="superscript"/>
                <w:lang w:val="en-GB"/>
              </w:rPr>
              <w:t>13</w:t>
            </w:r>
            <w:r w:rsidRPr="0055733C">
              <w:rPr>
                <w:rFonts w:ascii="Calibri" w:hAnsi="Calibri" w:cs="Arial"/>
                <w:sz w:val="20"/>
                <w:szCs w:val="20"/>
                <w:lang w:val="en-GB"/>
              </w:rPr>
              <w:t>CF</w:t>
            </w:r>
            <w:r w:rsidRPr="0055733C">
              <w:rPr>
                <w:rFonts w:ascii="Calibri" w:hAnsi="Calibri" w:cs="Arial"/>
                <w:sz w:val="20"/>
                <w:szCs w:val="20"/>
                <w:vertAlign w:val="subscript"/>
                <w:lang w:val="en-GB"/>
              </w:rPr>
              <w:t>2</w:t>
            </w:r>
            <w:r w:rsidRPr="0055733C">
              <w:rPr>
                <w:rFonts w:ascii="Calibri" w:hAnsi="Calibri" w:cs="Arial"/>
                <w:sz w:val="20"/>
                <w:szCs w:val="20"/>
                <w:vertAlign w:val="superscript"/>
                <w:lang w:val="en-GB"/>
              </w:rPr>
              <w:t>13</w:t>
            </w:r>
            <w:r w:rsidRPr="0055733C">
              <w:rPr>
                <w:rFonts w:ascii="Calibri" w:hAnsi="Calibri" w:cs="Arial"/>
                <w:sz w:val="20"/>
                <w:szCs w:val="20"/>
                <w:lang w:val="en-GB"/>
              </w:rPr>
              <w:t>COOH</w:t>
            </w:r>
          </w:p>
        </w:tc>
        <w:tc>
          <w:tcPr>
            <w:tcW w:w="1440" w:type="dxa"/>
            <w:tcBorders>
              <w:top w:val="nil"/>
              <w:left w:val="nil"/>
              <w:bottom w:val="nil"/>
              <w:right w:val="nil"/>
            </w:tcBorders>
          </w:tcPr>
          <w:p w14:paraId="36FE0345" w14:textId="77777777" w:rsidR="00FC360C" w:rsidRPr="0055733C" w:rsidRDefault="00FC360C" w:rsidP="0055733C">
            <w:pPr>
              <w:spacing w:after="0"/>
              <w:rPr>
                <w:rFonts w:cs="Arial"/>
                <w:sz w:val="20"/>
              </w:rPr>
            </w:pPr>
            <w:r w:rsidRPr="0055733C">
              <w:rPr>
                <w:rFonts w:cs="Arial"/>
                <w:sz w:val="20"/>
              </w:rPr>
              <w:t>n.a.</w:t>
            </w:r>
          </w:p>
        </w:tc>
      </w:tr>
      <w:tr w:rsidR="00FC360C" w:rsidRPr="0055733C" w14:paraId="44DE6692" w14:textId="77777777" w:rsidTr="002F237A">
        <w:trPr>
          <w:trHeight w:val="340"/>
        </w:trPr>
        <w:tc>
          <w:tcPr>
            <w:tcW w:w="3620" w:type="dxa"/>
            <w:tcBorders>
              <w:top w:val="nil"/>
              <w:left w:val="nil"/>
              <w:bottom w:val="nil"/>
              <w:right w:val="nil"/>
            </w:tcBorders>
          </w:tcPr>
          <w:p w14:paraId="56C23CAF" w14:textId="77777777" w:rsidR="00FC360C" w:rsidRPr="0055733C" w:rsidRDefault="00FC360C" w:rsidP="0055733C">
            <w:pPr>
              <w:pStyle w:val="Caption"/>
              <w:spacing w:before="0" w:after="0" w:line="276" w:lineRule="auto"/>
              <w:rPr>
                <w:rFonts w:ascii="Calibri" w:hAnsi="Calibri" w:cs="Arial"/>
                <w:b w:val="0"/>
                <w:sz w:val="20"/>
                <w:lang w:val="en-GB"/>
              </w:rPr>
            </w:pPr>
            <w:r w:rsidRPr="0055733C">
              <w:rPr>
                <w:rFonts w:ascii="Calibri" w:hAnsi="Calibri" w:cs="Arial"/>
                <w:b w:val="0"/>
                <w:sz w:val="20"/>
                <w:lang w:val="en-GB"/>
              </w:rPr>
              <w:t>Perfluoro-1-hexane[</w:t>
            </w:r>
            <w:r w:rsidRPr="0055733C">
              <w:rPr>
                <w:rFonts w:ascii="Calibri" w:hAnsi="Calibri" w:cs="Arial"/>
                <w:b w:val="0"/>
                <w:sz w:val="20"/>
                <w:vertAlign w:val="superscript"/>
                <w:lang w:val="en-GB"/>
              </w:rPr>
              <w:t>18</w:t>
            </w:r>
            <w:r w:rsidRPr="0055733C">
              <w:rPr>
                <w:rFonts w:ascii="Calibri" w:hAnsi="Calibri" w:cs="Arial"/>
                <w:b w:val="0"/>
                <w:sz w:val="20"/>
                <w:lang w:val="en-GB"/>
              </w:rPr>
              <w:t>O</w:t>
            </w:r>
            <w:r w:rsidRPr="0055733C">
              <w:rPr>
                <w:rFonts w:ascii="Calibri" w:hAnsi="Calibri" w:cs="Arial"/>
                <w:b w:val="0"/>
                <w:sz w:val="20"/>
                <w:vertAlign w:val="subscript"/>
                <w:lang w:val="en-GB"/>
              </w:rPr>
              <w:t>2</w:t>
            </w:r>
            <w:r w:rsidRPr="0055733C">
              <w:rPr>
                <w:rFonts w:ascii="Calibri" w:hAnsi="Calibri" w:cs="Arial"/>
                <w:b w:val="0"/>
                <w:sz w:val="20"/>
                <w:lang w:val="en-GB"/>
              </w:rPr>
              <w:t>]sulfonate</w:t>
            </w:r>
          </w:p>
        </w:tc>
        <w:tc>
          <w:tcPr>
            <w:tcW w:w="1800" w:type="dxa"/>
            <w:tcBorders>
              <w:top w:val="nil"/>
              <w:left w:val="nil"/>
              <w:bottom w:val="nil"/>
              <w:right w:val="nil"/>
            </w:tcBorders>
          </w:tcPr>
          <w:p w14:paraId="749EF06B" w14:textId="77777777" w:rsidR="00FC360C" w:rsidRPr="0055733C" w:rsidRDefault="00FC360C" w:rsidP="0055733C">
            <w:pPr>
              <w:pStyle w:val="BodyText2"/>
              <w:spacing w:after="0" w:line="276" w:lineRule="auto"/>
              <w:jc w:val="both"/>
              <w:rPr>
                <w:rFonts w:ascii="Calibri" w:hAnsi="Calibri" w:cs="Arial"/>
              </w:rPr>
            </w:pPr>
            <w:r w:rsidRPr="0055733C">
              <w:rPr>
                <w:rFonts w:ascii="Calibri" w:hAnsi="Calibri" w:cs="Arial"/>
                <w:b/>
                <w:i/>
              </w:rPr>
              <w:t>[</w:t>
            </w:r>
            <w:r w:rsidRPr="0055733C">
              <w:rPr>
                <w:rFonts w:ascii="Calibri" w:hAnsi="Calibri" w:cs="Arial"/>
                <w:b/>
                <w:i/>
                <w:vertAlign w:val="superscript"/>
              </w:rPr>
              <w:t>18</w:t>
            </w:r>
            <w:r w:rsidRPr="0055733C">
              <w:rPr>
                <w:rFonts w:ascii="Calibri" w:hAnsi="Calibri" w:cs="Arial"/>
                <w:b/>
                <w:i/>
              </w:rPr>
              <w:t>O</w:t>
            </w:r>
            <w:r w:rsidRPr="0055733C">
              <w:rPr>
                <w:rFonts w:ascii="Calibri" w:hAnsi="Calibri" w:cs="Arial"/>
                <w:b/>
                <w:i/>
                <w:vertAlign w:val="subscript"/>
              </w:rPr>
              <w:t>2</w:t>
            </w:r>
            <w:r w:rsidRPr="0055733C">
              <w:rPr>
                <w:rFonts w:ascii="Calibri" w:hAnsi="Calibri" w:cs="Arial"/>
                <w:b/>
                <w:i/>
              </w:rPr>
              <w:t>]-PFHxS</w:t>
            </w:r>
          </w:p>
        </w:tc>
        <w:tc>
          <w:tcPr>
            <w:tcW w:w="2340" w:type="dxa"/>
            <w:tcBorders>
              <w:top w:val="nil"/>
              <w:left w:val="nil"/>
              <w:bottom w:val="nil"/>
              <w:right w:val="nil"/>
            </w:tcBorders>
          </w:tcPr>
          <w:p w14:paraId="107A39D3"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C</w:t>
            </w:r>
            <w:r w:rsidRPr="0055733C">
              <w:rPr>
                <w:rFonts w:ascii="Calibri" w:hAnsi="Calibri" w:cs="Arial"/>
                <w:sz w:val="20"/>
                <w:szCs w:val="20"/>
                <w:vertAlign w:val="subscript"/>
                <w:lang w:val="en-GB"/>
              </w:rPr>
              <w:t>6</w:t>
            </w:r>
            <w:r w:rsidRPr="0055733C">
              <w:rPr>
                <w:rFonts w:ascii="Calibri" w:hAnsi="Calibri" w:cs="Arial"/>
                <w:sz w:val="20"/>
                <w:szCs w:val="20"/>
                <w:lang w:val="en-GB"/>
              </w:rPr>
              <w:t>F</w:t>
            </w:r>
            <w:r w:rsidRPr="0055733C">
              <w:rPr>
                <w:rFonts w:ascii="Calibri" w:hAnsi="Calibri" w:cs="Arial"/>
                <w:sz w:val="20"/>
                <w:szCs w:val="20"/>
                <w:vertAlign w:val="subscript"/>
                <w:lang w:val="en-GB"/>
              </w:rPr>
              <w:t>13</w:t>
            </w:r>
            <w:r w:rsidRPr="0055733C">
              <w:rPr>
                <w:rFonts w:ascii="Calibri" w:hAnsi="Calibri" w:cs="Arial"/>
                <w:sz w:val="20"/>
                <w:szCs w:val="20"/>
                <w:lang w:val="en-GB"/>
              </w:rPr>
              <w:t>S[</w:t>
            </w:r>
            <w:r w:rsidRPr="0055733C">
              <w:rPr>
                <w:rFonts w:ascii="Calibri" w:hAnsi="Calibri" w:cs="Arial"/>
                <w:sz w:val="20"/>
                <w:szCs w:val="20"/>
                <w:vertAlign w:val="superscript"/>
                <w:lang w:val="en-GB"/>
              </w:rPr>
              <w:t>18</w:t>
            </w:r>
            <w:r w:rsidRPr="0055733C">
              <w:rPr>
                <w:rFonts w:ascii="Calibri" w:hAnsi="Calibri" w:cs="Arial"/>
                <w:sz w:val="20"/>
                <w:szCs w:val="20"/>
                <w:lang w:val="en-GB"/>
              </w:rPr>
              <w:t>O</w:t>
            </w:r>
            <w:r w:rsidRPr="0055733C">
              <w:rPr>
                <w:rFonts w:ascii="Calibri" w:hAnsi="Calibri" w:cs="Arial"/>
                <w:sz w:val="20"/>
                <w:szCs w:val="20"/>
                <w:vertAlign w:val="subscript"/>
                <w:lang w:val="en-GB"/>
              </w:rPr>
              <w:t>2</w:t>
            </w:r>
            <w:r w:rsidRPr="0055733C">
              <w:rPr>
                <w:rFonts w:ascii="Calibri" w:hAnsi="Calibri" w:cs="Arial"/>
                <w:sz w:val="20"/>
                <w:szCs w:val="20"/>
                <w:lang w:val="en-GB"/>
              </w:rPr>
              <w:t>]O</w:t>
            </w:r>
            <w:r w:rsidRPr="0055733C">
              <w:rPr>
                <w:rFonts w:ascii="Calibri" w:hAnsi="Calibri" w:cs="Arial"/>
                <w:sz w:val="20"/>
                <w:szCs w:val="20"/>
                <w:vertAlign w:val="superscript"/>
                <w:lang w:val="en-GB"/>
              </w:rPr>
              <w:t>-</w:t>
            </w:r>
          </w:p>
        </w:tc>
        <w:tc>
          <w:tcPr>
            <w:tcW w:w="1440" w:type="dxa"/>
            <w:tcBorders>
              <w:top w:val="nil"/>
              <w:left w:val="nil"/>
              <w:bottom w:val="nil"/>
              <w:right w:val="nil"/>
            </w:tcBorders>
          </w:tcPr>
          <w:p w14:paraId="3C091E5B" w14:textId="77777777" w:rsidR="00FC360C" w:rsidRPr="0055733C" w:rsidRDefault="00FC360C" w:rsidP="0055733C">
            <w:pPr>
              <w:spacing w:after="0"/>
              <w:rPr>
                <w:rFonts w:cs="Arial"/>
                <w:sz w:val="20"/>
              </w:rPr>
            </w:pPr>
            <w:r w:rsidRPr="0055733C">
              <w:rPr>
                <w:rFonts w:cs="Arial"/>
                <w:sz w:val="20"/>
              </w:rPr>
              <w:t>n.a.</w:t>
            </w:r>
          </w:p>
        </w:tc>
      </w:tr>
      <w:tr w:rsidR="00FC360C" w:rsidRPr="0055733C" w14:paraId="69C81A38" w14:textId="77777777" w:rsidTr="002F237A">
        <w:trPr>
          <w:trHeight w:val="340"/>
        </w:trPr>
        <w:tc>
          <w:tcPr>
            <w:tcW w:w="3620" w:type="dxa"/>
            <w:tcBorders>
              <w:top w:val="nil"/>
              <w:left w:val="nil"/>
              <w:bottom w:val="nil"/>
              <w:right w:val="nil"/>
            </w:tcBorders>
          </w:tcPr>
          <w:p w14:paraId="2311BCE4" w14:textId="77777777" w:rsidR="00FC360C" w:rsidRPr="0055733C" w:rsidRDefault="00FC360C" w:rsidP="0055733C">
            <w:pPr>
              <w:pStyle w:val="Caption"/>
              <w:spacing w:before="0" w:after="0" w:line="276" w:lineRule="auto"/>
              <w:rPr>
                <w:rFonts w:ascii="Calibri" w:hAnsi="Calibri" w:cs="Arial"/>
                <w:b w:val="0"/>
                <w:sz w:val="20"/>
                <w:lang w:val="en-GB"/>
              </w:rPr>
            </w:pPr>
            <w:r w:rsidRPr="0055733C">
              <w:rPr>
                <w:rFonts w:ascii="Calibri" w:hAnsi="Calibri" w:cs="Arial"/>
                <w:b w:val="0"/>
                <w:sz w:val="20"/>
                <w:lang w:val="en-GB"/>
              </w:rPr>
              <w:t>Perfluoro-1-[1,2,3,4-</w:t>
            </w:r>
            <w:r w:rsidRPr="0055733C">
              <w:rPr>
                <w:rFonts w:ascii="Calibri" w:hAnsi="Calibri" w:cs="Arial"/>
                <w:b w:val="0"/>
                <w:sz w:val="20"/>
                <w:vertAlign w:val="superscript"/>
                <w:lang w:val="en-GB"/>
              </w:rPr>
              <w:t>13</w:t>
            </w:r>
            <w:r w:rsidRPr="0055733C">
              <w:rPr>
                <w:rFonts w:ascii="Calibri" w:hAnsi="Calibri" w:cs="Arial"/>
                <w:b w:val="0"/>
                <w:sz w:val="20"/>
                <w:lang w:val="en-GB"/>
              </w:rPr>
              <w:t>C</w:t>
            </w:r>
            <w:r w:rsidRPr="0055733C">
              <w:rPr>
                <w:rFonts w:ascii="Calibri" w:hAnsi="Calibri" w:cs="Arial"/>
                <w:b w:val="0"/>
                <w:sz w:val="20"/>
                <w:vertAlign w:val="subscript"/>
                <w:lang w:val="en-GB"/>
              </w:rPr>
              <w:t>4</w:t>
            </w:r>
            <w:r w:rsidRPr="0055733C">
              <w:rPr>
                <w:rFonts w:ascii="Calibri" w:hAnsi="Calibri" w:cs="Arial"/>
                <w:b w:val="0"/>
                <w:sz w:val="20"/>
                <w:lang w:val="en-GB"/>
              </w:rPr>
              <w:t>]octanesulfonate</w:t>
            </w:r>
          </w:p>
        </w:tc>
        <w:tc>
          <w:tcPr>
            <w:tcW w:w="1800" w:type="dxa"/>
            <w:tcBorders>
              <w:top w:val="nil"/>
              <w:left w:val="nil"/>
              <w:bottom w:val="nil"/>
              <w:right w:val="nil"/>
            </w:tcBorders>
          </w:tcPr>
          <w:p w14:paraId="7A884619" w14:textId="77777777" w:rsidR="00FC360C" w:rsidRPr="0055733C" w:rsidRDefault="00FC360C" w:rsidP="0055733C">
            <w:pPr>
              <w:pStyle w:val="BodyText2"/>
              <w:spacing w:after="0" w:line="276" w:lineRule="auto"/>
              <w:jc w:val="both"/>
              <w:rPr>
                <w:rFonts w:ascii="Calibri" w:hAnsi="Calibri" w:cs="Arial"/>
              </w:rPr>
            </w:pPr>
            <w:r w:rsidRPr="0055733C">
              <w:rPr>
                <w:rFonts w:ascii="Calibri" w:hAnsi="Calibri" w:cs="Arial"/>
                <w:b/>
                <w:i/>
              </w:rPr>
              <w:t>[</w:t>
            </w:r>
            <w:r w:rsidRPr="0055733C">
              <w:rPr>
                <w:rFonts w:ascii="Calibri" w:hAnsi="Calibri" w:cs="Arial"/>
                <w:b/>
                <w:i/>
                <w:vertAlign w:val="superscript"/>
              </w:rPr>
              <w:t>13</w:t>
            </w:r>
            <w:r w:rsidRPr="0055733C">
              <w:rPr>
                <w:rFonts w:ascii="Calibri" w:hAnsi="Calibri" w:cs="Arial"/>
                <w:b/>
                <w:i/>
              </w:rPr>
              <w:t>C</w:t>
            </w:r>
            <w:r w:rsidRPr="0055733C">
              <w:rPr>
                <w:rFonts w:ascii="Calibri" w:hAnsi="Calibri" w:cs="Arial"/>
                <w:b/>
                <w:i/>
                <w:vertAlign w:val="subscript"/>
              </w:rPr>
              <w:t>4</w:t>
            </w:r>
            <w:r w:rsidRPr="0055733C">
              <w:rPr>
                <w:rFonts w:ascii="Calibri" w:hAnsi="Calibri" w:cs="Arial"/>
                <w:b/>
                <w:i/>
              </w:rPr>
              <w:t>]-PFOS</w:t>
            </w:r>
          </w:p>
        </w:tc>
        <w:tc>
          <w:tcPr>
            <w:tcW w:w="2340" w:type="dxa"/>
            <w:tcBorders>
              <w:top w:val="nil"/>
              <w:left w:val="nil"/>
              <w:bottom w:val="nil"/>
              <w:right w:val="nil"/>
            </w:tcBorders>
          </w:tcPr>
          <w:p w14:paraId="58F63407" w14:textId="77777777" w:rsidR="00FC360C" w:rsidRPr="0055733C" w:rsidRDefault="00FC360C" w:rsidP="0055733C">
            <w:pPr>
              <w:pStyle w:val="Formatvorlage1"/>
              <w:spacing w:line="276" w:lineRule="auto"/>
              <w:jc w:val="both"/>
              <w:rPr>
                <w:rFonts w:ascii="Calibri" w:hAnsi="Calibri" w:cs="Arial"/>
                <w:sz w:val="20"/>
                <w:szCs w:val="20"/>
                <w:lang w:val="en-GB"/>
              </w:rPr>
            </w:pPr>
            <w:r w:rsidRPr="0055733C">
              <w:rPr>
                <w:rFonts w:ascii="Calibri" w:hAnsi="Calibri" w:cs="Arial"/>
                <w:sz w:val="20"/>
                <w:szCs w:val="20"/>
                <w:lang w:val="en-GB"/>
              </w:rPr>
              <w:t>C</w:t>
            </w:r>
            <w:r w:rsidRPr="0055733C">
              <w:rPr>
                <w:rFonts w:ascii="Calibri" w:hAnsi="Calibri" w:cs="Arial"/>
                <w:sz w:val="20"/>
                <w:szCs w:val="20"/>
                <w:vertAlign w:val="subscript"/>
                <w:lang w:val="en-GB"/>
              </w:rPr>
              <w:t>4</w:t>
            </w:r>
            <w:r w:rsidRPr="0055733C">
              <w:rPr>
                <w:rFonts w:ascii="Calibri" w:hAnsi="Calibri" w:cs="Arial"/>
                <w:sz w:val="20"/>
                <w:szCs w:val="20"/>
                <w:lang w:val="en-GB"/>
              </w:rPr>
              <w:t>F</w:t>
            </w:r>
            <w:r w:rsidRPr="0055733C">
              <w:rPr>
                <w:rFonts w:ascii="Calibri" w:hAnsi="Calibri" w:cs="Arial"/>
                <w:sz w:val="20"/>
                <w:szCs w:val="20"/>
                <w:vertAlign w:val="subscript"/>
                <w:lang w:val="en-GB"/>
              </w:rPr>
              <w:t>9</w:t>
            </w:r>
            <w:r w:rsidRPr="0055733C">
              <w:rPr>
                <w:rFonts w:ascii="Calibri" w:hAnsi="Calibri" w:cs="Arial"/>
                <w:sz w:val="20"/>
                <w:szCs w:val="20"/>
                <w:lang w:val="en-GB"/>
              </w:rPr>
              <w:t>[1,2,3,4-</w:t>
            </w:r>
            <w:r w:rsidRPr="0055733C">
              <w:rPr>
                <w:rFonts w:ascii="Calibri" w:hAnsi="Calibri" w:cs="Arial"/>
                <w:sz w:val="20"/>
                <w:szCs w:val="20"/>
                <w:vertAlign w:val="superscript"/>
                <w:lang w:val="en-GB"/>
              </w:rPr>
              <w:t>13</w:t>
            </w:r>
            <w:r w:rsidRPr="0055733C">
              <w:rPr>
                <w:rFonts w:ascii="Calibri" w:hAnsi="Calibri" w:cs="Arial"/>
                <w:sz w:val="20"/>
                <w:szCs w:val="20"/>
                <w:lang w:val="en-GB"/>
              </w:rPr>
              <w:t>C</w:t>
            </w:r>
            <w:r w:rsidRPr="0055733C">
              <w:rPr>
                <w:rFonts w:ascii="Calibri" w:hAnsi="Calibri" w:cs="Arial"/>
                <w:sz w:val="20"/>
                <w:szCs w:val="20"/>
                <w:vertAlign w:val="subscript"/>
                <w:lang w:val="en-GB"/>
              </w:rPr>
              <w:t>4</w:t>
            </w:r>
            <w:r w:rsidRPr="0055733C">
              <w:rPr>
                <w:rFonts w:ascii="Calibri" w:hAnsi="Calibri" w:cs="Arial"/>
                <w:sz w:val="20"/>
                <w:szCs w:val="20"/>
                <w:lang w:val="en-GB"/>
              </w:rPr>
              <w:t>]F</w:t>
            </w:r>
            <w:r w:rsidRPr="0055733C">
              <w:rPr>
                <w:rFonts w:ascii="Calibri" w:hAnsi="Calibri" w:cs="Arial"/>
                <w:sz w:val="20"/>
                <w:szCs w:val="20"/>
                <w:vertAlign w:val="subscript"/>
                <w:lang w:val="en-GB"/>
              </w:rPr>
              <w:t>8</w:t>
            </w:r>
            <w:r w:rsidRPr="0055733C">
              <w:rPr>
                <w:rFonts w:ascii="Calibri" w:hAnsi="Calibri" w:cs="Arial"/>
                <w:sz w:val="20"/>
                <w:szCs w:val="20"/>
                <w:lang w:val="en-GB"/>
              </w:rPr>
              <w:t>SO</w:t>
            </w:r>
            <w:r w:rsidRPr="0055733C">
              <w:rPr>
                <w:rFonts w:ascii="Calibri" w:hAnsi="Calibri" w:cs="Arial"/>
                <w:sz w:val="20"/>
                <w:szCs w:val="20"/>
                <w:vertAlign w:val="subscript"/>
                <w:lang w:val="en-GB"/>
              </w:rPr>
              <w:t>2</w:t>
            </w:r>
            <w:r w:rsidRPr="0055733C">
              <w:rPr>
                <w:rFonts w:ascii="Calibri" w:hAnsi="Calibri" w:cs="Arial"/>
                <w:sz w:val="20"/>
                <w:szCs w:val="20"/>
                <w:lang w:val="en-GB"/>
              </w:rPr>
              <w:t>O</w:t>
            </w:r>
            <w:r w:rsidRPr="0055733C">
              <w:rPr>
                <w:rFonts w:ascii="Calibri" w:hAnsi="Calibri" w:cs="Arial"/>
                <w:sz w:val="20"/>
                <w:szCs w:val="20"/>
                <w:vertAlign w:val="superscript"/>
                <w:lang w:val="en-GB"/>
              </w:rPr>
              <w:t>-</w:t>
            </w:r>
          </w:p>
        </w:tc>
        <w:tc>
          <w:tcPr>
            <w:tcW w:w="1440" w:type="dxa"/>
            <w:tcBorders>
              <w:top w:val="nil"/>
              <w:left w:val="nil"/>
              <w:bottom w:val="nil"/>
              <w:right w:val="nil"/>
            </w:tcBorders>
          </w:tcPr>
          <w:p w14:paraId="7836CFA0" w14:textId="77777777" w:rsidR="00FC360C" w:rsidRPr="0055733C" w:rsidRDefault="00FC360C" w:rsidP="0055733C">
            <w:pPr>
              <w:spacing w:after="0"/>
              <w:rPr>
                <w:rFonts w:cs="Arial"/>
                <w:sz w:val="20"/>
              </w:rPr>
            </w:pPr>
            <w:r w:rsidRPr="0055733C">
              <w:rPr>
                <w:rFonts w:cs="Arial"/>
                <w:sz w:val="20"/>
              </w:rPr>
              <w:t>n.a.</w:t>
            </w:r>
          </w:p>
        </w:tc>
      </w:tr>
      <w:tr w:rsidR="00FC360C" w:rsidRPr="0055733C" w14:paraId="5232F6A1" w14:textId="77777777" w:rsidTr="002F237A">
        <w:trPr>
          <w:trHeight w:val="340"/>
        </w:trPr>
        <w:tc>
          <w:tcPr>
            <w:tcW w:w="3620" w:type="dxa"/>
            <w:tcBorders>
              <w:top w:val="nil"/>
              <w:left w:val="nil"/>
              <w:bottom w:val="nil"/>
              <w:right w:val="nil"/>
            </w:tcBorders>
          </w:tcPr>
          <w:p w14:paraId="3CA2C22B" w14:textId="77777777" w:rsidR="00FC360C" w:rsidRPr="0055733C" w:rsidRDefault="00FC360C" w:rsidP="0055733C">
            <w:pPr>
              <w:spacing w:after="0"/>
              <w:rPr>
                <w:sz w:val="20"/>
              </w:rPr>
            </w:pPr>
            <w:r w:rsidRPr="0055733C">
              <w:rPr>
                <w:sz w:val="20"/>
              </w:rPr>
              <w:t>Perfluoro-1-[1,2,3,4-</w:t>
            </w:r>
            <w:r w:rsidRPr="0055733C">
              <w:rPr>
                <w:sz w:val="20"/>
                <w:vertAlign w:val="superscript"/>
              </w:rPr>
              <w:t>13</w:t>
            </w:r>
            <w:r w:rsidRPr="0055733C">
              <w:rPr>
                <w:sz w:val="20"/>
              </w:rPr>
              <w:t>C</w:t>
            </w:r>
            <w:r w:rsidRPr="0055733C">
              <w:rPr>
                <w:sz w:val="20"/>
                <w:vertAlign w:val="subscript"/>
              </w:rPr>
              <w:t>4</w:t>
            </w:r>
            <w:r w:rsidRPr="0055733C">
              <w:rPr>
                <w:sz w:val="20"/>
              </w:rPr>
              <w:t>]octanesulfinate</w:t>
            </w:r>
          </w:p>
        </w:tc>
        <w:tc>
          <w:tcPr>
            <w:tcW w:w="1800" w:type="dxa"/>
            <w:tcBorders>
              <w:top w:val="nil"/>
              <w:left w:val="nil"/>
              <w:bottom w:val="nil"/>
              <w:right w:val="nil"/>
            </w:tcBorders>
          </w:tcPr>
          <w:p w14:paraId="4AFFADB5" w14:textId="77777777" w:rsidR="00FC360C" w:rsidRPr="0055733C" w:rsidRDefault="00FC360C" w:rsidP="0055733C">
            <w:pPr>
              <w:spacing w:after="0"/>
              <w:rPr>
                <w:sz w:val="20"/>
              </w:rPr>
            </w:pPr>
            <w:r w:rsidRPr="0055733C">
              <w:rPr>
                <w:sz w:val="20"/>
              </w:rPr>
              <w:t>[</w:t>
            </w:r>
            <w:r w:rsidRPr="0055733C">
              <w:rPr>
                <w:sz w:val="20"/>
                <w:vertAlign w:val="superscript"/>
              </w:rPr>
              <w:t>13</w:t>
            </w:r>
            <w:r w:rsidRPr="0055733C">
              <w:rPr>
                <w:sz w:val="20"/>
              </w:rPr>
              <w:t>C</w:t>
            </w:r>
            <w:r w:rsidRPr="0055733C">
              <w:rPr>
                <w:sz w:val="20"/>
                <w:vertAlign w:val="subscript"/>
              </w:rPr>
              <w:t>4</w:t>
            </w:r>
            <w:r w:rsidRPr="0055733C">
              <w:rPr>
                <w:sz w:val="20"/>
              </w:rPr>
              <w:t>]-PFOSi</w:t>
            </w:r>
          </w:p>
        </w:tc>
        <w:tc>
          <w:tcPr>
            <w:tcW w:w="2340" w:type="dxa"/>
            <w:tcBorders>
              <w:top w:val="nil"/>
              <w:left w:val="nil"/>
              <w:bottom w:val="nil"/>
              <w:right w:val="nil"/>
            </w:tcBorders>
          </w:tcPr>
          <w:p w14:paraId="4DB7DA89" w14:textId="77777777" w:rsidR="00FC360C" w:rsidRPr="0055733C" w:rsidRDefault="00FC360C" w:rsidP="0055733C">
            <w:pPr>
              <w:pStyle w:val="BodyText2"/>
              <w:spacing w:after="0" w:line="276" w:lineRule="auto"/>
              <w:jc w:val="both"/>
              <w:rPr>
                <w:rFonts w:ascii="Calibri" w:hAnsi="Calibri"/>
              </w:rPr>
            </w:pPr>
            <w:r w:rsidRPr="0055733C">
              <w:rPr>
                <w:rFonts w:ascii="Calibri" w:hAnsi="Calibri"/>
                <w:b/>
                <w:i/>
              </w:rPr>
              <w:t>C</w:t>
            </w:r>
            <w:r w:rsidRPr="0055733C">
              <w:rPr>
                <w:rFonts w:ascii="Calibri" w:hAnsi="Calibri"/>
                <w:b/>
                <w:i/>
                <w:vertAlign w:val="subscript"/>
              </w:rPr>
              <w:t>4</w:t>
            </w:r>
            <w:r w:rsidRPr="0055733C">
              <w:rPr>
                <w:rFonts w:ascii="Calibri" w:hAnsi="Calibri"/>
                <w:b/>
                <w:i/>
              </w:rPr>
              <w:t>F</w:t>
            </w:r>
            <w:r w:rsidRPr="0055733C">
              <w:rPr>
                <w:rFonts w:ascii="Calibri" w:hAnsi="Calibri"/>
                <w:b/>
                <w:i/>
                <w:vertAlign w:val="subscript"/>
              </w:rPr>
              <w:t>9</w:t>
            </w:r>
            <w:r w:rsidRPr="0055733C">
              <w:rPr>
                <w:rFonts w:ascii="Calibri" w:hAnsi="Calibri"/>
                <w:b/>
                <w:i/>
              </w:rPr>
              <w:t>[1,2,3,4-</w:t>
            </w:r>
            <w:r w:rsidRPr="0055733C">
              <w:rPr>
                <w:rFonts w:ascii="Calibri" w:hAnsi="Calibri"/>
                <w:b/>
                <w:i/>
                <w:vertAlign w:val="superscript"/>
              </w:rPr>
              <w:t>13</w:t>
            </w:r>
            <w:r w:rsidRPr="0055733C">
              <w:rPr>
                <w:rFonts w:ascii="Calibri" w:hAnsi="Calibri"/>
                <w:b/>
                <w:i/>
              </w:rPr>
              <w:t>C</w:t>
            </w:r>
            <w:r w:rsidRPr="0055733C">
              <w:rPr>
                <w:rFonts w:ascii="Calibri" w:hAnsi="Calibri"/>
                <w:b/>
                <w:i/>
                <w:vertAlign w:val="subscript"/>
              </w:rPr>
              <w:t>4</w:t>
            </w:r>
            <w:r w:rsidRPr="0055733C">
              <w:rPr>
                <w:rFonts w:ascii="Calibri" w:hAnsi="Calibri"/>
                <w:b/>
                <w:i/>
              </w:rPr>
              <w:t>]F</w:t>
            </w:r>
            <w:r w:rsidRPr="0055733C">
              <w:rPr>
                <w:rFonts w:ascii="Calibri" w:hAnsi="Calibri"/>
                <w:b/>
                <w:i/>
                <w:vertAlign w:val="subscript"/>
              </w:rPr>
              <w:t>8</w:t>
            </w:r>
            <w:r w:rsidRPr="0055733C">
              <w:rPr>
                <w:rFonts w:ascii="Calibri" w:hAnsi="Calibri"/>
                <w:b/>
                <w:i/>
              </w:rPr>
              <w:t>SO</w:t>
            </w:r>
            <w:r w:rsidRPr="0055733C">
              <w:rPr>
                <w:rFonts w:ascii="Calibri" w:hAnsi="Calibri"/>
                <w:b/>
                <w:i/>
                <w:vertAlign w:val="subscript"/>
              </w:rPr>
              <w:t>2</w:t>
            </w:r>
            <w:r w:rsidRPr="0055733C">
              <w:rPr>
                <w:rFonts w:ascii="Calibri" w:hAnsi="Calibri"/>
                <w:b/>
                <w:i/>
                <w:vertAlign w:val="superscript"/>
              </w:rPr>
              <w:t>-</w:t>
            </w:r>
          </w:p>
        </w:tc>
        <w:tc>
          <w:tcPr>
            <w:tcW w:w="1440" w:type="dxa"/>
            <w:tcBorders>
              <w:top w:val="nil"/>
              <w:left w:val="nil"/>
              <w:bottom w:val="nil"/>
              <w:right w:val="nil"/>
            </w:tcBorders>
          </w:tcPr>
          <w:p w14:paraId="2147952F" w14:textId="77777777" w:rsidR="00FC360C" w:rsidRPr="0055733C" w:rsidRDefault="00FC360C" w:rsidP="0055733C">
            <w:pPr>
              <w:spacing w:after="0"/>
              <w:rPr>
                <w:sz w:val="20"/>
              </w:rPr>
            </w:pPr>
            <w:r w:rsidRPr="0055733C">
              <w:rPr>
                <w:sz w:val="20"/>
              </w:rPr>
              <w:t>n.a.</w:t>
            </w:r>
          </w:p>
        </w:tc>
      </w:tr>
      <w:tr w:rsidR="00FC360C" w:rsidRPr="0055733C" w14:paraId="26BB91E8" w14:textId="77777777" w:rsidTr="002F237A">
        <w:trPr>
          <w:trHeight w:val="340"/>
        </w:trPr>
        <w:tc>
          <w:tcPr>
            <w:tcW w:w="9200" w:type="dxa"/>
            <w:gridSpan w:val="4"/>
            <w:tcBorders>
              <w:top w:val="nil"/>
              <w:left w:val="nil"/>
              <w:bottom w:val="single" w:sz="12" w:space="0" w:color="auto"/>
              <w:right w:val="nil"/>
            </w:tcBorders>
          </w:tcPr>
          <w:p w14:paraId="082C4E11" w14:textId="77777777" w:rsidR="00FC360C" w:rsidRPr="0055733C" w:rsidRDefault="00FC360C" w:rsidP="0055733C">
            <w:pPr>
              <w:spacing w:after="0"/>
              <w:rPr>
                <w:sz w:val="20"/>
              </w:rPr>
            </w:pPr>
            <w:r w:rsidRPr="0055733C">
              <w:rPr>
                <w:sz w:val="20"/>
                <w:vertAlign w:val="superscript"/>
              </w:rPr>
              <w:t>a</w:t>
            </w:r>
            <w:r w:rsidRPr="0055733C">
              <w:rPr>
                <w:sz w:val="20"/>
              </w:rPr>
              <w:t>, Chemical Abstract System; n.a., not available</w:t>
            </w:r>
          </w:p>
        </w:tc>
      </w:tr>
    </w:tbl>
    <w:p w14:paraId="04D93FCF" w14:textId="77777777" w:rsidR="00FC360C" w:rsidRPr="0055733C" w:rsidRDefault="00FC360C" w:rsidP="0055733C">
      <w:pPr>
        <w:rPr>
          <w:szCs w:val="22"/>
        </w:rPr>
      </w:pPr>
    </w:p>
    <w:p w14:paraId="1D71A977" w14:textId="77777777" w:rsidR="00FC360C" w:rsidRPr="0055733C" w:rsidRDefault="00FC360C" w:rsidP="0055733C">
      <w:pPr>
        <w:pStyle w:val="Heading1"/>
      </w:pPr>
      <w:r w:rsidRPr="0055733C">
        <w:br w:type="page"/>
      </w:r>
      <w:bookmarkStart w:id="249" w:name="_Toc511217534"/>
      <w:r w:rsidRPr="0055733C">
        <w:t>3.</w:t>
      </w:r>
      <w:r w:rsidRPr="0055733C">
        <w:tab/>
        <w:t>Species and tissue for analysis</w:t>
      </w:r>
      <w:bookmarkEnd w:id="249"/>
    </w:p>
    <w:p w14:paraId="2C7EF5BA"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The same species as those commonly used in the monitoring of other bioaccumulative and persistent contaminants, such as organochlorine compounds, are recommended. The most suitable monitoring species are described in the main text of these guidelines.</w:t>
      </w:r>
    </w:p>
    <w:p w14:paraId="1DA59C97"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However, the accumulation behaviour of PFCs is different from that of other halogenated contaminants. PFCs primarily bind to the plasma protein albumin and accumulate in blood, especially serum, and organs, for example in liver and kidney </w:t>
      </w:r>
      <w:r w:rsidRPr="0055733C">
        <w:rPr>
          <w:rFonts w:ascii="Calibri" w:hAnsi="Calibri"/>
          <w:sz w:val="22"/>
          <w:szCs w:val="22"/>
        </w:rPr>
        <w:fldChar w:fldCharType="begin"/>
      </w:r>
      <w:r w:rsidRPr="0055733C">
        <w:rPr>
          <w:rFonts w:ascii="Calibri" w:hAnsi="Calibri"/>
          <w:sz w:val="22"/>
          <w:szCs w:val="22"/>
        </w:rPr>
        <w:instrText xml:space="preserve"> ADDIN EN.CITE &lt;EndNote&gt;&lt;Cite&gt;&lt;Author&gt;Jones&lt;/Author&gt;&lt;Year&gt;2003&lt;/Year&gt;&lt;RecNum&gt;43&lt;/RecNum&gt;&lt;record&gt;&lt;rec-number&gt;43&lt;/rec-number&gt;&lt;ref-type name="Journal Article"&gt;17&lt;/ref-type&gt;&lt;contributors&gt;&lt;authors&gt;&lt;author&gt;Jones, P.D.&lt;/author&gt;&lt;author&gt;Hu, W. Y.&lt;/author&gt;&lt;author&gt;De Coen, W.&lt;/author&gt;&lt;author&gt;Newsted, J. L.&lt;/author&gt;&lt;author&gt;Giesy, J. P.&lt;/author&gt;&lt;/authors&gt;&lt;/contributors&gt;&lt;titles&gt;&lt;title&gt;Binding of perfluorinated fatty acids to serum proteins&lt;/title&gt;&lt;secondary-title&gt;Environ. Toxicol. Chem.&lt;/secondary-title&gt;&lt;/titles&gt;&lt;periodical&gt;&lt;full-title&gt;Environ. Toxicol. Chem.&lt;/full-title&gt;&lt;/periodical&gt;&lt;pages&gt;2639-2649&lt;/pages&gt;&lt;volume&gt;22&lt;/volume&gt;&lt;number&gt;11&lt;/number&gt;&lt;keywords&gt;&lt;keyword&gt;perfluorooctane sulfonic acid, hormones, serum protein, fish, birds, steroid hormones, PFOS, cell membranes, human plasma, cynomolgus monkeys, crystal structure, globulikn, transport, albumin, parameters&lt;/keyword&gt;&lt;/keywords&gt;&lt;dates&gt;&lt;year&gt;2003&lt;/year&gt;&lt;pub-dates&gt;&lt;date&gt;Nov. 2003&lt;/date&gt;&lt;/pub-dates&gt;&lt;/dates&gt;&lt;urls&gt;&lt;/urls&gt;&lt;/record&gt;&lt;/Cite&gt;&lt;/EndNote&gt;</w:instrText>
      </w:r>
      <w:r w:rsidRPr="0055733C">
        <w:rPr>
          <w:rFonts w:ascii="Calibri" w:hAnsi="Calibri"/>
          <w:sz w:val="22"/>
          <w:szCs w:val="22"/>
        </w:rPr>
        <w:fldChar w:fldCharType="separate"/>
      </w:r>
      <w:r w:rsidRPr="0055733C">
        <w:rPr>
          <w:rFonts w:ascii="Calibri" w:hAnsi="Calibri"/>
          <w:sz w:val="22"/>
          <w:szCs w:val="22"/>
        </w:rPr>
        <w:t>(5)</w:t>
      </w:r>
      <w:r w:rsidRPr="0055733C">
        <w:rPr>
          <w:rFonts w:ascii="Calibri" w:hAnsi="Calibri"/>
          <w:sz w:val="22"/>
          <w:szCs w:val="22"/>
        </w:rPr>
        <w:fldChar w:fldCharType="end"/>
      </w:r>
      <w:r w:rsidRPr="0055733C">
        <w:rPr>
          <w:rFonts w:ascii="Calibri" w:hAnsi="Calibri"/>
          <w:sz w:val="22"/>
          <w:szCs w:val="22"/>
        </w:rPr>
        <w:t>. Therefore, the highest concentrations are often found in blood and liver.</w:t>
      </w:r>
    </w:p>
    <w:p w14:paraId="75751349"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Regarding mussel analysis, the soft tissue is recommended, while liver should be favoured in environmental PFC monitoring of fish. At present, experience with PFC monitoring of seabird eggs is limited, but the compounds have been detected e.g. in guillemot and herring gull eggs (6, 7).</w:t>
      </w:r>
    </w:p>
    <w:p w14:paraId="2771CDD5" w14:textId="77777777" w:rsidR="00FC360C" w:rsidRPr="0055733C" w:rsidRDefault="00FC360C" w:rsidP="0055733C">
      <w:pPr>
        <w:pStyle w:val="Heading1"/>
      </w:pPr>
      <w:bookmarkStart w:id="250" w:name="_Toc511217535"/>
      <w:r w:rsidRPr="0055733C">
        <w:t>4.</w:t>
      </w:r>
      <w:r w:rsidRPr="0055733C">
        <w:tab/>
        <w:t>Sampling, transportation and storage</w:t>
      </w:r>
      <w:bookmarkEnd w:id="250"/>
    </w:p>
    <w:p w14:paraId="53F23706"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The dissection and the collection of eggs and blood </w:t>
      </w:r>
      <w:proofErr w:type="gramStart"/>
      <w:r w:rsidRPr="0055733C">
        <w:rPr>
          <w:rFonts w:ascii="Calibri" w:hAnsi="Calibri"/>
          <w:sz w:val="22"/>
          <w:szCs w:val="22"/>
        </w:rPr>
        <w:t>has</w:t>
      </w:r>
      <w:proofErr w:type="gramEnd"/>
      <w:r w:rsidRPr="0055733C">
        <w:rPr>
          <w:rFonts w:ascii="Calibri" w:hAnsi="Calibri"/>
          <w:sz w:val="22"/>
          <w:szCs w:val="22"/>
        </w:rPr>
        <w:t xml:space="preserve"> to be carried out by trained staff/personnel as incorrect handling of biota samples can contaminate the sample for PFC analysis. Materials and clothes which contain or can adsorb fluorinated compounds must be avoided. In particular the containers or bags which come in direct contact with the sample should not contain fluorinated polymers like Teflon™. Instead, polypropylene materials are recommended. After collection, samples should be stored in closed containers at a temperature lower than −20°C until sample preparation. The handling time at room temperature should be short because of the possible degradation of precursors to PFCAs and PFSAs.</w:t>
      </w:r>
    </w:p>
    <w:p w14:paraId="0E35C86F" w14:textId="77777777" w:rsidR="00FC360C" w:rsidRPr="0055733C" w:rsidRDefault="00FC360C" w:rsidP="0055733C">
      <w:pPr>
        <w:pStyle w:val="Heading1"/>
      </w:pPr>
      <w:bookmarkStart w:id="251" w:name="_Toc511217536"/>
      <w:r w:rsidRPr="0055733C">
        <w:t>5.</w:t>
      </w:r>
      <w:r w:rsidRPr="0055733C">
        <w:tab/>
        <w:t xml:space="preserve"> Sample preparation</w:t>
      </w:r>
      <w:bookmarkEnd w:id="251"/>
    </w:p>
    <w:p w14:paraId="40570957"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The sample preparation for analysis of PFCs requires clean conditions if possible on a clean bench. The laboratory has to be kept as free as possible from any material which can contain fluorinated compounds (e.g. Teflon™). Every material which can come in contact with the sample must be free of fluorinated compounds. Materials used in the PFC analysis should be cleaned with solvents such as methanol and acetone and covered with solvent rinsed aluminium foil to keep out any dust. The septa of vials should be Teflon™-free such as Barrier™ septa made of silicone polymer and aluminium. Solvents including ultrapure water should be of high purity and must be tested for residues of PFCs prior to use.</w:t>
      </w:r>
    </w:p>
    <w:p w14:paraId="660E1F3A"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Within every sample batch, a method blank should be analysed. If measurable blanks occur, the analytical instrumentation and every sample preparation step have to be checked for contamination.</w:t>
      </w:r>
    </w:p>
    <w:p w14:paraId="46D0DEFE" w14:textId="77777777" w:rsidR="00FC360C" w:rsidRPr="0055733C" w:rsidRDefault="00FC360C" w:rsidP="0055733C">
      <w:pPr>
        <w:pStyle w:val="Heading2"/>
      </w:pPr>
      <w:bookmarkStart w:id="252" w:name="_Toc511217537"/>
      <w:r w:rsidRPr="0055733C">
        <w:t>5.1</w:t>
      </w:r>
      <w:r w:rsidRPr="0055733C">
        <w:tab/>
        <w:t>Homogenisation</w:t>
      </w:r>
      <w:bookmarkEnd w:id="252"/>
    </w:p>
    <w:p w14:paraId="560797D4"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An Ultra-turrax® disperser with plastic dispersing (e.g. polycarbonate and polysulfone) is one option to obtain a homogeneous extract. Depending on matrix and expected concentrations, an appropriate sample amount is weighed in polypropylene tubes for the extraction. After homogenisation the extract should be spiked with an IS mixture at concentrations close to the environmental level. Before extraction the sample should be incubated with the IS for about 12 h at 4°C so that the IS can be incorporated into the matrix.</w:t>
      </w:r>
    </w:p>
    <w:p w14:paraId="7C588CE2" w14:textId="77777777" w:rsidR="00FC360C" w:rsidRPr="0055733C" w:rsidRDefault="00FC360C" w:rsidP="0055733C">
      <w:pPr>
        <w:pStyle w:val="Heading2"/>
      </w:pPr>
      <w:bookmarkStart w:id="253" w:name="_Toc511217538"/>
      <w:r w:rsidRPr="0055733C">
        <w:t>5.2</w:t>
      </w:r>
      <w:r w:rsidRPr="0055733C">
        <w:tab/>
        <w:t>Extraction</w:t>
      </w:r>
      <w:bookmarkEnd w:id="253"/>
    </w:p>
    <w:p w14:paraId="6C21B761"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Three methods are commonly used for the extraction of PFCs in biota. One is published by </w:t>
      </w:r>
      <w:r w:rsidRPr="0055733C">
        <w:rPr>
          <w:rFonts w:ascii="Calibri" w:hAnsi="Calibri"/>
          <w:i/>
          <w:sz w:val="22"/>
          <w:szCs w:val="22"/>
        </w:rPr>
        <w:t xml:space="preserve">Hansen et al. </w:t>
      </w:r>
      <w:r w:rsidRPr="0055733C">
        <w:rPr>
          <w:rFonts w:ascii="Calibri" w:hAnsi="Calibri"/>
          <w:sz w:val="22"/>
          <w:szCs w:val="22"/>
        </w:rPr>
        <w:fldChar w:fldCharType="begin"/>
      </w:r>
      <w:r w:rsidRPr="0055733C">
        <w:rPr>
          <w:rFonts w:ascii="Calibri" w:hAnsi="Calibri"/>
          <w:sz w:val="22"/>
          <w:szCs w:val="22"/>
        </w:rPr>
        <w:instrText xml:space="preserve"> ADDIN EN.CITE &lt;EndNote&gt;&lt;Cite&gt;&lt;Author&gt;Hansen&lt;/Author&gt;&lt;Year&gt;2001&lt;/Year&gt;&lt;RecNum&gt;3&lt;/RecNum&gt;&lt;record&gt;&lt;rec-number&gt;3&lt;/rec-number&gt;&lt;ref-type name="Journal Article"&gt;17&lt;/ref-type&gt;&lt;contributors&gt;&lt;authors&gt;&lt;author&gt;Hansen, Kristen J.&lt;/author&gt;&lt;author&gt;Clemen, Lisa A.&lt;/author&gt;&lt;author&gt;Ellefson, Mark E.&lt;/author&gt;&lt;author&gt;Johnson, Harold O.&lt;/author&gt;&lt;/authors&gt;&lt;/contributors&gt;&lt;titles&gt;&lt;title&gt;Compound-specific, quantitative characterization of organic fluorochemicals in biological matrices&lt;/title&gt;&lt;secondary-title&gt;Environ. Sci. Technol.&lt;/secondary-title&gt;&lt;/titles&gt;&lt;periodical&gt;&lt;full-title&gt;Environ. Sci. Technol.&lt;/full-title&gt;&lt;/periodical&gt;&lt;pages&gt;766-770&lt;/pages&gt;&lt;volume&gt;35&lt;/volume&gt;&lt;number&gt;4&lt;/number&gt;&lt;keywords&gt;&lt;keyword&gt;biota&lt;/keyword&gt;&lt;keyword&gt;method&lt;/keyword&gt;&lt;keyword&gt;HPLC-MS/MS&lt;/keyword&gt;&lt;keyword&gt;PFOS&lt;/keyword&gt;&lt;keyword&gt;PFOA&lt;/keyword&gt;&lt;keyword&gt;PFOSA&lt;/keyword&gt;&lt;keyword&gt;PFHxS&lt;/keyword&gt;&lt;keyword&gt;LOD&lt;/keyword&gt;&lt;/keywords&gt;&lt;dates&gt;&lt;year&gt;2001&lt;/year&gt;&lt;/dates&gt;&lt;urls&gt;&lt;/urls&gt;&lt;/record&gt;&lt;/Cite&gt;&lt;/EndNote&gt;</w:instrText>
      </w:r>
      <w:r w:rsidRPr="0055733C">
        <w:rPr>
          <w:rFonts w:ascii="Calibri" w:hAnsi="Calibri"/>
          <w:sz w:val="22"/>
          <w:szCs w:val="22"/>
        </w:rPr>
        <w:fldChar w:fldCharType="separate"/>
      </w:r>
      <w:r w:rsidRPr="0055733C">
        <w:rPr>
          <w:rFonts w:ascii="Calibri" w:hAnsi="Calibri"/>
          <w:sz w:val="22"/>
          <w:szCs w:val="22"/>
        </w:rPr>
        <w:t>(6)</w:t>
      </w:r>
      <w:r w:rsidRPr="0055733C">
        <w:rPr>
          <w:rFonts w:ascii="Calibri" w:hAnsi="Calibri"/>
          <w:sz w:val="22"/>
          <w:szCs w:val="22"/>
        </w:rPr>
        <w:fldChar w:fldCharType="end"/>
      </w:r>
      <w:r w:rsidRPr="0055733C">
        <w:rPr>
          <w:rFonts w:ascii="Calibri" w:hAnsi="Calibri"/>
          <w:sz w:val="22"/>
          <w:szCs w:val="22"/>
        </w:rPr>
        <w:t xml:space="preserve"> and uses an ion pair extraction with tetrabutylammonium (TBA) and the extraction solvent methyl </w:t>
      </w:r>
      <w:r w:rsidRPr="0055733C">
        <w:rPr>
          <w:rFonts w:ascii="Calibri" w:hAnsi="Calibri"/>
          <w:i/>
          <w:sz w:val="22"/>
          <w:szCs w:val="22"/>
        </w:rPr>
        <w:t>tert</w:t>
      </w:r>
      <w:r w:rsidRPr="0055733C">
        <w:rPr>
          <w:rFonts w:ascii="Calibri" w:hAnsi="Calibri"/>
          <w:sz w:val="22"/>
          <w:szCs w:val="22"/>
        </w:rPr>
        <w:t>-butyl ether (MTBE). The second method is described by Powley</w:t>
      </w:r>
      <w:r w:rsidRPr="0055733C">
        <w:rPr>
          <w:rFonts w:ascii="Calibri" w:hAnsi="Calibri"/>
          <w:i/>
          <w:sz w:val="22"/>
          <w:szCs w:val="22"/>
        </w:rPr>
        <w:t xml:space="preserve"> et al.</w:t>
      </w:r>
      <w:r w:rsidRPr="0055733C">
        <w:rPr>
          <w:rFonts w:ascii="Calibri" w:hAnsi="Calibri"/>
          <w:sz w:val="22"/>
          <w:szCs w:val="22"/>
        </w:rPr>
        <w:t xml:space="preserve"> </w:t>
      </w:r>
      <w:r w:rsidRPr="0055733C">
        <w:rPr>
          <w:rFonts w:ascii="Calibri" w:hAnsi="Calibri"/>
          <w:sz w:val="22"/>
          <w:szCs w:val="22"/>
        </w:rPr>
        <w:fldChar w:fldCharType="begin"/>
      </w:r>
      <w:r w:rsidRPr="0055733C">
        <w:rPr>
          <w:rFonts w:ascii="Calibri" w:hAnsi="Calibri"/>
          <w:sz w:val="22"/>
          <w:szCs w:val="22"/>
        </w:rPr>
        <w:instrText xml:space="preserve"> ADDIN EN.CITE &lt;EndNote&gt;&lt;Cite&gt;&lt;Author&gt;Powley&lt;/Author&gt;&lt;Year&gt;2005&lt;/Year&gt;&lt;RecNum&gt;118&lt;/RecNum&gt;&lt;record&gt;&lt;rec-number&gt;118&lt;/rec-number&gt;&lt;ref-type name="Journal Article"&gt;17&lt;/ref-type&gt;&lt;contributors&gt;&lt;authors&gt;&lt;author&gt;Powley, C. R.&lt;/author&gt;&lt;author&gt;George, S. W.&lt;/author&gt;&lt;author&gt;Ryan, T. W.&lt;/author&gt;&lt;author&gt;Buck, R. C.&lt;/author&gt;&lt;/authors&gt;&lt;/contributors&gt;&lt;titles&gt;&lt;title&gt;Matrix Effect-Free Analytical Methods for Determination of Perfluorinated Carboxylic Acids in Environmental Matrixes&lt;/title&gt;&lt;secondary-title&gt;Anal. Chem.&lt;/secondary-title&gt;&lt;/titles&gt;&lt;periodical&gt;&lt;full-title&gt;Anal. Chem.&lt;/full-title&gt;&lt;/periodical&gt;&lt;pages&gt;6353-6358&lt;/pages&gt;&lt;volume&gt;77&lt;/volume&gt;&lt;number&gt;19&lt;/number&gt;&lt;keywords&gt;&lt;keyword&gt;Clean-up&lt;/keyword&gt;&lt;keyword&gt;PFCs&lt;/keyword&gt;&lt;keyword&gt;SPE&lt;/keyword&gt;&lt;keyword&gt;matrix&lt;/keyword&gt;&lt;keyword&gt;PFCAs&lt;/keyword&gt;&lt;keyword&gt;method&lt;/keyword&gt;&lt;keyword&gt;LOQ&lt;/keyword&gt;&lt;/keywords&gt;&lt;dates&gt;&lt;year&gt;2005&lt;/year&gt;&lt;/dates&gt;&lt;urls&gt;&lt;/urls&gt;&lt;/record&gt;&lt;/Cite&gt;&lt;/EndNote&gt;</w:instrText>
      </w:r>
      <w:r w:rsidRPr="0055733C">
        <w:rPr>
          <w:rFonts w:ascii="Calibri" w:hAnsi="Calibri"/>
          <w:sz w:val="22"/>
          <w:szCs w:val="22"/>
        </w:rPr>
        <w:fldChar w:fldCharType="separate"/>
      </w:r>
      <w:r w:rsidRPr="0055733C">
        <w:rPr>
          <w:rFonts w:ascii="Calibri" w:hAnsi="Calibri"/>
          <w:sz w:val="22"/>
          <w:szCs w:val="22"/>
        </w:rPr>
        <w:t>(7)</w:t>
      </w:r>
      <w:r w:rsidRPr="0055733C">
        <w:rPr>
          <w:rFonts w:ascii="Calibri" w:hAnsi="Calibri"/>
          <w:sz w:val="22"/>
          <w:szCs w:val="22"/>
        </w:rPr>
        <w:fldChar w:fldCharType="end"/>
      </w:r>
      <w:r w:rsidRPr="0055733C">
        <w:rPr>
          <w:rFonts w:ascii="Calibri" w:hAnsi="Calibri"/>
          <w:sz w:val="22"/>
          <w:szCs w:val="22"/>
        </w:rPr>
        <w:t xml:space="preserve"> and uses ultrasonic extraction (UE) with a subsequent clean-up. The third method is described by So</w:t>
      </w:r>
      <w:r w:rsidRPr="0055733C">
        <w:rPr>
          <w:rFonts w:ascii="Calibri" w:hAnsi="Calibri"/>
          <w:i/>
          <w:sz w:val="22"/>
          <w:szCs w:val="22"/>
        </w:rPr>
        <w:t xml:space="preserve"> et al.</w:t>
      </w:r>
      <w:r w:rsidRPr="0055733C">
        <w:rPr>
          <w:rFonts w:ascii="Calibri" w:hAnsi="Calibri"/>
          <w:sz w:val="22"/>
          <w:szCs w:val="22"/>
        </w:rPr>
        <w:t xml:space="preserve"> </w:t>
      </w:r>
      <w:r w:rsidRPr="0055733C">
        <w:rPr>
          <w:rFonts w:ascii="Calibri" w:hAnsi="Calibri"/>
          <w:sz w:val="22"/>
          <w:szCs w:val="22"/>
        </w:rPr>
        <w:fldChar w:fldCharType="begin"/>
      </w:r>
      <w:r w:rsidRPr="0055733C">
        <w:rPr>
          <w:rFonts w:ascii="Calibri" w:hAnsi="Calibri"/>
          <w:sz w:val="22"/>
          <w:szCs w:val="22"/>
        </w:rPr>
        <w:instrText xml:space="preserve"> ADDIN EN.CITE &lt;EndNote&gt;&lt;Cite&gt;&lt;Author&gt;So&lt;/Author&gt;&lt;Year&gt;2006&lt;/Year&gt;&lt;RecNum&gt;418&lt;/RecNum&gt;&lt;record&gt;&lt;rec-number&gt;418&lt;/rec-number&gt;&lt;ref-type name="Journal Article"&gt;17&lt;/ref-type&gt;&lt;contributors&gt;&lt;authors&gt;&lt;author&gt;So, M. K.&lt;/author&gt;&lt;author&gt;Taniyasu, S.&lt;/author&gt;&lt;author&gt;Lam, P. K. S.&lt;/author&gt;&lt;author&gt;Zheng, J. P.&lt;/author&gt;&lt;author&gt;Giesy, J. P.&lt;/author&gt;&lt;author&gt;Yamashita, N.&lt;/author&gt;&lt;/authors&gt;&lt;/contributors&gt;&lt;titles&gt;&lt;title&gt;Alkaline Digestion and Solid Phase Extraction Method for Perfluorinated Compounds in Mussels and Oysters from South China and Japan&lt;/title&gt;&lt;secondary-title&gt;Arch. Environ. Contam. Toxicol.&lt;/secondary-title&gt;&lt;/titles&gt;&lt;periodical&gt;&lt;full-title&gt;Arch. Environ. Contam. Toxicol.&lt;/full-title&gt;&lt;/periodical&gt;&lt;pages&gt;240-248&lt;/pages&gt;&lt;volume&gt;50&lt;/volume&gt;&lt;keywords&gt;&lt;keyword&gt;method&lt;/keyword&gt;&lt;keyword&gt;biota&lt;/keyword&gt;&lt;/keywords&gt;&lt;dates&gt;&lt;year&gt;2006&lt;/year&gt;&lt;/dates&gt;&lt;urls&gt;&lt;/urls&gt;&lt;/record&gt;&lt;/Cite&gt;&lt;/EndNote&gt;</w:instrText>
      </w:r>
      <w:r w:rsidRPr="0055733C">
        <w:rPr>
          <w:rFonts w:ascii="Calibri" w:hAnsi="Calibri"/>
          <w:sz w:val="22"/>
          <w:szCs w:val="22"/>
        </w:rPr>
        <w:fldChar w:fldCharType="separate"/>
      </w:r>
      <w:r w:rsidRPr="0055733C">
        <w:rPr>
          <w:rFonts w:ascii="Calibri" w:hAnsi="Calibri"/>
          <w:sz w:val="22"/>
          <w:szCs w:val="22"/>
        </w:rPr>
        <w:t>(8)</w:t>
      </w:r>
      <w:r w:rsidRPr="0055733C">
        <w:rPr>
          <w:rFonts w:ascii="Calibri" w:hAnsi="Calibri"/>
          <w:sz w:val="22"/>
          <w:szCs w:val="22"/>
        </w:rPr>
        <w:fldChar w:fldCharType="end"/>
      </w:r>
      <w:r w:rsidRPr="0055733C">
        <w:rPr>
          <w:rFonts w:ascii="Calibri" w:hAnsi="Calibri"/>
          <w:sz w:val="22"/>
          <w:szCs w:val="22"/>
        </w:rPr>
        <w:t xml:space="preserve"> and includes alkaline digestion followed by solid phase extraction (SPE) on WAX™ cartridges. In the following section, the UE method with acetonitrile or methanol is described because of its easy handling and good recoveries, but the other two methods will be acceptable alternatives. The UE method includes a minimum of three extractions, each with 10-fold solvent of the sample volume and 30-min extraction time. After the extraction, the three extracts are combined for clean-up.</w:t>
      </w:r>
    </w:p>
    <w:p w14:paraId="6484F90D" w14:textId="77777777" w:rsidR="00FC360C" w:rsidRPr="0055733C" w:rsidRDefault="00FC360C" w:rsidP="00495FBB">
      <w:pPr>
        <w:pStyle w:val="Heading2"/>
      </w:pPr>
      <w:bookmarkStart w:id="254" w:name="_Toc511217539"/>
      <w:r w:rsidRPr="0055733C">
        <w:t>5.3</w:t>
      </w:r>
      <w:r w:rsidRPr="0055733C">
        <w:tab/>
        <w:t>Clean-up</w:t>
      </w:r>
      <w:bookmarkEnd w:id="254"/>
    </w:p>
    <w:p w14:paraId="5C534874"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Because of matrix effects on ionisation enhancement/suppression in electrospray tandem mass spectrometry (ESI-MS-MS), a clean-up of the extracts is necessary. Different methods can be used, either separately or in combination, depending on the biota tissue, extraction solvent and concentration level.</w:t>
      </w:r>
    </w:p>
    <w:p w14:paraId="020F7717"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Gel permeation chromatography (GPC) for lipid removal is not advisable because lipids are poorly separated from some target compounds (with long chain lengths (&gt;8)). Preliminary results indicate that retention on silica can be used for lipid removal, but is likely to lead to losses of PFOSA. Lipids can also be removed from methanol or acetonitrile extracts by precipitation at −20°C </w:t>
      </w:r>
      <w:r w:rsidRPr="0055733C">
        <w:rPr>
          <w:rFonts w:ascii="Calibri" w:hAnsi="Calibri"/>
          <w:sz w:val="22"/>
          <w:szCs w:val="22"/>
        </w:rPr>
        <w:fldChar w:fldCharType="begin"/>
      </w:r>
      <w:r w:rsidRPr="0055733C">
        <w:rPr>
          <w:rFonts w:ascii="Calibri" w:hAnsi="Calibri"/>
          <w:sz w:val="22"/>
          <w:szCs w:val="22"/>
        </w:rPr>
        <w:instrText xml:space="preserve"> ADDIN EN.CITE &lt;EndNote&gt;&lt;Cite&gt;&lt;Author&gt;Theobald&lt;/Author&gt;&lt;Year&gt;2007&lt;/Year&gt;&lt;RecNum&gt;419&lt;/RecNum&gt;&lt;record&gt;&lt;rec-number&gt;419&lt;/rec-number&gt;&lt;ref-type name="Journal Article"&gt;17&lt;/ref-type&gt;&lt;contributors&gt;&lt;authors&gt;&lt;author&gt;Theobald, N.&lt;/author&gt;&lt;author&gt;Gerwinski, W.&lt;/author&gt;&lt;author&gt;Caliebe, C.&lt;/author&gt;&lt;author&gt;Haarich, M.&lt;/author&gt;&lt;/authors&gt;&lt;/contributors&gt;&lt;titles&gt;&lt;title&gt;Entwicklung und Validierung einer Methode zur Bestimmung von polyfluorierten organischen Substanzen in Meerwasser, Sedimenten und Biota; Untersuchungen zum Vorkommen dieser Schadstoffe in der Nord- und Ostsee&lt;/title&gt;&lt;secondary-title&gt;UBA-Texte 41/2007&lt;/secondary-title&gt;&lt;/titles&gt;&lt;periodical&gt;&lt;full-title&gt;UBA-Texte 41/2007&lt;/full-title&gt;&lt;/periodical&gt;&lt;pages&gt;(abstract in English and German, text in German)&lt;/pages&gt;&lt;dates&gt;&lt;year&gt;2007&lt;/year&gt;&lt;/dates&gt;&lt;urls&gt;&lt;/urls&gt;&lt;/record&gt;&lt;/Cite&gt;&lt;/EndNote&gt;</w:instrText>
      </w:r>
      <w:r w:rsidRPr="0055733C">
        <w:rPr>
          <w:rFonts w:ascii="Calibri" w:hAnsi="Calibri"/>
          <w:sz w:val="22"/>
          <w:szCs w:val="22"/>
        </w:rPr>
        <w:fldChar w:fldCharType="separate"/>
      </w:r>
      <w:r w:rsidRPr="0055733C">
        <w:rPr>
          <w:rFonts w:ascii="Calibri" w:hAnsi="Calibri"/>
          <w:sz w:val="22"/>
          <w:szCs w:val="22"/>
        </w:rPr>
        <w:t>(9)</w:t>
      </w:r>
      <w:r w:rsidRPr="0055733C">
        <w:rPr>
          <w:rFonts w:ascii="Calibri" w:hAnsi="Calibri"/>
          <w:sz w:val="22"/>
          <w:szCs w:val="22"/>
        </w:rPr>
        <w:fldChar w:fldCharType="end"/>
      </w:r>
      <w:r w:rsidRPr="0055733C">
        <w:rPr>
          <w:rFonts w:ascii="Calibri" w:hAnsi="Calibri"/>
          <w:sz w:val="22"/>
          <w:szCs w:val="22"/>
        </w:rPr>
        <w:t>. The extract is then centrifuged for 1 minute and the supernatant is decanted into a clean vial.</w:t>
      </w:r>
    </w:p>
    <w:p w14:paraId="265864E1"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After lipid removal, additional clean-up steps will be required. An appropriate method is described by Powley</w:t>
      </w:r>
      <w:r w:rsidRPr="0055733C">
        <w:rPr>
          <w:rFonts w:ascii="Calibri" w:hAnsi="Calibri"/>
          <w:i/>
          <w:sz w:val="22"/>
          <w:szCs w:val="22"/>
        </w:rPr>
        <w:t xml:space="preserve"> et al.</w:t>
      </w:r>
      <w:r w:rsidRPr="0055733C">
        <w:rPr>
          <w:rFonts w:ascii="Calibri" w:hAnsi="Calibri"/>
          <w:sz w:val="22"/>
          <w:szCs w:val="22"/>
        </w:rPr>
        <w:t xml:space="preserve"> </w:t>
      </w:r>
      <w:r w:rsidRPr="0055733C">
        <w:rPr>
          <w:rFonts w:ascii="Calibri" w:hAnsi="Calibri"/>
          <w:sz w:val="22"/>
          <w:szCs w:val="22"/>
        </w:rPr>
        <w:fldChar w:fldCharType="begin"/>
      </w:r>
      <w:r w:rsidRPr="0055733C">
        <w:rPr>
          <w:rFonts w:ascii="Calibri" w:hAnsi="Calibri"/>
          <w:sz w:val="22"/>
          <w:szCs w:val="22"/>
        </w:rPr>
        <w:instrText xml:space="preserve"> ADDIN EN.CITE &lt;EndNote&gt;&lt;Cite&gt;&lt;Author&gt;Powley&lt;/Author&gt;&lt;Year&gt;2005&lt;/Year&gt;&lt;RecNum&gt;118&lt;/RecNum&gt;&lt;record&gt;&lt;rec-number&gt;118&lt;/rec-number&gt;&lt;ref-type name="Journal Article"&gt;17&lt;/ref-type&gt;&lt;contributors&gt;&lt;authors&gt;&lt;author&gt;Powley, C. R.&lt;/author&gt;&lt;author&gt;George, S. W.&lt;/author&gt;&lt;author&gt;Ryan, T. W.&lt;/author&gt;&lt;author&gt;Buck, R. C.&lt;/author&gt;&lt;/authors&gt;&lt;/contributors&gt;&lt;titles&gt;&lt;title&gt;Matrix Effect-Free Analytical Methods for Determination of Perfluorinated Carboxylic Acids in Environmental Matrixes&lt;/title&gt;&lt;secondary-title&gt;Anal. Chem.&lt;/secondary-title&gt;&lt;/titles&gt;&lt;periodical&gt;&lt;full-title&gt;Anal. Chem.&lt;/full-title&gt;&lt;/periodical&gt;&lt;pages&gt;6353-6358&lt;/pages&gt;&lt;volume&gt;77&lt;/volume&gt;&lt;number&gt;19&lt;/number&gt;&lt;keywords&gt;&lt;keyword&gt;Clean-up&lt;/keyword&gt;&lt;keyword&gt;PFCs&lt;/keyword&gt;&lt;keyword&gt;SPE&lt;/keyword&gt;&lt;keyword&gt;matrix&lt;/keyword&gt;&lt;keyword&gt;PFCAs&lt;/keyword&gt;&lt;keyword&gt;method&lt;/keyword&gt;&lt;keyword&gt;LOQ&lt;/keyword&gt;&lt;/keywords&gt;&lt;dates&gt;&lt;year&gt;2005&lt;/year&gt;&lt;/dates&gt;&lt;urls&gt;&lt;/urls&gt;&lt;/record&gt;&lt;/Cite&gt;&lt;/EndNote&gt;</w:instrText>
      </w:r>
      <w:r w:rsidRPr="0055733C">
        <w:rPr>
          <w:rFonts w:ascii="Calibri" w:hAnsi="Calibri"/>
          <w:sz w:val="22"/>
          <w:szCs w:val="22"/>
        </w:rPr>
        <w:fldChar w:fldCharType="separate"/>
      </w:r>
      <w:r w:rsidRPr="0055733C">
        <w:rPr>
          <w:rFonts w:ascii="Calibri" w:hAnsi="Calibri"/>
          <w:sz w:val="22"/>
          <w:szCs w:val="22"/>
        </w:rPr>
        <w:t>(7)</w:t>
      </w:r>
      <w:r w:rsidRPr="0055733C">
        <w:rPr>
          <w:rFonts w:ascii="Calibri" w:hAnsi="Calibri"/>
          <w:sz w:val="22"/>
          <w:szCs w:val="22"/>
        </w:rPr>
        <w:fldChar w:fldCharType="end"/>
      </w:r>
      <w:r w:rsidR="00F63BAF" w:rsidRPr="0055733C">
        <w:rPr>
          <w:rFonts w:ascii="Calibri" w:hAnsi="Calibri"/>
          <w:sz w:val="22"/>
          <w:szCs w:val="22"/>
        </w:rPr>
        <w:t>. Briefly, 25 mg of graphitis</w:t>
      </w:r>
      <w:r w:rsidRPr="0055733C">
        <w:rPr>
          <w:rFonts w:ascii="Calibri" w:hAnsi="Calibri"/>
          <w:sz w:val="22"/>
          <w:szCs w:val="22"/>
        </w:rPr>
        <w:t>ed carbon adsorbent (e.g. ENVI-Carb™, 100 m</w:t>
      </w:r>
      <w:r w:rsidRPr="0055733C">
        <w:rPr>
          <w:rFonts w:ascii="Calibri" w:hAnsi="Calibri"/>
          <w:sz w:val="22"/>
          <w:szCs w:val="22"/>
          <w:vertAlign w:val="superscript"/>
        </w:rPr>
        <w:t>2</w:t>
      </w:r>
      <w:r w:rsidRPr="0055733C">
        <w:rPr>
          <w:rFonts w:ascii="Calibri" w:hAnsi="Calibri"/>
          <w:sz w:val="22"/>
          <w:szCs w:val="22"/>
        </w:rPr>
        <w:t xml:space="preserve"> g</w:t>
      </w:r>
      <w:r w:rsidRPr="0055733C">
        <w:rPr>
          <w:rFonts w:ascii="Calibri" w:hAnsi="Calibri"/>
          <w:sz w:val="22"/>
          <w:szCs w:val="22"/>
          <w:vertAlign w:val="superscript"/>
        </w:rPr>
        <w:t>-1</w:t>
      </w:r>
      <w:r w:rsidRPr="0055733C">
        <w:rPr>
          <w:rFonts w:ascii="Calibri" w:hAnsi="Calibri"/>
          <w:sz w:val="22"/>
          <w:szCs w:val="22"/>
        </w:rPr>
        <w:t>, 120/400 mesh) and 50µL acetic acid are added into a small tube. The extract is concentrated to 1 mL and transferred into the tube. The extract is mixed, centrifuged and finally, 0.5 mL of the supernatant is transferred to another flask.</w:t>
      </w:r>
    </w:p>
    <w:p w14:paraId="2822D612"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Alternatively, commercially available SPE cartridges can be used (e.g. ENVI-Carb™, 100 mg, 1 mL, </w:t>
      </w:r>
      <w:proofErr w:type="gramStart"/>
      <w:r w:rsidRPr="0055733C">
        <w:rPr>
          <w:rFonts w:ascii="Calibri" w:hAnsi="Calibri"/>
          <w:sz w:val="22"/>
          <w:szCs w:val="22"/>
        </w:rPr>
        <w:t>100</w:t>
      </w:r>
      <w:proofErr w:type="gramEnd"/>
      <w:r w:rsidRPr="0055733C">
        <w:rPr>
          <w:rFonts w:ascii="Calibri" w:hAnsi="Calibri"/>
          <w:sz w:val="22"/>
          <w:szCs w:val="22"/>
        </w:rPr>
        <w:t>–400 mesh). If necessary, a second freezing out step can be used if the matrix still interferes with the measurement. Additional clean up might be required, depending on sample type and concentration levels.</w:t>
      </w:r>
    </w:p>
    <w:p w14:paraId="5B7B4236"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Sample extracts should be concentrated according to the required sensitivity. Concentration techniques at low temperature (&lt; 40°C) and controlled pressure conditions are preferred in order to avoid losses of the more volatile PFCs. Evaporation to dryness should be avoided.</w:t>
      </w:r>
    </w:p>
    <w:p w14:paraId="22A7EB02"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An injection standard (InjS) can be added to the final extract for correction of the injection volumes and calculation of the recoveries of the mass-labelled IS. The InjS should not occur in environmental samples; this can be avoided if a mass-labelled InjS is used. </w:t>
      </w:r>
    </w:p>
    <w:p w14:paraId="1EEF79F4"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The solvent composition of the final extract should correspond to the mobile phase of the LC method in order to obtain a satisfactory peak shape of the compounds, in particular of the short-chain PFCs. </w:t>
      </w:r>
      <w:proofErr w:type="gramStart"/>
      <w:r w:rsidRPr="0055733C">
        <w:rPr>
          <w:rFonts w:ascii="Calibri" w:hAnsi="Calibri"/>
          <w:sz w:val="22"/>
          <w:szCs w:val="22"/>
        </w:rPr>
        <w:t>Unless</w:t>
      </w:r>
      <w:proofErr w:type="gramEnd"/>
      <w:r w:rsidRPr="0055733C">
        <w:rPr>
          <w:rFonts w:ascii="Calibri" w:hAnsi="Calibri"/>
          <w:sz w:val="22"/>
          <w:szCs w:val="22"/>
        </w:rPr>
        <w:t xml:space="preserve"> the samples are analysed immediately, the vials should be kept at 4°C or lower.</w:t>
      </w:r>
    </w:p>
    <w:p w14:paraId="64265164" w14:textId="77777777" w:rsidR="00FC360C" w:rsidRPr="0055733C" w:rsidRDefault="00FC360C" w:rsidP="00495FBB">
      <w:pPr>
        <w:pStyle w:val="Heading1"/>
      </w:pPr>
      <w:bookmarkStart w:id="255" w:name="_Toc511217540"/>
      <w:r w:rsidRPr="0055733C">
        <w:t>6.</w:t>
      </w:r>
      <w:r w:rsidRPr="0055733C">
        <w:tab/>
        <w:t>Instrumental analysis</w:t>
      </w:r>
      <w:bookmarkEnd w:id="255"/>
    </w:p>
    <w:p w14:paraId="2D0D5BAC"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LC coupled with a tandem mass spectrometer and interfaced with an electrospray ionisation source in a negative-ion mode (</w:t>
      </w:r>
      <w:bookmarkStart w:id="256" w:name="OLE_LINK4"/>
      <w:bookmarkStart w:id="257" w:name="OLE_LINK3"/>
      <w:r w:rsidRPr="0055733C">
        <w:rPr>
          <w:rFonts w:ascii="Calibri" w:hAnsi="Calibri"/>
          <w:sz w:val="22"/>
          <w:szCs w:val="22"/>
        </w:rPr>
        <w:t>LC-(-)ESI-MS/MS</w:t>
      </w:r>
      <w:bookmarkEnd w:id="256"/>
      <w:bookmarkEnd w:id="257"/>
      <w:r w:rsidRPr="0055733C">
        <w:rPr>
          <w:rFonts w:ascii="Calibri" w:hAnsi="Calibri"/>
          <w:sz w:val="22"/>
          <w:szCs w:val="22"/>
        </w:rPr>
        <w:t xml:space="preserve">) </w:t>
      </w:r>
      <w:r w:rsidRPr="0055733C">
        <w:rPr>
          <w:rFonts w:ascii="Calibri" w:hAnsi="Calibri"/>
          <w:sz w:val="22"/>
          <w:szCs w:val="22"/>
        </w:rPr>
        <w:fldChar w:fldCharType="begin"/>
      </w:r>
      <w:r w:rsidRPr="0055733C">
        <w:rPr>
          <w:rFonts w:ascii="Calibri" w:hAnsi="Calibri"/>
          <w:sz w:val="22"/>
          <w:szCs w:val="22"/>
        </w:rPr>
        <w:instrText xml:space="preserve"> ADDIN EN.CITE &lt;EndNote&gt;&lt;Cite&gt;&lt;Author&gt;Hansen&lt;/Author&gt;&lt;Year&gt;2001&lt;/Year&gt;&lt;RecNum&gt;3&lt;/RecNum&gt;&lt;record&gt;&lt;rec-number&gt;3&lt;/rec-number&gt;&lt;ref-type name="Journal Article"&gt;17&lt;/ref-type&gt;&lt;contributors&gt;&lt;authors&gt;&lt;author&gt;Hansen, Kristen J.&lt;/author&gt;&lt;author&gt;Clemen, Lisa A.&lt;/author&gt;&lt;author&gt;Ellefson, Mark E.&lt;/author&gt;&lt;author&gt;Johnson, Harold O.&lt;/author&gt;&lt;/authors&gt;&lt;/contributors&gt;&lt;titles&gt;&lt;title&gt;Compound-specific, quantitative characterization of organic fluorochemicals in biological matrices&lt;/title&gt;&lt;secondary-title&gt;Environ. Sci. Technol.&lt;/secondary-title&gt;&lt;/titles&gt;&lt;periodical&gt;&lt;full-title&gt;Environ. Sci. Technol.&lt;/full-title&gt;&lt;/periodical&gt;&lt;pages&gt;766-770&lt;/pages&gt;&lt;volume&gt;35&lt;/volume&gt;&lt;number&gt;4&lt;/number&gt;&lt;keywords&gt;&lt;keyword&gt;biota&lt;/keyword&gt;&lt;keyword&gt;method&lt;/keyword&gt;&lt;keyword&gt;HPLC-MS/MS&lt;/keyword&gt;&lt;keyword&gt;PFOS&lt;/keyword&gt;&lt;keyword&gt;PFOA&lt;/keyword&gt;&lt;keyword&gt;PFOSA&lt;/keyword&gt;&lt;keyword&gt;PFHxS&lt;/keyword&gt;&lt;keyword&gt;LOD&lt;/keyword&gt;&lt;/keywords&gt;&lt;dates&gt;&lt;year&gt;2001&lt;/year&gt;&lt;/dates&gt;&lt;urls&gt;&lt;/urls&gt;&lt;/record&gt;&lt;/Cite&gt;&lt;/EndNote&gt;</w:instrText>
      </w:r>
      <w:r w:rsidRPr="0055733C">
        <w:rPr>
          <w:rFonts w:ascii="Calibri" w:hAnsi="Calibri"/>
          <w:sz w:val="22"/>
          <w:szCs w:val="22"/>
        </w:rPr>
        <w:fldChar w:fldCharType="separate"/>
      </w:r>
      <w:r w:rsidRPr="0055733C">
        <w:rPr>
          <w:rFonts w:ascii="Calibri" w:hAnsi="Calibri"/>
          <w:sz w:val="22"/>
          <w:szCs w:val="22"/>
        </w:rPr>
        <w:t>(6, 10)</w:t>
      </w:r>
      <w:r w:rsidRPr="0055733C">
        <w:rPr>
          <w:rFonts w:ascii="Calibri" w:hAnsi="Calibri"/>
          <w:sz w:val="22"/>
          <w:szCs w:val="22"/>
        </w:rPr>
        <w:fldChar w:fldCharType="end"/>
      </w:r>
      <w:r w:rsidRPr="0055733C">
        <w:rPr>
          <w:rFonts w:ascii="Calibri" w:hAnsi="Calibri"/>
          <w:sz w:val="22"/>
          <w:szCs w:val="22"/>
        </w:rPr>
        <w:t xml:space="preserve"> or LC coupled with an (</w:t>
      </w:r>
      <w:r w:rsidRPr="0055733C">
        <w:rPr>
          <w:rFonts w:ascii="Calibri" w:hAnsi="Calibri"/>
          <w:sz w:val="22"/>
          <w:szCs w:val="22"/>
        </w:rPr>
        <w:noBreakHyphen/>
        <w:t xml:space="preserve">)ESI time-of-flight mass spectrometer (LC-ESI-QTOF-MS) </w:t>
      </w:r>
      <w:r w:rsidRPr="0055733C">
        <w:rPr>
          <w:rFonts w:ascii="Calibri" w:hAnsi="Calibri"/>
          <w:sz w:val="22"/>
          <w:szCs w:val="22"/>
        </w:rPr>
        <w:fldChar w:fldCharType="begin"/>
      </w:r>
      <w:r w:rsidRPr="0055733C">
        <w:rPr>
          <w:rFonts w:ascii="Calibri" w:hAnsi="Calibri"/>
          <w:sz w:val="22"/>
          <w:szCs w:val="22"/>
        </w:rPr>
        <w:instrText xml:space="preserve"> ADDIN EN.CITE &lt;EndNote&gt;&lt;Cite&gt;&lt;Author&gt;Berger&lt;/Author&gt;&lt;Year&gt;2005&lt;/Year&gt;&lt;RecNum&gt;260&lt;/RecNum&gt;&lt;record&gt;&lt;rec-number&gt;260&lt;/rec-number&gt;&lt;ref-type name="Journal Article"&gt;17&lt;/ref-type&gt;&lt;contributors&gt;&lt;authors&gt;&lt;author&gt;Berger, Urs&lt;/author&gt;&lt;author&gt;Haukas, Marianne&lt;/author&gt;&lt;/authors&gt;&lt;/contributors&gt;&lt;titles&gt;&lt;title&gt;Validation of a screening method based on liquid chromatography coupled to high-resolution mass spectrometry for analysis of perfluoroalkylated substances in biota&lt;/title&gt;&lt;secondary-title&gt;J. Chromatogr. A&lt;/secondary-title&gt;&lt;/titles&gt;&lt;periodical&gt;&lt;full-title&gt;J. Chromatogr. A&lt;/full-title&gt;&lt;/periodical&gt;&lt;pages&gt;210-217&lt;/pages&gt;&lt;volume&gt;1081&lt;/volume&gt;&lt;keywords&gt;&lt;keyword&gt;ion pair extraction&lt;/keyword&gt;&lt;keyword&gt;HPLC/TOF-MS&lt;/keyword&gt;&lt;keyword&gt;biota&lt;/keyword&gt;&lt;keyword&gt;blanks&lt;/keyword&gt;&lt;keyword&gt;method&lt;/keyword&gt;&lt;keyword&gt;validation&lt;/keyword&gt;&lt;/keywords&gt;&lt;dates&gt;&lt;year&gt;2005&lt;/year&gt;&lt;/dates&gt;&lt;urls&gt;&lt;/urls&gt;&lt;/record&gt;&lt;/Cite&gt;&lt;/EndNote&gt;</w:instrText>
      </w:r>
      <w:r w:rsidRPr="0055733C">
        <w:rPr>
          <w:rFonts w:ascii="Calibri" w:hAnsi="Calibri"/>
          <w:sz w:val="22"/>
          <w:szCs w:val="22"/>
        </w:rPr>
        <w:fldChar w:fldCharType="separate"/>
      </w:r>
      <w:r w:rsidRPr="0055733C">
        <w:rPr>
          <w:rFonts w:ascii="Calibri" w:hAnsi="Calibri"/>
          <w:sz w:val="22"/>
          <w:szCs w:val="22"/>
        </w:rPr>
        <w:t>(11)</w:t>
      </w:r>
      <w:r w:rsidRPr="0055733C">
        <w:rPr>
          <w:rFonts w:ascii="Calibri" w:hAnsi="Calibri"/>
          <w:sz w:val="22"/>
          <w:szCs w:val="22"/>
        </w:rPr>
        <w:fldChar w:fldCharType="end"/>
      </w:r>
      <w:r w:rsidRPr="0055733C">
        <w:rPr>
          <w:rFonts w:ascii="Calibri" w:hAnsi="Calibri"/>
          <w:sz w:val="22"/>
          <w:szCs w:val="22"/>
        </w:rPr>
        <w:t xml:space="preserve"> is the best choice for PFC analysis. Tandem MS and QTOF-MS have the advantage of low instrumental noise with a high selectivity.</w:t>
      </w:r>
      <w:bookmarkStart w:id="258" w:name="_Toc162797354"/>
      <w:bookmarkStart w:id="259" w:name="_Toc162529183"/>
    </w:p>
    <w:p w14:paraId="74829000" w14:textId="77777777" w:rsidR="00FC360C" w:rsidRPr="0055733C" w:rsidRDefault="00FC360C" w:rsidP="00495FBB">
      <w:pPr>
        <w:pStyle w:val="Heading2"/>
      </w:pPr>
      <w:bookmarkStart w:id="260" w:name="_Toc511217541"/>
      <w:r w:rsidRPr="0055733C">
        <w:t>6.1</w:t>
      </w:r>
      <w:r w:rsidRPr="0055733C">
        <w:tab/>
        <w:t>Liquid chromatography</w:t>
      </w:r>
      <w:bookmarkEnd w:id="258"/>
      <w:bookmarkEnd w:id="259"/>
      <w:bookmarkEnd w:id="260"/>
    </w:p>
    <w:p w14:paraId="4FDB4AE2"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For the liquid-chromatography C</w:t>
      </w:r>
      <w:r w:rsidRPr="0055733C">
        <w:rPr>
          <w:rFonts w:ascii="Calibri" w:hAnsi="Calibri"/>
          <w:sz w:val="22"/>
          <w:szCs w:val="22"/>
          <w:vertAlign w:val="subscript"/>
        </w:rPr>
        <w:t>8</w:t>
      </w:r>
      <w:r w:rsidRPr="0055733C">
        <w:rPr>
          <w:rFonts w:ascii="Calibri" w:hAnsi="Calibri"/>
          <w:sz w:val="22"/>
          <w:szCs w:val="22"/>
        </w:rPr>
        <w:t xml:space="preserve"> or C</w:t>
      </w:r>
      <w:r w:rsidRPr="0055733C">
        <w:rPr>
          <w:rFonts w:ascii="Calibri" w:hAnsi="Calibri"/>
          <w:sz w:val="22"/>
          <w:szCs w:val="22"/>
          <w:vertAlign w:val="subscript"/>
        </w:rPr>
        <w:t>18</w:t>
      </w:r>
      <w:r w:rsidRPr="0055733C">
        <w:rPr>
          <w:rFonts w:ascii="Calibri" w:hAnsi="Calibri"/>
          <w:sz w:val="22"/>
          <w:szCs w:val="22"/>
        </w:rPr>
        <w:t xml:space="preserve"> reserved phase columns can be used. A guard column may improve the peak performance and extend the lifetime of the chromatography column. As the mobile phase, water with methanol or acetonitrile can be used, both with 2–10 mM ammonium acetate as an ionisation aid. Gradients from 10% to 100% methanol or acetonitrile will be necessary for the separation of the compounds listed in Table 1.5.5.4.1.</w:t>
      </w:r>
    </w:p>
    <w:p w14:paraId="2AD495BF"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Modifications of the instrume</w:t>
      </w:r>
      <w:r w:rsidR="00F63BAF" w:rsidRPr="0055733C">
        <w:rPr>
          <w:rFonts w:ascii="Calibri" w:hAnsi="Calibri"/>
          <w:sz w:val="22"/>
          <w:szCs w:val="22"/>
        </w:rPr>
        <w:t>nt might be necessary to minimis</w:t>
      </w:r>
      <w:r w:rsidRPr="0055733C">
        <w:rPr>
          <w:rFonts w:ascii="Calibri" w:hAnsi="Calibri"/>
          <w:sz w:val="22"/>
          <w:szCs w:val="22"/>
        </w:rPr>
        <w:t xml:space="preserve">e contact with fluorine-containing materials </w:t>
      </w:r>
      <w:r w:rsidRPr="0055733C">
        <w:rPr>
          <w:rFonts w:ascii="Calibri" w:hAnsi="Calibri"/>
          <w:sz w:val="22"/>
          <w:szCs w:val="22"/>
        </w:rPr>
        <w:fldChar w:fldCharType="begin"/>
      </w:r>
      <w:r w:rsidRPr="0055733C">
        <w:rPr>
          <w:rFonts w:ascii="Calibri" w:hAnsi="Calibri"/>
          <w:sz w:val="22"/>
          <w:szCs w:val="22"/>
        </w:rPr>
        <w:instrText xml:space="preserve"> ADDIN EN.CITE &lt;EndNote&gt;&lt;Cite&gt;&lt;Author&gt;Yamashita&lt;/Author&gt;&lt;Year&gt;2004&lt;/Year&gt;&lt;RecNum&gt;145&lt;/RecNum&gt;&lt;record&gt;&lt;rec-number&gt;145&lt;/rec-number&gt;&lt;ref-type name="Journal Article"&gt;17&lt;/ref-type&gt;&lt;contributors&gt;&lt;authors&gt;&lt;author&gt;Yamashita, N.&lt;/author&gt;&lt;author&gt;Kannan, K.&lt;/author&gt;&lt;author&gt;Taniyasu, S.&lt;/author&gt;&lt;author&gt;Horii, Y.&lt;/author&gt;&lt;author&gt;Okazawa, T.&lt;/author&gt;&lt;author&gt;Petrick, G.&lt;/author&gt;&lt;author&gt;Gamo, T.&lt;/author&gt;&lt;/authors&gt;&lt;/contributors&gt;&lt;titles&gt;&lt;title&gt;Analysis of Perfluorinated Acids at Parts-Per-Quadrillion Levels in Seawater Using Liquid Chromatography-Tandem Mass Spectrometry&lt;/title&gt;&lt;secondary-title&gt;Environ. Sci. Technol.&lt;/secondary-title&gt;&lt;/titles&gt;&lt;periodical&gt;&lt;full-title&gt;Environ. Sci. Technol.&lt;/full-title&gt;&lt;/periodical&gt;&lt;pages&gt;5522-5528&lt;/pages&gt;&lt;volume&gt;38&lt;/volume&gt;&lt;number&gt;21&lt;/number&gt;&lt;keywords&gt;&lt;keyword&gt;PFAs&lt;/keyword&gt;&lt;keyword&gt;PFOS&lt;/keyword&gt;&lt;keyword&gt;PFOA&lt;/keyword&gt;&lt;keyword&gt;PFBS&lt;/keyword&gt;&lt;keyword&gt;PFNA&lt;/keyword&gt;&lt;keyword&gt;PFOSA&lt;/keyword&gt;&lt;keyword&gt;water&lt;/keyword&gt;&lt;keyword&gt;Blank&lt;/keyword&gt;&lt;keyword&gt;HPLC-MS/MS&lt;/keyword&gt;&lt;keyword&gt;validation&lt;/keyword&gt;&lt;/keywords&gt;&lt;dates&gt;&lt;year&gt;2004&lt;/year&gt;&lt;/dates&gt;&lt;urls&gt;&lt;/urls&gt;&lt;/record&gt;&lt;/Cite&gt;&lt;/EndNote&gt;</w:instrText>
      </w:r>
      <w:r w:rsidRPr="0055733C">
        <w:rPr>
          <w:rFonts w:ascii="Calibri" w:hAnsi="Calibri"/>
          <w:sz w:val="22"/>
          <w:szCs w:val="22"/>
        </w:rPr>
        <w:fldChar w:fldCharType="separate"/>
      </w:r>
      <w:r w:rsidRPr="0055733C">
        <w:rPr>
          <w:rFonts w:ascii="Calibri" w:hAnsi="Calibri"/>
          <w:sz w:val="22"/>
          <w:szCs w:val="22"/>
        </w:rPr>
        <w:t>(12)</w:t>
      </w:r>
      <w:r w:rsidRPr="0055733C">
        <w:rPr>
          <w:rFonts w:ascii="Calibri" w:hAnsi="Calibri"/>
          <w:sz w:val="22"/>
          <w:szCs w:val="22"/>
        </w:rPr>
        <w:fldChar w:fldCharType="end"/>
      </w:r>
      <w:r w:rsidRPr="0055733C">
        <w:rPr>
          <w:rFonts w:ascii="Calibri" w:hAnsi="Calibri"/>
          <w:sz w:val="22"/>
          <w:szCs w:val="22"/>
        </w:rPr>
        <w:t>. For example, Teflon™-containing tubing, filters for the mobile phase solvents and degassers can be sources for contaminations. A scavenger cartridge can be installed between the pump and injector to trap contaminants from the mobile phase.</w:t>
      </w:r>
    </w:p>
    <w:p w14:paraId="38818B77"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To ensure stability of retention times, the use of a temperature controlled column oven is strongly recommended. </w:t>
      </w:r>
    </w:p>
    <w:p w14:paraId="5CD02E38" w14:textId="77777777" w:rsidR="00FC360C" w:rsidRPr="0055733C" w:rsidRDefault="00FC360C" w:rsidP="00495FBB">
      <w:pPr>
        <w:pStyle w:val="Heading2"/>
      </w:pPr>
      <w:bookmarkStart w:id="261" w:name="_Toc162797353"/>
      <w:bookmarkStart w:id="262" w:name="_Toc162529182"/>
      <w:bookmarkStart w:id="263" w:name="_Toc511217542"/>
      <w:r w:rsidRPr="0055733C">
        <w:t>6.2</w:t>
      </w:r>
      <w:bookmarkEnd w:id="261"/>
      <w:bookmarkEnd w:id="262"/>
      <w:r w:rsidRPr="0055733C">
        <w:tab/>
        <w:t>Detection methods</w:t>
      </w:r>
      <w:bookmarkEnd w:id="263"/>
    </w:p>
    <w:p w14:paraId="3989F9F4" w14:textId="77777777" w:rsidR="00FC360C" w:rsidRPr="0055733C" w:rsidRDefault="00FC360C" w:rsidP="0055733C">
      <w:pPr>
        <w:pStyle w:val="BodyText"/>
        <w:spacing w:after="120" w:line="276" w:lineRule="auto"/>
        <w:rPr>
          <w:rFonts w:ascii="Calibri" w:hAnsi="Calibri"/>
          <w:b/>
          <w:sz w:val="22"/>
          <w:szCs w:val="22"/>
        </w:rPr>
      </w:pPr>
      <w:r w:rsidRPr="0055733C">
        <w:rPr>
          <w:rFonts w:ascii="Calibri" w:hAnsi="Calibri"/>
          <w:sz w:val="22"/>
          <w:szCs w:val="22"/>
        </w:rPr>
        <w:t xml:space="preserve">The most widely used instrument for detection of PFCs is by tandem MS. Typical precursor and product ions are given in Table 1.5.5.4.2. MS-parameters for the individual compounds, such as collision energy, declustering potential and cone voltage, have to be optimised for each instrument. The sensitivity of tandem MS is usually about one order of magnitude higher than that of QTOF-MS </w:t>
      </w:r>
      <w:r w:rsidRPr="0055733C">
        <w:rPr>
          <w:rFonts w:ascii="Calibri" w:hAnsi="Calibri"/>
          <w:sz w:val="22"/>
          <w:szCs w:val="22"/>
        </w:rPr>
        <w:fldChar w:fldCharType="begin"/>
      </w:r>
      <w:r w:rsidRPr="0055733C">
        <w:rPr>
          <w:rFonts w:ascii="Calibri" w:hAnsi="Calibri"/>
          <w:sz w:val="22"/>
          <w:szCs w:val="22"/>
        </w:rPr>
        <w:instrText xml:space="preserve"> ADDIN EN.CITE &lt;EndNote&gt;&lt;Cite&gt;&lt;Author&gt;Berger&lt;/Author&gt;&lt;Year&gt;2004&lt;/Year&gt;&lt;RecNum&gt;240&lt;/RecNum&gt;&lt;record&gt;&lt;rec-number&gt;240&lt;/rec-number&gt;&lt;ref-type name="Journal Article"&gt;17&lt;/ref-type&gt;&lt;contributors&gt;&lt;authors&gt;&lt;author&gt;Berger, U.&lt;/author&gt;&lt;author&gt;Langlois, I.&lt;/author&gt;&lt;author&gt;Oehme, M.&lt;/author&gt;&lt;author&gt;Kallenborn, R.&lt;/author&gt;&lt;/authors&gt;&lt;/contributors&gt;&lt;titles&gt;&lt;title&gt;Comparison of three types of mass spectrometer for high-performance liquid chromatography/ mass spectrometry analysis of perfluoroalkylated substances and fluorotelomer alcohols&lt;/title&gt;&lt;secondary-title&gt;Eur. J. Mass. Spectrom.&lt;/secondary-title&gt;&lt;/titles&gt;&lt;pages&gt;579-588&lt;/pages&gt;&lt;volume&gt;10&lt;/volume&gt;&lt;dates&gt;&lt;year&gt;2004&lt;/year&gt;&lt;/dates&gt;&lt;urls&gt;&lt;/urls&gt;&lt;/record&gt;&lt;/Cite&gt;&lt;/EndNote&gt;</w:instrText>
      </w:r>
      <w:r w:rsidRPr="0055733C">
        <w:rPr>
          <w:rFonts w:ascii="Calibri" w:hAnsi="Calibri"/>
          <w:sz w:val="22"/>
          <w:szCs w:val="22"/>
        </w:rPr>
        <w:fldChar w:fldCharType="separate"/>
      </w:r>
      <w:r w:rsidRPr="0055733C">
        <w:rPr>
          <w:rFonts w:ascii="Calibri" w:hAnsi="Calibri"/>
          <w:sz w:val="22"/>
          <w:szCs w:val="22"/>
        </w:rPr>
        <w:t>(13)</w:t>
      </w:r>
      <w:r w:rsidRPr="0055733C">
        <w:rPr>
          <w:rFonts w:ascii="Calibri" w:hAnsi="Calibri"/>
          <w:sz w:val="22"/>
          <w:szCs w:val="22"/>
        </w:rPr>
        <w:fldChar w:fldCharType="end"/>
      </w:r>
      <w:r w:rsidRPr="0055733C">
        <w:rPr>
          <w:rFonts w:ascii="Calibri" w:hAnsi="Calibri"/>
          <w:sz w:val="22"/>
          <w:szCs w:val="22"/>
        </w:rPr>
        <w:t>.</w:t>
      </w:r>
    </w:p>
    <w:p w14:paraId="7D46D6C9"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b/>
          <w:sz w:val="22"/>
          <w:szCs w:val="22"/>
        </w:rPr>
        <w:t>Table 1.5.5.4.2</w:t>
      </w:r>
      <w:r w:rsidRPr="0055733C">
        <w:rPr>
          <w:rFonts w:ascii="Calibri" w:hAnsi="Calibri"/>
          <w:sz w:val="22"/>
          <w:szCs w:val="22"/>
        </w:rPr>
        <w:tab/>
        <w:t>Precursor and product ions for PFCs analysed using LC-(-</w:t>
      </w:r>
      <w:proofErr w:type="gramStart"/>
      <w:r w:rsidRPr="0055733C">
        <w:rPr>
          <w:rFonts w:ascii="Calibri" w:hAnsi="Calibri"/>
          <w:sz w:val="22"/>
          <w:szCs w:val="22"/>
        </w:rPr>
        <w:t>)ESI</w:t>
      </w:r>
      <w:proofErr w:type="gramEnd"/>
      <w:r w:rsidRPr="0055733C">
        <w:rPr>
          <w:rFonts w:ascii="Calibri" w:hAnsi="Calibri"/>
          <w:sz w:val="22"/>
          <w:szCs w:val="22"/>
        </w:rPr>
        <w:t>-MS/MS.</w:t>
      </w:r>
    </w:p>
    <w:tbl>
      <w:tblPr>
        <w:tblW w:w="0" w:type="auto"/>
        <w:tblInd w:w="1701" w:type="dxa"/>
        <w:tblBorders>
          <w:top w:val="single" w:sz="12" w:space="0" w:color="auto"/>
          <w:bottom w:val="single" w:sz="12" w:space="0" w:color="auto"/>
        </w:tblBorders>
        <w:tblLayout w:type="fixed"/>
        <w:tblCellMar>
          <w:left w:w="70" w:type="dxa"/>
          <w:right w:w="70" w:type="dxa"/>
        </w:tblCellMar>
        <w:tblLook w:val="01E0" w:firstRow="1" w:lastRow="1" w:firstColumn="1" w:lastColumn="1" w:noHBand="0" w:noVBand="0"/>
      </w:tblPr>
      <w:tblGrid>
        <w:gridCol w:w="1908"/>
        <w:gridCol w:w="1964"/>
        <w:gridCol w:w="1964"/>
      </w:tblGrid>
      <w:tr w:rsidR="00FC360C" w:rsidRPr="0055733C" w14:paraId="7BA67C17" w14:textId="77777777" w:rsidTr="002F237A">
        <w:trPr>
          <w:tblHeader/>
        </w:trPr>
        <w:tc>
          <w:tcPr>
            <w:tcW w:w="1908" w:type="dxa"/>
            <w:tcBorders>
              <w:top w:val="single" w:sz="12" w:space="0" w:color="auto"/>
              <w:left w:val="nil"/>
              <w:bottom w:val="single" w:sz="4" w:space="0" w:color="auto"/>
              <w:right w:val="nil"/>
            </w:tcBorders>
            <w:vAlign w:val="bottom"/>
          </w:tcPr>
          <w:p w14:paraId="21AAD25C" w14:textId="77777777" w:rsidR="00FC360C" w:rsidRPr="00495FBB" w:rsidRDefault="00FC360C" w:rsidP="00495FBB">
            <w:pPr>
              <w:pStyle w:val="BodyText"/>
              <w:spacing w:after="0" w:line="276" w:lineRule="auto"/>
              <w:rPr>
                <w:rFonts w:ascii="Calibri" w:hAnsi="Calibri"/>
              </w:rPr>
            </w:pPr>
            <w:r w:rsidRPr="00495FBB">
              <w:rPr>
                <w:rFonts w:ascii="Calibri" w:hAnsi="Calibri"/>
              </w:rPr>
              <w:t>Analyte</w:t>
            </w:r>
          </w:p>
        </w:tc>
        <w:tc>
          <w:tcPr>
            <w:tcW w:w="1964" w:type="dxa"/>
            <w:tcBorders>
              <w:top w:val="single" w:sz="12" w:space="0" w:color="auto"/>
              <w:left w:val="nil"/>
              <w:bottom w:val="single" w:sz="4" w:space="0" w:color="auto"/>
              <w:right w:val="nil"/>
            </w:tcBorders>
            <w:vAlign w:val="bottom"/>
          </w:tcPr>
          <w:p w14:paraId="3154D848" w14:textId="77777777" w:rsidR="00FC360C" w:rsidRPr="00495FBB" w:rsidRDefault="00FC360C" w:rsidP="00495FBB">
            <w:pPr>
              <w:pStyle w:val="BodyText"/>
              <w:spacing w:after="0" w:line="276" w:lineRule="auto"/>
              <w:rPr>
                <w:rFonts w:ascii="Calibri" w:hAnsi="Calibri"/>
              </w:rPr>
            </w:pPr>
            <w:r w:rsidRPr="00495FBB">
              <w:rPr>
                <w:rFonts w:ascii="Calibri" w:hAnsi="Calibri"/>
              </w:rPr>
              <w:t>Precursorion (m/z)</w:t>
            </w:r>
          </w:p>
        </w:tc>
        <w:tc>
          <w:tcPr>
            <w:tcW w:w="1964" w:type="dxa"/>
            <w:tcBorders>
              <w:top w:val="single" w:sz="12" w:space="0" w:color="auto"/>
              <w:left w:val="nil"/>
              <w:bottom w:val="single" w:sz="4" w:space="0" w:color="auto"/>
              <w:right w:val="nil"/>
            </w:tcBorders>
            <w:vAlign w:val="bottom"/>
          </w:tcPr>
          <w:p w14:paraId="1EFA193A" w14:textId="77777777" w:rsidR="00FC360C" w:rsidRPr="00495FBB" w:rsidRDefault="00FC360C" w:rsidP="00495FBB">
            <w:pPr>
              <w:pStyle w:val="BodyText"/>
              <w:spacing w:after="0" w:line="276" w:lineRule="auto"/>
              <w:rPr>
                <w:rFonts w:ascii="Calibri" w:hAnsi="Calibri"/>
              </w:rPr>
            </w:pPr>
            <w:r w:rsidRPr="00495FBB">
              <w:rPr>
                <w:rFonts w:ascii="Calibri" w:hAnsi="Calibri"/>
              </w:rPr>
              <w:t>Product ion (m/z)</w:t>
            </w:r>
          </w:p>
        </w:tc>
      </w:tr>
      <w:tr w:rsidR="00FC360C" w:rsidRPr="0055733C" w14:paraId="0701788B" w14:textId="77777777" w:rsidTr="002F237A">
        <w:tc>
          <w:tcPr>
            <w:tcW w:w="1908" w:type="dxa"/>
            <w:tcBorders>
              <w:top w:val="single" w:sz="4" w:space="0" w:color="auto"/>
              <w:left w:val="nil"/>
              <w:bottom w:val="nil"/>
              <w:right w:val="nil"/>
            </w:tcBorders>
          </w:tcPr>
          <w:p w14:paraId="3CF37D22" w14:textId="77777777" w:rsidR="00FC360C" w:rsidRPr="00495FBB" w:rsidRDefault="00FC360C" w:rsidP="00495FBB">
            <w:pPr>
              <w:pStyle w:val="BodyText"/>
              <w:spacing w:after="0" w:line="276" w:lineRule="auto"/>
              <w:rPr>
                <w:rFonts w:ascii="Calibri" w:hAnsi="Calibri"/>
              </w:rPr>
            </w:pPr>
            <w:r w:rsidRPr="00495FBB">
              <w:rPr>
                <w:rFonts w:ascii="Calibri" w:hAnsi="Calibri"/>
                <w:i/>
              </w:rPr>
              <w:t>PFBA</w:t>
            </w:r>
          </w:p>
        </w:tc>
        <w:tc>
          <w:tcPr>
            <w:tcW w:w="1964" w:type="dxa"/>
            <w:tcBorders>
              <w:top w:val="single" w:sz="4" w:space="0" w:color="auto"/>
              <w:left w:val="nil"/>
              <w:bottom w:val="nil"/>
              <w:right w:val="nil"/>
            </w:tcBorders>
            <w:vAlign w:val="bottom"/>
          </w:tcPr>
          <w:p w14:paraId="64146814" w14:textId="77777777" w:rsidR="00FC360C" w:rsidRPr="00495FBB" w:rsidRDefault="00FC360C" w:rsidP="00495FBB">
            <w:pPr>
              <w:pStyle w:val="BodyText"/>
              <w:spacing w:after="0" w:line="276" w:lineRule="auto"/>
              <w:rPr>
                <w:rFonts w:ascii="Calibri" w:hAnsi="Calibri"/>
              </w:rPr>
            </w:pPr>
            <w:r w:rsidRPr="00495FBB">
              <w:rPr>
                <w:rFonts w:ascii="Calibri" w:hAnsi="Calibri"/>
              </w:rPr>
              <w:t>112.9</w:t>
            </w:r>
          </w:p>
        </w:tc>
        <w:tc>
          <w:tcPr>
            <w:tcW w:w="1964" w:type="dxa"/>
            <w:tcBorders>
              <w:top w:val="single" w:sz="4" w:space="0" w:color="auto"/>
              <w:left w:val="nil"/>
              <w:bottom w:val="nil"/>
              <w:right w:val="nil"/>
            </w:tcBorders>
            <w:vAlign w:val="bottom"/>
          </w:tcPr>
          <w:p w14:paraId="7DE9A23A" w14:textId="77777777" w:rsidR="00FC360C" w:rsidRPr="00495FBB" w:rsidRDefault="00FC360C" w:rsidP="00495FBB">
            <w:pPr>
              <w:pStyle w:val="BodyText"/>
              <w:spacing w:after="0" w:line="276" w:lineRule="auto"/>
              <w:rPr>
                <w:rFonts w:ascii="Calibri" w:hAnsi="Calibri"/>
              </w:rPr>
            </w:pPr>
            <w:r w:rsidRPr="00495FBB">
              <w:rPr>
                <w:rFonts w:ascii="Calibri" w:hAnsi="Calibri"/>
              </w:rPr>
              <w:t>168.7</w:t>
            </w:r>
          </w:p>
        </w:tc>
      </w:tr>
      <w:tr w:rsidR="00FC360C" w:rsidRPr="0055733C" w14:paraId="1D9A2ACD" w14:textId="77777777" w:rsidTr="002F237A">
        <w:tc>
          <w:tcPr>
            <w:tcW w:w="1908" w:type="dxa"/>
            <w:tcBorders>
              <w:top w:val="nil"/>
              <w:left w:val="nil"/>
              <w:bottom w:val="nil"/>
              <w:right w:val="nil"/>
            </w:tcBorders>
          </w:tcPr>
          <w:p w14:paraId="5E7A2E82" w14:textId="77777777" w:rsidR="00FC360C" w:rsidRPr="00495FBB" w:rsidRDefault="00FC360C" w:rsidP="00495FBB">
            <w:pPr>
              <w:pStyle w:val="BodyText"/>
              <w:spacing w:after="0" w:line="276" w:lineRule="auto"/>
              <w:rPr>
                <w:rFonts w:ascii="Calibri" w:hAnsi="Calibri"/>
              </w:rPr>
            </w:pPr>
            <w:r w:rsidRPr="00495FBB">
              <w:rPr>
                <w:rFonts w:ascii="Calibri" w:hAnsi="Calibri"/>
                <w:i/>
              </w:rPr>
              <w:t>PFPA</w:t>
            </w:r>
          </w:p>
        </w:tc>
        <w:tc>
          <w:tcPr>
            <w:tcW w:w="1964" w:type="dxa"/>
            <w:tcBorders>
              <w:top w:val="nil"/>
              <w:left w:val="nil"/>
              <w:bottom w:val="nil"/>
              <w:right w:val="nil"/>
            </w:tcBorders>
            <w:vAlign w:val="bottom"/>
          </w:tcPr>
          <w:p w14:paraId="10570C0B" w14:textId="77777777" w:rsidR="00FC360C" w:rsidRPr="00495FBB" w:rsidRDefault="00FC360C" w:rsidP="00495FBB">
            <w:pPr>
              <w:pStyle w:val="BodyText"/>
              <w:spacing w:after="0" w:line="276" w:lineRule="auto"/>
              <w:rPr>
                <w:rFonts w:ascii="Calibri" w:hAnsi="Calibri"/>
              </w:rPr>
            </w:pPr>
            <w:r w:rsidRPr="00495FBB">
              <w:rPr>
                <w:rFonts w:ascii="Calibri" w:hAnsi="Calibri"/>
              </w:rPr>
              <w:t>262.8</w:t>
            </w:r>
          </w:p>
        </w:tc>
        <w:tc>
          <w:tcPr>
            <w:tcW w:w="1964" w:type="dxa"/>
            <w:tcBorders>
              <w:top w:val="nil"/>
              <w:left w:val="nil"/>
              <w:bottom w:val="nil"/>
              <w:right w:val="nil"/>
            </w:tcBorders>
            <w:vAlign w:val="bottom"/>
          </w:tcPr>
          <w:p w14:paraId="7675BB2A" w14:textId="77777777" w:rsidR="00FC360C" w:rsidRPr="00495FBB" w:rsidRDefault="00FC360C" w:rsidP="00495FBB">
            <w:pPr>
              <w:pStyle w:val="BodyText"/>
              <w:spacing w:after="0" w:line="276" w:lineRule="auto"/>
              <w:rPr>
                <w:rFonts w:ascii="Calibri" w:hAnsi="Calibri"/>
              </w:rPr>
            </w:pPr>
            <w:r w:rsidRPr="00495FBB">
              <w:rPr>
                <w:rFonts w:ascii="Calibri" w:hAnsi="Calibri"/>
              </w:rPr>
              <w:t>218.9</w:t>
            </w:r>
          </w:p>
        </w:tc>
      </w:tr>
      <w:tr w:rsidR="00FC360C" w:rsidRPr="0055733C" w14:paraId="0FCC4F53" w14:textId="77777777" w:rsidTr="002F237A">
        <w:tc>
          <w:tcPr>
            <w:tcW w:w="1908" w:type="dxa"/>
            <w:tcBorders>
              <w:top w:val="nil"/>
              <w:left w:val="nil"/>
              <w:bottom w:val="nil"/>
              <w:right w:val="nil"/>
            </w:tcBorders>
          </w:tcPr>
          <w:p w14:paraId="3E68CDB8" w14:textId="77777777" w:rsidR="00FC360C" w:rsidRPr="00495FBB" w:rsidRDefault="00FC360C" w:rsidP="00495FBB">
            <w:pPr>
              <w:pStyle w:val="BodyText"/>
              <w:spacing w:after="0" w:line="276" w:lineRule="auto"/>
              <w:rPr>
                <w:rFonts w:ascii="Calibri" w:hAnsi="Calibri"/>
              </w:rPr>
            </w:pPr>
            <w:r w:rsidRPr="00495FBB">
              <w:rPr>
                <w:rFonts w:ascii="Calibri" w:hAnsi="Calibri"/>
                <w:i/>
              </w:rPr>
              <w:t>PFHxA</w:t>
            </w:r>
          </w:p>
        </w:tc>
        <w:tc>
          <w:tcPr>
            <w:tcW w:w="1964" w:type="dxa"/>
            <w:tcBorders>
              <w:top w:val="nil"/>
              <w:left w:val="nil"/>
              <w:bottom w:val="nil"/>
              <w:right w:val="nil"/>
            </w:tcBorders>
            <w:vAlign w:val="bottom"/>
          </w:tcPr>
          <w:p w14:paraId="55A8DE1D" w14:textId="77777777" w:rsidR="00FC360C" w:rsidRPr="00495FBB" w:rsidRDefault="00FC360C" w:rsidP="00495FBB">
            <w:pPr>
              <w:pStyle w:val="BodyText"/>
              <w:spacing w:after="0" w:line="276" w:lineRule="auto"/>
              <w:rPr>
                <w:rFonts w:ascii="Calibri" w:hAnsi="Calibri"/>
              </w:rPr>
            </w:pPr>
            <w:r w:rsidRPr="00495FBB">
              <w:rPr>
                <w:rFonts w:ascii="Calibri" w:hAnsi="Calibri"/>
              </w:rPr>
              <w:t>312.9</w:t>
            </w:r>
          </w:p>
        </w:tc>
        <w:tc>
          <w:tcPr>
            <w:tcW w:w="1964" w:type="dxa"/>
            <w:tcBorders>
              <w:top w:val="nil"/>
              <w:left w:val="nil"/>
              <w:bottom w:val="nil"/>
              <w:right w:val="nil"/>
            </w:tcBorders>
            <w:vAlign w:val="bottom"/>
          </w:tcPr>
          <w:p w14:paraId="4A5DE94F" w14:textId="77777777" w:rsidR="00FC360C" w:rsidRPr="00495FBB" w:rsidRDefault="00FC360C" w:rsidP="00495FBB">
            <w:pPr>
              <w:pStyle w:val="BodyText"/>
              <w:spacing w:after="0" w:line="276" w:lineRule="auto"/>
              <w:rPr>
                <w:rFonts w:ascii="Calibri" w:hAnsi="Calibri"/>
              </w:rPr>
            </w:pPr>
            <w:r w:rsidRPr="00495FBB">
              <w:rPr>
                <w:rFonts w:ascii="Calibri" w:hAnsi="Calibri"/>
              </w:rPr>
              <w:t>268.8</w:t>
            </w:r>
          </w:p>
        </w:tc>
      </w:tr>
      <w:tr w:rsidR="00FC360C" w:rsidRPr="0055733C" w14:paraId="7CAAD6BB" w14:textId="77777777" w:rsidTr="002F237A">
        <w:tc>
          <w:tcPr>
            <w:tcW w:w="1908" w:type="dxa"/>
            <w:tcBorders>
              <w:top w:val="nil"/>
              <w:left w:val="nil"/>
              <w:bottom w:val="nil"/>
              <w:right w:val="nil"/>
            </w:tcBorders>
          </w:tcPr>
          <w:p w14:paraId="2C0BCB8A" w14:textId="77777777" w:rsidR="00FC360C" w:rsidRPr="00495FBB" w:rsidRDefault="00FC360C" w:rsidP="00495FBB">
            <w:pPr>
              <w:pStyle w:val="BodyText"/>
              <w:spacing w:after="0" w:line="276" w:lineRule="auto"/>
              <w:rPr>
                <w:rFonts w:ascii="Calibri" w:hAnsi="Calibri"/>
              </w:rPr>
            </w:pPr>
            <w:r w:rsidRPr="00495FBB">
              <w:rPr>
                <w:rFonts w:ascii="Calibri" w:hAnsi="Calibri"/>
                <w:i/>
              </w:rPr>
              <w:t>PFHpA</w:t>
            </w:r>
          </w:p>
        </w:tc>
        <w:tc>
          <w:tcPr>
            <w:tcW w:w="1964" w:type="dxa"/>
            <w:tcBorders>
              <w:top w:val="nil"/>
              <w:left w:val="nil"/>
              <w:bottom w:val="nil"/>
              <w:right w:val="nil"/>
            </w:tcBorders>
            <w:vAlign w:val="bottom"/>
          </w:tcPr>
          <w:p w14:paraId="5B8C434D" w14:textId="77777777" w:rsidR="00FC360C" w:rsidRPr="00495FBB" w:rsidRDefault="00FC360C" w:rsidP="00495FBB">
            <w:pPr>
              <w:pStyle w:val="BodyText"/>
              <w:spacing w:after="0" w:line="276" w:lineRule="auto"/>
              <w:rPr>
                <w:rFonts w:ascii="Calibri" w:hAnsi="Calibri"/>
              </w:rPr>
            </w:pPr>
            <w:r w:rsidRPr="00495FBB">
              <w:rPr>
                <w:rFonts w:ascii="Calibri" w:hAnsi="Calibri"/>
              </w:rPr>
              <w:t>362.9</w:t>
            </w:r>
          </w:p>
        </w:tc>
        <w:tc>
          <w:tcPr>
            <w:tcW w:w="1964" w:type="dxa"/>
            <w:tcBorders>
              <w:top w:val="nil"/>
              <w:left w:val="nil"/>
              <w:bottom w:val="nil"/>
              <w:right w:val="nil"/>
            </w:tcBorders>
            <w:vAlign w:val="bottom"/>
          </w:tcPr>
          <w:p w14:paraId="2EFEB678" w14:textId="77777777" w:rsidR="00FC360C" w:rsidRPr="00495FBB" w:rsidRDefault="00FC360C" w:rsidP="00495FBB">
            <w:pPr>
              <w:pStyle w:val="BodyText"/>
              <w:spacing w:after="0" w:line="276" w:lineRule="auto"/>
              <w:rPr>
                <w:rFonts w:ascii="Calibri" w:hAnsi="Calibri"/>
              </w:rPr>
            </w:pPr>
            <w:r w:rsidRPr="00495FBB">
              <w:rPr>
                <w:rFonts w:ascii="Calibri" w:hAnsi="Calibri"/>
              </w:rPr>
              <w:t>318.9</w:t>
            </w:r>
          </w:p>
        </w:tc>
      </w:tr>
      <w:tr w:rsidR="00FC360C" w:rsidRPr="0055733C" w14:paraId="40DAE8E2" w14:textId="77777777" w:rsidTr="002F237A">
        <w:tc>
          <w:tcPr>
            <w:tcW w:w="1908" w:type="dxa"/>
            <w:tcBorders>
              <w:top w:val="nil"/>
              <w:left w:val="nil"/>
              <w:bottom w:val="nil"/>
              <w:right w:val="nil"/>
            </w:tcBorders>
          </w:tcPr>
          <w:p w14:paraId="40FCCC87" w14:textId="77777777" w:rsidR="00FC360C" w:rsidRPr="00495FBB" w:rsidRDefault="00FC360C" w:rsidP="00495FBB">
            <w:pPr>
              <w:pStyle w:val="BodyText"/>
              <w:spacing w:after="0" w:line="276" w:lineRule="auto"/>
              <w:rPr>
                <w:rFonts w:ascii="Calibri" w:hAnsi="Calibri"/>
              </w:rPr>
            </w:pPr>
            <w:r w:rsidRPr="00495FBB">
              <w:rPr>
                <w:rFonts w:ascii="Calibri" w:hAnsi="Calibri"/>
                <w:i/>
              </w:rPr>
              <w:t>PFOA</w:t>
            </w:r>
          </w:p>
        </w:tc>
        <w:tc>
          <w:tcPr>
            <w:tcW w:w="1964" w:type="dxa"/>
            <w:tcBorders>
              <w:top w:val="nil"/>
              <w:left w:val="nil"/>
              <w:bottom w:val="nil"/>
              <w:right w:val="nil"/>
            </w:tcBorders>
            <w:vAlign w:val="bottom"/>
          </w:tcPr>
          <w:p w14:paraId="3D3F35FA" w14:textId="77777777" w:rsidR="00FC360C" w:rsidRPr="00495FBB" w:rsidRDefault="00FC360C" w:rsidP="00495FBB">
            <w:pPr>
              <w:pStyle w:val="BodyText"/>
              <w:spacing w:after="0" w:line="276" w:lineRule="auto"/>
              <w:rPr>
                <w:rFonts w:ascii="Calibri" w:hAnsi="Calibri"/>
              </w:rPr>
            </w:pPr>
            <w:r w:rsidRPr="00495FBB">
              <w:rPr>
                <w:rFonts w:ascii="Calibri" w:hAnsi="Calibri"/>
              </w:rPr>
              <w:t>413.0</w:t>
            </w:r>
          </w:p>
        </w:tc>
        <w:tc>
          <w:tcPr>
            <w:tcW w:w="1964" w:type="dxa"/>
            <w:tcBorders>
              <w:top w:val="nil"/>
              <w:left w:val="nil"/>
              <w:bottom w:val="nil"/>
              <w:right w:val="nil"/>
            </w:tcBorders>
            <w:vAlign w:val="bottom"/>
          </w:tcPr>
          <w:p w14:paraId="3D0696FB" w14:textId="77777777" w:rsidR="00FC360C" w:rsidRPr="00495FBB" w:rsidRDefault="00FC360C" w:rsidP="00495FBB">
            <w:pPr>
              <w:pStyle w:val="BodyText"/>
              <w:spacing w:after="0" w:line="276" w:lineRule="auto"/>
              <w:rPr>
                <w:rFonts w:ascii="Calibri" w:hAnsi="Calibri"/>
              </w:rPr>
            </w:pPr>
            <w:r w:rsidRPr="00495FBB">
              <w:rPr>
                <w:rFonts w:ascii="Calibri" w:hAnsi="Calibri"/>
              </w:rPr>
              <w:t>368.9</w:t>
            </w:r>
          </w:p>
        </w:tc>
      </w:tr>
      <w:tr w:rsidR="00FC360C" w:rsidRPr="0055733C" w14:paraId="2DA378D2" w14:textId="77777777" w:rsidTr="002F237A">
        <w:tc>
          <w:tcPr>
            <w:tcW w:w="1908" w:type="dxa"/>
            <w:tcBorders>
              <w:top w:val="nil"/>
              <w:left w:val="nil"/>
              <w:bottom w:val="nil"/>
              <w:right w:val="nil"/>
            </w:tcBorders>
          </w:tcPr>
          <w:p w14:paraId="29250DCE" w14:textId="77777777" w:rsidR="00FC360C" w:rsidRPr="00495FBB" w:rsidRDefault="00FC360C" w:rsidP="00495FBB">
            <w:pPr>
              <w:pStyle w:val="BodyText"/>
              <w:spacing w:after="0" w:line="276" w:lineRule="auto"/>
              <w:rPr>
                <w:rFonts w:ascii="Calibri" w:hAnsi="Calibri"/>
              </w:rPr>
            </w:pPr>
            <w:r w:rsidRPr="00495FBB">
              <w:rPr>
                <w:rFonts w:ascii="Calibri" w:hAnsi="Calibri"/>
                <w:i/>
              </w:rPr>
              <w:t>PFNA</w:t>
            </w:r>
          </w:p>
        </w:tc>
        <w:tc>
          <w:tcPr>
            <w:tcW w:w="1964" w:type="dxa"/>
            <w:tcBorders>
              <w:top w:val="nil"/>
              <w:left w:val="nil"/>
              <w:bottom w:val="nil"/>
              <w:right w:val="nil"/>
            </w:tcBorders>
            <w:vAlign w:val="bottom"/>
          </w:tcPr>
          <w:p w14:paraId="0D8F5A4D" w14:textId="77777777" w:rsidR="00FC360C" w:rsidRPr="00495FBB" w:rsidRDefault="00FC360C" w:rsidP="00495FBB">
            <w:pPr>
              <w:pStyle w:val="BodyText"/>
              <w:spacing w:after="0" w:line="276" w:lineRule="auto"/>
              <w:rPr>
                <w:rFonts w:ascii="Calibri" w:hAnsi="Calibri"/>
              </w:rPr>
            </w:pPr>
            <w:r w:rsidRPr="00495FBB">
              <w:rPr>
                <w:rFonts w:ascii="Calibri" w:hAnsi="Calibri"/>
              </w:rPr>
              <w:t>462.9</w:t>
            </w:r>
          </w:p>
        </w:tc>
        <w:tc>
          <w:tcPr>
            <w:tcW w:w="1964" w:type="dxa"/>
            <w:tcBorders>
              <w:top w:val="nil"/>
              <w:left w:val="nil"/>
              <w:bottom w:val="nil"/>
              <w:right w:val="nil"/>
            </w:tcBorders>
            <w:vAlign w:val="bottom"/>
          </w:tcPr>
          <w:p w14:paraId="4F87F3DE" w14:textId="77777777" w:rsidR="00FC360C" w:rsidRPr="00495FBB" w:rsidRDefault="00FC360C" w:rsidP="00495FBB">
            <w:pPr>
              <w:pStyle w:val="BodyText"/>
              <w:spacing w:after="0" w:line="276" w:lineRule="auto"/>
              <w:rPr>
                <w:rFonts w:ascii="Calibri" w:hAnsi="Calibri"/>
              </w:rPr>
            </w:pPr>
            <w:r w:rsidRPr="00495FBB">
              <w:rPr>
                <w:rFonts w:ascii="Calibri" w:hAnsi="Calibri"/>
              </w:rPr>
              <w:t>418.9</w:t>
            </w:r>
          </w:p>
        </w:tc>
      </w:tr>
      <w:tr w:rsidR="00FC360C" w:rsidRPr="0055733C" w14:paraId="74CB61D1" w14:textId="77777777" w:rsidTr="002F237A">
        <w:tc>
          <w:tcPr>
            <w:tcW w:w="1908" w:type="dxa"/>
            <w:tcBorders>
              <w:top w:val="nil"/>
              <w:left w:val="nil"/>
              <w:bottom w:val="nil"/>
              <w:right w:val="nil"/>
            </w:tcBorders>
          </w:tcPr>
          <w:p w14:paraId="735EDCB7" w14:textId="77777777" w:rsidR="00FC360C" w:rsidRPr="00495FBB" w:rsidRDefault="00FC360C" w:rsidP="00495FBB">
            <w:pPr>
              <w:pStyle w:val="BodyText"/>
              <w:spacing w:after="0" w:line="276" w:lineRule="auto"/>
              <w:rPr>
                <w:rFonts w:ascii="Calibri" w:hAnsi="Calibri"/>
              </w:rPr>
            </w:pPr>
            <w:r w:rsidRPr="00495FBB">
              <w:rPr>
                <w:rFonts w:ascii="Calibri" w:hAnsi="Calibri"/>
                <w:i/>
              </w:rPr>
              <w:t>PFDA</w:t>
            </w:r>
          </w:p>
        </w:tc>
        <w:tc>
          <w:tcPr>
            <w:tcW w:w="1964" w:type="dxa"/>
            <w:tcBorders>
              <w:top w:val="nil"/>
              <w:left w:val="nil"/>
              <w:bottom w:val="nil"/>
              <w:right w:val="nil"/>
            </w:tcBorders>
            <w:vAlign w:val="bottom"/>
          </w:tcPr>
          <w:p w14:paraId="19463CD0" w14:textId="77777777" w:rsidR="00FC360C" w:rsidRPr="00495FBB" w:rsidRDefault="00FC360C" w:rsidP="00495FBB">
            <w:pPr>
              <w:pStyle w:val="BodyText"/>
              <w:spacing w:after="0" w:line="276" w:lineRule="auto"/>
              <w:rPr>
                <w:rFonts w:ascii="Calibri" w:hAnsi="Calibri"/>
              </w:rPr>
            </w:pPr>
            <w:r w:rsidRPr="00495FBB">
              <w:rPr>
                <w:rFonts w:ascii="Calibri" w:hAnsi="Calibri"/>
              </w:rPr>
              <w:t>512.9</w:t>
            </w:r>
          </w:p>
        </w:tc>
        <w:tc>
          <w:tcPr>
            <w:tcW w:w="1964" w:type="dxa"/>
            <w:tcBorders>
              <w:top w:val="nil"/>
              <w:left w:val="nil"/>
              <w:bottom w:val="nil"/>
              <w:right w:val="nil"/>
            </w:tcBorders>
            <w:vAlign w:val="bottom"/>
          </w:tcPr>
          <w:p w14:paraId="3697B36E" w14:textId="77777777" w:rsidR="00FC360C" w:rsidRPr="00495FBB" w:rsidRDefault="00FC360C" w:rsidP="00495FBB">
            <w:pPr>
              <w:pStyle w:val="BodyText"/>
              <w:spacing w:after="0" w:line="276" w:lineRule="auto"/>
              <w:rPr>
                <w:rFonts w:ascii="Calibri" w:hAnsi="Calibri"/>
              </w:rPr>
            </w:pPr>
            <w:r w:rsidRPr="00495FBB">
              <w:rPr>
                <w:rFonts w:ascii="Calibri" w:hAnsi="Calibri"/>
              </w:rPr>
              <w:t>469.0</w:t>
            </w:r>
          </w:p>
        </w:tc>
      </w:tr>
      <w:tr w:rsidR="00FC360C" w:rsidRPr="0055733C" w14:paraId="2F3054AD" w14:textId="77777777" w:rsidTr="002F237A">
        <w:tc>
          <w:tcPr>
            <w:tcW w:w="1908" w:type="dxa"/>
            <w:tcBorders>
              <w:top w:val="nil"/>
              <w:left w:val="nil"/>
              <w:bottom w:val="nil"/>
              <w:right w:val="nil"/>
            </w:tcBorders>
          </w:tcPr>
          <w:p w14:paraId="39748D7B" w14:textId="77777777" w:rsidR="00FC360C" w:rsidRPr="00495FBB" w:rsidRDefault="00FC360C" w:rsidP="00495FBB">
            <w:pPr>
              <w:pStyle w:val="BodyText"/>
              <w:spacing w:after="0" w:line="276" w:lineRule="auto"/>
              <w:rPr>
                <w:rFonts w:ascii="Calibri" w:hAnsi="Calibri"/>
              </w:rPr>
            </w:pPr>
            <w:r w:rsidRPr="00495FBB">
              <w:rPr>
                <w:rFonts w:ascii="Calibri" w:hAnsi="Calibri"/>
                <w:i/>
              </w:rPr>
              <w:t>PFUnDA</w:t>
            </w:r>
          </w:p>
        </w:tc>
        <w:tc>
          <w:tcPr>
            <w:tcW w:w="1964" w:type="dxa"/>
            <w:tcBorders>
              <w:top w:val="nil"/>
              <w:left w:val="nil"/>
              <w:bottom w:val="nil"/>
              <w:right w:val="nil"/>
            </w:tcBorders>
            <w:vAlign w:val="bottom"/>
          </w:tcPr>
          <w:p w14:paraId="47647995" w14:textId="77777777" w:rsidR="00FC360C" w:rsidRPr="00495FBB" w:rsidRDefault="00FC360C" w:rsidP="00495FBB">
            <w:pPr>
              <w:pStyle w:val="BodyText"/>
              <w:spacing w:after="0" w:line="276" w:lineRule="auto"/>
              <w:rPr>
                <w:rFonts w:ascii="Calibri" w:hAnsi="Calibri"/>
              </w:rPr>
            </w:pPr>
            <w:r w:rsidRPr="00495FBB">
              <w:rPr>
                <w:rFonts w:ascii="Calibri" w:hAnsi="Calibri"/>
              </w:rPr>
              <w:t>562.9</w:t>
            </w:r>
          </w:p>
        </w:tc>
        <w:tc>
          <w:tcPr>
            <w:tcW w:w="1964" w:type="dxa"/>
            <w:tcBorders>
              <w:top w:val="nil"/>
              <w:left w:val="nil"/>
              <w:bottom w:val="nil"/>
              <w:right w:val="nil"/>
            </w:tcBorders>
            <w:vAlign w:val="bottom"/>
          </w:tcPr>
          <w:p w14:paraId="7499110F" w14:textId="77777777" w:rsidR="00FC360C" w:rsidRPr="00495FBB" w:rsidRDefault="00FC360C" w:rsidP="00495FBB">
            <w:pPr>
              <w:pStyle w:val="BodyText"/>
              <w:spacing w:after="0" w:line="276" w:lineRule="auto"/>
              <w:rPr>
                <w:rFonts w:ascii="Calibri" w:hAnsi="Calibri"/>
              </w:rPr>
            </w:pPr>
            <w:r w:rsidRPr="00495FBB">
              <w:rPr>
                <w:rFonts w:ascii="Calibri" w:hAnsi="Calibri"/>
              </w:rPr>
              <w:t>519.0</w:t>
            </w:r>
          </w:p>
        </w:tc>
      </w:tr>
      <w:tr w:rsidR="00FC360C" w:rsidRPr="0055733C" w14:paraId="6D390DE7" w14:textId="77777777" w:rsidTr="002F237A">
        <w:tc>
          <w:tcPr>
            <w:tcW w:w="1908" w:type="dxa"/>
            <w:tcBorders>
              <w:top w:val="nil"/>
              <w:left w:val="nil"/>
              <w:bottom w:val="nil"/>
              <w:right w:val="nil"/>
            </w:tcBorders>
          </w:tcPr>
          <w:p w14:paraId="6C2D3DCC" w14:textId="77777777" w:rsidR="00FC360C" w:rsidRPr="00495FBB" w:rsidRDefault="00FC360C" w:rsidP="00495FBB">
            <w:pPr>
              <w:pStyle w:val="BodyText"/>
              <w:spacing w:after="0" w:line="276" w:lineRule="auto"/>
              <w:rPr>
                <w:rFonts w:ascii="Calibri" w:hAnsi="Calibri"/>
              </w:rPr>
            </w:pPr>
            <w:r w:rsidRPr="00495FBB">
              <w:rPr>
                <w:rFonts w:ascii="Calibri" w:hAnsi="Calibri"/>
                <w:i/>
              </w:rPr>
              <w:t>PFDoDA</w:t>
            </w:r>
          </w:p>
        </w:tc>
        <w:tc>
          <w:tcPr>
            <w:tcW w:w="1964" w:type="dxa"/>
            <w:tcBorders>
              <w:top w:val="nil"/>
              <w:left w:val="nil"/>
              <w:bottom w:val="nil"/>
              <w:right w:val="nil"/>
            </w:tcBorders>
            <w:vAlign w:val="bottom"/>
          </w:tcPr>
          <w:p w14:paraId="1EA8A9DB" w14:textId="77777777" w:rsidR="00FC360C" w:rsidRPr="00495FBB" w:rsidRDefault="00FC360C" w:rsidP="00495FBB">
            <w:pPr>
              <w:pStyle w:val="BodyText"/>
              <w:spacing w:after="0" w:line="276" w:lineRule="auto"/>
              <w:rPr>
                <w:rFonts w:ascii="Calibri" w:hAnsi="Calibri"/>
              </w:rPr>
            </w:pPr>
            <w:r w:rsidRPr="00495FBB">
              <w:rPr>
                <w:rFonts w:ascii="Calibri" w:hAnsi="Calibri"/>
              </w:rPr>
              <w:t>613.0</w:t>
            </w:r>
          </w:p>
        </w:tc>
        <w:tc>
          <w:tcPr>
            <w:tcW w:w="1964" w:type="dxa"/>
            <w:tcBorders>
              <w:top w:val="nil"/>
              <w:left w:val="nil"/>
              <w:bottom w:val="nil"/>
              <w:right w:val="nil"/>
            </w:tcBorders>
            <w:vAlign w:val="bottom"/>
          </w:tcPr>
          <w:p w14:paraId="4788FC04" w14:textId="77777777" w:rsidR="00FC360C" w:rsidRPr="00495FBB" w:rsidRDefault="00FC360C" w:rsidP="00495FBB">
            <w:pPr>
              <w:pStyle w:val="BodyText"/>
              <w:spacing w:after="0" w:line="276" w:lineRule="auto"/>
              <w:rPr>
                <w:rFonts w:ascii="Calibri" w:hAnsi="Calibri"/>
              </w:rPr>
            </w:pPr>
            <w:r w:rsidRPr="00495FBB">
              <w:rPr>
                <w:rFonts w:ascii="Calibri" w:hAnsi="Calibri"/>
              </w:rPr>
              <w:t>568.9</w:t>
            </w:r>
          </w:p>
        </w:tc>
      </w:tr>
      <w:tr w:rsidR="00FC360C" w:rsidRPr="0055733C" w14:paraId="4C3E5EC6" w14:textId="77777777" w:rsidTr="002F237A">
        <w:tc>
          <w:tcPr>
            <w:tcW w:w="1908" w:type="dxa"/>
            <w:tcBorders>
              <w:top w:val="nil"/>
              <w:left w:val="nil"/>
              <w:bottom w:val="nil"/>
              <w:right w:val="nil"/>
            </w:tcBorders>
          </w:tcPr>
          <w:p w14:paraId="40D738B3" w14:textId="77777777" w:rsidR="00FC360C" w:rsidRPr="00495FBB" w:rsidRDefault="00FC360C" w:rsidP="00495FBB">
            <w:pPr>
              <w:pStyle w:val="BodyText"/>
              <w:spacing w:after="0" w:line="276" w:lineRule="auto"/>
              <w:rPr>
                <w:rFonts w:ascii="Calibri" w:hAnsi="Calibri"/>
              </w:rPr>
            </w:pPr>
            <w:r w:rsidRPr="00495FBB">
              <w:rPr>
                <w:rFonts w:ascii="Calibri" w:hAnsi="Calibri"/>
                <w:i/>
              </w:rPr>
              <w:t>PFTriDA</w:t>
            </w:r>
          </w:p>
        </w:tc>
        <w:tc>
          <w:tcPr>
            <w:tcW w:w="1964" w:type="dxa"/>
            <w:tcBorders>
              <w:top w:val="nil"/>
              <w:left w:val="nil"/>
              <w:bottom w:val="nil"/>
              <w:right w:val="nil"/>
            </w:tcBorders>
            <w:vAlign w:val="bottom"/>
          </w:tcPr>
          <w:p w14:paraId="1BA70684" w14:textId="77777777" w:rsidR="00FC360C" w:rsidRPr="00495FBB" w:rsidRDefault="00FC360C" w:rsidP="00495FBB">
            <w:pPr>
              <w:pStyle w:val="BodyText"/>
              <w:spacing w:after="0" w:line="276" w:lineRule="auto"/>
              <w:rPr>
                <w:rFonts w:ascii="Calibri" w:hAnsi="Calibri"/>
              </w:rPr>
            </w:pPr>
            <w:r w:rsidRPr="00495FBB">
              <w:rPr>
                <w:rFonts w:ascii="Calibri" w:hAnsi="Calibri"/>
              </w:rPr>
              <w:t>663.1</w:t>
            </w:r>
          </w:p>
        </w:tc>
        <w:tc>
          <w:tcPr>
            <w:tcW w:w="1964" w:type="dxa"/>
            <w:tcBorders>
              <w:top w:val="nil"/>
              <w:left w:val="nil"/>
              <w:bottom w:val="nil"/>
              <w:right w:val="nil"/>
            </w:tcBorders>
            <w:vAlign w:val="bottom"/>
          </w:tcPr>
          <w:p w14:paraId="71B1C779" w14:textId="77777777" w:rsidR="00FC360C" w:rsidRPr="00495FBB" w:rsidRDefault="00FC360C" w:rsidP="00495FBB">
            <w:pPr>
              <w:pStyle w:val="BodyText"/>
              <w:spacing w:after="0" w:line="276" w:lineRule="auto"/>
              <w:rPr>
                <w:rFonts w:ascii="Calibri" w:hAnsi="Calibri"/>
              </w:rPr>
            </w:pPr>
            <w:r w:rsidRPr="00495FBB">
              <w:rPr>
                <w:rFonts w:ascii="Calibri" w:hAnsi="Calibri"/>
              </w:rPr>
              <w:t>618.9</w:t>
            </w:r>
          </w:p>
        </w:tc>
      </w:tr>
      <w:tr w:rsidR="00FC360C" w:rsidRPr="0055733C" w14:paraId="1981B587" w14:textId="77777777" w:rsidTr="002F237A">
        <w:tc>
          <w:tcPr>
            <w:tcW w:w="1908" w:type="dxa"/>
            <w:tcBorders>
              <w:top w:val="nil"/>
              <w:left w:val="nil"/>
              <w:bottom w:val="nil"/>
              <w:right w:val="nil"/>
            </w:tcBorders>
          </w:tcPr>
          <w:p w14:paraId="0FC6A87A" w14:textId="77777777" w:rsidR="00FC360C" w:rsidRPr="00495FBB" w:rsidRDefault="00FC360C" w:rsidP="00495FBB">
            <w:pPr>
              <w:pStyle w:val="BodyText"/>
              <w:spacing w:after="0" w:line="276" w:lineRule="auto"/>
              <w:rPr>
                <w:rFonts w:ascii="Calibri" w:hAnsi="Calibri"/>
              </w:rPr>
            </w:pPr>
            <w:r w:rsidRPr="00495FBB">
              <w:rPr>
                <w:rFonts w:ascii="Calibri" w:hAnsi="Calibri"/>
                <w:i/>
              </w:rPr>
              <w:t>PFTeDA</w:t>
            </w:r>
          </w:p>
        </w:tc>
        <w:tc>
          <w:tcPr>
            <w:tcW w:w="1964" w:type="dxa"/>
            <w:tcBorders>
              <w:top w:val="nil"/>
              <w:left w:val="nil"/>
              <w:bottom w:val="nil"/>
              <w:right w:val="nil"/>
            </w:tcBorders>
            <w:vAlign w:val="bottom"/>
          </w:tcPr>
          <w:p w14:paraId="5339FBEE" w14:textId="77777777" w:rsidR="00FC360C" w:rsidRPr="00495FBB" w:rsidRDefault="00FC360C" w:rsidP="00495FBB">
            <w:pPr>
              <w:pStyle w:val="BodyText"/>
              <w:spacing w:after="0" w:line="276" w:lineRule="auto"/>
              <w:rPr>
                <w:rFonts w:ascii="Calibri" w:hAnsi="Calibri"/>
              </w:rPr>
            </w:pPr>
            <w:r w:rsidRPr="00495FBB">
              <w:rPr>
                <w:rFonts w:ascii="Calibri" w:hAnsi="Calibri"/>
              </w:rPr>
              <w:t>713.0</w:t>
            </w:r>
          </w:p>
        </w:tc>
        <w:tc>
          <w:tcPr>
            <w:tcW w:w="1964" w:type="dxa"/>
            <w:tcBorders>
              <w:top w:val="nil"/>
              <w:left w:val="nil"/>
              <w:bottom w:val="nil"/>
              <w:right w:val="nil"/>
            </w:tcBorders>
            <w:vAlign w:val="bottom"/>
          </w:tcPr>
          <w:p w14:paraId="7282A85C" w14:textId="77777777" w:rsidR="00FC360C" w:rsidRPr="00495FBB" w:rsidRDefault="00FC360C" w:rsidP="00495FBB">
            <w:pPr>
              <w:pStyle w:val="BodyText"/>
              <w:spacing w:after="0" w:line="276" w:lineRule="auto"/>
              <w:rPr>
                <w:rFonts w:ascii="Calibri" w:hAnsi="Calibri"/>
              </w:rPr>
            </w:pPr>
            <w:r w:rsidRPr="00495FBB">
              <w:rPr>
                <w:rFonts w:ascii="Calibri" w:hAnsi="Calibri"/>
              </w:rPr>
              <w:t>669.0</w:t>
            </w:r>
          </w:p>
        </w:tc>
      </w:tr>
      <w:tr w:rsidR="00FC360C" w:rsidRPr="0055733C" w14:paraId="7D0C56F2" w14:textId="77777777" w:rsidTr="002F237A">
        <w:tc>
          <w:tcPr>
            <w:tcW w:w="1908" w:type="dxa"/>
            <w:tcBorders>
              <w:top w:val="nil"/>
              <w:left w:val="nil"/>
              <w:bottom w:val="nil"/>
              <w:right w:val="nil"/>
            </w:tcBorders>
          </w:tcPr>
          <w:p w14:paraId="201DC94C" w14:textId="77777777" w:rsidR="00FC360C" w:rsidRPr="00495FBB" w:rsidRDefault="00FC360C" w:rsidP="00495FBB">
            <w:pPr>
              <w:pStyle w:val="BodyText"/>
              <w:spacing w:after="0" w:line="276" w:lineRule="auto"/>
              <w:rPr>
                <w:rFonts w:ascii="Calibri" w:hAnsi="Calibri"/>
              </w:rPr>
            </w:pPr>
            <w:r w:rsidRPr="00495FBB">
              <w:rPr>
                <w:rFonts w:ascii="Calibri" w:hAnsi="Calibri"/>
                <w:i/>
              </w:rPr>
              <w:t>PFHxDA</w:t>
            </w:r>
          </w:p>
        </w:tc>
        <w:tc>
          <w:tcPr>
            <w:tcW w:w="1964" w:type="dxa"/>
            <w:tcBorders>
              <w:top w:val="nil"/>
              <w:left w:val="nil"/>
              <w:bottom w:val="nil"/>
              <w:right w:val="nil"/>
            </w:tcBorders>
            <w:vAlign w:val="bottom"/>
          </w:tcPr>
          <w:p w14:paraId="31C02680" w14:textId="77777777" w:rsidR="00FC360C" w:rsidRPr="00495FBB" w:rsidRDefault="00FC360C" w:rsidP="00495FBB">
            <w:pPr>
              <w:pStyle w:val="BodyText"/>
              <w:spacing w:after="0" w:line="276" w:lineRule="auto"/>
              <w:rPr>
                <w:rFonts w:ascii="Calibri" w:hAnsi="Calibri"/>
              </w:rPr>
            </w:pPr>
            <w:r w:rsidRPr="00495FBB">
              <w:rPr>
                <w:rFonts w:ascii="Calibri" w:hAnsi="Calibri"/>
              </w:rPr>
              <w:t>812.8</w:t>
            </w:r>
          </w:p>
        </w:tc>
        <w:tc>
          <w:tcPr>
            <w:tcW w:w="1964" w:type="dxa"/>
            <w:tcBorders>
              <w:top w:val="nil"/>
              <w:left w:val="nil"/>
              <w:bottom w:val="nil"/>
              <w:right w:val="nil"/>
            </w:tcBorders>
            <w:vAlign w:val="bottom"/>
          </w:tcPr>
          <w:p w14:paraId="3391D7B0" w14:textId="77777777" w:rsidR="00FC360C" w:rsidRPr="00495FBB" w:rsidRDefault="00FC360C" w:rsidP="00495FBB">
            <w:pPr>
              <w:pStyle w:val="BodyText"/>
              <w:spacing w:after="0" w:line="276" w:lineRule="auto"/>
              <w:rPr>
                <w:rFonts w:ascii="Calibri" w:hAnsi="Calibri"/>
              </w:rPr>
            </w:pPr>
            <w:r w:rsidRPr="00495FBB">
              <w:rPr>
                <w:rFonts w:ascii="Calibri" w:hAnsi="Calibri"/>
              </w:rPr>
              <w:t>769.1</w:t>
            </w:r>
          </w:p>
        </w:tc>
      </w:tr>
      <w:tr w:rsidR="00FC360C" w:rsidRPr="0055733C" w14:paraId="006065C2" w14:textId="77777777" w:rsidTr="002F237A">
        <w:tc>
          <w:tcPr>
            <w:tcW w:w="1908" w:type="dxa"/>
            <w:tcBorders>
              <w:top w:val="nil"/>
              <w:left w:val="nil"/>
              <w:bottom w:val="nil"/>
              <w:right w:val="nil"/>
            </w:tcBorders>
          </w:tcPr>
          <w:p w14:paraId="5D708437" w14:textId="77777777" w:rsidR="00FC360C" w:rsidRPr="00495FBB" w:rsidRDefault="00FC360C" w:rsidP="00495FBB">
            <w:pPr>
              <w:pStyle w:val="BodyText"/>
              <w:spacing w:after="0" w:line="276" w:lineRule="auto"/>
              <w:rPr>
                <w:rFonts w:ascii="Calibri" w:hAnsi="Calibri"/>
              </w:rPr>
            </w:pPr>
            <w:r w:rsidRPr="00495FBB">
              <w:rPr>
                <w:rFonts w:ascii="Calibri" w:hAnsi="Calibri"/>
                <w:i/>
              </w:rPr>
              <w:t>PFBS</w:t>
            </w:r>
          </w:p>
        </w:tc>
        <w:tc>
          <w:tcPr>
            <w:tcW w:w="1964" w:type="dxa"/>
            <w:tcBorders>
              <w:top w:val="nil"/>
              <w:left w:val="nil"/>
              <w:bottom w:val="nil"/>
              <w:right w:val="nil"/>
            </w:tcBorders>
            <w:vAlign w:val="bottom"/>
          </w:tcPr>
          <w:p w14:paraId="408D0706" w14:textId="77777777" w:rsidR="00FC360C" w:rsidRPr="00495FBB" w:rsidRDefault="00FC360C" w:rsidP="00495FBB">
            <w:pPr>
              <w:pStyle w:val="BodyText"/>
              <w:spacing w:after="0" w:line="276" w:lineRule="auto"/>
              <w:rPr>
                <w:rFonts w:ascii="Calibri" w:hAnsi="Calibri"/>
              </w:rPr>
            </w:pPr>
            <w:r w:rsidRPr="00495FBB">
              <w:rPr>
                <w:rFonts w:ascii="Calibri" w:hAnsi="Calibri"/>
              </w:rPr>
              <w:t>298.9</w:t>
            </w:r>
          </w:p>
        </w:tc>
        <w:tc>
          <w:tcPr>
            <w:tcW w:w="1964" w:type="dxa"/>
            <w:tcBorders>
              <w:top w:val="nil"/>
              <w:left w:val="nil"/>
              <w:bottom w:val="nil"/>
              <w:right w:val="nil"/>
            </w:tcBorders>
            <w:vAlign w:val="bottom"/>
          </w:tcPr>
          <w:p w14:paraId="7D53513C" w14:textId="77777777" w:rsidR="00FC360C" w:rsidRPr="00495FBB" w:rsidRDefault="00FC360C" w:rsidP="00495FBB">
            <w:pPr>
              <w:pStyle w:val="BodyText"/>
              <w:spacing w:after="0" w:line="276" w:lineRule="auto"/>
              <w:rPr>
                <w:rFonts w:ascii="Calibri" w:hAnsi="Calibri"/>
              </w:rPr>
            </w:pPr>
            <w:r w:rsidRPr="00495FBB">
              <w:rPr>
                <w:rFonts w:ascii="Calibri" w:hAnsi="Calibri"/>
              </w:rPr>
              <w:t>79.8</w:t>
            </w:r>
          </w:p>
        </w:tc>
      </w:tr>
      <w:tr w:rsidR="00FC360C" w:rsidRPr="0055733C" w14:paraId="4F91A14D" w14:textId="77777777" w:rsidTr="002F237A">
        <w:tc>
          <w:tcPr>
            <w:tcW w:w="1908" w:type="dxa"/>
            <w:tcBorders>
              <w:top w:val="nil"/>
              <w:left w:val="nil"/>
              <w:bottom w:val="nil"/>
              <w:right w:val="nil"/>
            </w:tcBorders>
          </w:tcPr>
          <w:p w14:paraId="0D2C79CE" w14:textId="77777777" w:rsidR="00FC360C" w:rsidRPr="00495FBB" w:rsidRDefault="00FC360C" w:rsidP="00495FBB">
            <w:pPr>
              <w:pStyle w:val="BodyText"/>
              <w:spacing w:after="0" w:line="276" w:lineRule="auto"/>
              <w:rPr>
                <w:rFonts w:ascii="Calibri" w:hAnsi="Calibri"/>
              </w:rPr>
            </w:pPr>
            <w:r w:rsidRPr="00495FBB">
              <w:rPr>
                <w:rFonts w:ascii="Calibri" w:hAnsi="Calibri"/>
                <w:i/>
              </w:rPr>
              <w:t>PFHxS</w:t>
            </w:r>
          </w:p>
        </w:tc>
        <w:tc>
          <w:tcPr>
            <w:tcW w:w="1964" w:type="dxa"/>
            <w:tcBorders>
              <w:top w:val="nil"/>
              <w:left w:val="nil"/>
              <w:bottom w:val="nil"/>
              <w:right w:val="nil"/>
            </w:tcBorders>
            <w:vAlign w:val="bottom"/>
          </w:tcPr>
          <w:p w14:paraId="7E497B65" w14:textId="77777777" w:rsidR="00FC360C" w:rsidRPr="00495FBB" w:rsidRDefault="00FC360C" w:rsidP="00495FBB">
            <w:pPr>
              <w:pStyle w:val="BodyText"/>
              <w:spacing w:after="0" w:line="276" w:lineRule="auto"/>
              <w:rPr>
                <w:rFonts w:ascii="Calibri" w:hAnsi="Calibri"/>
              </w:rPr>
            </w:pPr>
            <w:r w:rsidRPr="00495FBB">
              <w:rPr>
                <w:rFonts w:ascii="Calibri" w:hAnsi="Calibri"/>
              </w:rPr>
              <w:t>398.9</w:t>
            </w:r>
          </w:p>
        </w:tc>
        <w:tc>
          <w:tcPr>
            <w:tcW w:w="1964" w:type="dxa"/>
            <w:tcBorders>
              <w:top w:val="nil"/>
              <w:left w:val="nil"/>
              <w:bottom w:val="nil"/>
              <w:right w:val="nil"/>
            </w:tcBorders>
            <w:vAlign w:val="bottom"/>
          </w:tcPr>
          <w:p w14:paraId="640FDCAC" w14:textId="77777777" w:rsidR="00FC360C" w:rsidRPr="00495FBB" w:rsidRDefault="00FC360C" w:rsidP="00495FBB">
            <w:pPr>
              <w:pStyle w:val="BodyText"/>
              <w:spacing w:after="0" w:line="276" w:lineRule="auto"/>
              <w:rPr>
                <w:rFonts w:ascii="Calibri" w:hAnsi="Calibri"/>
              </w:rPr>
            </w:pPr>
            <w:r w:rsidRPr="00495FBB">
              <w:rPr>
                <w:rFonts w:ascii="Calibri" w:hAnsi="Calibri"/>
              </w:rPr>
              <w:t>79.8</w:t>
            </w:r>
          </w:p>
        </w:tc>
      </w:tr>
      <w:tr w:rsidR="00FC360C" w:rsidRPr="0055733C" w14:paraId="6168D2C7" w14:textId="77777777" w:rsidTr="002F237A">
        <w:tc>
          <w:tcPr>
            <w:tcW w:w="1908" w:type="dxa"/>
            <w:tcBorders>
              <w:top w:val="nil"/>
              <w:left w:val="nil"/>
              <w:bottom w:val="nil"/>
              <w:right w:val="nil"/>
            </w:tcBorders>
          </w:tcPr>
          <w:p w14:paraId="20E5F99D" w14:textId="77777777" w:rsidR="00FC360C" w:rsidRPr="00495FBB" w:rsidRDefault="00FC360C" w:rsidP="00495FBB">
            <w:pPr>
              <w:pStyle w:val="BodyText"/>
              <w:spacing w:after="0" w:line="276" w:lineRule="auto"/>
              <w:rPr>
                <w:rFonts w:ascii="Calibri" w:hAnsi="Calibri"/>
              </w:rPr>
            </w:pPr>
            <w:r w:rsidRPr="00495FBB">
              <w:rPr>
                <w:rFonts w:ascii="Calibri" w:hAnsi="Calibri"/>
                <w:i/>
              </w:rPr>
              <w:t>PFHpS</w:t>
            </w:r>
          </w:p>
        </w:tc>
        <w:tc>
          <w:tcPr>
            <w:tcW w:w="1964" w:type="dxa"/>
            <w:tcBorders>
              <w:top w:val="nil"/>
              <w:left w:val="nil"/>
              <w:bottom w:val="nil"/>
              <w:right w:val="nil"/>
            </w:tcBorders>
            <w:vAlign w:val="bottom"/>
          </w:tcPr>
          <w:p w14:paraId="31A5D26E" w14:textId="77777777" w:rsidR="00FC360C" w:rsidRPr="00495FBB" w:rsidRDefault="00FC360C" w:rsidP="00495FBB">
            <w:pPr>
              <w:pStyle w:val="BodyText"/>
              <w:spacing w:after="0" w:line="276" w:lineRule="auto"/>
              <w:rPr>
                <w:rFonts w:ascii="Calibri" w:hAnsi="Calibri"/>
              </w:rPr>
            </w:pPr>
            <w:r w:rsidRPr="00495FBB">
              <w:rPr>
                <w:rFonts w:ascii="Calibri" w:hAnsi="Calibri"/>
              </w:rPr>
              <w:t>449.0</w:t>
            </w:r>
          </w:p>
        </w:tc>
        <w:tc>
          <w:tcPr>
            <w:tcW w:w="1964" w:type="dxa"/>
            <w:tcBorders>
              <w:top w:val="nil"/>
              <w:left w:val="nil"/>
              <w:bottom w:val="nil"/>
              <w:right w:val="nil"/>
            </w:tcBorders>
            <w:vAlign w:val="bottom"/>
          </w:tcPr>
          <w:p w14:paraId="418689FF" w14:textId="77777777" w:rsidR="00FC360C" w:rsidRPr="00495FBB" w:rsidRDefault="00FC360C" w:rsidP="00495FBB">
            <w:pPr>
              <w:pStyle w:val="BodyText"/>
              <w:spacing w:after="0" w:line="276" w:lineRule="auto"/>
              <w:rPr>
                <w:rFonts w:ascii="Calibri" w:hAnsi="Calibri"/>
              </w:rPr>
            </w:pPr>
            <w:r w:rsidRPr="00495FBB">
              <w:rPr>
                <w:rFonts w:ascii="Calibri" w:hAnsi="Calibri"/>
              </w:rPr>
              <w:t>79.3</w:t>
            </w:r>
          </w:p>
        </w:tc>
      </w:tr>
      <w:tr w:rsidR="00FC360C" w:rsidRPr="0055733C" w14:paraId="42706404" w14:textId="77777777" w:rsidTr="002F237A">
        <w:tc>
          <w:tcPr>
            <w:tcW w:w="1908" w:type="dxa"/>
            <w:tcBorders>
              <w:top w:val="nil"/>
              <w:left w:val="nil"/>
              <w:bottom w:val="nil"/>
              <w:right w:val="nil"/>
            </w:tcBorders>
          </w:tcPr>
          <w:p w14:paraId="0D6AFFA7" w14:textId="77777777" w:rsidR="00FC360C" w:rsidRPr="00495FBB" w:rsidRDefault="00FC360C" w:rsidP="00495FBB">
            <w:pPr>
              <w:pStyle w:val="BodyText"/>
              <w:spacing w:after="0" w:line="276" w:lineRule="auto"/>
              <w:rPr>
                <w:rFonts w:ascii="Calibri" w:hAnsi="Calibri"/>
              </w:rPr>
            </w:pPr>
            <w:r w:rsidRPr="00495FBB">
              <w:rPr>
                <w:rFonts w:ascii="Calibri" w:hAnsi="Calibri"/>
                <w:i/>
              </w:rPr>
              <w:t>PFOS</w:t>
            </w:r>
          </w:p>
        </w:tc>
        <w:tc>
          <w:tcPr>
            <w:tcW w:w="1964" w:type="dxa"/>
            <w:tcBorders>
              <w:top w:val="nil"/>
              <w:left w:val="nil"/>
              <w:bottom w:val="nil"/>
              <w:right w:val="nil"/>
            </w:tcBorders>
            <w:vAlign w:val="bottom"/>
          </w:tcPr>
          <w:p w14:paraId="5CDE5799" w14:textId="77777777" w:rsidR="00FC360C" w:rsidRPr="00495FBB" w:rsidRDefault="00FC360C" w:rsidP="00495FBB">
            <w:pPr>
              <w:pStyle w:val="BodyText"/>
              <w:spacing w:after="0" w:line="276" w:lineRule="auto"/>
              <w:rPr>
                <w:rFonts w:ascii="Calibri" w:hAnsi="Calibri"/>
              </w:rPr>
            </w:pPr>
            <w:r w:rsidRPr="00495FBB">
              <w:rPr>
                <w:rFonts w:ascii="Calibri" w:hAnsi="Calibri"/>
              </w:rPr>
              <w:t>499.0</w:t>
            </w:r>
          </w:p>
        </w:tc>
        <w:tc>
          <w:tcPr>
            <w:tcW w:w="1964" w:type="dxa"/>
            <w:tcBorders>
              <w:top w:val="nil"/>
              <w:left w:val="nil"/>
              <w:bottom w:val="nil"/>
              <w:right w:val="nil"/>
            </w:tcBorders>
            <w:vAlign w:val="bottom"/>
          </w:tcPr>
          <w:p w14:paraId="58D36FAF" w14:textId="77777777" w:rsidR="00FC360C" w:rsidRPr="00495FBB" w:rsidRDefault="00FC360C" w:rsidP="00495FBB">
            <w:pPr>
              <w:pStyle w:val="BodyText"/>
              <w:spacing w:after="0" w:line="276" w:lineRule="auto"/>
              <w:rPr>
                <w:rFonts w:ascii="Calibri" w:hAnsi="Calibri"/>
              </w:rPr>
            </w:pPr>
            <w:r w:rsidRPr="00495FBB">
              <w:rPr>
                <w:rFonts w:ascii="Calibri" w:hAnsi="Calibri"/>
              </w:rPr>
              <w:t>79.7</w:t>
            </w:r>
          </w:p>
        </w:tc>
      </w:tr>
      <w:tr w:rsidR="00FC360C" w:rsidRPr="0055733C" w14:paraId="3574854D" w14:textId="77777777" w:rsidTr="002F237A">
        <w:tc>
          <w:tcPr>
            <w:tcW w:w="1908" w:type="dxa"/>
            <w:tcBorders>
              <w:top w:val="nil"/>
              <w:left w:val="nil"/>
              <w:bottom w:val="nil"/>
              <w:right w:val="nil"/>
            </w:tcBorders>
          </w:tcPr>
          <w:p w14:paraId="6CB9C651" w14:textId="77777777" w:rsidR="00FC360C" w:rsidRPr="00495FBB" w:rsidRDefault="00FC360C" w:rsidP="00495FBB">
            <w:pPr>
              <w:pStyle w:val="BodyText"/>
              <w:spacing w:after="0" w:line="276" w:lineRule="auto"/>
              <w:rPr>
                <w:rFonts w:ascii="Calibri" w:hAnsi="Calibri"/>
              </w:rPr>
            </w:pPr>
            <w:r w:rsidRPr="00495FBB">
              <w:rPr>
                <w:rFonts w:ascii="Calibri" w:hAnsi="Calibri"/>
              </w:rPr>
              <w:t>PFDS</w:t>
            </w:r>
          </w:p>
        </w:tc>
        <w:tc>
          <w:tcPr>
            <w:tcW w:w="1964" w:type="dxa"/>
            <w:tcBorders>
              <w:top w:val="nil"/>
              <w:left w:val="nil"/>
              <w:bottom w:val="nil"/>
              <w:right w:val="nil"/>
            </w:tcBorders>
            <w:vAlign w:val="bottom"/>
          </w:tcPr>
          <w:p w14:paraId="2DF9FB9A" w14:textId="77777777" w:rsidR="00FC360C" w:rsidRPr="00495FBB" w:rsidRDefault="00FC360C" w:rsidP="00495FBB">
            <w:pPr>
              <w:pStyle w:val="BodyText"/>
              <w:spacing w:after="0" w:line="276" w:lineRule="auto"/>
              <w:rPr>
                <w:rFonts w:ascii="Calibri" w:hAnsi="Calibri"/>
              </w:rPr>
            </w:pPr>
            <w:r w:rsidRPr="00495FBB">
              <w:rPr>
                <w:rFonts w:ascii="Calibri" w:hAnsi="Calibri"/>
              </w:rPr>
              <w:t>598.9</w:t>
            </w:r>
          </w:p>
        </w:tc>
        <w:tc>
          <w:tcPr>
            <w:tcW w:w="1964" w:type="dxa"/>
            <w:tcBorders>
              <w:top w:val="nil"/>
              <w:left w:val="nil"/>
              <w:bottom w:val="nil"/>
              <w:right w:val="nil"/>
            </w:tcBorders>
            <w:vAlign w:val="bottom"/>
          </w:tcPr>
          <w:p w14:paraId="6A360541" w14:textId="77777777" w:rsidR="00FC360C" w:rsidRPr="00495FBB" w:rsidRDefault="00FC360C" w:rsidP="00495FBB">
            <w:pPr>
              <w:pStyle w:val="BodyText"/>
              <w:spacing w:after="0" w:line="276" w:lineRule="auto"/>
              <w:rPr>
                <w:rFonts w:ascii="Calibri" w:hAnsi="Calibri"/>
              </w:rPr>
            </w:pPr>
            <w:r w:rsidRPr="00495FBB">
              <w:rPr>
                <w:rFonts w:ascii="Calibri" w:hAnsi="Calibri"/>
              </w:rPr>
              <w:t>79.5</w:t>
            </w:r>
          </w:p>
        </w:tc>
      </w:tr>
      <w:tr w:rsidR="00FC360C" w:rsidRPr="0055733C" w14:paraId="3AC82677" w14:textId="77777777" w:rsidTr="002F237A">
        <w:tc>
          <w:tcPr>
            <w:tcW w:w="1908" w:type="dxa"/>
            <w:tcBorders>
              <w:top w:val="nil"/>
              <w:left w:val="nil"/>
              <w:bottom w:val="nil"/>
              <w:right w:val="nil"/>
            </w:tcBorders>
          </w:tcPr>
          <w:p w14:paraId="522AAA05" w14:textId="77777777" w:rsidR="00FC360C" w:rsidRPr="00495FBB" w:rsidRDefault="00FC360C" w:rsidP="00495FBB">
            <w:pPr>
              <w:pStyle w:val="BodyText"/>
              <w:spacing w:after="0" w:line="276" w:lineRule="auto"/>
              <w:rPr>
                <w:rFonts w:ascii="Calibri" w:hAnsi="Calibri"/>
              </w:rPr>
            </w:pPr>
            <w:r w:rsidRPr="00495FBB">
              <w:rPr>
                <w:rFonts w:ascii="Calibri" w:hAnsi="Calibri"/>
              </w:rPr>
              <w:t>THPFOS (6:2 FTS)</w:t>
            </w:r>
          </w:p>
        </w:tc>
        <w:tc>
          <w:tcPr>
            <w:tcW w:w="1964" w:type="dxa"/>
            <w:tcBorders>
              <w:top w:val="nil"/>
              <w:left w:val="nil"/>
              <w:bottom w:val="nil"/>
              <w:right w:val="nil"/>
            </w:tcBorders>
            <w:vAlign w:val="bottom"/>
          </w:tcPr>
          <w:p w14:paraId="49C973DB" w14:textId="77777777" w:rsidR="00FC360C" w:rsidRPr="00495FBB" w:rsidRDefault="00FC360C" w:rsidP="00495FBB">
            <w:pPr>
              <w:pStyle w:val="BodyText"/>
              <w:spacing w:after="0" w:line="276" w:lineRule="auto"/>
              <w:rPr>
                <w:rFonts w:ascii="Calibri" w:hAnsi="Calibri"/>
              </w:rPr>
            </w:pPr>
            <w:r w:rsidRPr="00495FBB">
              <w:rPr>
                <w:rFonts w:ascii="Calibri" w:hAnsi="Calibri"/>
              </w:rPr>
              <w:t>426.9</w:t>
            </w:r>
          </w:p>
        </w:tc>
        <w:tc>
          <w:tcPr>
            <w:tcW w:w="1964" w:type="dxa"/>
            <w:tcBorders>
              <w:top w:val="nil"/>
              <w:left w:val="nil"/>
              <w:bottom w:val="nil"/>
              <w:right w:val="nil"/>
            </w:tcBorders>
            <w:vAlign w:val="bottom"/>
          </w:tcPr>
          <w:p w14:paraId="506E83EE" w14:textId="77777777" w:rsidR="00FC360C" w:rsidRPr="00495FBB" w:rsidRDefault="00FC360C" w:rsidP="00495FBB">
            <w:pPr>
              <w:pStyle w:val="BodyText"/>
              <w:spacing w:after="0" w:line="276" w:lineRule="auto"/>
              <w:rPr>
                <w:rFonts w:ascii="Calibri" w:hAnsi="Calibri"/>
              </w:rPr>
            </w:pPr>
            <w:r w:rsidRPr="00495FBB">
              <w:rPr>
                <w:rFonts w:ascii="Calibri" w:hAnsi="Calibri"/>
              </w:rPr>
              <w:t>406.7</w:t>
            </w:r>
          </w:p>
        </w:tc>
      </w:tr>
      <w:tr w:rsidR="00FC360C" w:rsidRPr="0055733C" w14:paraId="446BED8B" w14:textId="77777777" w:rsidTr="002F237A">
        <w:tc>
          <w:tcPr>
            <w:tcW w:w="1908" w:type="dxa"/>
            <w:tcBorders>
              <w:top w:val="nil"/>
              <w:left w:val="nil"/>
              <w:bottom w:val="nil"/>
              <w:right w:val="nil"/>
            </w:tcBorders>
          </w:tcPr>
          <w:p w14:paraId="2B787760" w14:textId="77777777" w:rsidR="00FC360C" w:rsidRPr="00495FBB" w:rsidRDefault="00FC360C" w:rsidP="00495FBB">
            <w:pPr>
              <w:pStyle w:val="BodyText"/>
              <w:spacing w:after="0" w:line="276" w:lineRule="auto"/>
              <w:rPr>
                <w:rFonts w:ascii="Calibri" w:hAnsi="Calibri"/>
              </w:rPr>
            </w:pPr>
            <w:r w:rsidRPr="00495FBB">
              <w:rPr>
                <w:rFonts w:ascii="Calibri" w:hAnsi="Calibri"/>
                <w:i/>
              </w:rPr>
              <w:t>PFOSi</w:t>
            </w:r>
          </w:p>
        </w:tc>
        <w:tc>
          <w:tcPr>
            <w:tcW w:w="1964" w:type="dxa"/>
            <w:tcBorders>
              <w:top w:val="nil"/>
              <w:left w:val="nil"/>
              <w:bottom w:val="nil"/>
              <w:right w:val="nil"/>
            </w:tcBorders>
            <w:vAlign w:val="bottom"/>
          </w:tcPr>
          <w:p w14:paraId="4788770A" w14:textId="77777777" w:rsidR="00FC360C" w:rsidRPr="00495FBB" w:rsidRDefault="00FC360C" w:rsidP="00495FBB">
            <w:pPr>
              <w:pStyle w:val="BodyText"/>
              <w:spacing w:after="0" w:line="276" w:lineRule="auto"/>
              <w:rPr>
                <w:rFonts w:ascii="Calibri" w:hAnsi="Calibri"/>
              </w:rPr>
            </w:pPr>
            <w:r w:rsidRPr="00495FBB">
              <w:rPr>
                <w:rFonts w:ascii="Calibri" w:hAnsi="Calibri"/>
              </w:rPr>
              <w:t>482.8</w:t>
            </w:r>
          </w:p>
        </w:tc>
        <w:tc>
          <w:tcPr>
            <w:tcW w:w="1964" w:type="dxa"/>
            <w:tcBorders>
              <w:top w:val="nil"/>
              <w:left w:val="nil"/>
              <w:bottom w:val="nil"/>
              <w:right w:val="nil"/>
            </w:tcBorders>
            <w:vAlign w:val="bottom"/>
          </w:tcPr>
          <w:p w14:paraId="594B9A51" w14:textId="77777777" w:rsidR="00FC360C" w:rsidRPr="00495FBB" w:rsidRDefault="00FC360C" w:rsidP="00495FBB">
            <w:pPr>
              <w:pStyle w:val="BodyText"/>
              <w:spacing w:after="0" w:line="276" w:lineRule="auto"/>
              <w:rPr>
                <w:rFonts w:ascii="Calibri" w:hAnsi="Calibri"/>
              </w:rPr>
            </w:pPr>
            <w:r w:rsidRPr="00495FBB">
              <w:rPr>
                <w:rFonts w:ascii="Calibri" w:hAnsi="Calibri"/>
              </w:rPr>
              <w:t>418.9</w:t>
            </w:r>
          </w:p>
        </w:tc>
      </w:tr>
      <w:tr w:rsidR="00FC360C" w:rsidRPr="0055733C" w14:paraId="3BC96778" w14:textId="77777777" w:rsidTr="002F237A">
        <w:tc>
          <w:tcPr>
            <w:tcW w:w="1908" w:type="dxa"/>
            <w:tcBorders>
              <w:top w:val="nil"/>
              <w:left w:val="nil"/>
              <w:bottom w:val="nil"/>
              <w:right w:val="nil"/>
            </w:tcBorders>
          </w:tcPr>
          <w:p w14:paraId="7B84B859" w14:textId="77777777" w:rsidR="00FC360C" w:rsidRPr="00495FBB" w:rsidRDefault="00FC360C" w:rsidP="00495FBB">
            <w:pPr>
              <w:pStyle w:val="BodyText"/>
              <w:spacing w:after="0" w:line="276" w:lineRule="auto"/>
              <w:rPr>
                <w:rFonts w:ascii="Calibri" w:hAnsi="Calibri"/>
              </w:rPr>
            </w:pPr>
            <w:r w:rsidRPr="00495FBB">
              <w:rPr>
                <w:rFonts w:ascii="Calibri" w:hAnsi="Calibri"/>
              </w:rPr>
              <w:t>PFOSA</w:t>
            </w:r>
          </w:p>
        </w:tc>
        <w:tc>
          <w:tcPr>
            <w:tcW w:w="1964" w:type="dxa"/>
            <w:tcBorders>
              <w:top w:val="nil"/>
              <w:left w:val="nil"/>
              <w:bottom w:val="nil"/>
              <w:right w:val="nil"/>
            </w:tcBorders>
            <w:vAlign w:val="bottom"/>
          </w:tcPr>
          <w:p w14:paraId="2DA119C8" w14:textId="77777777" w:rsidR="00FC360C" w:rsidRPr="00495FBB" w:rsidRDefault="00FC360C" w:rsidP="00495FBB">
            <w:pPr>
              <w:pStyle w:val="BodyText"/>
              <w:spacing w:after="0" w:line="276" w:lineRule="auto"/>
              <w:rPr>
                <w:rFonts w:ascii="Calibri" w:hAnsi="Calibri"/>
              </w:rPr>
            </w:pPr>
            <w:r w:rsidRPr="00495FBB">
              <w:rPr>
                <w:rFonts w:ascii="Calibri" w:hAnsi="Calibri"/>
              </w:rPr>
              <w:t>497.9</w:t>
            </w:r>
          </w:p>
        </w:tc>
        <w:tc>
          <w:tcPr>
            <w:tcW w:w="1964" w:type="dxa"/>
            <w:tcBorders>
              <w:top w:val="nil"/>
              <w:left w:val="nil"/>
              <w:bottom w:val="nil"/>
              <w:right w:val="nil"/>
            </w:tcBorders>
            <w:vAlign w:val="bottom"/>
          </w:tcPr>
          <w:p w14:paraId="1866D36B" w14:textId="77777777" w:rsidR="00FC360C" w:rsidRPr="00495FBB" w:rsidRDefault="00FC360C" w:rsidP="00495FBB">
            <w:pPr>
              <w:pStyle w:val="BodyText"/>
              <w:spacing w:after="0" w:line="276" w:lineRule="auto"/>
              <w:rPr>
                <w:rFonts w:ascii="Calibri" w:hAnsi="Calibri"/>
              </w:rPr>
            </w:pPr>
            <w:r w:rsidRPr="00495FBB">
              <w:rPr>
                <w:rFonts w:ascii="Calibri" w:hAnsi="Calibri"/>
              </w:rPr>
              <w:t>77.9</w:t>
            </w:r>
          </w:p>
        </w:tc>
      </w:tr>
      <w:tr w:rsidR="00FC360C" w:rsidRPr="0055733C" w14:paraId="52E57EA7" w14:textId="77777777" w:rsidTr="002F237A">
        <w:tc>
          <w:tcPr>
            <w:tcW w:w="1908" w:type="dxa"/>
            <w:tcBorders>
              <w:top w:val="nil"/>
              <w:left w:val="nil"/>
              <w:bottom w:val="nil"/>
              <w:right w:val="nil"/>
            </w:tcBorders>
          </w:tcPr>
          <w:p w14:paraId="389337E4" w14:textId="77777777" w:rsidR="00FC360C" w:rsidRPr="00495FBB" w:rsidRDefault="00FC360C" w:rsidP="00495FBB">
            <w:pPr>
              <w:pStyle w:val="BodyText"/>
              <w:spacing w:after="0" w:line="276" w:lineRule="auto"/>
              <w:rPr>
                <w:rFonts w:ascii="Calibri" w:hAnsi="Calibri"/>
              </w:rPr>
            </w:pPr>
            <w:r w:rsidRPr="00495FBB">
              <w:rPr>
                <w:rFonts w:ascii="Calibri" w:hAnsi="Calibri"/>
              </w:rPr>
              <w:t>[</w:t>
            </w:r>
            <w:r w:rsidRPr="00495FBB">
              <w:rPr>
                <w:rFonts w:ascii="Calibri" w:hAnsi="Calibri"/>
                <w:vertAlign w:val="superscript"/>
              </w:rPr>
              <w:t>13</w:t>
            </w:r>
            <w:r w:rsidRPr="00495FBB">
              <w:rPr>
                <w:rFonts w:ascii="Calibri" w:hAnsi="Calibri"/>
              </w:rPr>
              <w:t>C</w:t>
            </w:r>
            <w:r w:rsidRPr="00495FBB">
              <w:rPr>
                <w:rFonts w:ascii="Calibri" w:hAnsi="Calibri"/>
                <w:vertAlign w:val="subscript"/>
              </w:rPr>
              <w:t>4</w:t>
            </w:r>
            <w:r w:rsidRPr="00495FBB">
              <w:rPr>
                <w:rFonts w:ascii="Calibri" w:hAnsi="Calibri"/>
              </w:rPr>
              <w:t>]-PFBA</w:t>
            </w:r>
          </w:p>
        </w:tc>
        <w:tc>
          <w:tcPr>
            <w:tcW w:w="1964" w:type="dxa"/>
            <w:tcBorders>
              <w:top w:val="nil"/>
              <w:left w:val="nil"/>
              <w:bottom w:val="nil"/>
              <w:right w:val="nil"/>
            </w:tcBorders>
            <w:vAlign w:val="bottom"/>
          </w:tcPr>
          <w:p w14:paraId="02D402BE" w14:textId="77777777" w:rsidR="00FC360C" w:rsidRPr="00495FBB" w:rsidRDefault="00FC360C" w:rsidP="00495FBB">
            <w:pPr>
              <w:pStyle w:val="BodyText"/>
              <w:spacing w:after="0" w:line="276" w:lineRule="auto"/>
              <w:rPr>
                <w:rFonts w:ascii="Calibri" w:hAnsi="Calibri"/>
              </w:rPr>
            </w:pPr>
            <w:r w:rsidRPr="00495FBB">
              <w:rPr>
                <w:rFonts w:ascii="Calibri" w:hAnsi="Calibri"/>
              </w:rPr>
              <w:t>216.8</w:t>
            </w:r>
          </w:p>
        </w:tc>
        <w:tc>
          <w:tcPr>
            <w:tcW w:w="1964" w:type="dxa"/>
            <w:tcBorders>
              <w:top w:val="nil"/>
              <w:left w:val="nil"/>
              <w:bottom w:val="nil"/>
              <w:right w:val="nil"/>
            </w:tcBorders>
            <w:vAlign w:val="bottom"/>
          </w:tcPr>
          <w:p w14:paraId="1A79EF7E" w14:textId="77777777" w:rsidR="00FC360C" w:rsidRPr="00495FBB" w:rsidRDefault="00FC360C" w:rsidP="00495FBB">
            <w:pPr>
              <w:pStyle w:val="BodyText"/>
              <w:spacing w:after="0" w:line="276" w:lineRule="auto"/>
              <w:rPr>
                <w:rFonts w:ascii="Calibri" w:hAnsi="Calibri"/>
              </w:rPr>
            </w:pPr>
            <w:r w:rsidRPr="00495FBB">
              <w:rPr>
                <w:rFonts w:ascii="Calibri" w:hAnsi="Calibri"/>
              </w:rPr>
              <w:t>171.8</w:t>
            </w:r>
          </w:p>
        </w:tc>
      </w:tr>
      <w:tr w:rsidR="00FC360C" w:rsidRPr="0055733C" w14:paraId="74EFE486" w14:textId="77777777" w:rsidTr="002F237A">
        <w:tc>
          <w:tcPr>
            <w:tcW w:w="1908" w:type="dxa"/>
            <w:tcBorders>
              <w:top w:val="nil"/>
              <w:left w:val="nil"/>
              <w:bottom w:val="nil"/>
              <w:right w:val="nil"/>
            </w:tcBorders>
          </w:tcPr>
          <w:p w14:paraId="4938C142" w14:textId="77777777" w:rsidR="00FC360C" w:rsidRPr="00495FBB" w:rsidRDefault="00FC360C" w:rsidP="00495FBB">
            <w:pPr>
              <w:pStyle w:val="BodyText"/>
              <w:spacing w:after="0" w:line="276" w:lineRule="auto"/>
              <w:rPr>
                <w:rFonts w:ascii="Calibri" w:hAnsi="Calibri"/>
              </w:rPr>
            </w:pPr>
            <w:r w:rsidRPr="00495FBB">
              <w:rPr>
                <w:rFonts w:ascii="Calibri" w:hAnsi="Calibri"/>
                <w:i/>
              </w:rPr>
              <w:t>[</w:t>
            </w:r>
            <w:r w:rsidRPr="00495FBB">
              <w:rPr>
                <w:rFonts w:ascii="Calibri" w:hAnsi="Calibri"/>
                <w:i/>
                <w:vertAlign w:val="superscript"/>
              </w:rPr>
              <w:t>13</w:t>
            </w:r>
            <w:r w:rsidRPr="00495FBB">
              <w:rPr>
                <w:rFonts w:ascii="Calibri" w:hAnsi="Calibri"/>
                <w:i/>
              </w:rPr>
              <w:t>C</w:t>
            </w:r>
            <w:r w:rsidRPr="00495FBB">
              <w:rPr>
                <w:rFonts w:ascii="Calibri" w:hAnsi="Calibri"/>
                <w:i/>
                <w:vertAlign w:val="subscript"/>
              </w:rPr>
              <w:t>2</w:t>
            </w:r>
            <w:r w:rsidRPr="00495FBB">
              <w:rPr>
                <w:rFonts w:ascii="Calibri" w:hAnsi="Calibri"/>
                <w:i/>
              </w:rPr>
              <w:t>]-PFHxA</w:t>
            </w:r>
          </w:p>
        </w:tc>
        <w:tc>
          <w:tcPr>
            <w:tcW w:w="1964" w:type="dxa"/>
            <w:tcBorders>
              <w:top w:val="nil"/>
              <w:left w:val="nil"/>
              <w:bottom w:val="nil"/>
              <w:right w:val="nil"/>
            </w:tcBorders>
            <w:vAlign w:val="bottom"/>
          </w:tcPr>
          <w:p w14:paraId="215ACCBB" w14:textId="77777777" w:rsidR="00FC360C" w:rsidRPr="00495FBB" w:rsidRDefault="00FC360C" w:rsidP="00495FBB">
            <w:pPr>
              <w:pStyle w:val="BodyText"/>
              <w:spacing w:after="0" w:line="276" w:lineRule="auto"/>
              <w:rPr>
                <w:rFonts w:ascii="Calibri" w:hAnsi="Calibri"/>
              </w:rPr>
            </w:pPr>
            <w:r w:rsidRPr="00495FBB">
              <w:rPr>
                <w:rFonts w:ascii="Calibri" w:hAnsi="Calibri"/>
              </w:rPr>
              <w:t>314.9</w:t>
            </w:r>
          </w:p>
        </w:tc>
        <w:tc>
          <w:tcPr>
            <w:tcW w:w="1964" w:type="dxa"/>
            <w:tcBorders>
              <w:top w:val="nil"/>
              <w:left w:val="nil"/>
              <w:bottom w:val="nil"/>
              <w:right w:val="nil"/>
            </w:tcBorders>
            <w:vAlign w:val="bottom"/>
          </w:tcPr>
          <w:p w14:paraId="336CEDE9" w14:textId="77777777" w:rsidR="00FC360C" w:rsidRPr="00495FBB" w:rsidRDefault="00FC360C" w:rsidP="00495FBB">
            <w:pPr>
              <w:pStyle w:val="BodyText"/>
              <w:spacing w:after="0" w:line="276" w:lineRule="auto"/>
              <w:rPr>
                <w:rFonts w:ascii="Calibri" w:hAnsi="Calibri"/>
              </w:rPr>
            </w:pPr>
            <w:r w:rsidRPr="00495FBB">
              <w:rPr>
                <w:rFonts w:ascii="Calibri" w:hAnsi="Calibri"/>
              </w:rPr>
              <w:t>269.9</w:t>
            </w:r>
          </w:p>
        </w:tc>
      </w:tr>
      <w:tr w:rsidR="00FC360C" w:rsidRPr="0055733C" w14:paraId="16D4199F" w14:textId="77777777" w:rsidTr="002F237A">
        <w:tc>
          <w:tcPr>
            <w:tcW w:w="1908" w:type="dxa"/>
            <w:tcBorders>
              <w:top w:val="nil"/>
              <w:left w:val="nil"/>
              <w:bottom w:val="nil"/>
              <w:right w:val="nil"/>
            </w:tcBorders>
          </w:tcPr>
          <w:p w14:paraId="321EE390" w14:textId="77777777" w:rsidR="00FC360C" w:rsidRPr="00495FBB" w:rsidRDefault="00FC360C" w:rsidP="00495FBB">
            <w:pPr>
              <w:pStyle w:val="BodyText"/>
              <w:spacing w:after="0" w:line="276" w:lineRule="auto"/>
              <w:rPr>
                <w:rFonts w:ascii="Calibri" w:hAnsi="Calibri"/>
              </w:rPr>
            </w:pPr>
            <w:r w:rsidRPr="00495FBB">
              <w:rPr>
                <w:rFonts w:ascii="Calibri" w:hAnsi="Calibri"/>
              </w:rPr>
              <w:t>[</w:t>
            </w:r>
            <w:r w:rsidRPr="00495FBB">
              <w:rPr>
                <w:rFonts w:ascii="Calibri" w:hAnsi="Calibri"/>
                <w:vertAlign w:val="superscript"/>
              </w:rPr>
              <w:t>13</w:t>
            </w:r>
            <w:r w:rsidRPr="00495FBB">
              <w:rPr>
                <w:rFonts w:ascii="Calibri" w:hAnsi="Calibri"/>
              </w:rPr>
              <w:t>C</w:t>
            </w:r>
            <w:r w:rsidRPr="00495FBB">
              <w:rPr>
                <w:rFonts w:ascii="Calibri" w:hAnsi="Calibri"/>
                <w:vertAlign w:val="subscript"/>
              </w:rPr>
              <w:t>4</w:t>
            </w:r>
            <w:r w:rsidRPr="00495FBB">
              <w:rPr>
                <w:rFonts w:ascii="Calibri" w:hAnsi="Calibri"/>
              </w:rPr>
              <w:t>]-PFOA</w:t>
            </w:r>
          </w:p>
        </w:tc>
        <w:tc>
          <w:tcPr>
            <w:tcW w:w="1964" w:type="dxa"/>
            <w:tcBorders>
              <w:top w:val="nil"/>
              <w:left w:val="nil"/>
              <w:bottom w:val="nil"/>
              <w:right w:val="nil"/>
            </w:tcBorders>
            <w:vAlign w:val="bottom"/>
          </w:tcPr>
          <w:p w14:paraId="660CE0F4" w14:textId="77777777" w:rsidR="00FC360C" w:rsidRPr="00495FBB" w:rsidRDefault="00FC360C" w:rsidP="00495FBB">
            <w:pPr>
              <w:pStyle w:val="BodyText"/>
              <w:spacing w:after="0" w:line="276" w:lineRule="auto"/>
              <w:rPr>
                <w:rFonts w:ascii="Calibri" w:hAnsi="Calibri"/>
              </w:rPr>
            </w:pPr>
            <w:r w:rsidRPr="00495FBB">
              <w:rPr>
                <w:rFonts w:ascii="Calibri" w:hAnsi="Calibri"/>
              </w:rPr>
              <w:t>417.0</w:t>
            </w:r>
          </w:p>
        </w:tc>
        <w:tc>
          <w:tcPr>
            <w:tcW w:w="1964" w:type="dxa"/>
            <w:tcBorders>
              <w:top w:val="nil"/>
              <w:left w:val="nil"/>
              <w:bottom w:val="nil"/>
              <w:right w:val="nil"/>
            </w:tcBorders>
            <w:vAlign w:val="bottom"/>
          </w:tcPr>
          <w:p w14:paraId="171EE216" w14:textId="77777777" w:rsidR="00FC360C" w:rsidRPr="00495FBB" w:rsidRDefault="00FC360C" w:rsidP="00495FBB">
            <w:pPr>
              <w:pStyle w:val="BodyText"/>
              <w:spacing w:after="0" w:line="276" w:lineRule="auto"/>
              <w:rPr>
                <w:rFonts w:ascii="Calibri" w:hAnsi="Calibri"/>
              </w:rPr>
            </w:pPr>
            <w:r w:rsidRPr="00495FBB">
              <w:rPr>
                <w:rFonts w:ascii="Calibri" w:hAnsi="Calibri"/>
              </w:rPr>
              <w:t>371.8</w:t>
            </w:r>
          </w:p>
        </w:tc>
      </w:tr>
      <w:tr w:rsidR="00FC360C" w:rsidRPr="0055733C" w14:paraId="51FE1067" w14:textId="77777777" w:rsidTr="002F237A">
        <w:tc>
          <w:tcPr>
            <w:tcW w:w="1908" w:type="dxa"/>
            <w:tcBorders>
              <w:top w:val="nil"/>
              <w:left w:val="nil"/>
              <w:bottom w:val="nil"/>
              <w:right w:val="nil"/>
            </w:tcBorders>
          </w:tcPr>
          <w:p w14:paraId="61E7A201" w14:textId="77777777" w:rsidR="00FC360C" w:rsidRPr="00495FBB" w:rsidRDefault="00FC360C" w:rsidP="00495FBB">
            <w:pPr>
              <w:pStyle w:val="BodyText"/>
              <w:spacing w:after="0" w:line="276" w:lineRule="auto"/>
              <w:rPr>
                <w:rFonts w:ascii="Calibri" w:hAnsi="Calibri"/>
              </w:rPr>
            </w:pPr>
            <w:r w:rsidRPr="00495FBB">
              <w:rPr>
                <w:rFonts w:ascii="Calibri" w:hAnsi="Calibri"/>
                <w:i/>
              </w:rPr>
              <w:t>[</w:t>
            </w:r>
            <w:r w:rsidRPr="00495FBB">
              <w:rPr>
                <w:rFonts w:ascii="Calibri" w:hAnsi="Calibri"/>
                <w:i/>
                <w:vertAlign w:val="superscript"/>
              </w:rPr>
              <w:t>13</w:t>
            </w:r>
            <w:r w:rsidRPr="00495FBB">
              <w:rPr>
                <w:rFonts w:ascii="Calibri" w:hAnsi="Calibri"/>
                <w:i/>
              </w:rPr>
              <w:t>C</w:t>
            </w:r>
            <w:r w:rsidRPr="00495FBB">
              <w:rPr>
                <w:rFonts w:ascii="Calibri" w:hAnsi="Calibri"/>
                <w:i/>
                <w:vertAlign w:val="subscript"/>
              </w:rPr>
              <w:t>5</w:t>
            </w:r>
            <w:r w:rsidRPr="00495FBB">
              <w:rPr>
                <w:rFonts w:ascii="Calibri" w:hAnsi="Calibri"/>
                <w:i/>
              </w:rPr>
              <w:t>]-PFNA</w:t>
            </w:r>
          </w:p>
        </w:tc>
        <w:tc>
          <w:tcPr>
            <w:tcW w:w="1964" w:type="dxa"/>
            <w:tcBorders>
              <w:top w:val="nil"/>
              <w:left w:val="nil"/>
              <w:bottom w:val="nil"/>
              <w:right w:val="nil"/>
            </w:tcBorders>
            <w:vAlign w:val="bottom"/>
          </w:tcPr>
          <w:p w14:paraId="0E3EF7E1" w14:textId="77777777" w:rsidR="00FC360C" w:rsidRPr="00495FBB" w:rsidRDefault="00FC360C" w:rsidP="00495FBB">
            <w:pPr>
              <w:pStyle w:val="BodyText"/>
              <w:spacing w:after="0" w:line="276" w:lineRule="auto"/>
              <w:rPr>
                <w:rFonts w:ascii="Calibri" w:hAnsi="Calibri"/>
              </w:rPr>
            </w:pPr>
            <w:r w:rsidRPr="00495FBB">
              <w:rPr>
                <w:rFonts w:ascii="Calibri" w:hAnsi="Calibri"/>
              </w:rPr>
              <w:t>467.9</w:t>
            </w:r>
          </w:p>
        </w:tc>
        <w:tc>
          <w:tcPr>
            <w:tcW w:w="1964" w:type="dxa"/>
            <w:tcBorders>
              <w:top w:val="nil"/>
              <w:left w:val="nil"/>
              <w:bottom w:val="nil"/>
              <w:right w:val="nil"/>
            </w:tcBorders>
            <w:vAlign w:val="bottom"/>
          </w:tcPr>
          <w:p w14:paraId="20B81B5A" w14:textId="77777777" w:rsidR="00FC360C" w:rsidRPr="00495FBB" w:rsidRDefault="00FC360C" w:rsidP="00495FBB">
            <w:pPr>
              <w:pStyle w:val="BodyText"/>
              <w:spacing w:after="0" w:line="276" w:lineRule="auto"/>
              <w:rPr>
                <w:rFonts w:ascii="Calibri" w:hAnsi="Calibri"/>
              </w:rPr>
            </w:pPr>
            <w:r w:rsidRPr="00495FBB">
              <w:rPr>
                <w:rFonts w:ascii="Calibri" w:hAnsi="Calibri"/>
              </w:rPr>
              <w:t>423.0</w:t>
            </w:r>
          </w:p>
        </w:tc>
      </w:tr>
      <w:tr w:rsidR="00FC360C" w:rsidRPr="0055733C" w14:paraId="525DD47D" w14:textId="77777777" w:rsidTr="002F237A">
        <w:tc>
          <w:tcPr>
            <w:tcW w:w="1908" w:type="dxa"/>
            <w:tcBorders>
              <w:top w:val="nil"/>
              <w:left w:val="nil"/>
              <w:bottom w:val="nil"/>
              <w:right w:val="nil"/>
            </w:tcBorders>
          </w:tcPr>
          <w:p w14:paraId="1AC82EEA" w14:textId="77777777" w:rsidR="00FC360C" w:rsidRPr="00495FBB" w:rsidRDefault="00FC360C" w:rsidP="00495FBB">
            <w:pPr>
              <w:pStyle w:val="BodyText"/>
              <w:spacing w:after="0" w:line="276" w:lineRule="auto"/>
              <w:rPr>
                <w:rFonts w:ascii="Calibri" w:hAnsi="Calibri"/>
              </w:rPr>
            </w:pPr>
            <w:r w:rsidRPr="00495FBB">
              <w:rPr>
                <w:rFonts w:ascii="Calibri" w:hAnsi="Calibri"/>
                <w:i/>
              </w:rPr>
              <w:t>[</w:t>
            </w:r>
            <w:r w:rsidRPr="00495FBB">
              <w:rPr>
                <w:rFonts w:ascii="Calibri" w:hAnsi="Calibri"/>
                <w:i/>
                <w:vertAlign w:val="superscript"/>
              </w:rPr>
              <w:t>13</w:t>
            </w:r>
            <w:r w:rsidRPr="00495FBB">
              <w:rPr>
                <w:rFonts w:ascii="Calibri" w:hAnsi="Calibri"/>
                <w:i/>
              </w:rPr>
              <w:t>C</w:t>
            </w:r>
            <w:r w:rsidRPr="00495FBB">
              <w:rPr>
                <w:rFonts w:ascii="Calibri" w:hAnsi="Calibri"/>
                <w:i/>
                <w:vertAlign w:val="subscript"/>
              </w:rPr>
              <w:t>2</w:t>
            </w:r>
            <w:r w:rsidRPr="00495FBB">
              <w:rPr>
                <w:rFonts w:ascii="Calibri" w:hAnsi="Calibri"/>
                <w:i/>
              </w:rPr>
              <w:t>]-PFDA</w:t>
            </w:r>
          </w:p>
        </w:tc>
        <w:tc>
          <w:tcPr>
            <w:tcW w:w="1964" w:type="dxa"/>
            <w:tcBorders>
              <w:top w:val="nil"/>
              <w:left w:val="nil"/>
              <w:bottom w:val="nil"/>
              <w:right w:val="nil"/>
            </w:tcBorders>
            <w:vAlign w:val="bottom"/>
          </w:tcPr>
          <w:p w14:paraId="0CBC8547" w14:textId="77777777" w:rsidR="00FC360C" w:rsidRPr="00495FBB" w:rsidRDefault="00FC360C" w:rsidP="00495FBB">
            <w:pPr>
              <w:pStyle w:val="BodyText"/>
              <w:spacing w:after="0" w:line="276" w:lineRule="auto"/>
              <w:rPr>
                <w:rFonts w:ascii="Calibri" w:hAnsi="Calibri"/>
              </w:rPr>
            </w:pPr>
            <w:r w:rsidRPr="00495FBB">
              <w:rPr>
                <w:rFonts w:ascii="Calibri" w:hAnsi="Calibri"/>
              </w:rPr>
              <w:t>514.9</w:t>
            </w:r>
          </w:p>
        </w:tc>
        <w:tc>
          <w:tcPr>
            <w:tcW w:w="1964" w:type="dxa"/>
            <w:tcBorders>
              <w:top w:val="nil"/>
              <w:left w:val="nil"/>
              <w:bottom w:val="nil"/>
              <w:right w:val="nil"/>
            </w:tcBorders>
            <w:vAlign w:val="bottom"/>
          </w:tcPr>
          <w:p w14:paraId="3751A619" w14:textId="77777777" w:rsidR="00FC360C" w:rsidRPr="00495FBB" w:rsidRDefault="00FC360C" w:rsidP="00495FBB">
            <w:pPr>
              <w:pStyle w:val="BodyText"/>
              <w:spacing w:after="0" w:line="276" w:lineRule="auto"/>
              <w:rPr>
                <w:rFonts w:ascii="Calibri" w:hAnsi="Calibri"/>
              </w:rPr>
            </w:pPr>
            <w:r w:rsidRPr="00495FBB">
              <w:rPr>
                <w:rFonts w:ascii="Calibri" w:hAnsi="Calibri"/>
              </w:rPr>
              <w:t>469.8</w:t>
            </w:r>
          </w:p>
        </w:tc>
      </w:tr>
      <w:tr w:rsidR="00FC360C" w:rsidRPr="0055733C" w14:paraId="3BDAB478" w14:textId="77777777" w:rsidTr="002F237A">
        <w:tc>
          <w:tcPr>
            <w:tcW w:w="1908" w:type="dxa"/>
            <w:tcBorders>
              <w:top w:val="nil"/>
              <w:left w:val="nil"/>
              <w:bottom w:val="nil"/>
              <w:right w:val="nil"/>
            </w:tcBorders>
          </w:tcPr>
          <w:p w14:paraId="74AD9D38" w14:textId="77777777" w:rsidR="00FC360C" w:rsidRPr="00495FBB" w:rsidRDefault="00FC360C" w:rsidP="00495FBB">
            <w:pPr>
              <w:pStyle w:val="BodyText"/>
              <w:spacing w:after="0" w:line="276" w:lineRule="auto"/>
              <w:rPr>
                <w:rFonts w:ascii="Calibri" w:hAnsi="Calibri"/>
              </w:rPr>
            </w:pPr>
            <w:r w:rsidRPr="00495FBB">
              <w:rPr>
                <w:rFonts w:ascii="Calibri" w:hAnsi="Calibri"/>
                <w:i/>
              </w:rPr>
              <w:t>[</w:t>
            </w:r>
            <w:r w:rsidRPr="00495FBB">
              <w:rPr>
                <w:rFonts w:ascii="Calibri" w:hAnsi="Calibri"/>
                <w:i/>
                <w:vertAlign w:val="superscript"/>
              </w:rPr>
              <w:t>13</w:t>
            </w:r>
            <w:r w:rsidRPr="00495FBB">
              <w:rPr>
                <w:rFonts w:ascii="Calibri" w:hAnsi="Calibri"/>
                <w:i/>
              </w:rPr>
              <w:t>C</w:t>
            </w:r>
            <w:r w:rsidRPr="00495FBB">
              <w:rPr>
                <w:rFonts w:ascii="Calibri" w:hAnsi="Calibri"/>
                <w:i/>
                <w:vertAlign w:val="subscript"/>
              </w:rPr>
              <w:t>2</w:t>
            </w:r>
            <w:r w:rsidRPr="00495FBB">
              <w:rPr>
                <w:rFonts w:ascii="Calibri" w:hAnsi="Calibri"/>
                <w:i/>
              </w:rPr>
              <w:t>]-PFUnDA</w:t>
            </w:r>
          </w:p>
        </w:tc>
        <w:tc>
          <w:tcPr>
            <w:tcW w:w="1964" w:type="dxa"/>
            <w:tcBorders>
              <w:top w:val="nil"/>
              <w:left w:val="nil"/>
              <w:bottom w:val="nil"/>
              <w:right w:val="nil"/>
            </w:tcBorders>
            <w:vAlign w:val="bottom"/>
          </w:tcPr>
          <w:p w14:paraId="43755711" w14:textId="77777777" w:rsidR="00FC360C" w:rsidRPr="00495FBB" w:rsidRDefault="00FC360C" w:rsidP="00495FBB">
            <w:pPr>
              <w:pStyle w:val="BodyText"/>
              <w:spacing w:after="0" w:line="276" w:lineRule="auto"/>
              <w:rPr>
                <w:rFonts w:ascii="Calibri" w:hAnsi="Calibri"/>
              </w:rPr>
            </w:pPr>
            <w:r w:rsidRPr="00495FBB">
              <w:rPr>
                <w:rFonts w:ascii="Calibri" w:hAnsi="Calibri"/>
              </w:rPr>
              <w:t>565.0</w:t>
            </w:r>
          </w:p>
        </w:tc>
        <w:tc>
          <w:tcPr>
            <w:tcW w:w="1964" w:type="dxa"/>
            <w:tcBorders>
              <w:top w:val="nil"/>
              <w:left w:val="nil"/>
              <w:bottom w:val="nil"/>
              <w:right w:val="nil"/>
            </w:tcBorders>
            <w:vAlign w:val="bottom"/>
          </w:tcPr>
          <w:p w14:paraId="079A0C68" w14:textId="77777777" w:rsidR="00FC360C" w:rsidRPr="00495FBB" w:rsidRDefault="00FC360C" w:rsidP="00495FBB">
            <w:pPr>
              <w:pStyle w:val="BodyText"/>
              <w:spacing w:after="0" w:line="276" w:lineRule="auto"/>
              <w:rPr>
                <w:rFonts w:ascii="Calibri" w:hAnsi="Calibri"/>
              </w:rPr>
            </w:pPr>
            <w:r w:rsidRPr="00495FBB">
              <w:rPr>
                <w:rFonts w:ascii="Calibri" w:hAnsi="Calibri"/>
              </w:rPr>
              <w:t>519.8</w:t>
            </w:r>
          </w:p>
        </w:tc>
      </w:tr>
      <w:tr w:rsidR="00FC360C" w:rsidRPr="0055733C" w14:paraId="311D8F7D" w14:textId="77777777" w:rsidTr="002F237A">
        <w:tc>
          <w:tcPr>
            <w:tcW w:w="1908" w:type="dxa"/>
            <w:tcBorders>
              <w:top w:val="nil"/>
              <w:left w:val="nil"/>
              <w:bottom w:val="nil"/>
              <w:right w:val="nil"/>
            </w:tcBorders>
          </w:tcPr>
          <w:p w14:paraId="504A2C65" w14:textId="77777777" w:rsidR="00FC360C" w:rsidRPr="00495FBB" w:rsidRDefault="00FC360C" w:rsidP="00495FBB">
            <w:pPr>
              <w:pStyle w:val="BodyText"/>
              <w:spacing w:after="0" w:line="276" w:lineRule="auto"/>
              <w:rPr>
                <w:rFonts w:ascii="Calibri" w:hAnsi="Calibri"/>
              </w:rPr>
            </w:pPr>
            <w:r w:rsidRPr="00495FBB">
              <w:rPr>
                <w:rFonts w:ascii="Calibri" w:hAnsi="Calibri"/>
                <w:i/>
              </w:rPr>
              <w:t>[</w:t>
            </w:r>
            <w:r w:rsidRPr="00495FBB">
              <w:rPr>
                <w:rFonts w:ascii="Calibri" w:hAnsi="Calibri"/>
                <w:i/>
                <w:vertAlign w:val="superscript"/>
              </w:rPr>
              <w:t>13</w:t>
            </w:r>
            <w:r w:rsidRPr="00495FBB">
              <w:rPr>
                <w:rFonts w:ascii="Calibri" w:hAnsi="Calibri"/>
                <w:i/>
              </w:rPr>
              <w:t>C</w:t>
            </w:r>
            <w:r w:rsidRPr="00495FBB">
              <w:rPr>
                <w:rFonts w:ascii="Calibri" w:hAnsi="Calibri"/>
                <w:i/>
                <w:vertAlign w:val="subscript"/>
              </w:rPr>
              <w:t>2</w:t>
            </w:r>
            <w:r w:rsidRPr="00495FBB">
              <w:rPr>
                <w:rFonts w:ascii="Calibri" w:hAnsi="Calibri"/>
                <w:i/>
              </w:rPr>
              <w:t>]-PFDoDA</w:t>
            </w:r>
          </w:p>
        </w:tc>
        <w:tc>
          <w:tcPr>
            <w:tcW w:w="1964" w:type="dxa"/>
            <w:tcBorders>
              <w:top w:val="nil"/>
              <w:left w:val="nil"/>
              <w:bottom w:val="nil"/>
              <w:right w:val="nil"/>
            </w:tcBorders>
            <w:vAlign w:val="bottom"/>
          </w:tcPr>
          <w:p w14:paraId="4895FF80" w14:textId="77777777" w:rsidR="00FC360C" w:rsidRPr="00495FBB" w:rsidRDefault="00FC360C" w:rsidP="00495FBB">
            <w:pPr>
              <w:pStyle w:val="BodyText"/>
              <w:spacing w:after="0" w:line="276" w:lineRule="auto"/>
              <w:rPr>
                <w:rFonts w:ascii="Calibri" w:hAnsi="Calibri"/>
              </w:rPr>
            </w:pPr>
            <w:r w:rsidRPr="00495FBB">
              <w:rPr>
                <w:rFonts w:ascii="Calibri" w:hAnsi="Calibri"/>
              </w:rPr>
              <w:t>614.9</w:t>
            </w:r>
          </w:p>
        </w:tc>
        <w:tc>
          <w:tcPr>
            <w:tcW w:w="1964" w:type="dxa"/>
            <w:tcBorders>
              <w:top w:val="nil"/>
              <w:left w:val="nil"/>
              <w:bottom w:val="nil"/>
              <w:right w:val="nil"/>
            </w:tcBorders>
            <w:vAlign w:val="bottom"/>
          </w:tcPr>
          <w:p w14:paraId="3D779F0D" w14:textId="77777777" w:rsidR="00FC360C" w:rsidRPr="00495FBB" w:rsidRDefault="00FC360C" w:rsidP="00495FBB">
            <w:pPr>
              <w:pStyle w:val="BodyText"/>
              <w:spacing w:after="0" w:line="276" w:lineRule="auto"/>
              <w:rPr>
                <w:rFonts w:ascii="Calibri" w:hAnsi="Calibri"/>
              </w:rPr>
            </w:pPr>
            <w:r w:rsidRPr="00495FBB">
              <w:rPr>
                <w:rFonts w:ascii="Calibri" w:hAnsi="Calibri"/>
              </w:rPr>
              <w:t>569.9</w:t>
            </w:r>
          </w:p>
        </w:tc>
      </w:tr>
      <w:tr w:rsidR="00FC360C" w:rsidRPr="0055733C" w14:paraId="51989BE4" w14:textId="77777777" w:rsidTr="002F237A">
        <w:tc>
          <w:tcPr>
            <w:tcW w:w="1908" w:type="dxa"/>
            <w:tcBorders>
              <w:top w:val="nil"/>
              <w:left w:val="nil"/>
              <w:bottom w:val="nil"/>
              <w:right w:val="nil"/>
            </w:tcBorders>
          </w:tcPr>
          <w:p w14:paraId="5616791D" w14:textId="77777777" w:rsidR="00FC360C" w:rsidRPr="00495FBB" w:rsidRDefault="00FC360C" w:rsidP="00495FBB">
            <w:pPr>
              <w:pStyle w:val="BodyText"/>
              <w:spacing w:after="0" w:line="276" w:lineRule="auto"/>
              <w:rPr>
                <w:rFonts w:ascii="Calibri" w:hAnsi="Calibri"/>
              </w:rPr>
            </w:pPr>
            <w:r w:rsidRPr="00495FBB">
              <w:rPr>
                <w:rFonts w:ascii="Calibri" w:hAnsi="Calibri"/>
                <w:i/>
              </w:rPr>
              <w:t>[</w:t>
            </w:r>
            <w:r w:rsidRPr="00495FBB">
              <w:rPr>
                <w:rFonts w:ascii="Calibri" w:hAnsi="Calibri"/>
                <w:i/>
                <w:vertAlign w:val="superscript"/>
              </w:rPr>
              <w:t>18</w:t>
            </w:r>
            <w:r w:rsidRPr="00495FBB">
              <w:rPr>
                <w:rFonts w:ascii="Calibri" w:hAnsi="Calibri"/>
                <w:i/>
              </w:rPr>
              <w:t>O</w:t>
            </w:r>
            <w:r w:rsidRPr="00495FBB">
              <w:rPr>
                <w:rFonts w:ascii="Calibri" w:hAnsi="Calibri"/>
                <w:i/>
                <w:vertAlign w:val="subscript"/>
              </w:rPr>
              <w:t>2</w:t>
            </w:r>
            <w:r w:rsidRPr="00495FBB">
              <w:rPr>
                <w:rFonts w:ascii="Calibri" w:hAnsi="Calibri"/>
                <w:i/>
              </w:rPr>
              <w:t>]-PFHxS</w:t>
            </w:r>
          </w:p>
        </w:tc>
        <w:tc>
          <w:tcPr>
            <w:tcW w:w="1964" w:type="dxa"/>
            <w:tcBorders>
              <w:top w:val="nil"/>
              <w:left w:val="nil"/>
              <w:bottom w:val="nil"/>
              <w:right w:val="nil"/>
            </w:tcBorders>
            <w:vAlign w:val="bottom"/>
          </w:tcPr>
          <w:p w14:paraId="37312B0C" w14:textId="77777777" w:rsidR="00FC360C" w:rsidRPr="00495FBB" w:rsidRDefault="00FC360C" w:rsidP="00495FBB">
            <w:pPr>
              <w:pStyle w:val="BodyText"/>
              <w:spacing w:after="0" w:line="276" w:lineRule="auto"/>
              <w:rPr>
                <w:rFonts w:ascii="Calibri" w:hAnsi="Calibri"/>
              </w:rPr>
            </w:pPr>
            <w:r w:rsidRPr="00495FBB">
              <w:rPr>
                <w:rFonts w:ascii="Calibri" w:hAnsi="Calibri"/>
              </w:rPr>
              <w:t>403.0</w:t>
            </w:r>
          </w:p>
        </w:tc>
        <w:tc>
          <w:tcPr>
            <w:tcW w:w="1964" w:type="dxa"/>
            <w:tcBorders>
              <w:top w:val="nil"/>
              <w:left w:val="nil"/>
              <w:bottom w:val="nil"/>
              <w:right w:val="nil"/>
            </w:tcBorders>
            <w:vAlign w:val="bottom"/>
          </w:tcPr>
          <w:p w14:paraId="744D3935" w14:textId="77777777" w:rsidR="00FC360C" w:rsidRPr="00495FBB" w:rsidRDefault="00FC360C" w:rsidP="00495FBB">
            <w:pPr>
              <w:pStyle w:val="BodyText"/>
              <w:spacing w:after="0" w:line="276" w:lineRule="auto"/>
              <w:rPr>
                <w:rFonts w:ascii="Calibri" w:hAnsi="Calibri"/>
              </w:rPr>
            </w:pPr>
            <w:r w:rsidRPr="00495FBB">
              <w:rPr>
                <w:rFonts w:ascii="Calibri" w:hAnsi="Calibri"/>
              </w:rPr>
              <w:t>83.9</w:t>
            </w:r>
          </w:p>
        </w:tc>
      </w:tr>
      <w:tr w:rsidR="00FC360C" w:rsidRPr="0055733C" w14:paraId="0A0F4899" w14:textId="77777777" w:rsidTr="002F237A">
        <w:tc>
          <w:tcPr>
            <w:tcW w:w="1908" w:type="dxa"/>
            <w:tcBorders>
              <w:top w:val="nil"/>
              <w:left w:val="nil"/>
              <w:bottom w:val="nil"/>
              <w:right w:val="nil"/>
            </w:tcBorders>
          </w:tcPr>
          <w:p w14:paraId="66A15A8F" w14:textId="77777777" w:rsidR="00FC360C" w:rsidRPr="00495FBB" w:rsidRDefault="00FC360C" w:rsidP="00495FBB">
            <w:pPr>
              <w:pStyle w:val="BodyText"/>
              <w:spacing w:after="0" w:line="276" w:lineRule="auto"/>
              <w:rPr>
                <w:rFonts w:ascii="Calibri" w:hAnsi="Calibri"/>
              </w:rPr>
            </w:pPr>
            <w:r w:rsidRPr="00495FBB">
              <w:rPr>
                <w:rFonts w:ascii="Calibri" w:hAnsi="Calibri"/>
                <w:i/>
              </w:rPr>
              <w:t>[</w:t>
            </w:r>
            <w:r w:rsidRPr="00495FBB">
              <w:rPr>
                <w:rFonts w:ascii="Calibri" w:hAnsi="Calibri"/>
                <w:i/>
                <w:vertAlign w:val="superscript"/>
              </w:rPr>
              <w:t>13</w:t>
            </w:r>
            <w:r w:rsidRPr="00495FBB">
              <w:rPr>
                <w:rFonts w:ascii="Calibri" w:hAnsi="Calibri"/>
                <w:i/>
              </w:rPr>
              <w:t>C</w:t>
            </w:r>
            <w:r w:rsidRPr="00495FBB">
              <w:rPr>
                <w:rFonts w:ascii="Calibri" w:hAnsi="Calibri"/>
                <w:i/>
                <w:vertAlign w:val="subscript"/>
              </w:rPr>
              <w:t>4</w:t>
            </w:r>
            <w:r w:rsidRPr="00495FBB">
              <w:rPr>
                <w:rFonts w:ascii="Calibri" w:hAnsi="Calibri"/>
                <w:i/>
              </w:rPr>
              <w:t>]-PFOS</w:t>
            </w:r>
          </w:p>
        </w:tc>
        <w:tc>
          <w:tcPr>
            <w:tcW w:w="1964" w:type="dxa"/>
            <w:tcBorders>
              <w:top w:val="nil"/>
              <w:left w:val="nil"/>
              <w:bottom w:val="nil"/>
              <w:right w:val="nil"/>
            </w:tcBorders>
            <w:vAlign w:val="bottom"/>
          </w:tcPr>
          <w:p w14:paraId="571C0CE5" w14:textId="77777777" w:rsidR="00FC360C" w:rsidRPr="00495FBB" w:rsidRDefault="00FC360C" w:rsidP="00495FBB">
            <w:pPr>
              <w:pStyle w:val="BodyText"/>
              <w:spacing w:after="0" w:line="276" w:lineRule="auto"/>
              <w:rPr>
                <w:rFonts w:ascii="Calibri" w:hAnsi="Calibri"/>
              </w:rPr>
            </w:pPr>
            <w:r w:rsidRPr="00495FBB">
              <w:rPr>
                <w:rFonts w:ascii="Calibri" w:hAnsi="Calibri"/>
              </w:rPr>
              <w:t>502.9</w:t>
            </w:r>
          </w:p>
        </w:tc>
        <w:tc>
          <w:tcPr>
            <w:tcW w:w="1964" w:type="dxa"/>
            <w:tcBorders>
              <w:top w:val="nil"/>
              <w:left w:val="nil"/>
              <w:bottom w:val="nil"/>
              <w:right w:val="nil"/>
            </w:tcBorders>
            <w:vAlign w:val="bottom"/>
          </w:tcPr>
          <w:p w14:paraId="6A278B13" w14:textId="77777777" w:rsidR="00FC360C" w:rsidRPr="00495FBB" w:rsidRDefault="00FC360C" w:rsidP="00495FBB">
            <w:pPr>
              <w:pStyle w:val="BodyText"/>
              <w:spacing w:after="0" w:line="276" w:lineRule="auto"/>
              <w:rPr>
                <w:rFonts w:ascii="Calibri" w:hAnsi="Calibri"/>
              </w:rPr>
            </w:pPr>
            <w:r w:rsidRPr="00495FBB">
              <w:rPr>
                <w:rFonts w:ascii="Calibri" w:hAnsi="Calibri"/>
              </w:rPr>
              <w:t>79.5</w:t>
            </w:r>
          </w:p>
        </w:tc>
      </w:tr>
      <w:tr w:rsidR="00FC360C" w:rsidRPr="0055733C" w14:paraId="401FF45C" w14:textId="77777777" w:rsidTr="002F237A">
        <w:tc>
          <w:tcPr>
            <w:tcW w:w="1908" w:type="dxa"/>
            <w:tcBorders>
              <w:top w:val="nil"/>
              <w:left w:val="nil"/>
              <w:bottom w:val="single" w:sz="12" w:space="0" w:color="auto"/>
              <w:right w:val="nil"/>
            </w:tcBorders>
          </w:tcPr>
          <w:p w14:paraId="0760D041" w14:textId="77777777" w:rsidR="00FC360C" w:rsidRPr="00495FBB" w:rsidRDefault="00FC360C" w:rsidP="00495FBB">
            <w:pPr>
              <w:pStyle w:val="BodyText"/>
              <w:spacing w:after="0" w:line="276" w:lineRule="auto"/>
              <w:rPr>
                <w:rFonts w:ascii="Calibri" w:hAnsi="Calibri"/>
              </w:rPr>
            </w:pPr>
            <w:r w:rsidRPr="00495FBB">
              <w:rPr>
                <w:rFonts w:ascii="Calibri" w:hAnsi="Calibri"/>
              </w:rPr>
              <w:t>[</w:t>
            </w:r>
            <w:r w:rsidRPr="00495FBB">
              <w:rPr>
                <w:rFonts w:ascii="Calibri" w:hAnsi="Calibri"/>
                <w:vertAlign w:val="superscript"/>
              </w:rPr>
              <w:t>13</w:t>
            </w:r>
            <w:r w:rsidRPr="00495FBB">
              <w:rPr>
                <w:rFonts w:ascii="Calibri" w:hAnsi="Calibri"/>
              </w:rPr>
              <w:t>C</w:t>
            </w:r>
            <w:r w:rsidRPr="00495FBB">
              <w:rPr>
                <w:rFonts w:ascii="Calibri" w:hAnsi="Calibri"/>
                <w:vertAlign w:val="subscript"/>
              </w:rPr>
              <w:t>4</w:t>
            </w:r>
            <w:r w:rsidRPr="00495FBB">
              <w:rPr>
                <w:rFonts w:ascii="Calibri" w:hAnsi="Calibri"/>
              </w:rPr>
              <w:t>]-PFOSi</w:t>
            </w:r>
          </w:p>
        </w:tc>
        <w:tc>
          <w:tcPr>
            <w:tcW w:w="1964" w:type="dxa"/>
            <w:tcBorders>
              <w:top w:val="nil"/>
              <w:left w:val="nil"/>
              <w:bottom w:val="single" w:sz="12" w:space="0" w:color="auto"/>
              <w:right w:val="nil"/>
            </w:tcBorders>
            <w:vAlign w:val="bottom"/>
          </w:tcPr>
          <w:p w14:paraId="282209B5" w14:textId="77777777" w:rsidR="00FC360C" w:rsidRPr="00495FBB" w:rsidRDefault="00FC360C" w:rsidP="00495FBB">
            <w:pPr>
              <w:pStyle w:val="BodyText"/>
              <w:spacing w:after="0" w:line="276" w:lineRule="auto"/>
              <w:rPr>
                <w:rFonts w:ascii="Calibri" w:hAnsi="Calibri"/>
              </w:rPr>
            </w:pPr>
            <w:r w:rsidRPr="00495FBB">
              <w:rPr>
                <w:rFonts w:ascii="Calibri" w:hAnsi="Calibri"/>
              </w:rPr>
              <w:t>486.9</w:t>
            </w:r>
          </w:p>
        </w:tc>
        <w:tc>
          <w:tcPr>
            <w:tcW w:w="1964" w:type="dxa"/>
            <w:tcBorders>
              <w:top w:val="nil"/>
              <w:left w:val="nil"/>
              <w:bottom w:val="single" w:sz="12" w:space="0" w:color="auto"/>
              <w:right w:val="nil"/>
            </w:tcBorders>
            <w:vAlign w:val="bottom"/>
          </w:tcPr>
          <w:p w14:paraId="3CDB3228" w14:textId="77777777" w:rsidR="00FC360C" w:rsidRPr="00495FBB" w:rsidRDefault="00FC360C" w:rsidP="00495FBB">
            <w:pPr>
              <w:pStyle w:val="BodyText"/>
              <w:spacing w:after="0" w:line="276" w:lineRule="auto"/>
              <w:rPr>
                <w:rFonts w:ascii="Calibri" w:hAnsi="Calibri"/>
              </w:rPr>
            </w:pPr>
            <w:r w:rsidRPr="00495FBB">
              <w:rPr>
                <w:rFonts w:ascii="Calibri" w:hAnsi="Calibri"/>
              </w:rPr>
              <w:t>422.9</w:t>
            </w:r>
          </w:p>
        </w:tc>
      </w:tr>
    </w:tbl>
    <w:p w14:paraId="24EE405F" w14:textId="77777777" w:rsidR="00FC360C" w:rsidRPr="0055733C" w:rsidRDefault="00FC360C" w:rsidP="0055733C">
      <w:pPr>
        <w:rPr>
          <w:szCs w:val="22"/>
        </w:rPr>
      </w:pPr>
    </w:p>
    <w:p w14:paraId="632832E8" w14:textId="77777777" w:rsidR="00FC360C" w:rsidRPr="0055733C" w:rsidRDefault="00FC360C" w:rsidP="00495FBB">
      <w:pPr>
        <w:pStyle w:val="Heading1"/>
      </w:pPr>
      <w:bookmarkStart w:id="264" w:name="_Toc511217543"/>
      <w:r w:rsidRPr="0055733C">
        <w:t>7.</w:t>
      </w:r>
      <w:r w:rsidRPr="0055733C">
        <w:tab/>
        <w:t>Calibration and quantification</w:t>
      </w:r>
      <w:bookmarkEnd w:id="264"/>
    </w:p>
    <w:p w14:paraId="1835E98B" w14:textId="77777777" w:rsidR="00FC360C" w:rsidRPr="0055733C" w:rsidRDefault="00FC360C" w:rsidP="00495FBB">
      <w:pPr>
        <w:pStyle w:val="Heading2"/>
      </w:pPr>
      <w:bookmarkStart w:id="265" w:name="_Toc511217544"/>
      <w:r w:rsidRPr="0055733C">
        <w:t>7.1</w:t>
      </w:r>
      <w:r w:rsidRPr="0055733C">
        <w:tab/>
        <w:t>Standards</w:t>
      </w:r>
      <w:bookmarkEnd w:id="265"/>
    </w:p>
    <w:p w14:paraId="674D2541"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The use of commercially available standards with a purity of &gt;99% is recommended. The purity of standards should be verified, as impurities from the same homologue group and isomers can occur.</w:t>
      </w:r>
    </w:p>
    <w:p w14:paraId="159B0B74"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Suggestions for mass-labelled IS are given in Table 1.5.5.4.1. Mass-labelled IS and an InjS are strongly recommended for the quantification of PFCs in biota. The IS and InjS have to be added before the extraction and the measurement, respectively. If possible the corresponding mass-labelled IS should be used for each target analyte. In case a mass-labelled standard is not available, an IS with similar physicochemical characteristics and recovery rates to the target compound can be used but matrix suppression/ enhancement effects must first be checked in LC-ESI-MS/MS.</w:t>
      </w:r>
    </w:p>
    <w:p w14:paraId="781316A3" w14:textId="77777777" w:rsidR="00FC360C" w:rsidRPr="0055733C" w:rsidRDefault="00FC360C" w:rsidP="00495FBB">
      <w:pPr>
        <w:pStyle w:val="Heading2"/>
      </w:pPr>
      <w:bookmarkStart w:id="266" w:name="_Toc511217545"/>
      <w:r w:rsidRPr="0055733C">
        <w:t>7.2</w:t>
      </w:r>
      <w:r w:rsidRPr="0055733C">
        <w:tab/>
        <w:t>Calibration</w:t>
      </w:r>
      <w:bookmarkEnd w:id="266"/>
    </w:p>
    <w:p w14:paraId="0F585F95"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The calibration curves must include the IS and InjS in the same range as the spike level. Linearity has to be checked for the calibration range and the correlation coefficient (R) should be better than 0.99. The lower linear range is defined by the quantification limits and blank level of the method. The blank response should be lower than 20% of the lowest calibration standard. A multilevel calibration should have at least five calibration levels.</w:t>
      </w:r>
    </w:p>
    <w:p w14:paraId="4C578E0D"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In case of matrix effects, standard addition may be an alternative calibration option. </w:t>
      </w:r>
    </w:p>
    <w:p w14:paraId="55F16808" w14:textId="77777777" w:rsidR="00FC360C" w:rsidRPr="0055733C" w:rsidRDefault="00FC360C" w:rsidP="00495FBB">
      <w:pPr>
        <w:pStyle w:val="Heading2"/>
      </w:pPr>
      <w:bookmarkStart w:id="267" w:name="_Toc511217546"/>
      <w:r w:rsidRPr="0055733C">
        <w:t>7.3</w:t>
      </w:r>
      <w:r w:rsidRPr="0055733C">
        <w:tab/>
        <w:t>Quantification</w:t>
      </w:r>
      <w:bookmarkEnd w:id="267"/>
    </w:p>
    <w:p w14:paraId="2930D68C"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Every detection and quantification must satisfy defined criteria for quality assurance </w:t>
      </w:r>
      <w:r w:rsidRPr="0055733C">
        <w:rPr>
          <w:rFonts w:ascii="Calibri" w:hAnsi="Calibri"/>
          <w:sz w:val="22"/>
          <w:szCs w:val="22"/>
        </w:rPr>
        <w:fldChar w:fldCharType="begin"/>
      </w:r>
      <w:r w:rsidRPr="0055733C">
        <w:rPr>
          <w:rFonts w:ascii="Calibri" w:hAnsi="Calibri"/>
          <w:sz w:val="22"/>
          <w:szCs w:val="22"/>
        </w:rPr>
        <w:instrText xml:space="preserve"> ADDIN EN.CITE &lt;EndNote&gt;&lt;Cite&gt;&lt;RecNum&gt;382&lt;/RecNum&gt;&lt;record&gt;&lt;rec-number&gt;382&lt;/rec-number&gt;&lt;ref-type name="Journal Article"&gt;17&lt;/ref-type&gt;&lt;contributors&gt;&lt;/contributors&gt;&lt;titles&gt;&lt;title&gt;U.S. Department of Health and Human Services, Food and Drug Administration (FDA), Center for Drug Evaluation and Research (CDER), Center for Veterinary Medicine (CVM)&lt;/title&gt;&lt;/titles&gt;&lt;pages&gt;&lt;style face="bold" font="default" size="100%"&gt;2001&lt;/style&gt;&lt;/pages&gt;&lt;volume&gt;Guidance for Industry - Bioanalytical Method Validation&lt;/volume&gt;&lt;dates&gt;&lt;/dates&gt;&lt;urls&gt;&lt;/urls&gt;&lt;/record&gt;&lt;/Cite&gt;&lt;/EndNote&gt;</w:instrText>
      </w:r>
      <w:r w:rsidRPr="0055733C">
        <w:rPr>
          <w:rFonts w:ascii="Calibri" w:hAnsi="Calibri"/>
          <w:sz w:val="22"/>
          <w:szCs w:val="22"/>
        </w:rPr>
        <w:fldChar w:fldCharType="separate"/>
      </w:r>
      <w:r w:rsidRPr="0055733C">
        <w:rPr>
          <w:rFonts w:ascii="Calibri" w:hAnsi="Calibri"/>
          <w:sz w:val="22"/>
          <w:szCs w:val="22"/>
        </w:rPr>
        <w:t>(14)</w:t>
      </w:r>
      <w:r w:rsidRPr="0055733C">
        <w:rPr>
          <w:rFonts w:ascii="Calibri" w:hAnsi="Calibri"/>
          <w:sz w:val="22"/>
          <w:szCs w:val="22"/>
        </w:rPr>
        <w:fldChar w:fldCharType="end"/>
      </w:r>
      <w:r w:rsidRPr="0055733C">
        <w:rPr>
          <w:rFonts w:ascii="Calibri" w:hAnsi="Calibri"/>
          <w:sz w:val="22"/>
          <w:szCs w:val="22"/>
        </w:rPr>
        <w:t>. If possible, two mass transitions should be recorded for each target analyte, one for quantification (quantifier) and one for qualitative identification (qualifier). The abundance ratio of these two masses in the sample is compared with that of the calibration standards. Usually, a positive detection is obtained if the ratio in the sample deviates less than 30% from the average ratio of the calibration standards. Relative retention times should also be used for identification.</w:t>
      </w:r>
    </w:p>
    <w:p w14:paraId="51A371F4"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For quantification the peak height must have a signal to noise ratio of over 10, exceed a measured blank by a factor of 5 and be above the lowest calibration point.</w:t>
      </w:r>
    </w:p>
    <w:p w14:paraId="06578738"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Some PFSAs and sulfonamides show more than one peak in the chromatogram, which is due to the presence of branched isomers. The ratio of the isomers can be different between the calibration standards</w:t>
      </w:r>
      <w:r w:rsidRPr="0055733C">
        <w:rPr>
          <w:rFonts w:ascii="Calibri" w:hAnsi="Calibri"/>
          <w:color w:val="FF0000"/>
          <w:sz w:val="22"/>
          <w:szCs w:val="22"/>
        </w:rPr>
        <w:t xml:space="preserve"> </w:t>
      </w:r>
      <w:r w:rsidRPr="0055733C">
        <w:rPr>
          <w:rFonts w:ascii="Calibri" w:hAnsi="Calibri"/>
          <w:sz w:val="22"/>
          <w:szCs w:val="22"/>
        </w:rPr>
        <w:t xml:space="preserve">and environmental samples. These isomers cannot be quantified precisely because of the lack of calibration standards. If the peak area of the branched isomer exceeds 10% of that of the linear isomer, it is recommended to estimate its concentration based on the response factor of the linear standard. </w:t>
      </w:r>
    </w:p>
    <w:p w14:paraId="66EB2032"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The PFCAs and PFSAs are almost dissociated completely in environmental matrices. If salts are used for the preparation of calibration standards, quantification should be calculated for the corresponding acids.</w:t>
      </w:r>
    </w:p>
    <w:p w14:paraId="653F087C" w14:textId="77777777" w:rsidR="00FC360C" w:rsidRPr="0055733C" w:rsidRDefault="00FC360C" w:rsidP="00495FBB">
      <w:pPr>
        <w:pStyle w:val="Heading1"/>
      </w:pPr>
      <w:bookmarkStart w:id="268" w:name="_Toc511217547"/>
      <w:r w:rsidRPr="0055733C">
        <w:t>8.</w:t>
      </w:r>
      <w:r w:rsidRPr="0055733C">
        <w:tab/>
        <w:t>Quality Assurance and Quality Control</w:t>
      </w:r>
      <w:bookmarkEnd w:id="268"/>
    </w:p>
    <w:p w14:paraId="3E357395"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Prior to the analysis of environmental samples, the method should be subject to a full method validation according to the requirements of the monitoring programme. This should include the determination of limits of detection, limits of quantification, trueness, </w:t>
      </w:r>
      <w:proofErr w:type="gramStart"/>
      <w:r w:rsidRPr="0055733C">
        <w:rPr>
          <w:rFonts w:ascii="Calibri" w:hAnsi="Calibri"/>
          <w:sz w:val="22"/>
          <w:szCs w:val="22"/>
        </w:rPr>
        <w:t>precision</w:t>
      </w:r>
      <w:proofErr w:type="gramEnd"/>
      <w:r w:rsidRPr="0055733C">
        <w:rPr>
          <w:rFonts w:ascii="Calibri" w:hAnsi="Calibri"/>
          <w:sz w:val="22"/>
          <w:szCs w:val="22"/>
        </w:rPr>
        <w:t>, linearity of calibration, measurement uncertainty, and robustness.</w:t>
      </w:r>
    </w:p>
    <w:p w14:paraId="23A0029B"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Every sample batch should include a procedural blank which is prepared in the same way as the samples. The number of samples per batch may differ between laboratories and depend on how many samples can be processed under comparable conditions.</w:t>
      </w:r>
    </w:p>
    <w:p w14:paraId="4C90C83A"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If mass labelled standards for the analytes are used, absolute recoveries between 50% and 150% are acceptable. In other cases, recoveries should be between 80% and 120%. </w:t>
      </w:r>
    </w:p>
    <w:p w14:paraId="695E43B1"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Within each batch, at least one sample should be extracted in duplicate. Laboratory control samples should be included in each batch of samples. The results should be documented and monitored in control charts.</w:t>
      </w:r>
    </w:p>
    <w:p w14:paraId="6057C959"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At present, no certified reference material is available for PFCs in biota. Possible bias in the analytical method should be checked by the analysis of spiked laboratory control samples. </w:t>
      </w:r>
    </w:p>
    <w:p w14:paraId="22D43253"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The laboratories should demonstrate their competence by participation in proficiency testing or intercalibration exercises relevant for the monitoring programme.</w:t>
      </w:r>
    </w:p>
    <w:p w14:paraId="419B6F92" w14:textId="77777777" w:rsidR="00FC360C" w:rsidRPr="0055733C" w:rsidRDefault="00FC360C" w:rsidP="00495FBB">
      <w:pPr>
        <w:pStyle w:val="Heading1"/>
      </w:pPr>
      <w:bookmarkStart w:id="269" w:name="_Toc511217548"/>
      <w:r w:rsidRPr="0055733C">
        <w:t>9.</w:t>
      </w:r>
      <w:r w:rsidRPr="0055733C">
        <w:tab/>
        <w:t>Data reporting</w:t>
      </w:r>
      <w:bookmarkEnd w:id="269"/>
    </w:p>
    <w:p w14:paraId="03141094" w14:textId="77777777" w:rsidR="00FC360C" w:rsidRPr="00495FBB" w:rsidRDefault="00FC360C" w:rsidP="00495FBB">
      <w:pPr>
        <w:pStyle w:val="BodyText"/>
        <w:spacing w:after="120" w:line="276" w:lineRule="auto"/>
        <w:rPr>
          <w:rFonts w:ascii="Calibri" w:hAnsi="Calibri"/>
          <w:sz w:val="22"/>
          <w:szCs w:val="22"/>
        </w:rPr>
      </w:pPr>
      <w:r w:rsidRPr="0055733C">
        <w:rPr>
          <w:rFonts w:ascii="Calibri" w:hAnsi="Calibri"/>
          <w:sz w:val="22"/>
          <w:szCs w:val="22"/>
        </w:rPr>
        <w:t>For routine analysis, the data report should be in accordance with the relevant monitoring program; it should include information about, for example, sampling, sample processing, storage, and analysis. Results should be reported along with the asso</w:t>
      </w:r>
      <w:r w:rsidR="00495FBB">
        <w:rPr>
          <w:rFonts w:ascii="Calibri" w:hAnsi="Calibri"/>
          <w:sz w:val="22"/>
          <w:szCs w:val="22"/>
        </w:rPr>
        <w:t>ciated measurement uncertainty.</w:t>
      </w:r>
    </w:p>
    <w:p w14:paraId="33CCBDC1" w14:textId="77777777" w:rsidR="00FC360C" w:rsidRPr="0055733C" w:rsidRDefault="00FC360C" w:rsidP="00495FBB">
      <w:pPr>
        <w:pStyle w:val="Heading1"/>
      </w:pPr>
      <w:bookmarkStart w:id="270" w:name="_Toc511217549"/>
      <w:r w:rsidRPr="0055733C">
        <w:t>10.</w:t>
      </w:r>
      <w:r w:rsidRPr="0055733C">
        <w:tab/>
        <w:t>References</w:t>
      </w:r>
      <w:bookmarkEnd w:id="270"/>
    </w:p>
    <w:p w14:paraId="50987399" w14:textId="77777777" w:rsidR="00FC360C" w:rsidRPr="0055733C" w:rsidRDefault="00FC360C" w:rsidP="0055733C">
      <w:pPr>
        <w:pStyle w:val="BodyText"/>
        <w:spacing w:after="120" w:line="276" w:lineRule="auto"/>
        <w:rPr>
          <w:rFonts w:ascii="Calibri" w:hAnsi="Calibri"/>
          <w:sz w:val="22"/>
          <w:szCs w:val="22"/>
        </w:rPr>
      </w:pPr>
      <w:proofErr w:type="gramStart"/>
      <w:r w:rsidRPr="0055733C">
        <w:rPr>
          <w:rFonts w:ascii="Calibri" w:hAnsi="Calibri"/>
          <w:sz w:val="22"/>
          <w:szCs w:val="22"/>
        </w:rPr>
        <w:t>Berger, U., Langlois, I., Oehme, M., and Kallenborn, R. 2004.</w:t>
      </w:r>
      <w:proofErr w:type="gramEnd"/>
      <w:r w:rsidRPr="0055733C">
        <w:rPr>
          <w:rFonts w:ascii="Calibri" w:hAnsi="Calibri"/>
          <w:sz w:val="22"/>
          <w:szCs w:val="22"/>
        </w:rPr>
        <w:t xml:space="preserve"> </w:t>
      </w:r>
      <w:proofErr w:type="gramStart"/>
      <w:r w:rsidRPr="0055733C">
        <w:rPr>
          <w:rFonts w:ascii="Calibri" w:hAnsi="Calibri"/>
          <w:sz w:val="22"/>
          <w:szCs w:val="22"/>
        </w:rPr>
        <w:t>Comparison of three types of mass spectrometer for high-performance liquid chromatography/mass spectrometry analysis of perfluoroalkylated substances and fluorotelomer alcohols.</w:t>
      </w:r>
      <w:proofErr w:type="gramEnd"/>
      <w:r w:rsidRPr="0055733C">
        <w:rPr>
          <w:rFonts w:ascii="Calibri" w:hAnsi="Calibri"/>
          <w:sz w:val="22"/>
          <w:szCs w:val="22"/>
        </w:rPr>
        <w:t xml:space="preserve"> </w:t>
      </w:r>
      <w:r w:rsidRPr="0055733C">
        <w:rPr>
          <w:rFonts w:ascii="Calibri" w:hAnsi="Calibri"/>
          <w:i/>
          <w:sz w:val="22"/>
          <w:szCs w:val="22"/>
        </w:rPr>
        <w:t>Eur. J. Mass. Spectrom.</w:t>
      </w:r>
      <w:r w:rsidRPr="0055733C">
        <w:rPr>
          <w:rFonts w:ascii="Calibri" w:hAnsi="Calibri"/>
          <w:sz w:val="22"/>
          <w:szCs w:val="22"/>
        </w:rPr>
        <w:t xml:space="preserve"> 10, 579–588.</w:t>
      </w:r>
    </w:p>
    <w:p w14:paraId="0397A74D"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Berger, U., and Haukas, M. 2005. Validation of a screening method based on liquid chromatography coupled to high-resolution mass spectrometry for analysis of perfluoroalkylated substances in biota. </w:t>
      </w:r>
      <w:r w:rsidRPr="0055733C">
        <w:rPr>
          <w:rFonts w:ascii="Calibri" w:hAnsi="Calibri"/>
          <w:i/>
          <w:sz w:val="22"/>
          <w:szCs w:val="22"/>
        </w:rPr>
        <w:t>J. Chromatogr. A</w:t>
      </w:r>
      <w:r w:rsidRPr="0055733C">
        <w:rPr>
          <w:rFonts w:ascii="Calibri" w:hAnsi="Calibri"/>
          <w:sz w:val="22"/>
          <w:szCs w:val="22"/>
        </w:rPr>
        <w:t xml:space="preserve"> 1081, 210–217.</w:t>
      </w:r>
    </w:p>
    <w:p w14:paraId="6BF9EBF8"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Draft International Standard ISO/DIS 25101. 2006. Water quality – Determination of perfluorooctanesulfonate (PFOS) and perfluorooctanate (PFOA) – Method for unfiltered samples using solid phase extraction and liquid chromatography/mass spectrometry.</w:t>
      </w:r>
    </w:p>
    <w:p w14:paraId="6DDE6F5E"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Ellis, D. A., Martin, J. W., Mabury, S. A., De Silva, A. O., Hurley, M. D., Sulbaek Anderson, M. D., and Wallington, T. J. 2004. Degradation of Fluorotelomer Alcohols: A Likely Atmospheric Source of Perfluorinated Carboxylic Acids. </w:t>
      </w:r>
      <w:r w:rsidRPr="0055733C">
        <w:rPr>
          <w:rFonts w:ascii="Calibri" w:hAnsi="Calibri"/>
          <w:i/>
          <w:sz w:val="22"/>
          <w:szCs w:val="22"/>
        </w:rPr>
        <w:t>Environ. Sci. Technol.</w:t>
      </w:r>
      <w:r w:rsidRPr="0055733C">
        <w:rPr>
          <w:rFonts w:ascii="Calibri" w:hAnsi="Calibri"/>
          <w:sz w:val="22"/>
          <w:szCs w:val="22"/>
        </w:rPr>
        <w:t>, 38, 3316–3321.</w:t>
      </w:r>
    </w:p>
    <w:p w14:paraId="0963671B"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fldChar w:fldCharType="begin"/>
      </w:r>
      <w:r w:rsidRPr="0055733C">
        <w:rPr>
          <w:rFonts w:ascii="Calibri" w:hAnsi="Calibri"/>
          <w:sz w:val="22"/>
          <w:szCs w:val="22"/>
        </w:rPr>
        <w:instrText xml:space="preserve"> ADDIN EN.REFLIST </w:instrText>
      </w:r>
      <w:r w:rsidRPr="0055733C">
        <w:rPr>
          <w:rFonts w:ascii="Calibri" w:hAnsi="Calibri"/>
          <w:sz w:val="22"/>
          <w:szCs w:val="22"/>
        </w:rPr>
        <w:fldChar w:fldCharType="separate"/>
      </w:r>
      <w:r w:rsidRPr="0055733C">
        <w:rPr>
          <w:rFonts w:ascii="Calibri" w:hAnsi="Calibri"/>
          <w:sz w:val="22"/>
          <w:szCs w:val="22"/>
        </w:rPr>
        <w:t xml:space="preserve">Giesy, J. P., and Kannan, K. 2001. Global distribution of perfluorooctane sulfonate in wildlife. </w:t>
      </w:r>
      <w:r w:rsidRPr="0055733C">
        <w:rPr>
          <w:rFonts w:ascii="Calibri" w:hAnsi="Calibri"/>
          <w:i/>
          <w:sz w:val="22"/>
          <w:szCs w:val="22"/>
        </w:rPr>
        <w:t>Environ. Sci. Technol.</w:t>
      </w:r>
      <w:r w:rsidRPr="0055733C">
        <w:rPr>
          <w:rFonts w:ascii="Calibri" w:hAnsi="Calibri"/>
          <w:sz w:val="22"/>
          <w:szCs w:val="22"/>
        </w:rPr>
        <w:t xml:space="preserve"> 35, 1339–1342.</w:t>
      </w:r>
    </w:p>
    <w:p w14:paraId="45773752"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Hansen, K. J., Clemen, L. A., Ellefson, M. E., and Johnson, H. O. 2001. Compound-specific, quantitative characterization of organic fluorochemicals in biological matrices. </w:t>
      </w:r>
      <w:r w:rsidRPr="0055733C">
        <w:rPr>
          <w:rFonts w:ascii="Calibri" w:hAnsi="Calibri"/>
          <w:i/>
          <w:sz w:val="22"/>
          <w:szCs w:val="22"/>
        </w:rPr>
        <w:t>Environ. Sci. Technol.</w:t>
      </w:r>
      <w:r w:rsidRPr="0055733C">
        <w:rPr>
          <w:rFonts w:ascii="Calibri" w:hAnsi="Calibri"/>
          <w:sz w:val="22"/>
          <w:szCs w:val="22"/>
        </w:rPr>
        <w:t xml:space="preserve"> 35, 766–770.</w:t>
      </w:r>
    </w:p>
    <w:p w14:paraId="09922DB1"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Jones, P. D., Hu, W. Y., De Coen, W., Newsted, J. L., and Giesy, J. P. 2003. Binding of perfluorinated fatty acids to serum proteins. </w:t>
      </w:r>
      <w:r w:rsidRPr="0055733C">
        <w:rPr>
          <w:rFonts w:ascii="Calibri" w:hAnsi="Calibri"/>
          <w:i/>
          <w:sz w:val="22"/>
          <w:szCs w:val="22"/>
        </w:rPr>
        <w:t>Environ. Toxicol. Chem.</w:t>
      </w:r>
      <w:r w:rsidRPr="0055733C">
        <w:rPr>
          <w:rFonts w:ascii="Calibri" w:hAnsi="Calibri"/>
          <w:sz w:val="22"/>
          <w:szCs w:val="22"/>
        </w:rPr>
        <w:t xml:space="preserve"> 22, 2639–2649.</w:t>
      </w:r>
    </w:p>
    <w:p w14:paraId="47EF9E2A"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Kissa, E. 2001. Fluorinated Surfactants and Repellents. </w:t>
      </w:r>
      <w:r w:rsidRPr="0055733C">
        <w:rPr>
          <w:rFonts w:ascii="Calibri" w:hAnsi="Calibri"/>
          <w:i/>
          <w:sz w:val="22"/>
          <w:szCs w:val="22"/>
        </w:rPr>
        <w:t>Marcel Dekker</w:t>
      </w:r>
      <w:r w:rsidRPr="0055733C">
        <w:rPr>
          <w:rFonts w:ascii="Calibri" w:hAnsi="Calibri"/>
          <w:sz w:val="22"/>
          <w:szCs w:val="22"/>
        </w:rPr>
        <w:t>, 97.</w:t>
      </w:r>
    </w:p>
    <w:p w14:paraId="4E939A4F"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Maestri, L., Negri, S., Ferrari, M., Ghittori, S., Fabris, F., Danesino, P., and Imbriani, M. 2006. Determination of perfluorooctanoic acid and perfluorooctanesulfonate in human tissue by liquid chromatography/single quadrupole mass spectrometry. </w:t>
      </w:r>
      <w:r w:rsidRPr="0055733C">
        <w:rPr>
          <w:rFonts w:ascii="Calibri" w:hAnsi="Calibri"/>
          <w:i/>
          <w:sz w:val="22"/>
          <w:szCs w:val="22"/>
        </w:rPr>
        <w:t>Rapid Commun. Mass Spectrom.</w:t>
      </w:r>
      <w:r w:rsidRPr="0055733C">
        <w:rPr>
          <w:rFonts w:ascii="Calibri" w:hAnsi="Calibri"/>
          <w:sz w:val="22"/>
          <w:szCs w:val="22"/>
        </w:rPr>
        <w:t xml:space="preserve"> 20, 2728–2734.</w:t>
      </w:r>
    </w:p>
    <w:p w14:paraId="0F939581"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Powley, C. R., George, S. W., Ryan, T. W., and Buck, R. C. 2005. Matrix Effect-Free Analytical Methods for Determination of Perfluorinated Carboxylic Acids in Environmental Matrixes. </w:t>
      </w:r>
      <w:r w:rsidRPr="0055733C">
        <w:rPr>
          <w:rFonts w:ascii="Calibri" w:hAnsi="Calibri"/>
          <w:i/>
          <w:sz w:val="22"/>
          <w:szCs w:val="22"/>
        </w:rPr>
        <w:t>Anal. Chem.</w:t>
      </w:r>
      <w:r w:rsidRPr="0055733C">
        <w:rPr>
          <w:rFonts w:ascii="Calibri" w:hAnsi="Calibri"/>
          <w:sz w:val="22"/>
          <w:szCs w:val="22"/>
        </w:rPr>
        <w:t xml:space="preserve"> 77, 6353-6358.</w:t>
      </w:r>
    </w:p>
    <w:p w14:paraId="2BDB304F"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So, M. K., Taniyasu, S., Lam, P. K. S., Zheng, J. P., Giesy, J. P., and Yamashita, N. 2006. Alkaline Digestion and Solid Phase Extraction Method for Perfluorinated Compounds in Mussels and Oysters from South China and Japan. </w:t>
      </w:r>
      <w:r w:rsidRPr="0055733C">
        <w:rPr>
          <w:rFonts w:ascii="Calibri" w:hAnsi="Calibri"/>
          <w:i/>
          <w:sz w:val="22"/>
          <w:szCs w:val="22"/>
        </w:rPr>
        <w:t>Arch. Environ. Contam. Toxicol.</w:t>
      </w:r>
      <w:r w:rsidRPr="0055733C">
        <w:rPr>
          <w:rFonts w:ascii="Calibri" w:hAnsi="Calibri"/>
          <w:sz w:val="22"/>
          <w:szCs w:val="22"/>
        </w:rPr>
        <w:t xml:space="preserve"> 50, 240-248.</w:t>
      </w:r>
    </w:p>
    <w:p w14:paraId="12D91441"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 xml:space="preserve">Theobald, N., Gerwinski, W., Caliebe, C., and Haarich, M. 2007. Entwicklung und Validierung einer Methode zur Bestimmung von polyfluorierten organischen Substanzen in Meerwasser, Sedimenten und Biota; Untersuchungen zum Vorkommen dieser Schadstoffe in der Nord- und Ostsee. </w:t>
      </w:r>
      <w:r w:rsidRPr="0055733C">
        <w:rPr>
          <w:rFonts w:ascii="Calibri" w:hAnsi="Calibri"/>
          <w:i/>
          <w:sz w:val="22"/>
          <w:szCs w:val="22"/>
        </w:rPr>
        <w:t>UBA-Texte 41/2007</w:t>
      </w:r>
      <w:r w:rsidRPr="0055733C">
        <w:rPr>
          <w:rFonts w:ascii="Calibri" w:hAnsi="Calibri"/>
          <w:sz w:val="22"/>
          <w:szCs w:val="22"/>
        </w:rPr>
        <w:t xml:space="preserve"> (abstract in English and German, text in German).</w:t>
      </w:r>
    </w:p>
    <w:p w14:paraId="2CEAB504"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t>U.S. Department of Health and Human Services, Food and Drug Administration (FDA), Center for Drug Evaluation and Research (CDER), Center for Veterinary Medicine (CVM). Guidance for Industry – Bioanalytical Method Validation, 2001.</w:t>
      </w:r>
    </w:p>
    <w:p w14:paraId="432F2528" w14:textId="77777777" w:rsidR="00FC360C" w:rsidRPr="0055733C" w:rsidRDefault="00FC360C" w:rsidP="0055733C">
      <w:pPr>
        <w:pStyle w:val="BodyText"/>
        <w:spacing w:after="120" w:line="276" w:lineRule="auto"/>
        <w:rPr>
          <w:rFonts w:ascii="Calibri" w:hAnsi="Calibri"/>
          <w:sz w:val="22"/>
          <w:szCs w:val="22"/>
        </w:rPr>
      </w:pPr>
      <w:r w:rsidRPr="0055733C">
        <w:rPr>
          <w:rFonts w:ascii="Calibri" w:hAnsi="Calibri"/>
          <w:sz w:val="22"/>
          <w:szCs w:val="22"/>
        </w:rPr>
        <w:fldChar w:fldCharType="end"/>
      </w:r>
      <w:proofErr w:type="gramStart"/>
      <w:r w:rsidRPr="0055733C">
        <w:rPr>
          <w:rFonts w:ascii="Calibri" w:hAnsi="Calibri"/>
          <w:sz w:val="22"/>
          <w:szCs w:val="22"/>
        </w:rPr>
        <w:t>Yamashita, N., Kannan, K., Taniyasu, S., Horii, Y., Okazawa, T., Petrick, G., and Gamo, T. 2004.</w:t>
      </w:r>
      <w:proofErr w:type="gramEnd"/>
      <w:r w:rsidRPr="0055733C">
        <w:rPr>
          <w:rFonts w:ascii="Calibri" w:hAnsi="Calibri"/>
          <w:sz w:val="22"/>
          <w:szCs w:val="22"/>
        </w:rPr>
        <w:t xml:space="preserve"> Analysis of Perfluorinated Acids at Parts-Per-Quadrillion Levels in Seawater Using Liquid Chromatography-Tandem Mass Spectrometry. </w:t>
      </w:r>
      <w:r w:rsidRPr="0055733C">
        <w:rPr>
          <w:rFonts w:ascii="Calibri" w:hAnsi="Calibri"/>
          <w:i/>
          <w:sz w:val="22"/>
          <w:szCs w:val="22"/>
        </w:rPr>
        <w:t xml:space="preserve">Environ. </w:t>
      </w:r>
      <w:proofErr w:type="gramStart"/>
      <w:r w:rsidRPr="0055733C">
        <w:rPr>
          <w:rFonts w:ascii="Calibri" w:hAnsi="Calibri"/>
          <w:i/>
          <w:sz w:val="22"/>
          <w:szCs w:val="22"/>
        </w:rPr>
        <w:t>Sci. Technol.</w:t>
      </w:r>
      <w:r w:rsidRPr="0055733C">
        <w:rPr>
          <w:rFonts w:ascii="Calibri" w:hAnsi="Calibri"/>
          <w:sz w:val="22"/>
          <w:szCs w:val="22"/>
        </w:rPr>
        <w:t xml:space="preserve"> 38, 5522–5528.</w:t>
      </w:r>
      <w:proofErr w:type="gramEnd"/>
    </w:p>
    <w:p w14:paraId="02B14D0C" w14:textId="77777777" w:rsidR="00FC360C" w:rsidRPr="0055733C" w:rsidRDefault="00FC360C" w:rsidP="0055733C">
      <w:pPr>
        <w:ind w:left="720" w:hanging="720"/>
        <w:rPr>
          <w:szCs w:val="22"/>
        </w:rPr>
      </w:pPr>
    </w:p>
    <w:p w14:paraId="66E56CD8" w14:textId="77777777" w:rsidR="00FC360C" w:rsidRPr="00F63BAF" w:rsidRDefault="00FC360C" w:rsidP="00495FBB">
      <w:pPr>
        <w:pStyle w:val="Title"/>
      </w:pPr>
      <w:r w:rsidRPr="00F63BAF">
        <w:br w:type="page"/>
      </w:r>
      <w:bookmarkStart w:id="271" w:name="_Toc511217550"/>
      <w:r w:rsidRPr="00F63BAF">
        <w:t>Technical Annex 7: Organotin compounds in biota</w:t>
      </w:r>
      <w:bookmarkEnd w:id="271"/>
    </w:p>
    <w:p w14:paraId="0A8D901D"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This annex is intended as a supplement to the general guidelines. It is not a complete description or a substitute for detailed analytical instructions. The annex provides guidelines for the measurement of organtins, in marine biota in monitoring programmes. Target compounds include tributyltin (TBT), dibutyltin (DBT) and monobutyltin (MBT) and also triphenyltin (TPhT), diphenyltin (DPhT), and monophenyltin (MPhT).</w:t>
      </w:r>
    </w:p>
    <w:p w14:paraId="73DE5364" w14:textId="77777777" w:rsidR="00FC360C" w:rsidRPr="00935187" w:rsidRDefault="00FC360C" w:rsidP="00935187">
      <w:pPr>
        <w:pStyle w:val="Heading1"/>
      </w:pPr>
      <w:bookmarkStart w:id="272" w:name="_Toc511217551"/>
      <w:r w:rsidRPr="00935187">
        <w:t>1.</w:t>
      </w:r>
      <w:r w:rsidRPr="00935187">
        <w:tab/>
        <w:t>Species</w:t>
      </w:r>
      <w:bookmarkEnd w:id="272"/>
    </w:p>
    <w:p w14:paraId="33321FA3"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 xml:space="preserve">Target species for the monitoring of organotin compounds are shellfish, in particular bivalves like </w:t>
      </w:r>
      <w:r w:rsidRPr="00935187">
        <w:rPr>
          <w:rFonts w:ascii="Calibri" w:hAnsi="Calibri"/>
          <w:i/>
          <w:sz w:val="22"/>
          <w:szCs w:val="22"/>
        </w:rPr>
        <w:t>Mytilus edulis</w:t>
      </w:r>
      <w:r w:rsidRPr="00935187">
        <w:rPr>
          <w:rFonts w:ascii="Calibri" w:hAnsi="Calibri"/>
          <w:sz w:val="22"/>
          <w:szCs w:val="22"/>
        </w:rPr>
        <w:t xml:space="preserve"> or </w:t>
      </w:r>
      <w:r w:rsidRPr="00935187">
        <w:rPr>
          <w:rFonts w:ascii="Calibri" w:hAnsi="Calibri"/>
          <w:i/>
          <w:sz w:val="22"/>
          <w:szCs w:val="22"/>
        </w:rPr>
        <w:t>Mytilus galloprovincialis</w:t>
      </w:r>
      <w:r w:rsidRPr="00935187">
        <w:rPr>
          <w:rFonts w:ascii="Calibri" w:hAnsi="Calibri"/>
          <w:sz w:val="22"/>
          <w:szCs w:val="22"/>
        </w:rPr>
        <w:t xml:space="preserve">. </w:t>
      </w:r>
      <w:r w:rsidRPr="00935187">
        <w:rPr>
          <w:rFonts w:ascii="Calibri" w:hAnsi="Calibri"/>
          <w:i/>
          <w:sz w:val="22"/>
          <w:szCs w:val="22"/>
        </w:rPr>
        <w:t>Mytilus edulis</w:t>
      </w:r>
      <w:r w:rsidRPr="00935187">
        <w:rPr>
          <w:rFonts w:ascii="Calibri" w:hAnsi="Calibri"/>
          <w:sz w:val="22"/>
          <w:szCs w:val="22"/>
        </w:rPr>
        <w:t xml:space="preserve"> occurs in shallow waters along almost all coasts of the Contracting Parties. It is therefore suitable for monitoring in nearshore waters. No distinction is made between </w:t>
      </w:r>
      <w:r w:rsidRPr="00935187">
        <w:rPr>
          <w:rFonts w:ascii="Calibri" w:hAnsi="Calibri"/>
          <w:i/>
          <w:sz w:val="22"/>
          <w:szCs w:val="22"/>
        </w:rPr>
        <w:t>M. edulis</w:t>
      </w:r>
      <w:r w:rsidRPr="00935187">
        <w:rPr>
          <w:rFonts w:ascii="Calibri" w:hAnsi="Calibri"/>
          <w:sz w:val="22"/>
          <w:szCs w:val="22"/>
        </w:rPr>
        <w:t xml:space="preserve"> and </w:t>
      </w:r>
      <w:r w:rsidRPr="00935187">
        <w:rPr>
          <w:rFonts w:ascii="Calibri" w:hAnsi="Calibri"/>
          <w:i/>
          <w:sz w:val="22"/>
          <w:szCs w:val="22"/>
        </w:rPr>
        <w:t>M.galloprovincialis</w:t>
      </w:r>
      <w:r w:rsidRPr="00935187">
        <w:rPr>
          <w:rFonts w:ascii="Calibri" w:hAnsi="Calibri"/>
          <w:sz w:val="22"/>
          <w:szCs w:val="22"/>
        </w:rPr>
        <w:t xml:space="preserve"> because the latter, which may occur along the coast from Spain and Portugal to the sorthern coasts of UK, cannot easily be discerned from </w:t>
      </w:r>
      <w:r w:rsidRPr="00935187">
        <w:rPr>
          <w:rFonts w:ascii="Calibri" w:hAnsi="Calibri"/>
          <w:i/>
          <w:sz w:val="22"/>
          <w:szCs w:val="22"/>
        </w:rPr>
        <w:t>M. edulis</w:t>
      </w:r>
      <w:r w:rsidRPr="00935187">
        <w:rPr>
          <w:rFonts w:ascii="Calibri" w:hAnsi="Calibri"/>
          <w:sz w:val="22"/>
          <w:szCs w:val="22"/>
        </w:rPr>
        <w:t>. A sampling size range of 3</w:t>
      </w:r>
      <w:r w:rsidRPr="00935187">
        <w:rPr>
          <w:rFonts w:ascii="Calibri" w:hAnsi="Calibri"/>
          <w:sz w:val="22"/>
          <w:szCs w:val="22"/>
        </w:rPr>
        <w:noBreakHyphen/>
        <w:t xml:space="preserve">6 cm is specified to ensure availability throughout the whole maritime area. The Pacific oyster </w:t>
      </w:r>
      <w:r w:rsidRPr="00935187">
        <w:rPr>
          <w:rFonts w:ascii="Calibri" w:hAnsi="Calibri"/>
          <w:i/>
          <w:sz w:val="22"/>
          <w:szCs w:val="22"/>
        </w:rPr>
        <w:t>(Crassostrea gigas)</w:t>
      </w:r>
      <w:r w:rsidRPr="00935187">
        <w:rPr>
          <w:rFonts w:ascii="Calibri" w:hAnsi="Calibri"/>
          <w:sz w:val="22"/>
          <w:szCs w:val="22"/>
        </w:rPr>
        <w:t xml:space="preserve"> should be sampled in areas where </w:t>
      </w:r>
      <w:r w:rsidRPr="00935187">
        <w:rPr>
          <w:rFonts w:ascii="Calibri" w:hAnsi="Calibri"/>
          <w:i/>
          <w:sz w:val="22"/>
          <w:szCs w:val="22"/>
        </w:rPr>
        <w:t xml:space="preserve">Mytilus sp. </w:t>
      </w:r>
      <w:r w:rsidRPr="00935187">
        <w:rPr>
          <w:rFonts w:ascii="Calibri" w:hAnsi="Calibri"/>
          <w:sz w:val="22"/>
          <w:szCs w:val="22"/>
        </w:rPr>
        <w:t>is not available. The sampling size should be within the length range 9</w:t>
      </w:r>
      <w:r w:rsidRPr="00935187">
        <w:rPr>
          <w:rFonts w:ascii="Calibri" w:hAnsi="Calibri"/>
          <w:sz w:val="22"/>
          <w:szCs w:val="22"/>
        </w:rPr>
        <w:noBreakHyphen/>
        <w:t>14 cm to ensure individuals of the 2 year age class.</w:t>
      </w:r>
    </w:p>
    <w:p w14:paraId="24F470E1" w14:textId="77777777" w:rsidR="00FC360C" w:rsidRPr="00935187" w:rsidRDefault="00FC360C" w:rsidP="00935187">
      <w:pPr>
        <w:rPr>
          <w:szCs w:val="22"/>
        </w:rPr>
      </w:pPr>
      <w:r w:rsidRPr="00935187">
        <w:rPr>
          <w:szCs w:val="22"/>
        </w:rPr>
        <w:t>Gastropods can also be used for TBT indicators, for instance in relation to biological effect monitoring. However, gastropods do not feed as continuously as bivalves and have a higher capacity of TBT metabolism, possibly resulting in a higher variability of TBT body burdens in gastropods compared with bivalves. In addition, correlation between imposex and TBT body burdens in the environment can be low, because of a time-lag between current TBT levels and imposex induced irreversibly in the early life stages and also because of non-continous feeding strategies. In some sensitive gastropod species, imposex can also be induced by TBT at lower levels than analytical detection limits generally achieved.</w:t>
      </w:r>
    </w:p>
    <w:p w14:paraId="509B3836" w14:textId="77777777" w:rsidR="00FC360C" w:rsidRPr="00935187" w:rsidRDefault="00FC360C" w:rsidP="00935187">
      <w:pPr>
        <w:pStyle w:val="Heading1"/>
      </w:pPr>
      <w:bookmarkStart w:id="273" w:name="_Toc511217552"/>
      <w:r w:rsidRPr="00935187">
        <w:t>2.</w:t>
      </w:r>
      <w:r w:rsidRPr="00935187">
        <w:tab/>
        <w:t>Sampling</w:t>
      </w:r>
      <w:bookmarkEnd w:id="273"/>
    </w:p>
    <w:p w14:paraId="6DC84C9A"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 xml:space="preserve">Two alternative sampling strategies are described: sampling to minimise natural variability and length-stratified sampling. References of relevance to sampling and statistics include Gilbert (1987); Bignert </w:t>
      </w:r>
      <w:r w:rsidRPr="00935187">
        <w:rPr>
          <w:rFonts w:ascii="Calibri" w:hAnsi="Calibri"/>
          <w:i/>
          <w:sz w:val="22"/>
          <w:szCs w:val="22"/>
        </w:rPr>
        <w:t>et al.</w:t>
      </w:r>
      <w:r w:rsidRPr="00935187">
        <w:rPr>
          <w:rFonts w:ascii="Calibri" w:hAnsi="Calibri"/>
          <w:sz w:val="22"/>
          <w:szCs w:val="22"/>
        </w:rPr>
        <w:t xml:space="preserve"> (1993 and 1994); Nicholson and Fryer (1996); and Nicholson </w:t>
      </w:r>
      <w:r w:rsidRPr="00935187">
        <w:rPr>
          <w:rFonts w:ascii="Calibri" w:hAnsi="Calibri"/>
          <w:i/>
          <w:sz w:val="22"/>
          <w:szCs w:val="22"/>
        </w:rPr>
        <w:t>et al.</w:t>
      </w:r>
      <w:r w:rsidRPr="00935187">
        <w:rPr>
          <w:rFonts w:ascii="Calibri" w:hAnsi="Calibri"/>
          <w:sz w:val="22"/>
          <w:szCs w:val="22"/>
        </w:rPr>
        <w:t xml:space="preserve"> (1997). Advice on sampling strategies for temporal trend and spatial monitoring in shellfish are provided in OSPAR’s general </w:t>
      </w:r>
      <w:r w:rsidR="007D149A">
        <w:rPr>
          <w:rFonts w:ascii="Calibri" w:hAnsi="Calibri"/>
          <w:sz w:val="22"/>
          <w:szCs w:val="22"/>
        </w:rPr>
        <w:t>CEMP</w:t>
      </w:r>
      <w:r w:rsidRPr="00935187">
        <w:rPr>
          <w:rFonts w:ascii="Calibri" w:hAnsi="Calibri"/>
          <w:sz w:val="22"/>
          <w:szCs w:val="22"/>
        </w:rPr>
        <w:t xml:space="preserve"> Guidelines for Monitoring Contaminants in Biota and in Techncial Annex 1: Organic Contaminants.</w:t>
      </w:r>
    </w:p>
    <w:p w14:paraId="382F99BF" w14:textId="77777777" w:rsidR="00FC360C" w:rsidRPr="00935187" w:rsidRDefault="00FC360C" w:rsidP="00935187">
      <w:pPr>
        <w:pStyle w:val="Heading1"/>
      </w:pPr>
      <w:bookmarkStart w:id="274" w:name="_Toc511217553"/>
      <w:r w:rsidRPr="00935187">
        <w:t>3.</w:t>
      </w:r>
      <w:r w:rsidRPr="00935187">
        <w:tab/>
        <w:t>Transportation</w:t>
      </w:r>
      <w:bookmarkEnd w:id="274"/>
    </w:p>
    <w:p w14:paraId="1529FA26"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Samples should be kept cool and frozen at &lt;-20°C as soon as possible after collection. Length and weight should be determined before freezing. Live mussels should be transported in closed containers at temperatures between 5</w:t>
      </w:r>
      <w:r w:rsidRPr="00935187">
        <w:rPr>
          <w:rFonts w:ascii="Calibri" w:hAnsi="Calibri"/>
          <w:sz w:val="22"/>
          <w:szCs w:val="22"/>
        </w:rPr>
        <w:noBreakHyphen/>
        <w:t xml:space="preserve">15°C, preferably &lt;10°C. Frozen samples should be transported in closed containers at temperatures </w:t>
      </w:r>
      <w:r w:rsidRPr="00935187">
        <w:rPr>
          <w:rFonts w:ascii="Calibri" w:hAnsi="Calibri"/>
          <w:sz w:val="22"/>
          <w:szCs w:val="22"/>
        </w:rPr>
        <w:sym w:font="Symbol" w:char="F03C"/>
      </w:r>
      <w:r w:rsidRPr="00935187">
        <w:rPr>
          <w:rFonts w:ascii="Calibri" w:hAnsi="Calibri"/>
          <w:sz w:val="22"/>
          <w:szCs w:val="22"/>
        </w:rPr>
        <w:t xml:space="preserve">-20°C. More rigorous conditions will be necessary for samples for biological effects monitoring, </w:t>
      </w:r>
      <w:r w:rsidRPr="00935187">
        <w:rPr>
          <w:rFonts w:ascii="Calibri" w:hAnsi="Calibri"/>
          <w:i/>
          <w:sz w:val="22"/>
          <w:szCs w:val="22"/>
        </w:rPr>
        <w:t>e.g.</w:t>
      </w:r>
      <w:r w:rsidRPr="00935187">
        <w:rPr>
          <w:rFonts w:ascii="Calibri" w:hAnsi="Calibri"/>
          <w:sz w:val="22"/>
          <w:szCs w:val="22"/>
        </w:rPr>
        <w:t xml:space="preserve"> storage in liquid nitrogen.</w:t>
      </w:r>
    </w:p>
    <w:p w14:paraId="066E3B68" w14:textId="77777777" w:rsidR="00FC360C" w:rsidRPr="00935187" w:rsidRDefault="00FC360C" w:rsidP="00935187">
      <w:pPr>
        <w:pStyle w:val="Heading1"/>
      </w:pPr>
      <w:bookmarkStart w:id="275" w:name="_Toc511217554"/>
      <w:r w:rsidRPr="00935187">
        <w:t>4.</w:t>
      </w:r>
      <w:r w:rsidRPr="00935187">
        <w:tab/>
        <w:t>Pre-treatment and storage</w:t>
      </w:r>
      <w:bookmarkEnd w:id="275"/>
    </w:p>
    <w:p w14:paraId="4DE9AFB7" w14:textId="77777777" w:rsidR="00FC360C" w:rsidRPr="00935187" w:rsidRDefault="00FC360C" w:rsidP="00935187">
      <w:pPr>
        <w:pStyle w:val="Heading2"/>
      </w:pPr>
      <w:bookmarkStart w:id="276" w:name="_Toc511217555"/>
      <w:r w:rsidRPr="00935187">
        <w:t>4.1</w:t>
      </w:r>
      <w:r w:rsidRPr="00935187">
        <w:tab/>
        <w:t>Contamination</w:t>
      </w:r>
      <w:bookmarkEnd w:id="276"/>
    </w:p>
    <w:p w14:paraId="1906DC65" w14:textId="77777777" w:rsidR="00FC360C" w:rsidRPr="00935187" w:rsidRDefault="00FC360C" w:rsidP="00935187">
      <w:pPr>
        <w:pStyle w:val="BodyText"/>
        <w:spacing w:after="120" w:line="276" w:lineRule="auto"/>
        <w:rPr>
          <w:rFonts w:ascii="Calibri" w:hAnsi="Calibri"/>
          <w:b/>
          <w:sz w:val="22"/>
          <w:szCs w:val="22"/>
        </w:rPr>
      </w:pPr>
      <w:r w:rsidRPr="00935187">
        <w:rPr>
          <w:rFonts w:ascii="Calibri" w:hAnsi="Calibri"/>
          <w:sz w:val="22"/>
          <w:szCs w:val="22"/>
        </w:rPr>
        <w:t>Sample contamination may occur during sampling, sample handling, pre-treatment, and analysis (Oehlenschläger, 1994), due to the environment, the containers or packing material used, the instruments used during sample preparation or from the chemical reagents used during the analytical procedures. Controlled conditions are therefore required for all procedures, including the dissection of organisms on board ship.</w:t>
      </w:r>
    </w:p>
    <w:p w14:paraId="3741CB29" w14:textId="77777777" w:rsidR="00FC360C" w:rsidRPr="00935187" w:rsidRDefault="00FC360C" w:rsidP="00935187">
      <w:pPr>
        <w:pStyle w:val="Heading2"/>
      </w:pPr>
      <w:bookmarkStart w:id="277" w:name="_Toc511217556"/>
      <w:r w:rsidRPr="00935187">
        <w:t>4.2</w:t>
      </w:r>
      <w:r w:rsidRPr="00935187">
        <w:tab/>
        <w:t>Depuration</w:t>
      </w:r>
      <w:bookmarkEnd w:id="277"/>
    </w:p>
    <w:p w14:paraId="721BADC5"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Mussels should be placed on a polyethylene tray elevated above the bottom of a glass aquarium. The aquarium should be filled with sub-surface sea water collected from the same site as the samples and which has not been subject to contamination from point sources if possible. The aquarium should be aerated and the mussels left for 20</w:t>
      </w:r>
      <w:r w:rsidRPr="00935187">
        <w:rPr>
          <w:rFonts w:ascii="Calibri" w:hAnsi="Calibri"/>
          <w:sz w:val="22"/>
          <w:szCs w:val="22"/>
        </w:rPr>
        <w:noBreakHyphen/>
        <w:t>24 hours at water temperatures and salinity close to those from which the samples were removed.</w:t>
      </w:r>
    </w:p>
    <w:p w14:paraId="2AE66284" w14:textId="77777777" w:rsidR="00FC360C" w:rsidRPr="00935187" w:rsidRDefault="00FC360C" w:rsidP="00935187">
      <w:pPr>
        <w:pStyle w:val="Heading2"/>
      </w:pPr>
      <w:bookmarkStart w:id="278" w:name="_Toc511217557"/>
      <w:r w:rsidRPr="00935187">
        <w:t>4.3</w:t>
      </w:r>
      <w:r w:rsidRPr="00935187">
        <w:tab/>
        <w:t>Opening of the shells</w:t>
      </w:r>
      <w:bookmarkEnd w:id="278"/>
    </w:p>
    <w:p w14:paraId="635E36D8"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Mussels should be shucked live and opened with minimum tissue damage by detaching the adductor muscles from the interior of one valve. The mussels should be inverted and allowed to drain on a clean towel or funnel for at least 5 minutes in order to minimise influence on dry weight determinations.</w:t>
      </w:r>
    </w:p>
    <w:p w14:paraId="306AF4F4" w14:textId="77777777" w:rsidR="00FC360C" w:rsidRPr="00935187" w:rsidRDefault="00FC360C" w:rsidP="00935187">
      <w:pPr>
        <w:pStyle w:val="Heading2"/>
      </w:pPr>
      <w:bookmarkStart w:id="279" w:name="_Toc511217558"/>
      <w:r w:rsidRPr="00935187">
        <w:t>4.4</w:t>
      </w:r>
      <w:r w:rsidRPr="00935187">
        <w:tab/>
        <w:t>Dissection and storage</w:t>
      </w:r>
      <w:bookmarkEnd w:id="279"/>
    </w:p>
    <w:p w14:paraId="1244117B"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The soft tissues should be removed and deep frozen (-20</w:t>
      </w:r>
      <w:r w:rsidRPr="00935187">
        <w:rPr>
          <w:rFonts w:ascii="Calibri" w:hAnsi="Calibri"/>
          <w:sz w:val="22"/>
          <w:szCs w:val="22"/>
        </w:rPr>
        <w:sym w:font="Symbol" w:char="F0B0"/>
      </w:r>
      <w:r w:rsidRPr="00935187">
        <w:rPr>
          <w:rFonts w:ascii="Calibri" w:hAnsi="Calibri"/>
          <w:sz w:val="22"/>
          <w:szCs w:val="22"/>
        </w:rPr>
        <w:t xml:space="preserve">C) as soon as possible in containers appropriate to the intended analysis. TBT is stable in cockles and oysters stored at -20°C in the dark over a 7 month period. Longer storage can cause significant loss of TBT due to degradation (Gomez-Ariza </w:t>
      </w:r>
      <w:r w:rsidRPr="00935187">
        <w:rPr>
          <w:rFonts w:ascii="Calibri" w:hAnsi="Calibri"/>
          <w:i/>
          <w:sz w:val="22"/>
          <w:szCs w:val="22"/>
        </w:rPr>
        <w:t>et al.</w:t>
      </w:r>
      <w:r w:rsidRPr="00935187">
        <w:rPr>
          <w:rFonts w:ascii="Calibri" w:hAnsi="Calibri"/>
          <w:sz w:val="22"/>
          <w:szCs w:val="22"/>
        </w:rPr>
        <w:t>, 1999). The dissection of the soft tissue must be done under clean conditions on a clean bench by scientific personnel, wearing clean gloves and using clean stainless steel knives. After each sample has been prepared, the tools should be cleaned regularly. Washing in acetone or alcohol and high purity water is recommended. When the analysis is eventually undertaken, all fluids that may initially separate on thawing should be included with the materials homogenised. Homogenisation should be performed immediately prior to any sub-dividing of the sample.</w:t>
      </w:r>
    </w:p>
    <w:p w14:paraId="585F512E" w14:textId="77777777" w:rsidR="00FC360C" w:rsidRPr="00935187" w:rsidRDefault="00FC360C" w:rsidP="00935187">
      <w:pPr>
        <w:pStyle w:val="Heading1"/>
      </w:pPr>
      <w:bookmarkStart w:id="280" w:name="_Toc511217559"/>
      <w:r w:rsidRPr="00935187">
        <w:t>5.</w:t>
      </w:r>
      <w:r w:rsidRPr="00935187">
        <w:tab/>
        <w:t>Analysis</w:t>
      </w:r>
      <w:bookmarkEnd w:id="280"/>
    </w:p>
    <w:p w14:paraId="5BBA4613" w14:textId="77777777" w:rsidR="00FC360C" w:rsidRPr="00935187" w:rsidRDefault="00FC360C" w:rsidP="00935187">
      <w:pPr>
        <w:pStyle w:val="Heading2"/>
      </w:pPr>
      <w:bookmarkStart w:id="281" w:name="_Toc511217560"/>
      <w:r w:rsidRPr="00935187">
        <w:t>5.1</w:t>
      </w:r>
      <w:r w:rsidRPr="00935187">
        <w:tab/>
        <w:t>Preparation of materials</w:t>
      </w:r>
      <w:bookmarkEnd w:id="281"/>
    </w:p>
    <w:p w14:paraId="141F241E"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Solvents, chemicals and adsorption materials must be free of organotin compounds or other interfering compounds. If not they should be purified using appropriate methods. Solvents should be checked by concentrating the volume normally used in the procedure to 10% of the final volume and then analysing for the presence of organotin compounds and other interfering compounds using a GC. If necessary, the solvents can be purified by redistillation. Chemicals and adsorption materials should be purified by extraction and/or heating. Glass fibre materials (</w:t>
      </w:r>
      <w:r w:rsidRPr="00935187">
        <w:rPr>
          <w:rFonts w:ascii="Calibri" w:hAnsi="Calibri"/>
          <w:i/>
          <w:sz w:val="22"/>
          <w:szCs w:val="22"/>
        </w:rPr>
        <w:t>e.g.</w:t>
      </w:r>
      <w:r w:rsidRPr="00935187">
        <w:rPr>
          <w:rFonts w:ascii="Calibri" w:hAnsi="Calibri"/>
          <w:sz w:val="22"/>
          <w:szCs w:val="22"/>
        </w:rPr>
        <w:t xml:space="preserve"> thimbles for Soxhlet extraction) should be pre-extracted. Alternatively, full glass thimbles with a G1 glass filter at the bottom can be used. Generally, paper filters should be avoided in filtration and substituted for by appropriate glass filters. As all super cleaned materials are prone to contamination (</w:t>
      </w:r>
      <w:r w:rsidRPr="00935187">
        <w:rPr>
          <w:rFonts w:ascii="Calibri" w:hAnsi="Calibri"/>
          <w:i/>
          <w:sz w:val="22"/>
          <w:szCs w:val="22"/>
        </w:rPr>
        <w:t>e.g.</w:t>
      </w:r>
      <w:r w:rsidRPr="00935187">
        <w:rPr>
          <w:rFonts w:ascii="Calibri" w:hAnsi="Calibri"/>
          <w:sz w:val="22"/>
          <w:szCs w:val="22"/>
        </w:rPr>
        <w:t xml:space="preserve"> by the adsorption of organotin compounds and other compounds from laboratory air), materials ready for use should not be stored for long periods. </w:t>
      </w:r>
      <w:proofErr w:type="gramStart"/>
      <w:r w:rsidRPr="00935187">
        <w:rPr>
          <w:rFonts w:ascii="Calibri" w:hAnsi="Calibri"/>
          <w:sz w:val="22"/>
          <w:szCs w:val="22"/>
        </w:rPr>
        <w:t xml:space="preserve">All containers, skills, glassware </w:t>
      </w:r>
      <w:r w:rsidRPr="00935187">
        <w:rPr>
          <w:rFonts w:ascii="Calibri" w:hAnsi="Calibri"/>
          <w:i/>
          <w:sz w:val="22"/>
          <w:szCs w:val="22"/>
        </w:rPr>
        <w:t>etc.</w:t>
      </w:r>
      <w:r w:rsidRPr="00935187">
        <w:rPr>
          <w:rFonts w:ascii="Calibri" w:hAnsi="Calibri"/>
          <w:sz w:val="22"/>
          <w:szCs w:val="22"/>
        </w:rPr>
        <w:t xml:space="preserve"> which come into contact with the sample must be made of appropriate material and must have been thoroughly pre-cleaned.</w:t>
      </w:r>
      <w:proofErr w:type="gramEnd"/>
      <w:r w:rsidRPr="00935187">
        <w:rPr>
          <w:rFonts w:ascii="Calibri" w:hAnsi="Calibri"/>
          <w:sz w:val="22"/>
          <w:szCs w:val="22"/>
        </w:rPr>
        <w:t xml:space="preserve"> Glassware should be extensively washed with detergents, heated at &gt;250°C and rinsed immediately before use with organic solvents or mixtures such as hexane/acetone. Alternatively, all glassware can be washed in 10% HCl (or even in concentrated HCl) and then rinsed with distilled water.</w:t>
      </w:r>
    </w:p>
    <w:p w14:paraId="09B944E1" w14:textId="77777777" w:rsidR="00FC360C" w:rsidRPr="00935187" w:rsidRDefault="00FC360C" w:rsidP="00935187">
      <w:pPr>
        <w:pStyle w:val="Heading3"/>
        <w:spacing w:before="0"/>
      </w:pPr>
      <w:bookmarkStart w:id="282" w:name="_Toc511217561"/>
      <w:r w:rsidRPr="00935187">
        <w:t>5.2</w:t>
      </w:r>
      <w:r w:rsidRPr="00935187">
        <w:tab/>
        <w:t>Lipid determination</w:t>
      </w:r>
      <w:bookmarkEnd w:id="282"/>
    </w:p>
    <w:p w14:paraId="23942523" w14:textId="77777777" w:rsidR="00FC360C" w:rsidRPr="00935187" w:rsidRDefault="00FC360C" w:rsidP="00935187">
      <w:pPr>
        <w:rPr>
          <w:rFonts w:cs="Arial"/>
          <w:szCs w:val="22"/>
        </w:rPr>
      </w:pPr>
      <w:r w:rsidRPr="00935187">
        <w:rPr>
          <w:szCs w:val="22"/>
        </w:rPr>
        <w:t xml:space="preserve">Organotin data are not usually expressed on a lipid basis. </w:t>
      </w:r>
      <w:r w:rsidRPr="00935187">
        <w:rPr>
          <w:rFonts w:cs="Arial"/>
          <w:szCs w:val="22"/>
        </w:rPr>
        <w:t>Lipid content is not a good normalisator because of poor correlations to organotin content. However,</w:t>
      </w:r>
      <w:r w:rsidRPr="00935187">
        <w:rPr>
          <w:szCs w:val="22"/>
        </w:rPr>
        <w:t xml:space="preserve"> the determination of the lipid content of tissues can be of use in characterising the samples. If required, the lipid content should be determined on a separate subsample of the tissue homogenate, as some of the extraction techniques used routinely for organotin determination may destroy lipid materials. The total fat weight should be determined using the method of Bligh and Dyer (1959) or Smedes (1999).</w:t>
      </w:r>
    </w:p>
    <w:p w14:paraId="05616871" w14:textId="77777777" w:rsidR="00FC360C" w:rsidRPr="00935187" w:rsidRDefault="00FC360C" w:rsidP="00935187">
      <w:pPr>
        <w:pStyle w:val="Heading2"/>
      </w:pPr>
      <w:bookmarkStart w:id="283" w:name="_Toc511217562"/>
      <w:r w:rsidRPr="00935187">
        <w:t>5.3</w:t>
      </w:r>
      <w:r w:rsidRPr="00935187">
        <w:tab/>
        <w:t>Dry weight determination</w:t>
      </w:r>
      <w:bookmarkEnd w:id="283"/>
    </w:p>
    <w:p w14:paraId="04F0576C"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Dry weight determinations should be carried out by air-drying homogenised sub-samples of the material to be analysed to constant weight at 105°C.</w:t>
      </w:r>
    </w:p>
    <w:p w14:paraId="13568FB2" w14:textId="77777777" w:rsidR="00FC360C" w:rsidRPr="00935187" w:rsidRDefault="00FC360C" w:rsidP="00935187">
      <w:pPr>
        <w:pStyle w:val="Heading2"/>
      </w:pPr>
      <w:bookmarkStart w:id="284" w:name="_Toc511217563"/>
      <w:r w:rsidRPr="00935187">
        <w:t>5.4</w:t>
      </w:r>
      <w:r w:rsidRPr="00935187">
        <w:tab/>
        <w:t>Determination of organotins by gas chromatography</w:t>
      </w:r>
      <w:bookmarkEnd w:id="284"/>
    </w:p>
    <w:p w14:paraId="7AD361BF" w14:textId="77777777" w:rsidR="00FC360C" w:rsidRPr="00935187" w:rsidRDefault="00FC360C" w:rsidP="00935187">
      <w:pPr>
        <w:pStyle w:val="Heading3"/>
      </w:pPr>
      <w:bookmarkStart w:id="285" w:name="_Toc511217564"/>
      <w:r w:rsidRPr="00935187">
        <w:t>5.4.1</w:t>
      </w:r>
      <w:r w:rsidRPr="00935187">
        <w:tab/>
        <w:t>Calibration and preparation of calibrand solutions</w:t>
      </w:r>
      <w:bookmarkEnd w:id="285"/>
    </w:p>
    <w:p w14:paraId="1A59E489" w14:textId="77777777" w:rsidR="00FC360C" w:rsidRPr="00935187" w:rsidRDefault="00FC360C" w:rsidP="00935187">
      <w:pPr>
        <w:pStyle w:val="Heading4"/>
      </w:pPr>
      <w:r w:rsidRPr="00935187">
        <w:t>5.4.1.1 External calibration</w:t>
      </w:r>
    </w:p>
    <w:p w14:paraId="05A110E6"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When using an external calibration, multilevel calibration with at least five calibration points is preferred to adequately define the calibration curve. Standards preparation can be done in two ways depending on the methods of extraction/derivatisation used:</w:t>
      </w:r>
    </w:p>
    <w:p w14:paraId="0F11F2B7" w14:textId="77777777" w:rsidR="00FC360C" w:rsidRPr="00935187" w:rsidRDefault="00FC360C" w:rsidP="00935187">
      <w:pPr>
        <w:pStyle w:val="BodyText"/>
        <w:tabs>
          <w:tab w:val="clear" w:pos="357"/>
          <w:tab w:val="left" w:pos="1134"/>
        </w:tabs>
        <w:spacing w:after="120" w:line="276" w:lineRule="auto"/>
        <w:ind w:left="1134" w:hanging="567"/>
        <w:rPr>
          <w:rFonts w:ascii="Calibri" w:hAnsi="Calibri"/>
          <w:sz w:val="22"/>
          <w:szCs w:val="22"/>
        </w:rPr>
      </w:pPr>
      <w:r w:rsidRPr="00935187">
        <w:rPr>
          <w:rFonts w:ascii="Calibri" w:hAnsi="Calibri"/>
          <w:sz w:val="22"/>
          <w:szCs w:val="22"/>
        </w:rPr>
        <w:t xml:space="preserve">i) </w:t>
      </w:r>
      <w:r w:rsidRPr="00935187">
        <w:rPr>
          <w:rFonts w:ascii="Calibri" w:hAnsi="Calibri"/>
          <w:sz w:val="22"/>
          <w:szCs w:val="22"/>
        </w:rPr>
        <w:tab/>
      </w:r>
      <w:proofErr w:type="gramStart"/>
      <w:r w:rsidRPr="00935187">
        <w:rPr>
          <w:rFonts w:ascii="Calibri" w:hAnsi="Calibri"/>
          <w:sz w:val="22"/>
          <w:szCs w:val="22"/>
        </w:rPr>
        <w:t>by</w:t>
      </w:r>
      <w:proofErr w:type="gramEnd"/>
      <w:r w:rsidRPr="00935187">
        <w:rPr>
          <w:rFonts w:ascii="Calibri" w:hAnsi="Calibri"/>
          <w:sz w:val="22"/>
          <w:szCs w:val="22"/>
        </w:rPr>
        <w:t xml:space="preserve"> using alkyltins salts then proceed to the derivatisation step as for samples (for hydridisation or ethylation followed by purge-and-trap analysis, there is no other appropriate way than using alkyltin salts);</w:t>
      </w:r>
    </w:p>
    <w:p w14:paraId="3E9921EF" w14:textId="77777777" w:rsidR="00FC360C" w:rsidRPr="00935187" w:rsidRDefault="00FC360C" w:rsidP="00935187">
      <w:pPr>
        <w:pStyle w:val="BodyText"/>
        <w:tabs>
          <w:tab w:val="clear" w:pos="357"/>
          <w:tab w:val="left" w:pos="1134"/>
        </w:tabs>
        <w:spacing w:after="120" w:line="276" w:lineRule="auto"/>
        <w:ind w:left="1134" w:hanging="567"/>
        <w:rPr>
          <w:rFonts w:ascii="Calibri" w:hAnsi="Calibri"/>
          <w:sz w:val="22"/>
          <w:szCs w:val="22"/>
        </w:rPr>
      </w:pPr>
      <w:r w:rsidRPr="00935187">
        <w:rPr>
          <w:rFonts w:ascii="Calibri" w:hAnsi="Calibri"/>
          <w:sz w:val="22"/>
          <w:szCs w:val="22"/>
        </w:rPr>
        <w:t xml:space="preserve">ii) </w:t>
      </w:r>
      <w:r w:rsidRPr="00935187">
        <w:rPr>
          <w:rFonts w:ascii="Calibri" w:hAnsi="Calibri"/>
          <w:sz w:val="22"/>
          <w:szCs w:val="22"/>
        </w:rPr>
        <w:tab/>
      </w:r>
      <w:proofErr w:type="gramStart"/>
      <w:r w:rsidRPr="00935187">
        <w:rPr>
          <w:rFonts w:ascii="Calibri" w:hAnsi="Calibri"/>
          <w:sz w:val="22"/>
          <w:szCs w:val="22"/>
        </w:rPr>
        <w:t>by</w:t>
      </w:r>
      <w:proofErr w:type="gramEnd"/>
      <w:r w:rsidRPr="00935187">
        <w:rPr>
          <w:rFonts w:ascii="Calibri" w:hAnsi="Calibri"/>
          <w:sz w:val="22"/>
          <w:szCs w:val="22"/>
        </w:rPr>
        <w:t xml:space="preserve"> using commercially readily available derivatised standards (e.g. Quasimeme </w:t>
      </w:r>
      <w:hyperlink r:id="rId47" w:tooltip="http://www.quasimeme.org/" w:history="1">
        <w:r w:rsidRPr="00935187">
          <w:rPr>
            <w:rFonts w:ascii="Calibri" w:hAnsi="Calibri"/>
            <w:sz w:val="22"/>
            <w:szCs w:val="22"/>
          </w:rPr>
          <w:t>http://www.quasimeme.org/</w:t>
        </w:r>
      </w:hyperlink>
      <w:r w:rsidRPr="00935187">
        <w:rPr>
          <w:rFonts w:ascii="Calibri" w:hAnsi="Calibri"/>
          <w:sz w:val="22"/>
          <w:szCs w:val="22"/>
        </w:rPr>
        <w:t>).</w:t>
      </w:r>
    </w:p>
    <w:p w14:paraId="13B7A44B"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Standard solutions can be prepared in (m</w:t>
      </w:r>
      <w:proofErr w:type="gramStart"/>
      <w:r w:rsidRPr="00935187">
        <w:rPr>
          <w:rFonts w:ascii="Calibri" w:hAnsi="Calibri"/>
          <w:sz w:val="22"/>
          <w:szCs w:val="22"/>
        </w:rPr>
        <w:t>)ethanol</w:t>
      </w:r>
      <w:proofErr w:type="gramEnd"/>
      <w:r w:rsidRPr="00935187">
        <w:rPr>
          <w:rFonts w:ascii="Calibri" w:hAnsi="Calibri"/>
          <w:sz w:val="22"/>
          <w:szCs w:val="22"/>
        </w:rPr>
        <w:t xml:space="preserve"> or another solvent depending on the instrumental method used. Addition of an internal standard (tripropyltin chloride TPrTCl or 13C labelled or deuterated TBT if using GC analysis with mass selective detection) to all standard and samples solutions is recommended. When using tripropyltin chloride, which is an underivatised standard, the recovery efficiency of the whole procedure can be determined.</w:t>
      </w:r>
    </w:p>
    <w:p w14:paraId="07269C41"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A new calibration solution should always be cross-checked to the old standard solution.</w:t>
      </w:r>
    </w:p>
    <w:p w14:paraId="6F451645"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 xml:space="preserve">Calibrand solutions should be stored in a refrigerator in gas tight containers to avoid evaporation of solvent during storage. It is important to determine the expiry date of standard dilutions in order to avoid a concentration shift due to deterioration of analytes or evaporation of solvents. </w:t>
      </w:r>
    </w:p>
    <w:p w14:paraId="487438CC" w14:textId="77777777" w:rsidR="00FC360C" w:rsidRPr="00935187" w:rsidRDefault="00FC360C" w:rsidP="00935187">
      <w:pPr>
        <w:pStyle w:val="Heading4"/>
      </w:pPr>
      <w:r w:rsidRPr="00935187">
        <w:t>5.4.1.2 Isotope Dilution-Mass Spectrometry</w:t>
      </w:r>
    </w:p>
    <w:p w14:paraId="2DB3BAF5"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When using Isotope Dilution-Mass Spectrometry technique (IDMS), external calibration is not required.</w:t>
      </w:r>
    </w:p>
    <w:p w14:paraId="63182277" w14:textId="77777777" w:rsidR="00FC360C" w:rsidRPr="00935187" w:rsidRDefault="00FC360C" w:rsidP="00935187">
      <w:pPr>
        <w:pStyle w:val="Heading3"/>
      </w:pPr>
      <w:bookmarkStart w:id="286" w:name="_Toc511217565"/>
      <w:r w:rsidRPr="00935187">
        <w:t>5.4.2</w:t>
      </w:r>
      <w:r w:rsidRPr="00935187">
        <w:tab/>
        <w:t>Homogenisation and drying</w:t>
      </w:r>
      <w:bookmarkEnd w:id="286"/>
    </w:p>
    <w:p w14:paraId="2FEF2ACA"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Homogenisation should be carried out on fresh tissue. Care should be taken that the sample integrity is maintained during the actual homogenisation and during drying. When the analysis is undertaken, all fluids that may initially separate on thawing should be included with the materials homogenised. Homogenisation should be performed immediately prior to succeeding procedures. When grinding samples after drying, classical techniques using a ball mill can be used. Cryogenic homogenisation of dried or fresh materials at liquid nitrogen temperatures using a PTFE device (</w:t>
      </w:r>
      <w:r w:rsidRPr="00935187">
        <w:rPr>
          <w:rFonts w:ascii="Calibri" w:hAnsi="Calibri"/>
          <w:i/>
          <w:sz w:val="22"/>
          <w:szCs w:val="22"/>
        </w:rPr>
        <w:t>cf.</w:t>
      </w:r>
      <w:r w:rsidRPr="00935187">
        <w:rPr>
          <w:rFonts w:ascii="Calibri" w:hAnsi="Calibri"/>
          <w:sz w:val="22"/>
          <w:szCs w:val="22"/>
        </w:rPr>
        <w:t xml:space="preserve"> Iyengar and Kasperek, 1977) or similar techniques can be applied (</w:t>
      </w:r>
      <w:r w:rsidRPr="00935187">
        <w:rPr>
          <w:rFonts w:ascii="Calibri" w:hAnsi="Calibri"/>
          <w:i/>
          <w:sz w:val="22"/>
          <w:szCs w:val="22"/>
        </w:rPr>
        <w:t>cf.</w:t>
      </w:r>
      <w:r w:rsidRPr="00935187">
        <w:rPr>
          <w:rFonts w:ascii="Calibri" w:hAnsi="Calibri"/>
          <w:sz w:val="22"/>
          <w:szCs w:val="22"/>
        </w:rPr>
        <w:t xml:space="preserve"> Iyengar, 1976; Klussmann </w:t>
      </w:r>
      <w:r w:rsidRPr="00935187">
        <w:rPr>
          <w:rFonts w:ascii="Calibri" w:hAnsi="Calibri"/>
          <w:i/>
          <w:sz w:val="22"/>
          <w:szCs w:val="22"/>
        </w:rPr>
        <w:t>et al</w:t>
      </w:r>
      <w:r w:rsidRPr="00935187">
        <w:rPr>
          <w:rFonts w:ascii="Calibri" w:hAnsi="Calibri"/>
          <w:sz w:val="22"/>
          <w:szCs w:val="22"/>
        </w:rPr>
        <w:t>., 1985).</w:t>
      </w:r>
    </w:p>
    <w:p w14:paraId="05494F05" w14:textId="77777777" w:rsidR="00FC360C" w:rsidRPr="00935187" w:rsidRDefault="00FC360C" w:rsidP="00935187">
      <w:pPr>
        <w:pStyle w:val="Heading3"/>
      </w:pPr>
      <w:r w:rsidRPr="00935187">
        <w:br w:type="page"/>
      </w:r>
      <w:bookmarkStart w:id="287" w:name="_Toc511217566"/>
      <w:r w:rsidRPr="00935187">
        <w:t>5.4.3</w:t>
      </w:r>
      <w:r w:rsidRPr="00935187">
        <w:tab/>
        <w:t>Extraction</w:t>
      </w:r>
      <w:bookmarkEnd w:id="287"/>
    </w:p>
    <w:p w14:paraId="686918CE"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 xml:space="preserve">Release of organotin compounds from the biological matrix is a critical step, due to the strong matrix binding of the analytes and possible species degradation. Recovery standards should be added prior to extraction, however correction procedures should be used with care as equilibration between the spiked and the target compounds is not always guaranteed. Different extraction techniques are commonly </w:t>
      </w:r>
      <w:proofErr w:type="gramStart"/>
      <w:r w:rsidRPr="00935187">
        <w:rPr>
          <w:rFonts w:ascii="Calibri" w:hAnsi="Calibri"/>
          <w:sz w:val="22"/>
          <w:szCs w:val="22"/>
        </w:rPr>
        <w:t>used,</w:t>
      </w:r>
      <w:proofErr w:type="gramEnd"/>
      <w:r w:rsidRPr="00935187">
        <w:rPr>
          <w:rFonts w:ascii="Calibri" w:hAnsi="Calibri"/>
          <w:sz w:val="22"/>
          <w:szCs w:val="22"/>
        </w:rPr>
        <w:t xml:space="preserve"> such as microwave assisted extraction, mechanical shaking and digestion. Microwave assisted extraction (MAE) as well as mechanical shaking </w:t>
      </w:r>
      <w:proofErr w:type="gramStart"/>
      <w:r w:rsidRPr="00935187">
        <w:rPr>
          <w:rFonts w:ascii="Calibri" w:hAnsi="Calibri"/>
          <w:sz w:val="22"/>
          <w:szCs w:val="22"/>
        </w:rPr>
        <w:t>provide</w:t>
      </w:r>
      <w:proofErr w:type="gramEnd"/>
      <w:r w:rsidRPr="00935187">
        <w:rPr>
          <w:rFonts w:ascii="Calibri" w:hAnsi="Calibri"/>
          <w:sz w:val="22"/>
          <w:szCs w:val="22"/>
        </w:rPr>
        <w:t xml:space="preserve"> quantitative recoveries with negligible degradation of the TBT compounds (Centineo </w:t>
      </w:r>
      <w:r w:rsidRPr="00935187">
        <w:rPr>
          <w:rFonts w:ascii="Calibri" w:hAnsi="Calibri"/>
          <w:i/>
          <w:sz w:val="22"/>
          <w:szCs w:val="22"/>
        </w:rPr>
        <w:t>et al.</w:t>
      </w:r>
      <w:r w:rsidRPr="00935187">
        <w:rPr>
          <w:rFonts w:ascii="Calibri" w:hAnsi="Calibri"/>
          <w:sz w:val="22"/>
          <w:szCs w:val="22"/>
        </w:rPr>
        <w:t xml:space="preserve">, 2004). However, it must be taken into account that considerable loss of DBT, due to degradation was reported for MAE. Digestion techniques can be used to extract butyltins, though species degradation is not always under control using this technique. Mechanical shaking seems to be a suitable technique. Alternatively, pressurised liquid extraction (accelerated solvent extraction) can be used to extract organotin compounds. Extraction usually takes place in an aqueous methanolic acidic environment, with subsequent extraction to an organic phase, such as pentane or hexane. Acidic conditions enhance the extraction </w:t>
      </w:r>
      <w:proofErr w:type="gramStart"/>
      <w:r w:rsidRPr="00935187">
        <w:rPr>
          <w:rFonts w:ascii="Calibri" w:hAnsi="Calibri"/>
          <w:sz w:val="22"/>
          <w:szCs w:val="22"/>
        </w:rPr>
        <w:t>efficiency,</w:t>
      </w:r>
      <w:proofErr w:type="gramEnd"/>
      <w:r w:rsidRPr="00935187">
        <w:rPr>
          <w:rFonts w:ascii="Calibri" w:hAnsi="Calibri"/>
          <w:sz w:val="22"/>
          <w:szCs w:val="22"/>
        </w:rPr>
        <w:t xml:space="preserve"> acetic acid is usually preferred to other acids to ensure stability of butyltins compounds. Complexing agents such as tropolone are often employed. Extraction can be performed on wet as well as on freeze-dried samples. Wet tissue must be dried by mixing with anhydrous sodium sulphate or other anhydrous materials.</w:t>
      </w:r>
    </w:p>
    <w:p w14:paraId="22E97433" w14:textId="77777777" w:rsidR="00FC360C" w:rsidRPr="00935187" w:rsidRDefault="00FC360C" w:rsidP="00935187">
      <w:pPr>
        <w:pStyle w:val="Heading3"/>
      </w:pPr>
      <w:bookmarkStart w:id="288" w:name="_Toc511217567"/>
      <w:r w:rsidRPr="00935187">
        <w:t>5.4.4</w:t>
      </w:r>
      <w:r w:rsidRPr="00935187">
        <w:tab/>
        <w:t>Derivatisation</w:t>
      </w:r>
      <w:bookmarkEnd w:id="288"/>
    </w:p>
    <w:p w14:paraId="711B8870" w14:textId="77777777" w:rsidR="00FC360C" w:rsidRPr="00935187" w:rsidRDefault="00FC360C" w:rsidP="00935187">
      <w:pPr>
        <w:pStyle w:val="Heading4"/>
      </w:pPr>
      <w:r w:rsidRPr="00935187">
        <w:t>5.4.4.1 Alkylation</w:t>
      </w:r>
    </w:p>
    <w:p w14:paraId="484E2E91" w14:textId="77777777" w:rsidR="00FC360C" w:rsidRPr="00935187" w:rsidRDefault="00FC360C" w:rsidP="00935187">
      <w:pPr>
        <w:rPr>
          <w:szCs w:val="22"/>
        </w:rPr>
      </w:pPr>
      <w:r w:rsidRPr="00935187">
        <w:rPr>
          <w:szCs w:val="22"/>
        </w:rPr>
        <w:t xml:space="preserve">Grignard reagent: A variety of Grignard reagents is used for alkylation reactions in derivatisation. </w:t>
      </w:r>
      <w:proofErr w:type="gramStart"/>
      <w:r w:rsidRPr="00935187">
        <w:rPr>
          <w:szCs w:val="22"/>
        </w:rPr>
        <w:t>The smaller the alkylation group, the more volatile the products of derivatisation, and the greater the losses during the transfer and work up.</w:t>
      </w:r>
      <w:proofErr w:type="gramEnd"/>
      <w:r w:rsidRPr="00935187">
        <w:rPr>
          <w:szCs w:val="22"/>
        </w:rPr>
        <w:t xml:space="preserve"> This method is time-consuming and requires very dry conditions and non-protic solvents. The use of Grignard reagents is hazardous as they react violently with protic solvents such as water, acid, alcohol, ketones and appropriate safety precautions must be taken. A liquid-liquid extraction step is necessary to isolate the derivatised organotins. However, unlike hydride derivatives of butyltins which may degrade in hours or days, the tetraalkyl derivatives formed with Grignard reagents are very stable (Morabito </w:t>
      </w:r>
      <w:r w:rsidRPr="00935187">
        <w:rPr>
          <w:i/>
          <w:iCs/>
          <w:szCs w:val="22"/>
        </w:rPr>
        <w:t>et al.</w:t>
      </w:r>
      <w:r w:rsidRPr="00935187">
        <w:rPr>
          <w:szCs w:val="22"/>
        </w:rPr>
        <w:t>, 2000). Derivatisation with Grignard reagents include extra steps in th</w:t>
      </w:r>
      <w:r w:rsidR="000F2818">
        <w:rPr>
          <w:szCs w:val="22"/>
        </w:rPr>
        <w:t>e analytical procedure as clean-</w:t>
      </w:r>
      <w:r w:rsidRPr="00935187">
        <w:rPr>
          <w:szCs w:val="22"/>
        </w:rPr>
        <w:t>up of excess Grignard reagent with acid is required.</w:t>
      </w:r>
    </w:p>
    <w:p w14:paraId="7A5D5081" w14:textId="77777777" w:rsidR="00FC360C" w:rsidRPr="00935187" w:rsidRDefault="00FC360C" w:rsidP="00935187">
      <w:pPr>
        <w:rPr>
          <w:szCs w:val="22"/>
        </w:rPr>
      </w:pPr>
      <w:r w:rsidRPr="00935187">
        <w:rPr>
          <w:szCs w:val="22"/>
        </w:rPr>
        <w:t>Sodium Tetraethylborate (NaBEt</w:t>
      </w:r>
      <w:r w:rsidRPr="00935187">
        <w:rPr>
          <w:szCs w:val="22"/>
          <w:vertAlign w:val="subscript"/>
        </w:rPr>
        <w:t>4</w:t>
      </w:r>
      <w:r w:rsidRPr="00935187">
        <w:rPr>
          <w:szCs w:val="22"/>
        </w:rPr>
        <w:t>): Derivatisation with this complexing agent has been developed to minimise the analysis time. The NaBEt</w:t>
      </w:r>
      <w:r w:rsidRPr="00935187">
        <w:rPr>
          <w:szCs w:val="22"/>
          <w:vertAlign w:val="subscript"/>
        </w:rPr>
        <w:t>4</w:t>
      </w:r>
      <w:r w:rsidRPr="00935187">
        <w:rPr>
          <w:szCs w:val="22"/>
        </w:rPr>
        <w:t xml:space="preserve"> procedure allows a simultaneous extraction-derivatisation in a buffered medium (optimum pH 4-5). NaBEt</w:t>
      </w:r>
      <w:r w:rsidRPr="00935187">
        <w:rPr>
          <w:szCs w:val="22"/>
          <w:vertAlign w:val="subscript"/>
        </w:rPr>
        <w:t>4</w:t>
      </w:r>
      <w:r w:rsidRPr="00935187">
        <w:rPr>
          <w:szCs w:val="22"/>
        </w:rPr>
        <w:t xml:space="preserve"> derivatisation produces more thermally stable derivatives. However, NaBEt</w:t>
      </w:r>
      <w:r w:rsidRPr="00935187">
        <w:rPr>
          <w:szCs w:val="22"/>
          <w:vertAlign w:val="subscript"/>
        </w:rPr>
        <w:t>4</w:t>
      </w:r>
      <w:r w:rsidRPr="00935187">
        <w:rPr>
          <w:szCs w:val="22"/>
        </w:rPr>
        <w:t xml:space="preserve"> is extremely air sensitive, since it is considered as </w:t>
      </w:r>
      <w:proofErr w:type="gramStart"/>
      <w:r w:rsidRPr="00935187">
        <w:rPr>
          <w:szCs w:val="22"/>
        </w:rPr>
        <w:t>pyrophoric,</w:t>
      </w:r>
      <w:proofErr w:type="gramEnd"/>
      <w:r w:rsidRPr="00935187">
        <w:rPr>
          <w:szCs w:val="22"/>
        </w:rPr>
        <w:t xml:space="preserve"> care must be taken to keep its chemical integrity. Although solutions in water have been shown to be stable for about 1 month at 4 ³C, it is recommended to prepare them freshly for use. Solutions of the reagent in an organic solvent (e.g.tetrahydrofuran, methanol or ethanol) seem to be more stable (Smedes </w:t>
      </w:r>
      <w:r w:rsidRPr="00935187">
        <w:rPr>
          <w:i/>
          <w:iCs/>
          <w:szCs w:val="22"/>
        </w:rPr>
        <w:t>et al.</w:t>
      </w:r>
      <w:r w:rsidRPr="00935187">
        <w:rPr>
          <w:szCs w:val="22"/>
        </w:rPr>
        <w:t>, 2000). The determination of organotin compound in complex matrices, such as biological matrices with high lipid content, has led to several problems, including low recovery and low derivatisation efficiency. A clean-up step might be subsequently required.</w:t>
      </w:r>
    </w:p>
    <w:p w14:paraId="68E67147" w14:textId="77777777" w:rsidR="00FC360C" w:rsidRPr="00935187" w:rsidRDefault="00FC360C" w:rsidP="00935187">
      <w:pPr>
        <w:rPr>
          <w:szCs w:val="22"/>
        </w:rPr>
      </w:pPr>
      <w:r w:rsidRPr="00935187">
        <w:rPr>
          <w:szCs w:val="22"/>
        </w:rPr>
        <w:t>Sodium Diethyldithiocarbamate (NaDDTC): NaDDTC is preferable to Grignard reagents as it does not require anhydrous conditions but it does not simultaneously derivatise and extract like NaBEth4. Yet this step can be combined with Grignard reagent to provide better derivatisation for a wider spectrum of organotins.</w:t>
      </w:r>
    </w:p>
    <w:p w14:paraId="6B9499EA" w14:textId="77777777" w:rsidR="00FC360C" w:rsidRPr="00935187" w:rsidRDefault="00FC360C" w:rsidP="00935187">
      <w:pPr>
        <w:pStyle w:val="Heading4"/>
      </w:pPr>
      <w:r w:rsidRPr="00935187">
        <w:t>5.4.4.2 Hydride generation</w:t>
      </w:r>
    </w:p>
    <w:p w14:paraId="3EE1A024" w14:textId="77777777" w:rsidR="00FC360C" w:rsidRPr="00935187" w:rsidRDefault="00FC360C" w:rsidP="00935187">
      <w:pPr>
        <w:rPr>
          <w:szCs w:val="22"/>
        </w:rPr>
      </w:pPr>
      <w:r w:rsidRPr="00935187">
        <w:rPr>
          <w:szCs w:val="22"/>
        </w:rPr>
        <w:t xml:space="preserve">The butyltin species are converted to </w:t>
      </w:r>
      <w:proofErr w:type="gramStart"/>
      <w:r w:rsidRPr="00935187">
        <w:rPr>
          <w:szCs w:val="22"/>
        </w:rPr>
        <w:t>an</w:t>
      </w:r>
      <w:proofErr w:type="gramEnd"/>
      <w:r w:rsidRPr="00935187">
        <w:rPr>
          <w:szCs w:val="22"/>
        </w:rPr>
        <w:t xml:space="preserve"> hydride form by sodium tetrahydroborate (NaBH</w:t>
      </w:r>
      <w:r w:rsidRPr="00935187">
        <w:rPr>
          <w:szCs w:val="22"/>
          <w:vertAlign w:val="subscript"/>
        </w:rPr>
        <w:t>4</w:t>
      </w:r>
      <w:r w:rsidRPr="00935187">
        <w:rPr>
          <w:szCs w:val="22"/>
        </w:rPr>
        <w:t>). Hydride generation produces a large volume of hydrogen as a by-product, which facilitates the purging of butyltin hydrides from a large volume of sample.</w:t>
      </w:r>
    </w:p>
    <w:p w14:paraId="70C961E9" w14:textId="77777777" w:rsidR="00FC360C" w:rsidRPr="00935187" w:rsidRDefault="00FC360C" w:rsidP="00935187">
      <w:pPr>
        <w:pStyle w:val="Heading3"/>
      </w:pPr>
      <w:bookmarkStart w:id="289" w:name="_Toc511217568"/>
      <w:r w:rsidRPr="00935187">
        <w:t>5.4.5</w:t>
      </w:r>
      <w:r w:rsidRPr="00935187">
        <w:tab/>
        <w:t>Clean-up</w:t>
      </w:r>
      <w:bookmarkEnd w:id="289"/>
    </w:p>
    <w:p w14:paraId="78BE29DE" w14:textId="77777777" w:rsidR="00FC360C" w:rsidRPr="00935187" w:rsidRDefault="00FC360C" w:rsidP="00935187">
      <w:pPr>
        <w:rPr>
          <w:szCs w:val="22"/>
        </w:rPr>
      </w:pPr>
      <w:r w:rsidRPr="00935187">
        <w:rPr>
          <w:szCs w:val="22"/>
        </w:rPr>
        <w:t>The most commonly used clean-up methods involve the use of alumina or silica adsorption chromatography. For the latter, phenyltin compounds like triphenyltin may not co-elute with butyltins. Gel permeation chromatography and similar high performance liquid chromatography (HPLC) based methods are also employed. The major advantages of using HPLC-based clean-up methods are their ease of automation and reproducibility.</w:t>
      </w:r>
    </w:p>
    <w:p w14:paraId="32591E2A" w14:textId="77777777" w:rsidR="00FC360C" w:rsidRPr="00935187" w:rsidRDefault="00FC360C" w:rsidP="00935187">
      <w:pPr>
        <w:pStyle w:val="Heading3"/>
      </w:pPr>
      <w:bookmarkStart w:id="290" w:name="_Toc511217569"/>
      <w:r w:rsidRPr="00935187">
        <w:t>5.4.6</w:t>
      </w:r>
      <w:r w:rsidRPr="00935187">
        <w:tab/>
        <w:t>Pre-concentration</w:t>
      </w:r>
      <w:bookmarkEnd w:id="290"/>
    </w:p>
    <w:p w14:paraId="1FE6F61F"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Evaporation of solvents using a rotary evaporator should be performed under controlled temperature and pressure conditions, and the sample volume should be kept above 2 ml. Evaporation to total dryness should be avoided. To reduce the sample volume even more, e.g. to a final volume of 100 µl, solvents like pentane or hexane can be removed by concentration with a gentle stream of nitrogen. Only nitrogen of a controlled high quality should be used. Iso-octane is recommended as a keeper for the final solution to</w:t>
      </w:r>
      <w:r w:rsidR="00935187">
        <w:rPr>
          <w:rFonts w:ascii="Calibri" w:hAnsi="Calibri"/>
          <w:sz w:val="22"/>
          <w:szCs w:val="22"/>
        </w:rPr>
        <w:t xml:space="preserve"> be injected into the GC.</w:t>
      </w:r>
    </w:p>
    <w:p w14:paraId="7A7CB3F6" w14:textId="77777777" w:rsidR="00FC360C" w:rsidRPr="00935187" w:rsidRDefault="00FC360C" w:rsidP="00935187">
      <w:pPr>
        <w:pStyle w:val="Heading2"/>
      </w:pPr>
      <w:bookmarkStart w:id="291" w:name="_Toc511217570"/>
      <w:r w:rsidRPr="00935187">
        <w:t>5.5</w:t>
      </w:r>
      <w:r w:rsidRPr="00935187">
        <w:tab/>
        <w:t>Instrumental determination</w:t>
      </w:r>
      <w:bookmarkEnd w:id="291"/>
    </w:p>
    <w:p w14:paraId="1D10E71F" w14:textId="38F7DB71"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Most of the analytical techniques developed for the speciation of organotin compounds are based on GC. GC remains the preferred separation technique owing to its high resolution and the availability of sensitive detectors such as (pulsed) flame photometry ((P</w:t>
      </w:r>
      <w:proofErr w:type="gramStart"/>
      <w:r w:rsidRPr="00935187">
        <w:rPr>
          <w:rFonts w:ascii="Calibri" w:hAnsi="Calibri"/>
          <w:sz w:val="22"/>
          <w:szCs w:val="22"/>
        </w:rPr>
        <w:t>)FPD</w:t>
      </w:r>
      <w:proofErr w:type="gramEnd"/>
      <w:r w:rsidRPr="00935187">
        <w:rPr>
          <w:rFonts w:ascii="Calibri" w:hAnsi="Calibri"/>
          <w:sz w:val="22"/>
          <w:szCs w:val="22"/>
        </w:rPr>
        <w:t>), mass spectrometry (MS)</w:t>
      </w:r>
      <w:r w:rsidR="00953614">
        <w:rPr>
          <w:rFonts w:ascii="Calibri" w:hAnsi="Calibri"/>
          <w:sz w:val="22"/>
          <w:szCs w:val="22"/>
        </w:rPr>
        <w:t xml:space="preserve"> or inductively coupled plasma-</w:t>
      </w:r>
      <w:r w:rsidRPr="00935187">
        <w:rPr>
          <w:rFonts w:ascii="Calibri" w:hAnsi="Calibri"/>
          <w:sz w:val="22"/>
          <w:szCs w:val="22"/>
        </w:rPr>
        <w:t>mass spectrometry (ICP-MS)</w:t>
      </w:r>
    </w:p>
    <w:p w14:paraId="2C7F4264"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As an alternative approach, high performance liquid chromatography has become a popular technique. It mainly uses fluorescence, ultraviolet, and more recently inductively coupled plasma optical emission spectrometry (ICP-OES), inductively coupled plasma mass spectrometry (ICP-MS), and mass spectrometry detectors such as atmospheric pressure chemical ionisation mass spectrometry (APCI-MS-MS) and electrospray ionisation mass spectrometry (ESI-MS). ICP-MS and (P</w:t>
      </w:r>
      <w:proofErr w:type="gramStart"/>
      <w:r w:rsidRPr="00935187">
        <w:rPr>
          <w:rFonts w:ascii="Calibri" w:hAnsi="Calibri"/>
          <w:sz w:val="22"/>
          <w:szCs w:val="22"/>
        </w:rPr>
        <w:t>)FPD</w:t>
      </w:r>
      <w:proofErr w:type="gramEnd"/>
      <w:r w:rsidRPr="00935187">
        <w:rPr>
          <w:rFonts w:ascii="Calibri" w:hAnsi="Calibri"/>
          <w:sz w:val="22"/>
          <w:szCs w:val="22"/>
        </w:rPr>
        <w:t xml:space="preserve"> detectors have been applied widely because of their inherent selectivity and sensitivity.</w:t>
      </w:r>
      <w:r w:rsidRPr="00935187">
        <w:rPr>
          <w:rFonts w:ascii="Calibri" w:hAnsi="Calibri"/>
          <w:b/>
          <w:bCs/>
          <w:sz w:val="22"/>
          <w:szCs w:val="22"/>
        </w:rPr>
        <w:t xml:space="preserve"> </w:t>
      </w:r>
      <w:r w:rsidRPr="00935187">
        <w:rPr>
          <w:rFonts w:ascii="Calibri" w:hAnsi="Calibri"/>
          <w:bCs/>
          <w:sz w:val="22"/>
          <w:szCs w:val="22"/>
        </w:rPr>
        <w:t xml:space="preserve">(P)FPD has been shown to have greater selectivity and lower detection limits (by a factor of 25 to 50 times) for organotin compounds than those obtained with conventional FPD (Bravo </w:t>
      </w:r>
      <w:r w:rsidRPr="00935187">
        <w:rPr>
          <w:rFonts w:ascii="Calibri" w:hAnsi="Calibri"/>
          <w:bCs/>
          <w:i/>
          <w:sz w:val="22"/>
          <w:szCs w:val="22"/>
        </w:rPr>
        <w:t>et al.</w:t>
      </w:r>
      <w:r w:rsidRPr="00935187">
        <w:rPr>
          <w:rFonts w:ascii="Calibri" w:hAnsi="Calibri"/>
          <w:bCs/>
          <w:sz w:val="22"/>
          <w:szCs w:val="22"/>
        </w:rPr>
        <w:t>, 2004).</w:t>
      </w:r>
    </w:p>
    <w:p w14:paraId="2922BDA9" w14:textId="77777777" w:rsidR="00FC360C" w:rsidRPr="00935187" w:rsidRDefault="00FC360C" w:rsidP="00935187">
      <w:pPr>
        <w:pStyle w:val="Heading3"/>
      </w:pPr>
      <w:bookmarkStart w:id="292" w:name="_Toc511217571"/>
      <w:r w:rsidRPr="00935187">
        <w:t>5.5.1</w:t>
      </w:r>
      <w:r w:rsidRPr="00935187">
        <w:tab/>
        <w:t>Gas chromatography</w:t>
      </w:r>
      <w:bookmarkEnd w:id="292"/>
    </w:p>
    <w:p w14:paraId="34D2D33D" w14:textId="77777777" w:rsidR="00FC360C" w:rsidRPr="00935187" w:rsidRDefault="00FC360C" w:rsidP="00935187">
      <w:pPr>
        <w:rPr>
          <w:szCs w:val="22"/>
        </w:rPr>
      </w:pPr>
      <w:r w:rsidRPr="00935187">
        <w:rPr>
          <w:szCs w:val="22"/>
        </w:rPr>
        <w:t xml:space="preserve">The two injection modes commonly used are splitless and on-column injection. Automatic sample injection should be used wherever possible to improve the reproducibility of injection and the precision of the overall method. If splitless injection is used, the liner should be of sufficient capacity to contain the injected solvent volume after evaporation. Helium must be used for GC-MS, GC-FPD and GC-ICP-MS. The preferred column length is 25–30 </w:t>
      </w:r>
      <w:proofErr w:type="gramStart"/>
      <w:r w:rsidRPr="00935187">
        <w:rPr>
          <w:szCs w:val="22"/>
        </w:rPr>
        <w:t>m,</w:t>
      </w:r>
      <w:proofErr w:type="gramEnd"/>
      <w:r w:rsidRPr="00935187">
        <w:rPr>
          <w:szCs w:val="22"/>
        </w:rPr>
        <w:t xml:space="preserve"> with an internal diameter of 0.15 mm to 0.3 mm. Film thicknesses of 0.3 </w:t>
      </w:r>
      <w:r w:rsidRPr="00935187">
        <w:rPr>
          <w:szCs w:val="22"/>
        </w:rPr>
        <w:sym w:font="Symbol" w:char="F06D"/>
      </w:r>
      <w:r w:rsidRPr="00935187">
        <w:rPr>
          <w:szCs w:val="22"/>
        </w:rPr>
        <w:t>m to 1 µm are generally used. The most commonly used stationary phase for organotin analysis is 5% phenyl methyl siloxane. Mass spectrometric analyses are usually conducted in</w:t>
      </w:r>
      <w:r w:rsidR="00935187">
        <w:rPr>
          <w:szCs w:val="22"/>
        </w:rPr>
        <w:t xml:space="preserve"> electron-impact mode at 70eV. </w:t>
      </w:r>
    </w:p>
    <w:p w14:paraId="16FE92A5" w14:textId="77777777" w:rsidR="00FC360C" w:rsidRPr="00935187" w:rsidRDefault="00FC360C" w:rsidP="00935187">
      <w:pPr>
        <w:pStyle w:val="Heading3"/>
      </w:pPr>
      <w:bookmarkStart w:id="293" w:name="_Toc511217572"/>
      <w:r w:rsidRPr="00935187">
        <w:t>5.5.2</w:t>
      </w:r>
      <w:r w:rsidRPr="00935187">
        <w:tab/>
        <w:t>High Performance Liquid Chromatography</w:t>
      </w:r>
      <w:bookmarkEnd w:id="293"/>
    </w:p>
    <w:p w14:paraId="3F4C825B" w14:textId="77777777" w:rsidR="00FC360C" w:rsidRPr="00935187" w:rsidRDefault="00FC360C" w:rsidP="00935187">
      <w:pPr>
        <w:rPr>
          <w:szCs w:val="22"/>
        </w:rPr>
      </w:pPr>
      <w:r w:rsidRPr="00935187">
        <w:rPr>
          <w:szCs w:val="22"/>
        </w:rPr>
        <w:t xml:space="preserve">All stainless steel parts of the HPLC system that come into contact with the sample should be replaced by polyether ketone (PEEK) components. Reverse phase columns (e.g. octadecylsilane C18) are commonly used (Wahlen and Catterick, 2003) and the mobile phase can consist, for example, of a mixture of acetonitrile, water and acetic acid with 0.05% triethylamine, pH 3.1–3.4 (65:25:10 variable depending on columns used). </w:t>
      </w:r>
    </w:p>
    <w:p w14:paraId="7531C2A9" w14:textId="77777777" w:rsidR="00FC360C" w:rsidRPr="00935187" w:rsidRDefault="00FC360C" w:rsidP="00935187">
      <w:pPr>
        <w:pStyle w:val="Heading3"/>
      </w:pPr>
      <w:bookmarkStart w:id="294" w:name="_Toc511217573"/>
      <w:r w:rsidRPr="00935187">
        <w:t>5.5.3</w:t>
      </w:r>
      <w:r w:rsidRPr="00935187">
        <w:tab/>
        <w:t>Detection</w:t>
      </w:r>
      <w:bookmarkEnd w:id="294"/>
    </w:p>
    <w:p w14:paraId="1105B2ED" w14:textId="77777777" w:rsidR="00FC360C" w:rsidRPr="00935187" w:rsidRDefault="00FC360C" w:rsidP="00935187">
      <w:pPr>
        <w:rPr>
          <w:i/>
          <w:szCs w:val="22"/>
        </w:rPr>
      </w:pPr>
      <w:r w:rsidRPr="00935187">
        <w:rPr>
          <w:szCs w:val="22"/>
        </w:rPr>
        <w:t>Flame photometry (FPD), equipped with a 610 nm band-pass filter, selective for tin compounds), mass spectrometry (MS) or inductively coupled plasma-mass spectrometry (ICP-MS) are mainly used as detectors for gas chromatography and high performance liquid chromatography.</w:t>
      </w:r>
    </w:p>
    <w:p w14:paraId="22ADE65F" w14:textId="77777777" w:rsidR="00FC360C" w:rsidRPr="00935187" w:rsidRDefault="00FC360C" w:rsidP="00935187">
      <w:pPr>
        <w:pStyle w:val="Heading1"/>
      </w:pPr>
      <w:bookmarkStart w:id="295" w:name="_Toc511217574"/>
      <w:r w:rsidRPr="00935187">
        <w:t>6.</w:t>
      </w:r>
      <w:r w:rsidRPr="00935187">
        <w:tab/>
        <w:t>Quality assurance</w:t>
      </w:r>
      <w:bookmarkEnd w:id="295"/>
    </w:p>
    <w:p w14:paraId="046B8DCD"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 xml:space="preserve">References of relevance to QA procedures include HELCOM (1988); HELCOM COMBINE manual, QUASIMEME (1992); Oehlenschläger (1994); ICES (1996); and Morabito </w:t>
      </w:r>
      <w:r w:rsidRPr="00935187">
        <w:rPr>
          <w:rFonts w:ascii="Calibri" w:hAnsi="Calibri"/>
          <w:i/>
          <w:sz w:val="22"/>
          <w:szCs w:val="22"/>
        </w:rPr>
        <w:t>et al.</w:t>
      </w:r>
      <w:r w:rsidRPr="00935187">
        <w:rPr>
          <w:rFonts w:ascii="Calibri" w:hAnsi="Calibri"/>
          <w:sz w:val="22"/>
          <w:szCs w:val="22"/>
        </w:rPr>
        <w:t xml:space="preserve"> (1999).</w:t>
      </w:r>
    </w:p>
    <w:p w14:paraId="2D2BA94C" w14:textId="77777777" w:rsidR="00FC360C" w:rsidRPr="00935187" w:rsidRDefault="00FC360C" w:rsidP="00935187">
      <w:pPr>
        <w:pStyle w:val="Heading2"/>
      </w:pPr>
      <w:bookmarkStart w:id="296" w:name="_Toc511217575"/>
      <w:r w:rsidRPr="00935187">
        <w:t>6.1</w:t>
      </w:r>
      <w:r w:rsidRPr="00935187">
        <w:tab/>
        <w:t>System performance</w:t>
      </w:r>
      <w:bookmarkEnd w:id="296"/>
    </w:p>
    <w:p w14:paraId="7F0A8872"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The performance of the instrumentation should be monitored by regularly checking the resolution of two closely eluting organotin compounds. A decrease in resolution points to deteriorating instrumental conditions. A dirty MS</w:t>
      </w:r>
      <w:r w:rsidRPr="00935187">
        <w:rPr>
          <w:rFonts w:ascii="Calibri" w:hAnsi="Calibri"/>
          <w:sz w:val="22"/>
          <w:szCs w:val="22"/>
        </w:rPr>
        <w:noBreakHyphen/>
        <w:t>source can be recognised by the presence of an elevated background signal together with a reduced signal-to-noise ratio. Chromatograms should be inspected visually by a trained operator.</w:t>
      </w:r>
    </w:p>
    <w:p w14:paraId="52217453" w14:textId="77777777" w:rsidR="00FC360C" w:rsidRPr="00935187" w:rsidRDefault="00FC360C" w:rsidP="00935187">
      <w:pPr>
        <w:pStyle w:val="Heading2"/>
      </w:pPr>
      <w:bookmarkStart w:id="297" w:name="_Toc511217576"/>
      <w:r w:rsidRPr="00935187">
        <w:t>6.2</w:t>
      </w:r>
      <w:r w:rsidRPr="00935187">
        <w:tab/>
        <w:t>Recovery</w:t>
      </w:r>
      <w:bookmarkEnd w:id="297"/>
    </w:p>
    <w:p w14:paraId="6878782E"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 xml:space="preserve">The recovery should be checked and reported. One method is to add an internal (recovery) standard to each sample immediately before extraction (e.g. tripropyltin) and a second (quantification) standard immediately prior to injection (e.g. tetrapropyltin). The </w:t>
      </w:r>
      <w:r w:rsidR="006F0A4B">
        <w:rPr>
          <w:rFonts w:ascii="Calibri" w:hAnsi="Calibri"/>
          <w:sz w:val="22"/>
          <w:szCs w:val="22"/>
        </w:rPr>
        <w:t>recovery of MBT may be lower tha</w:t>
      </w:r>
      <w:r w:rsidRPr="00935187">
        <w:rPr>
          <w:rFonts w:ascii="Calibri" w:hAnsi="Calibri"/>
          <w:sz w:val="22"/>
          <w:szCs w:val="22"/>
        </w:rPr>
        <w:t xml:space="preserve">n for other organotin compounds, pobrably because of </w:t>
      </w:r>
      <w:proofErr w:type="gramStart"/>
      <w:r w:rsidRPr="00935187">
        <w:rPr>
          <w:rFonts w:ascii="Calibri" w:hAnsi="Calibri"/>
          <w:sz w:val="22"/>
          <w:szCs w:val="22"/>
        </w:rPr>
        <w:t>a lower</w:t>
      </w:r>
      <w:proofErr w:type="gramEnd"/>
      <w:r w:rsidRPr="00935187">
        <w:rPr>
          <w:rFonts w:ascii="Calibri" w:hAnsi="Calibri"/>
          <w:sz w:val="22"/>
          <w:szCs w:val="22"/>
        </w:rPr>
        <w:t xml:space="preserve"> derivatisation efficiency.</w:t>
      </w:r>
    </w:p>
    <w:p w14:paraId="70A7695B"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When using Isotope Dilution-Mass Spectrometry technique, the loss of target analytes is compensated. However, the recovery should still be calculated and should be between 50% and 150%.</w:t>
      </w:r>
    </w:p>
    <w:p w14:paraId="6181B06F" w14:textId="77777777" w:rsidR="00FC360C" w:rsidRPr="00935187" w:rsidRDefault="00FC360C" w:rsidP="00935187">
      <w:pPr>
        <w:pStyle w:val="Heading2"/>
      </w:pPr>
      <w:bookmarkStart w:id="298" w:name="_Toc511217577"/>
      <w:r w:rsidRPr="00935187">
        <w:t>6.3</w:t>
      </w:r>
      <w:r w:rsidRPr="00935187">
        <w:tab/>
        <w:t>Calibrand solutions and calibration</w:t>
      </w:r>
      <w:bookmarkEnd w:id="298"/>
    </w:p>
    <w:p w14:paraId="475A6D36"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See Section 5.4.1.</w:t>
      </w:r>
    </w:p>
    <w:p w14:paraId="731C971E" w14:textId="77777777" w:rsidR="00FC360C" w:rsidRPr="00935187" w:rsidRDefault="00FC360C" w:rsidP="00935187">
      <w:pPr>
        <w:pStyle w:val="Heading2"/>
      </w:pPr>
      <w:bookmarkStart w:id="299" w:name="_Toc511217578"/>
      <w:r w:rsidRPr="00935187">
        <w:t>6.4</w:t>
      </w:r>
      <w:r w:rsidRPr="00935187">
        <w:tab/>
        <w:t>Blanks</w:t>
      </w:r>
      <w:bookmarkEnd w:id="299"/>
    </w:p>
    <w:p w14:paraId="2ADE4652"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A procedural blank should be measured for each sample series and should be prepared simultaneously using the same chemicals and solvents as for the samples. Its purpose is to indicate sample contamination by interfering compounds, which will lead to errors in quantification. Even if an internal standard has been added to the blank at the beginning of the procedure, a quantification of peaks in the blank and subtraction from the values obtained for the determinands must not be performed, as the added internal standard cannot be adsorbed by a matrix.</w:t>
      </w:r>
    </w:p>
    <w:p w14:paraId="2C3C8B56" w14:textId="77777777" w:rsidR="00FC360C" w:rsidRPr="00935187" w:rsidRDefault="00FC360C" w:rsidP="00935187">
      <w:pPr>
        <w:pStyle w:val="Heading2"/>
      </w:pPr>
      <w:bookmarkStart w:id="300" w:name="_Toc511217579"/>
      <w:r w:rsidRPr="00935187">
        <w:t>6.5</w:t>
      </w:r>
      <w:r w:rsidRPr="00935187">
        <w:tab/>
        <w:t>Accuracy and precision</w:t>
      </w:r>
      <w:bookmarkEnd w:id="300"/>
    </w:p>
    <w:p w14:paraId="29BA2A06"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A Laboratory Reference Material (LRM) should be included, at least one sample for each series of identically prepared samples. The LRM must be homogeneous, well characterised for the determinands in question and stability tests must have shown that it produces consistent results over time. The LRM should be of the same type of matrix (</w:t>
      </w:r>
      <w:r w:rsidRPr="00935187">
        <w:rPr>
          <w:rFonts w:ascii="Calibri" w:hAnsi="Calibri"/>
          <w:i/>
          <w:sz w:val="22"/>
          <w:szCs w:val="22"/>
        </w:rPr>
        <w:t>e.g.</w:t>
      </w:r>
      <w:r w:rsidRPr="00935187">
        <w:rPr>
          <w:rFonts w:ascii="Calibri" w:hAnsi="Calibri"/>
          <w:sz w:val="22"/>
          <w:szCs w:val="22"/>
        </w:rPr>
        <w:t xml:space="preserve"> liver, muscle tissue, fat or lean fish) as the samples, and the determinand concentrations should occur in a comparable range to those of the samples. If the range of determinand concentrations in the samples is large (&gt; factor of 5) two reference materials should be included in each batch of analyses to cover the lower and upper concentrations. The data produced for the LRM in successive sample batches should be used to prepare control charts. It is also useful to analyse the LRM in duplicate from time to time to check within-batch analytical variability. The analysis of an LRM is primarily intended as a check that the analytical method is under control and yields acceptable precision, but a certified reference material (CRM such as ERM-CE 477 (mussel, certified for TBT, DBT, MBT) or NIES No. 11 (fish t</w:t>
      </w:r>
      <w:r w:rsidR="006F0A4B">
        <w:rPr>
          <w:rFonts w:ascii="Calibri" w:hAnsi="Calibri"/>
          <w:sz w:val="22"/>
          <w:szCs w:val="22"/>
        </w:rPr>
        <w:t>issue certified for TBT and non-</w:t>
      </w:r>
      <w:r w:rsidRPr="00935187">
        <w:rPr>
          <w:rFonts w:ascii="Calibri" w:hAnsi="Calibri"/>
          <w:sz w:val="22"/>
          <w:szCs w:val="22"/>
        </w:rPr>
        <w:t>certified reference value for TPhT)) of a similar matrix should be analysed periodically in order to check the method bias. Additionally a duplicate of at least one sample should be run with every batch of samples. Each laboratory should participate in interlaboratory comparison studies and proficiency testing schemes on a regular basis, preferably at an international level.</w:t>
      </w:r>
    </w:p>
    <w:p w14:paraId="65EB0277" w14:textId="77777777" w:rsidR="00FC360C" w:rsidRPr="00935187" w:rsidRDefault="00FC360C" w:rsidP="00935187">
      <w:pPr>
        <w:pStyle w:val="Heading2"/>
      </w:pPr>
      <w:bookmarkStart w:id="301" w:name="_Toc511217580"/>
      <w:r w:rsidRPr="00935187">
        <w:t>6.6</w:t>
      </w:r>
      <w:r w:rsidRPr="00935187">
        <w:tab/>
        <w:t>Data collection and transfer</w:t>
      </w:r>
      <w:bookmarkEnd w:id="301"/>
    </w:p>
    <w:p w14:paraId="03CA8AB7"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Data collection, handling and transfer must take place using quality controlled procedures.</w:t>
      </w:r>
    </w:p>
    <w:p w14:paraId="0C384F26" w14:textId="77777777" w:rsidR="00FC360C" w:rsidRPr="00935187" w:rsidRDefault="00FC360C" w:rsidP="00935187">
      <w:pPr>
        <w:pStyle w:val="Heading1"/>
      </w:pPr>
      <w:bookmarkStart w:id="302" w:name="_Toc511217581"/>
      <w:r w:rsidRPr="00935187">
        <w:t>7.</w:t>
      </w:r>
      <w:r w:rsidRPr="00935187">
        <w:tab/>
        <w:t>Data recording and reporting parameters</w:t>
      </w:r>
      <w:bookmarkEnd w:id="302"/>
    </w:p>
    <w:p w14:paraId="67410EEA"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The calculation of results and the reporting of data can represent major sources of error, as has been shown in intercomp</w:t>
      </w:r>
      <w:r w:rsidR="006F0A4B">
        <w:rPr>
          <w:rFonts w:ascii="Calibri" w:hAnsi="Calibri"/>
          <w:sz w:val="22"/>
          <w:szCs w:val="22"/>
        </w:rPr>
        <w:t>arison studies for organotin co</w:t>
      </w:r>
      <w:r w:rsidRPr="00935187">
        <w:rPr>
          <w:rFonts w:ascii="Calibri" w:hAnsi="Calibri"/>
          <w:sz w:val="22"/>
          <w:szCs w:val="22"/>
        </w:rPr>
        <w:t>mpounds. Control procedures should be established in order to ensure that data are correct and to avoid transcription errors. Data stored in databases should be checked and validated, and checks are also necessary when data are transferred between databases.</w:t>
      </w:r>
    </w:p>
    <w:p w14:paraId="45E603FE"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Data reporting should be in accordance with the requirements of the monitoring programme and with the latest ICES reporting formats. Results should be reported according to the precision required for the programme. In practice, the number of significant figures is defined by the performance of the procedure.</w:t>
      </w:r>
    </w:p>
    <w:p w14:paraId="24341113"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The following parameters should be recorded:</w:t>
      </w:r>
    </w:p>
    <w:p w14:paraId="7C7FCBA8" w14:textId="77777777" w:rsidR="00FC360C" w:rsidRPr="00935187" w:rsidRDefault="00FC360C" w:rsidP="00935187">
      <w:pPr>
        <w:pStyle w:val="Heading2"/>
      </w:pPr>
      <w:bookmarkStart w:id="303" w:name="_Toc511217582"/>
      <w:r w:rsidRPr="00935187">
        <w:t>7.1</w:t>
      </w:r>
      <w:r w:rsidRPr="00935187">
        <w:tab/>
        <w:t>Sampling and biological parameters</w:t>
      </w:r>
      <w:bookmarkEnd w:id="303"/>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855"/>
      </w:tblGrid>
      <w:tr w:rsidR="00FC360C" w:rsidRPr="00935187" w14:paraId="417FEF0F" w14:textId="77777777" w:rsidTr="002F237A">
        <w:tc>
          <w:tcPr>
            <w:tcW w:w="5000" w:type="pct"/>
            <w:tcBorders>
              <w:top w:val="single" w:sz="6" w:space="0" w:color="auto"/>
              <w:left w:val="single" w:sz="6" w:space="0" w:color="auto"/>
              <w:bottom w:val="single" w:sz="6" w:space="0" w:color="auto"/>
              <w:right w:val="single" w:sz="6" w:space="0" w:color="auto"/>
            </w:tcBorders>
          </w:tcPr>
          <w:p w14:paraId="4DB4F05B" w14:textId="77777777" w:rsidR="00FC360C" w:rsidRPr="00935187" w:rsidRDefault="00FC360C" w:rsidP="00935187">
            <w:pPr>
              <w:pStyle w:val="hdg3"/>
              <w:spacing w:before="0" w:after="120" w:line="276" w:lineRule="auto"/>
              <w:rPr>
                <w:rFonts w:ascii="Calibri" w:hAnsi="Calibri"/>
              </w:rPr>
            </w:pPr>
            <w:r w:rsidRPr="00935187">
              <w:rPr>
                <w:rFonts w:ascii="Calibri" w:hAnsi="Calibri"/>
              </w:rPr>
              <w:t>Shellfish</w:t>
            </w:r>
          </w:p>
          <w:p w14:paraId="3175A482" w14:textId="77777777" w:rsidR="00FC360C" w:rsidRPr="00935187" w:rsidRDefault="00FC360C" w:rsidP="00935187">
            <w:pPr>
              <w:pStyle w:val="List"/>
              <w:numPr>
                <w:ilvl w:val="0"/>
                <w:numId w:val="13"/>
              </w:numPr>
              <w:spacing w:after="120" w:line="276" w:lineRule="auto"/>
              <w:ind w:left="284" w:hanging="284"/>
              <w:rPr>
                <w:rFonts w:ascii="Calibri" w:hAnsi="Calibri" w:cs="Arial"/>
                <w:sz w:val="22"/>
                <w:szCs w:val="22"/>
              </w:rPr>
            </w:pPr>
            <w:r w:rsidRPr="00935187">
              <w:rPr>
                <w:rFonts w:ascii="Calibri" w:hAnsi="Calibri" w:cs="Arial"/>
                <w:sz w:val="22"/>
                <w:szCs w:val="22"/>
              </w:rPr>
              <w:t>location of sampling site (name, latitude, and longitude);</w:t>
            </w:r>
          </w:p>
          <w:p w14:paraId="0934D3B7" w14:textId="77777777" w:rsidR="00FC360C" w:rsidRPr="00935187" w:rsidRDefault="00FC360C" w:rsidP="00935187">
            <w:pPr>
              <w:pStyle w:val="List"/>
              <w:numPr>
                <w:ilvl w:val="0"/>
                <w:numId w:val="13"/>
              </w:numPr>
              <w:spacing w:after="120" w:line="276" w:lineRule="auto"/>
              <w:ind w:left="284" w:hanging="284"/>
              <w:rPr>
                <w:rFonts w:ascii="Calibri" w:hAnsi="Calibri" w:cs="Arial"/>
                <w:sz w:val="22"/>
                <w:szCs w:val="22"/>
              </w:rPr>
            </w:pPr>
            <w:r w:rsidRPr="00935187">
              <w:rPr>
                <w:rFonts w:ascii="Calibri" w:hAnsi="Calibri" w:cs="Arial"/>
                <w:sz w:val="22"/>
                <w:szCs w:val="22"/>
              </w:rPr>
              <w:t>date and time of sampling (GMT);</w:t>
            </w:r>
          </w:p>
          <w:p w14:paraId="4AAAC7B5" w14:textId="77777777" w:rsidR="00FC360C" w:rsidRPr="00935187" w:rsidRDefault="00FC360C" w:rsidP="00935187">
            <w:pPr>
              <w:pStyle w:val="List"/>
              <w:numPr>
                <w:ilvl w:val="0"/>
                <w:numId w:val="13"/>
              </w:numPr>
              <w:spacing w:after="120" w:line="276" w:lineRule="auto"/>
              <w:ind w:left="284" w:hanging="284"/>
              <w:rPr>
                <w:rFonts w:ascii="Calibri" w:hAnsi="Calibri" w:cs="Arial"/>
                <w:sz w:val="22"/>
                <w:szCs w:val="22"/>
              </w:rPr>
            </w:pPr>
            <w:r w:rsidRPr="00935187">
              <w:rPr>
                <w:rFonts w:ascii="Calibri" w:hAnsi="Calibri" w:cs="Arial"/>
                <w:sz w:val="22"/>
                <w:szCs w:val="22"/>
              </w:rPr>
              <w:t>sampling depth with respect to low tide (for sub-tidal sites only);</w:t>
            </w:r>
          </w:p>
          <w:p w14:paraId="14BC3563" w14:textId="77777777" w:rsidR="00FC360C" w:rsidRPr="00935187" w:rsidRDefault="00FC360C" w:rsidP="00935187">
            <w:pPr>
              <w:pStyle w:val="List"/>
              <w:numPr>
                <w:ilvl w:val="0"/>
                <w:numId w:val="13"/>
              </w:numPr>
              <w:spacing w:after="120" w:line="276" w:lineRule="auto"/>
              <w:ind w:left="284" w:hanging="284"/>
              <w:rPr>
                <w:rFonts w:ascii="Calibri" w:hAnsi="Calibri" w:cs="Arial"/>
                <w:sz w:val="22"/>
                <w:szCs w:val="22"/>
              </w:rPr>
            </w:pPr>
            <w:r w:rsidRPr="00935187">
              <w:rPr>
                <w:rFonts w:ascii="Calibri" w:hAnsi="Calibri" w:cs="Arial"/>
                <w:sz w:val="22"/>
                <w:szCs w:val="22"/>
              </w:rPr>
              <w:t>irregularities and unusual conditions;</w:t>
            </w:r>
          </w:p>
          <w:p w14:paraId="1358C726" w14:textId="77777777" w:rsidR="00FC360C" w:rsidRPr="00935187" w:rsidRDefault="00FC360C" w:rsidP="00935187">
            <w:pPr>
              <w:pStyle w:val="List"/>
              <w:numPr>
                <w:ilvl w:val="0"/>
                <w:numId w:val="13"/>
              </w:numPr>
              <w:spacing w:after="120" w:line="276" w:lineRule="auto"/>
              <w:ind w:left="284" w:hanging="284"/>
              <w:rPr>
                <w:rFonts w:ascii="Calibri" w:hAnsi="Calibri" w:cs="Arial"/>
                <w:sz w:val="22"/>
                <w:szCs w:val="22"/>
              </w:rPr>
            </w:pPr>
            <w:r w:rsidRPr="00935187">
              <w:rPr>
                <w:rFonts w:ascii="Calibri" w:hAnsi="Calibri" w:cs="Arial"/>
                <w:sz w:val="22"/>
                <w:szCs w:val="22"/>
              </w:rPr>
              <w:t>name and institution of sampling personnel;</w:t>
            </w:r>
          </w:p>
          <w:p w14:paraId="4FDCA86A" w14:textId="77777777" w:rsidR="00FC360C" w:rsidRPr="00935187" w:rsidRDefault="00FC360C" w:rsidP="00935187">
            <w:pPr>
              <w:pStyle w:val="List"/>
              <w:numPr>
                <w:ilvl w:val="0"/>
                <w:numId w:val="13"/>
              </w:numPr>
              <w:spacing w:after="120" w:line="276" w:lineRule="auto"/>
              <w:ind w:left="284" w:hanging="284"/>
              <w:rPr>
                <w:rFonts w:ascii="Calibri" w:hAnsi="Calibri" w:cs="Arial"/>
                <w:sz w:val="22"/>
                <w:szCs w:val="22"/>
              </w:rPr>
            </w:pPr>
            <w:r w:rsidRPr="00935187">
              <w:rPr>
                <w:rFonts w:ascii="Calibri" w:hAnsi="Calibri" w:cs="Arial"/>
                <w:sz w:val="22"/>
                <w:szCs w:val="22"/>
              </w:rPr>
              <w:t>number of pooled samples;</w:t>
            </w:r>
          </w:p>
          <w:p w14:paraId="5F35B968" w14:textId="77777777" w:rsidR="00FC360C" w:rsidRPr="00935187" w:rsidRDefault="00FC360C" w:rsidP="00935187">
            <w:pPr>
              <w:pStyle w:val="List"/>
              <w:numPr>
                <w:ilvl w:val="0"/>
                <w:numId w:val="13"/>
              </w:numPr>
              <w:spacing w:after="120" w:line="276" w:lineRule="auto"/>
              <w:ind w:left="284" w:hanging="284"/>
              <w:rPr>
                <w:rFonts w:ascii="Calibri" w:hAnsi="Calibri" w:cs="Arial"/>
                <w:sz w:val="22"/>
                <w:szCs w:val="22"/>
              </w:rPr>
            </w:pPr>
            <w:r w:rsidRPr="00935187">
              <w:rPr>
                <w:rFonts w:ascii="Calibri" w:hAnsi="Calibri" w:cs="Arial"/>
                <w:sz w:val="22"/>
                <w:szCs w:val="22"/>
              </w:rPr>
              <w:t>number of individuals in pool;</w:t>
            </w:r>
          </w:p>
          <w:p w14:paraId="2B16AEE3" w14:textId="77777777" w:rsidR="00FC360C" w:rsidRPr="00935187" w:rsidRDefault="00FC360C" w:rsidP="00935187">
            <w:pPr>
              <w:pStyle w:val="List"/>
              <w:numPr>
                <w:ilvl w:val="0"/>
                <w:numId w:val="13"/>
              </w:numPr>
              <w:spacing w:after="120" w:line="276" w:lineRule="auto"/>
              <w:ind w:left="284" w:hanging="284"/>
              <w:rPr>
                <w:rFonts w:ascii="Calibri" w:hAnsi="Calibri" w:cs="Arial"/>
                <w:sz w:val="22"/>
                <w:szCs w:val="22"/>
              </w:rPr>
            </w:pPr>
            <w:r w:rsidRPr="00935187">
              <w:rPr>
                <w:rFonts w:ascii="Calibri" w:hAnsi="Calibri" w:cs="Arial"/>
                <w:sz w:val="22"/>
                <w:szCs w:val="22"/>
              </w:rPr>
              <w:t>mean, minimum and maximum length and standard deviation;</w:t>
            </w:r>
          </w:p>
          <w:p w14:paraId="204007B8" w14:textId="77777777" w:rsidR="00FC360C" w:rsidRPr="00935187" w:rsidRDefault="00FC360C" w:rsidP="00935187">
            <w:pPr>
              <w:pStyle w:val="List"/>
              <w:numPr>
                <w:ilvl w:val="0"/>
                <w:numId w:val="13"/>
              </w:numPr>
              <w:spacing w:after="120" w:line="276" w:lineRule="auto"/>
              <w:ind w:left="284" w:hanging="284"/>
              <w:rPr>
                <w:rFonts w:ascii="Calibri" w:hAnsi="Calibri" w:cs="Arial"/>
                <w:sz w:val="22"/>
                <w:szCs w:val="22"/>
              </w:rPr>
            </w:pPr>
            <w:r w:rsidRPr="00935187">
              <w:rPr>
                <w:rFonts w:ascii="Calibri" w:hAnsi="Calibri" w:cs="Arial"/>
                <w:sz w:val="22"/>
                <w:szCs w:val="22"/>
              </w:rPr>
              <w:t>mean dry shell weight;</w:t>
            </w:r>
          </w:p>
          <w:p w14:paraId="5374DBBC" w14:textId="77777777" w:rsidR="00FC360C" w:rsidRPr="00935187" w:rsidRDefault="00FC360C" w:rsidP="00935187">
            <w:pPr>
              <w:pStyle w:val="List"/>
              <w:numPr>
                <w:ilvl w:val="0"/>
                <w:numId w:val="13"/>
              </w:numPr>
              <w:spacing w:after="120" w:line="276" w:lineRule="auto"/>
              <w:ind w:left="284" w:hanging="284"/>
              <w:rPr>
                <w:rFonts w:ascii="Calibri" w:hAnsi="Calibri" w:cs="Arial"/>
                <w:sz w:val="22"/>
                <w:szCs w:val="22"/>
              </w:rPr>
            </w:pPr>
            <w:r w:rsidRPr="00935187">
              <w:rPr>
                <w:rFonts w:ascii="Calibri" w:hAnsi="Calibri" w:cs="Arial"/>
                <w:sz w:val="22"/>
                <w:szCs w:val="22"/>
              </w:rPr>
              <w:t>mean soft tissue weight (wet weight);</w:t>
            </w:r>
          </w:p>
          <w:p w14:paraId="451E967C" w14:textId="77777777" w:rsidR="00FC360C" w:rsidRPr="00935187" w:rsidRDefault="00FC360C" w:rsidP="00935187">
            <w:pPr>
              <w:pStyle w:val="List"/>
              <w:numPr>
                <w:ilvl w:val="0"/>
                <w:numId w:val="13"/>
              </w:numPr>
              <w:spacing w:after="120" w:line="276" w:lineRule="auto"/>
              <w:ind w:left="284" w:hanging="284"/>
              <w:rPr>
                <w:rFonts w:ascii="Calibri" w:hAnsi="Calibri"/>
                <w:sz w:val="22"/>
                <w:szCs w:val="22"/>
              </w:rPr>
            </w:pPr>
            <w:proofErr w:type="gramStart"/>
            <w:r w:rsidRPr="00935187">
              <w:rPr>
                <w:rFonts w:ascii="Calibri" w:hAnsi="Calibri" w:cs="Arial"/>
                <w:sz w:val="22"/>
                <w:szCs w:val="22"/>
              </w:rPr>
              <w:t>condition</w:t>
            </w:r>
            <w:proofErr w:type="gramEnd"/>
            <w:r w:rsidRPr="00935187">
              <w:rPr>
                <w:rFonts w:ascii="Calibri" w:hAnsi="Calibri" w:cs="Arial"/>
                <w:sz w:val="22"/>
                <w:szCs w:val="22"/>
              </w:rPr>
              <w:t xml:space="preserve"> index.</w:t>
            </w:r>
          </w:p>
        </w:tc>
      </w:tr>
    </w:tbl>
    <w:p w14:paraId="6402EE62" w14:textId="77777777" w:rsidR="00FC360C" w:rsidRPr="00935187" w:rsidRDefault="00FC360C" w:rsidP="00935187">
      <w:pPr>
        <w:pStyle w:val="NormalIndent"/>
        <w:spacing w:after="120" w:line="276" w:lineRule="auto"/>
        <w:rPr>
          <w:rFonts w:ascii="Calibri" w:hAnsi="Calibri"/>
          <w:b/>
          <w:bCs/>
          <w:sz w:val="22"/>
          <w:szCs w:val="22"/>
        </w:rPr>
      </w:pPr>
    </w:p>
    <w:p w14:paraId="5F8020EF" w14:textId="77777777" w:rsidR="00FC360C" w:rsidRPr="00935187" w:rsidRDefault="00FC360C" w:rsidP="00935187">
      <w:pPr>
        <w:pStyle w:val="Heading2"/>
      </w:pPr>
      <w:r w:rsidRPr="00935187">
        <w:br w:type="page"/>
      </w:r>
      <w:bookmarkStart w:id="304" w:name="_Toc511217583"/>
      <w:r w:rsidRPr="00935187">
        <w:t>7.2</w:t>
      </w:r>
      <w:r w:rsidRPr="00935187">
        <w:tab/>
        <w:t>Analytical and quality assurance parameters</w:t>
      </w:r>
      <w:bookmarkEnd w:id="304"/>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855"/>
      </w:tblGrid>
      <w:tr w:rsidR="00FC360C" w:rsidRPr="00935187" w14:paraId="1122F14F" w14:textId="77777777" w:rsidTr="002F237A">
        <w:tc>
          <w:tcPr>
            <w:tcW w:w="5000" w:type="pct"/>
            <w:tcBorders>
              <w:top w:val="single" w:sz="6" w:space="0" w:color="auto"/>
              <w:left w:val="single" w:sz="6" w:space="0" w:color="auto"/>
              <w:bottom w:val="single" w:sz="6" w:space="0" w:color="auto"/>
              <w:right w:val="single" w:sz="6" w:space="0" w:color="auto"/>
            </w:tcBorders>
          </w:tcPr>
          <w:p w14:paraId="517C49EA" w14:textId="77777777" w:rsidR="00FC360C" w:rsidRPr="00935187" w:rsidRDefault="00FC360C" w:rsidP="00935187">
            <w:pPr>
              <w:pStyle w:val="hdg2"/>
              <w:numPr>
                <w:ilvl w:val="0"/>
                <w:numId w:val="13"/>
              </w:numPr>
              <w:spacing w:before="0" w:after="120" w:line="276" w:lineRule="auto"/>
              <w:ind w:left="284" w:hanging="284"/>
              <w:rPr>
                <w:rFonts w:ascii="Calibri" w:hAnsi="Calibri" w:cs="Arial"/>
                <w:b w:val="0"/>
                <w:sz w:val="22"/>
                <w:szCs w:val="22"/>
              </w:rPr>
            </w:pPr>
            <w:r w:rsidRPr="00935187">
              <w:rPr>
                <w:rFonts w:ascii="Calibri" w:hAnsi="Calibri" w:cs="Arial"/>
                <w:b w:val="0"/>
                <w:sz w:val="22"/>
                <w:szCs w:val="22"/>
              </w:rPr>
              <w:t>LRM and CRM results for a set of organotin compounds, reported on a wet weight basis;</w:t>
            </w:r>
          </w:p>
          <w:p w14:paraId="282C6EBA" w14:textId="77777777" w:rsidR="00FC360C" w:rsidRPr="00935187" w:rsidRDefault="00FC360C" w:rsidP="00935187">
            <w:pPr>
              <w:pStyle w:val="hdg2"/>
              <w:numPr>
                <w:ilvl w:val="0"/>
                <w:numId w:val="13"/>
              </w:numPr>
              <w:spacing w:before="0" w:after="120" w:line="276" w:lineRule="auto"/>
              <w:ind w:left="283"/>
              <w:rPr>
                <w:rFonts w:ascii="Calibri" w:hAnsi="Calibri" w:cs="Arial"/>
                <w:b w:val="0"/>
                <w:sz w:val="22"/>
                <w:szCs w:val="22"/>
              </w:rPr>
            </w:pPr>
            <w:r w:rsidRPr="00935187">
              <w:rPr>
                <w:rFonts w:ascii="Calibri" w:hAnsi="Calibri" w:cs="Arial"/>
                <w:b w:val="0"/>
                <w:sz w:val="22"/>
                <w:szCs w:val="22"/>
              </w:rPr>
              <w:t>descriptions of the extraction, cleaning and instrumental determination methods;</w:t>
            </w:r>
          </w:p>
          <w:p w14:paraId="4BA08B72" w14:textId="77777777" w:rsidR="00FC360C" w:rsidRPr="00935187" w:rsidRDefault="00FC360C" w:rsidP="00935187">
            <w:pPr>
              <w:pStyle w:val="hdg2"/>
              <w:numPr>
                <w:ilvl w:val="0"/>
                <w:numId w:val="13"/>
              </w:numPr>
              <w:spacing w:before="0" w:after="120" w:line="276" w:lineRule="auto"/>
              <w:ind w:left="283"/>
              <w:rPr>
                <w:rFonts w:ascii="Calibri" w:hAnsi="Calibri" w:cs="Arial"/>
                <w:b w:val="0"/>
                <w:sz w:val="22"/>
                <w:szCs w:val="22"/>
              </w:rPr>
            </w:pPr>
            <w:r w:rsidRPr="00935187">
              <w:rPr>
                <w:rFonts w:ascii="Calibri" w:hAnsi="Calibri" w:cs="Arial"/>
                <w:b w:val="0"/>
                <w:sz w:val="22"/>
                <w:szCs w:val="22"/>
              </w:rPr>
              <w:t>mean tissue lipid weight and method of extraction;</w:t>
            </w:r>
          </w:p>
          <w:p w14:paraId="69125EE4" w14:textId="77777777" w:rsidR="00FC360C" w:rsidRPr="00935187" w:rsidRDefault="00FC360C" w:rsidP="00935187">
            <w:pPr>
              <w:pStyle w:val="hdg2"/>
              <w:numPr>
                <w:ilvl w:val="0"/>
                <w:numId w:val="13"/>
              </w:numPr>
              <w:spacing w:before="0" w:after="120" w:line="276" w:lineRule="auto"/>
              <w:ind w:left="283"/>
              <w:rPr>
                <w:rFonts w:ascii="Calibri" w:hAnsi="Calibri" w:cs="Arial"/>
                <w:b w:val="0"/>
                <w:sz w:val="22"/>
                <w:szCs w:val="22"/>
              </w:rPr>
            </w:pPr>
            <w:r w:rsidRPr="00935187">
              <w:rPr>
                <w:rFonts w:ascii="Calibri" w:hAnsi="Calibri" w:cs="Arial"/>
                <w:b w:val="0"/>
                <w:sz w:val="22"/>
                <w:szCs w:val="22"/>
              </w:rPr>
              <w:t>the mean soft dry weight and method of determining water content if this differs from air drying to constant weight at 105</w:t>
            </w:r>
            <w:r w:rsidRPr="00935187">
              <w:rPr>
                <w:rFonts w:ascii="Calibri" w:hAnsi="Calibri" w:cs="Arial"/>
                <w:b w:val="0"/>
                <w:sz w:val="22"/>
                <w:szCs w:val="22"/>
              </w:rPr>
              <w:sym w:font="Symbol" w:char="F0B0"/>
            </w:r>
            <w:r w:rsidRPr="00935187">
              <w:rPr>
                <w:rFonts w:ascii="Calibri" w:hAnsi="Calibri" w:cs="Arial"/>
                <w:b w:val="0"/>
                <w:sz w:val="22"/>
                <w:szCs w:val="22"/>
              </w:rPr>
              <w:t>C (if sufficient material is available);</w:t>
            </w:r>
          </w:p>
          <w:p w14:paraId="00CF3FCD" w14:textId="77777777" w:rsidR="00FC360C" w:rsidRPr="00935187" w:rsidRDefault="00FC360C" w:rsidP="00935187">
            <w:pPr>
              <w:pStyle w:val="hdg2"/>
              <w:numPr>
                <w:ilvl w:val="0"/>
                <w:numId w:val="13"/>
              </w:numPr>
              <w:spacing w:before="0" w:after="120" w:line="276" w:lineRule="auto"/>
              <w:ind w:left="284" w:hanging="284"/>
              <w:rPr>
                <w:rFonts w:ascii="Calibri" w:hAnsi="Calibri" w:cs="Arial"/>
                <w:b w:val="0"/>
                <w:sz w:val="22"/>
                <w:szCs w:val="22"/>
              </w:rPr>
            </w:pPr>
            <w:proofErr w:type="gramStart"/>
            <w:r w:rsidRPr="00935187">
              <w:rPr>
                <w:rFonts w:ascii="Calibri" w:hAnsi="Calibri" w:cs="Arial"/>
                <w:b w:val="0"/>
                <w:sz w:val="22"/>
                <w:szCs w:val="22"/>
              </w:rPr>
              <w:t>the</w:t>
            </w:r>
            <w:proofErr w:type="gramEnd"/>
            <w:r w:rsidRPr="00935187">
              <w:rPr>
                <w:rFonts w:ascii="Calibri" w:hAnsi="Calibri" w:cs="Arial"/>
                <w:b w:val="0"/>
                <w:sz w:val="22"/>
                <w:szCs w:val="22"/>
              </w:rPr>
              <w:t xml:space="preserve"> detection limit for each organotin compound. Specific performance criteria, including detection limits and precision, are usually set by the programme. A typical detection limit for single contaminants is 1 µg/kg wet weight, although this might be difficult to achieve for phenyltins compounds.</w:t>
            </w:r>
          </w:p>
          <w:p w14:paraId="29CF4F53" w14:textId="77777777" w:rsidR="00FC360C" w:rsidRPr="00935187" w:rsidRDefault="00FC360C" w:rsidP="00935187">
            <w:pPr>
              <w:pStyle w:val="hdg3"/>
              <w:numPr>
                <w:ilvl w:val="0"/>
                <w:numId w:val="15"/>
              </w:numPr>
              <w:spacing w:before="0" w:after="120" w:line="276" w:lineRule="auto"/>
              <w:rPr>
                <w:rFonts w:ascii="Calibri" w:hAnsi="Calibri"/>
              </w:rPr>
            </w:pPr>
            <w:r w:rsidRPr="00935187">
              <w:rPr>
                <w:rFonts w:ascii="Calibri" w:hAnsi="Calibri"/>
              </w:rPr>
              <w:t>QA information according to the requirements specified in the programme.</w:t>
            </w:r>
          </w:p>
        </w:tc>
      </w:tr>
    </w:tbl>
    <w:p w14:paraId="04900DA0" w14:textId="77777777" w:rsidR="00FC360C" w:rsidRPr="00935187" w:rsidRDefault="00FC360C" w:rsidP="00D06837">
      <w:pPr>
        <w:pStyle w:val="Heading2"/>
      </w:pPr>
      <w:bookmarkStart w:id="305" w:name="_Toc511217584"/>
      <w:r w:rsidRPr="00935187">
        <w:t>7.3</w:t>
      </w:r>
      <w:r w:rsidRPr="00935187">
        <w:tab/>
        <w:t>Lipids</w:t>
      </w:r>
      <w:bookmarkEnd w:id="305"/>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855"/>
      </w:tblGrid>
      <w:tr w:rsidR="00FC360C" w:rsidRPr="00935187" w14:paraId="0B943B26" w14:textId="77777777" w:rsidTr="002F237A">
        <w:tc>
          <w:tcPr>
            <w:tcW w:w="5000" w:type="pct"/>
            <w:tcBorders>
              <w:top w:val="single" w:sz="6" w:space="0" w:color="auto"/>
              <w:left w:val="single" w:sz="6" w:space="0" w:color="auto"/>
              <w:bottom w:val="single" w:sz="6" w:space="0" w:color="auto"/>
              <w:right w:val="single" w:sz="6" w:space="0" w:color="auto"/>
            </w:tcBorders>
          </w:tcPr>
          <w:p w14:paraId="25676B83" w14:textId="77777777" w:rsidR="00FC360C" w:rsidRPr="00935187" w:rsidRDefault="00FC360C" w:rsidP="00935187">
            <w:pPr>
              <w:pStyle w:val="hdg3"/>
              <w:numPr>
                <w:ilvl w:val="0"/>
                <w:numId w:val="16"/>
              </w:numPr>
              <w:spacing w:before="0" w:after="120" w:line="276" w:lineRule="auto"/>
              <w:rPr>
                <w:rFonts w:ascii="Calibri" w:hAnsi="Calibri"/>
              </w:rPr>
            </w:pPr>
            <w:proofErr w:type="gramStart"/>
            <w:r w:rsidRPr="00935187">
              <w:rPr>
                <w:rFonts w:ascii="Calibri" w:hAnsi="Calibri"/>
              </w:rPr>
              <w:t>total</w:t>
            </w:r>
            <w:proofErr w:type="gramEnd"/>
            <w:r w:rsidRPr="00935187">
              <w:rPr>
                <w:rFonts w:ascii="Calibri" w:hAnsi="Calibri"/>
              </w:rPr>
              <w:t xml:space="preserve"> lipids (</w:t>
            </w:r>
            <w:r w:rsidRPr="00935187">
              <w:rPr>
                <w:rFonts w:ascii="Calibri" w:hAnsi="Calibri"/>
                <w:i/>
              </w:rPr>
              <w:t>e.g.</w:t>
            </w:r>
            <w:r w:rsidRPr="00935187">
              <w:rPr>
                <w:rFonts w:ascii="Calibri" w:hAnsi="Calibri"/>
              </w:rPr>
              <w:t xml:space="preserve"> Bligh and Dyer, 1959; or Smedes, 1999) (expressed as % or g/kg wet weight).</w:t>
            </w:r>
          </w:p>
        </w:tc>
      </w:tr>
    </w:tbl>
    <w:p w14:paraId="50ADE5A0" w14:textId="77777777" w:rsidR="00FC360C" w:rsidRPr="00935187" w:rsidRDefault="00FC360C" w:rsidP="00D06837">
      <w:pPr>
        <w:pStyle w:val="Heading2"/>
      </w:pPr>
      <w:bookmarkStart w:id="306" w:name="_Toc511217585"/>
      <w:r w:rsidRPr="00935187">
        <w:t>7.4</w:t>
      </w:r>
      <w:r w:rsidRPr="00935187">
        <w:tab/>
        <w:t>Parameters</w:t>
      </w:r>
      <w:bookmarkEnd w:id="306"/>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855"/>
      </w:tblGrid>
      <w:tr w:rsidR="00FC360C" w:rsidRPr="00935187" w14:paraId="7DF1B466" w14:textId="77777777" w:rsidTr="002F237A">
        <w:tc>
          <w:tcPr>
            <w:tcW w:w="5000" w:type="pct"/>
            <w:tcBorders>
              <w:top w:val="single" w:sz="6" w:space="0" w:color="auto"/>
              <w:left w:val="single" w:sz="6" w:space="0" w:color="auto"/>
              <w:bottom w:val="single" w:sz="6" w:space="0" w:color="auto"/>
              <w:right w:val="single" w:sz="6" w:space="0" w:color="auto"/>
            </w:tcBorders>
          </w:tcPr>
          <w:p w14:paraId="3A4F11E4" w14:textId="77777777" w:rsidR="00FC360C" w:rsidRPr="00935187" w:rsidRDefault="00FC360C" w:rsidP="00935187">
            <w:pPr>
              <w:pStyle w:val="List"/>
              <w:numPr>
                <w:ilvl w:val="0"/>
                <w:numId w:val="13"/>
              </w:numPr>
              <w:spacing w:after="120" w:line="276" w:lineRule="auto"/>
              <w:ind w:left="284" w:hanging="284"/>
              <w:rPr>
                <w:rFonts w:ascii="Calibri" w:hAnsi="Calibri" w:cs="Arial"/>
                <w:sz w:val="22"/>
                <w:szCs w:val="22"/>
              </w:rPr>
            </w:pPr>
            <w:r w:rsidRPr="00935187">
              <w:rPr>
                <w:rFonts w:ascii="Calibri" w:hAnsi="Calibri" w:cs="Arial"/>
                <w:sz w:val="22"/>
                <w:szCs w:val="22"/>
              </w:rPr>
              <w:t xml:space="preserve">organic contaminants of interest to monitoring programmes for which these guidelines apply: </w:t>
            </w:r>
            <w:r w:rsidRPr="00935187">
              <w:rPr>
                <w:rFonts w:ascii="Calibri" w:hAnsi="Calibri" w:cs="Arial"/>
                <w:bCs/>
                <w:sz w:val="22"/>
                <w:szCs w:val="22"/>
              </w:rPr>
              <w:t>organotin compounds suite required for analysis</w:t>
            </w:r>
          </w:p>
          <w:p w14:paraId="066E230F" w14:textId="77777777" w:rsidR="00FC360C" w:rsidRPr="00935187" w:rsidRDefault="00FC360C" w:rsidP="00935187">
            <w:pPr>
              <w:pStyle w:val="List"/>
              <w:numPr>
                <w:ilvl w:val="0"/>
                <w:numId w:val="13"/>
              </w:numPr>
              <w:spacing w:after="120" w:line="276" w:lineRule="auto"/>
              <w:ind w:left="284" w:hanging="284"/>
              <w:rPr>
                <w:rFonts w:ascii="Calibri" w:hAnsi="Calibri" w:cs="Arial"/>
                <w:sz w:val="22"/>
                <w:szCs w:val="22"/>
              </w:rPr>
            </w:pPr>
            <w:r w:rsidRPr="00935187">
              <w:rPr>
                <w:rFonts w:ascii="Calibri" w:hAnsi="Calibri" w:cs="Arial"/>
                <w:sz w:val="22"/>
                <w:szCs w:val="22"/>
              </w:rPr>
              <w:t>Butyltin compounds: Tributyltin (TBT), dibutyltin (DBT) and monobutyltin (MBT)</w:t>
            </w:r>
          </w:p>
          <w:p w14:paraId="4A43B803" w14:textId="77777777" w:rsidR="00FC360C" w:rsidRPr="00935187" w:rsidRDefault="00FC360C" w:rsidP="00935187">
            <w:pPr>
              <w:pStyle w:val="List"/>
              <w:numPr>
                <w:ilvl w:val="0"/>
                <w:numId w:val="13"/>
              </w:numPr>
              <w:spacing w:after="120" w:line="276" w:lineRule="auto"/>
              <w:ind w:left="284" w:hanging="284"/>
              <w:rPr>
                <w:rFonts w:ascii="Calibri" w:hAnsi="Calibri" w:cs="Arial"/>
                <w:bCs/>
                <w:sz w:val="22"/>
                <w:szCs w:val="22"/>
              </w:rPr>
            </w:pPr>
            <w:r w:rsidRPr="00935187">
              <w:rPr>
                <w:rFonts w:ascii="Calibri" w:hAnsi="Calibri" w:cs="Arial"/>
                <w:sz w:val="22"/>
                <w:szCs w:val="22"/>
              </w:rPr>
              <w:t>Phenyltin compounds: Triphenyltin (TPhT), diphenyltin (DPhT) and monophenyltin (MPhT)</w:t>
            </w:r>
            <w:r w:rsidRPr="00935187">
              <w:rPr>
                <w:rFonts w:ascii="Calibri" w:hAnsi="Calibri" w:cs="Arial"/>
                <w:bCs/>
                <w:sz w:val="22"/>
                <w:szCs w:val="22"/>
              </w:rPr>
              <w:t xml:space="preserve"> </w:t>
            </w:r>
          </w:p>
          <w:p w14:paraId="22F72275" w14:textId="77777777" w:rsidR="00FC360C" w:rsidRPr="00935187" w:rsidRDefault="00FC360C" w:rsidP="00935187">
            <w:pPr>
              <w:pStyle w:val="List"/>
              <w:spacing w:after="120" w:line="276" w:lineRule="auto"/>
              <w:ind w:left="0" w:firstLine="0"/>
              <w:rPr>
                <w:rFonts w:ascii="Calibri" w:hAnsi="Calibri" w:cs="Arial"/>
                <w:sz w:val="22"/>
                <w:szCs w:val="22"/>
              </w:rPr>
            </w:pPr>
          </w:p>
        </w:tc>
      </w:tr>
    </w:tbl>
    <w:p w14:paraId="3CA29B5A" w14:textId="77777777" w:rsidR="00FC360C" w:rsidRPr="00935187" w:rsidRDefault="00FC360C" w:rsidP="00D06837">
      <w:pPr>
        <w:pStyle w:val="Heading1"/>
      </w:pPr>
      <w:bookmarkStart w:id="307" w:name="_Toc511217586"/>
      <w:r w:rsidRPr="00935187">
        <w:t>8.</w:t>
      </w:r>
      <w:r w:rsidRPr="00935187">
        <w:tab/>
        <w:t>References</w:t>
      </w:r>
      <w:bookmarkEnd w:id="307"/>
    </w:p>
    <w:p w14:paraId="452E8D8F" w14:textId="77777777" w:rsidR="00FC360C" w:rsidRPr="00935187" w:rsidRDefault="00FC360C" w:rsidP="00935187">
      <w:pPr>
        <w:pStyle w:val="BodyText"/>
        <w:spacing w:after="120" w:line="276" w:lineRule="auto"/>
        <w:rPr>
          <w:rFonts w:ascii="Calibri" w:hAnsi="Calibri"/>
          <w:sz w:val="22"/>
          <w:szCs w:val="22"/>
        </w:rPr>
      </w:pPr>
      <w:proofErr w:type="gramStart"/>
      <w:r w:rsidRPr="00935187">
        <w:rPr>
          <w:rFonts w:ascii="Calibri" w:hAnsi="Calibri"/>
          <w:sz w:val="22"/>
          <w:szCs w:val="22"/>
        </w:rPr>
        <w:t>Bignert, A., Göthberg, A., Jensen, S., Litzén, K., Odsjö, T., Olsson, M., and Reuthergårdh, L. 1993.</w:t>
      </w:r>
      <w:proofErr w:type="gramEnd"/>
      <w:r w:rsidRPr="00935187">
        <w:rPr>
          <w:rFonts w:ascii="Calibri" w:hAnsi="Calibri"/>
          <w:sz w:val="22"/>
          <w:szCs w:val="22"/>
        </w:rPr>
        <w:t xml:space="preserve"> The need for adequate biological sampling in ecotoxicological investigations: a retrospective study of twenty years pollution monitoring. </w:t>
      </w:r>
      <w:r w:rsidRPr="00935187">
        <w:rPr>
          <w:rFonts w:ascii="Calibri" w:hAnsi="Calibri"/>
          <w:i/>
          <w:iCs/>
          <w:sz w:val="22"/>
          <w:szCs w:val="22"/>
        </w:rPr>
        <w:t>Sci. Tot. Environ.</w:t>
      </w:r>
      <w:r w:rsidRPr="00935187">
        <w:rPr>
          <w:rFonts w:ascii="Calibri" w:hAnsi="Calibri"/>
          <w:sz w:val="22"/>
          <w:szCs w:val="22"/>
        </w:rPr>
        <w:t xml:space="preserve"> </w:t>
      </w:r>
      <w:r w:rsidRPr="00935187">
        <w:rPr>
          <w:rFonts w:ascii="Calibri" w:hAnsi="Calibri"/>
          <w:b/>
          <w:bCs/>
          <w:sz w:val="22"/>
          <w:szCs w:val="22"/>
        </w:rPr>
        <w:t>128</w:t>
      </w:r>
      <w:r w:rsidRPr="00935187">
        <w:rPr>
          <w:rFonts w:ascii="Calibri" w:hAnsi="Calibri"/>
          <w:sz w:val="22"/>
          <w:szCs w:val="22"/>
        </w:rPr>
        <w:t>, 121–139.</w:t>
      </w:r>
    </w:p>
    <w:p w14:paraId="25F973D4" w14:textId="2EAB3E88" w:rsidR="00FC360C" w:rsidRPr="00935187" w:rsidRDefault="00FC360C" w:rsidP="00935187">
      <w:pPr>
        <w:pStyle w:val="BodyText"/>
        <w:spacing w:after="120" w:line="276" w:lineRule="auto"/>
        <w:rPr>
          <w:rFonts w:ascii="Calibri" w:hAnsi="Calibri"/>
          <w:sz w:val="22"/>
          <w:szCs w:val="22"/>
        </w:rPr>
      </w:pPr>
      <w:proofErr w:type="gramStart"/>
      <w:r w:rsidRPr="00935187">
        <w:rPr>
          <w:rFonts w:ascii="Calibri" w:hAnsi="Calibri"/>
          <w:sz w:val="22"/>
          <w:szCs w:val="22"/>
        </w:rPr>
        <w:t>Bignert, A., Olsson, M., de Wit, C., Litzén, K., Rappe, C., and Reuthergårdh, L. 1994.</w:t>
      </w:r>
      <w:proofErr w:type="gramEnd"/>
      <w:r w:rsidRPr="00935187">
        <w:rPr>
          <w:rFonts w:ascii="Calibri" w:hAnsi="Calibri"/>
          <w:sz w:val="22"/>
          <w:szCs w:val="22"/>
        </w:rPr>
        <w:t xml:space="preserve"> Biological variation </w:t>
      </w:r>
      <w:r w:rsidR="00AA7C8C">
        <w:rPr>
          <w:rFonts w:ascii="Calibri" w:hAnsi="Calibri"/>
          <w:sz w:val="22"/>
          <w:szCs w:val="22"/>
        </w:rPr>
        <w:t>–</w:t>
      </w:r>
      <w:r w:rsidRPr="00935187">
        <w:rPr>
          <w:rFonts w:ascii="Calibri" w:hAnsi="Calibri"/>
          <w:sz w:val="22"/>
          <w:szCs w:val="22"/>
        </w:rPr>
        <w:t xml:space="preserve"> an important factor to consider in ecotoxicological studies based on environmental samples. </w:t>
      </w:r>
      <w:r w:rsidRPr="00935187">
        <w:rPr>
          <w:rFonts w:ascii="Calibri" w:hAnsi="Calibri"/>
          <w:i/>
          <w:iCs/>
          <w:sz w:val="22"/>
          <w:szCs w:val="22"/>
        </w:rPr>
        <w:t>Fresenius J. Anal. Chem.</w:t>
      </w:r>
      <w:r w:rsidRPr="00935187">
        <w:rPr>
          <w:rFonts w:ascii="Calibri" w:hAnsi="Calibri"/>
          <w:sz w:val="22"/>
          <w:szCs w:val="22"/>
        </w:rPr>
        <w:t xml:space="preserve"> </w:t>
      </w:r>
      <w:r w:rsidRPr="00935187">
        <w:rPr>
          <w:rFonts w:ascii="Calibri" w:hAnsi="Calibri"/>
          <w:b/>
          <w:bCs/>
          <w:sz w:val="22"/>
          <w:szCs w:val="22"/>
        </w:rPr>
        <w:t>348,</w:t>
      </w:r>
      <w:r w:rsidRPr="00935187">
        <w:rPr>
          <w:rFonts w:ascii="Calibri" w:hAnsi="Calibri"/>
          <w:sz w:val="22"/>
          <w:szCs w:val="22"/>
        </w:rPr>
        <w:t xml:space="preserve"> 76–85.</w:t>
      </w:r>
    </w:p>
    <w:p w14:paraId="6DDD4D6D" w14:textId="77777777" w:rsidR="00FC360C" w:rsidRPr="00935187" w:rsidRDefault="00FC360C" w:rsidP="00935187">
      <w:pPr>
        <w:pStyle w:val="BodyText"/>
        <w:spacing w:after="120" w:line="276" w:lineRule="auto"/>
        <w:rPr>
          <w:rFonts w:ascii="Calibri" w:hAnsi="Calibri"/>
          <w:sz w:val="22"/>
          <w:szCs w:val="22"/>
        </w:rPr>
      </w:pPr>
      <w:proofErr w:type="gramStart"/>
      <w:r w:rsidRPr="00935187">
        <w:rPr>
          <w:rFonts w:ascii="Calibri" w:hAnsi="Calibri"/>
          <w:sz w:val="22"/>
          <w:szCs w:val="22"/>
        </w:rPr>
        <w:t>Bligh, E. G., and Dyer, W. J. 1959.</w:t>
      </w:r>
      <w:proofErr w:type="gramEnd"/>
      <w:r w:rsidRPr="00935187">
        <w:rPr>
          <w:rFonts w:ascii="Calibri" w:hAnsi="Calibri"/>
          <w:sz w:val="22"/>
          <w:szCs w:val="22"/>
        </w:rPr>
        <w:t xml:space="preserve"> </w:t>
      </w:r>
      <w:proofErr w:type="gramStart"/>
      <w:r w:rsidRPr="00935187">
        <w:rPr>
          <w:rFonts w:ascii="Calibri" w:hAnsi="Calibri"/>
          <w:sz w:val="22"/>
          <w:szCs w:val="22"/>
        </w:rPr>
        <w:t>A rapid method of total lipid extraction and purification.</w:t>
      </w:r>
      <w:proofErr w:type="gramEnd"/>
      <w:r w:rsidRPr="00935187">
        <w:rPr>
          <w:rFonts w:ascii="Calibri" w:hAnsi="Calibri"/>
          <w:sz w:val="22"/>
          <w:szCs w:val="22"/>
        </w:rPr>
        <w:t xml:space="preserve"> </w:t>
      </w:r>
      <w:proofErr w:type="gramStart"/>
      <w:r w:rsidRPr="00935187">
        <w:rPr>
          <w:rFonts w:ascii="Calibri" w:hAnsi="Calibri"/>
          <w:i/>
          <w:iCs/>
          <w:sz w:val="22"/>
          <w:szCs w:val="22"/>
        </w:rPr>
        <w:t>Can. J. Biochem.</w:t>
      </w:r>
      <w:proofErr w:type="gramEnd"/>
      <w:r w:rsidRPr="00935187">
        <w:rPr>
          <w:rFonts w:ascii="Calibri" w:hAnsi="Calibri"/>
          <w:i/>
          <w:iCs/>
          <w:sz w:val="22"/>
          <w:szCs w:val="22"/>
        </w:rPr>
        <w:t xml:space="preserve"> Physiol.</w:t>
      </w:r>
      <w:r w:rsidRPr="00935187">
        <w:rPr>
          <w:rFonts w:ascii="Calibri" w:hAnsi="Calibri"/>
          <w:sz w:val="22"/>
          <w:szCs w:val="22"/>
        </w:rPr>
        <w:t xml:space="preserve"> </w:t>
      </w:r>
      <w:r w:rsidRPr="00935187">
        <w:rPr>
          <w:rFonts w:ascii="Calibri" w:hAnsi="Calibri"/>
          <w:b/>
          <w:bCs/>
          <w:sz w:val="22"/>
          <w:szCs w:val="22"/>
        </w:rPr>
        <w:t>37</w:t>
      </w:r>
      <w:r w:rsidRPr="00935187">
        <w:rPr>
          <w:rFonts w:ascii="Calibri" w:hAnsi="Calibri"/>
          <w:sz w:val="22"/>
          <w:szCs w:val="22"/>
        </w:rPr>
        <w:t>, 911–917.</w:t>
      </w:r>
    </w:p>
    <w:p w14:paraId="5DF03E64"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 xml:space="preserve">Bravo, M., Lespes, G., De Gregori, I., Pinochet, H., and Potin-Gautier, M. 2004. Indentification of sulfur influences during organotin determination in harbour sediment samples by sodium tetraethylborate ethylation and gas-chromatography-pulsed flame photometric detection. </w:t>
      </w:r>
      <w:r w:rsidRPr="00935187">
        <w:rPr>
          <w:rFonts w:ascii="Calibri" w:hAnsi="Calibri"/>
          <w:i/>
          <w:iCs/>
          <w:sz w:val="22"/>
          <w:szCs w:val="22"/>
        </w:rPr>
        <w:t>Journal of Chromatography A</w:t>
      </w:r>
      <w:r w:rsidRPr="00935187">
        <w:rPr>
          <w:rFonts w:ascii="Calibri" w:hAnsi="Calibri"/>
          <w:sz w:val="22"/>
          <w:szCs w:val="22"/>
        </w:rPr>
        <w:t xml:space="preserve">. </w:t>
      </w:r>
      <w:r w:rsidRPr="00935187">
        <w:rPr>
          <w:rFonts w:ascii="Calibri" w:hAnsi="Calibri"/>
          <w:b/>
          <w:bCs/>
          <w:sz w:val="22"/>
          <w:szCs w:val="22"/>
        </w:rPr>
        <w:t>1046</w:t>
      </w:r>
      <w:r w:rsidRPr="00935187">
        <w:rPr>
          <w:rFonts w:ascii="Calibri" w:hAnsi="Calibri"/>
          <w:sz w:val="22"/>
          <w:szCs w:val="22"/>
        </w:rPr>
        <w:t>, 217–224.</w:t>
      </w:r>
    </w:p>
    <w:p w14:paraId="64965C77" w14:textId="77777777" w:rsidR="00FC360C" w:rsidRPr="00935187" w:rsidRDefault="00FC360C" w:rsidP="00935187">
      <w:pPr>
        <w:pStyle w:val="BodyText"/>
        <w:spacing w:after="120" w:line="276" w:lineRule="auto"/>
        <w:rPr>
          <w:rFonts w:ascii="Calibri" w:hAnsi="Calibri"/>
          <w:bCs/>
          <w:sz w:val="22"/>
          <w:szCs w:val="22"/>
        </w:rPr>
      </w:pPr>
      <w:proofErr w:type="gramStart"/>
      <w:r w:rsidRPr="00935187">
        <w:rPr>
          <w:rFonts w:ascii="Calibri" w:hAnsi="Calibri"/>
          <w:bCs/>
          <w:sz w:val="22"/>
          <w:szCs w:val="22"/>
        </w:rPr>
        <w:t>Centineo, G., Rodríguez-González, P., Blanco González, E., García Alonso, J. I., and Sanz-Medel, A. 2004.</w:t>
      </w:r>
      <w:proofErr w:type="gramEnd"/>
      <w:r w:rsidRPr="00935187">
        <w:rPr>
          <w:rFonts w:ascii="Calibri" w:hAnsi="Calibri"/>
          <w:bCs/>
          <w:sz w:val="22"/>
          <w:szCs w:val="22"/>
        </w:rPr>
        <w:t xml:space="preserve"> </w:t>
      </w:r>
      <w:proofErr w:type="gramStart"/>
      <w:r w:rsidRPr="00935187">
        <w:rPr>
          <w:rFonts w:ascii="Calibri" w:hAnsi="Calibri"/>
          <w:bCs/>
          <w:sz w:val="22"/>
          <w:szCs w:val="22"/>
        </w:rPr>
        <w:t>Simultaneous determination of mono-, di-, and tributyltin in environmental samples using isotope dilution gas chromatography mass spectrometry.</w:t>
      </w:r>
      <w:proofErr w:type="gramEnd"/>
      <w:r w:rsidRPr="00935187">
        <w:rPr>
          <w:rFonts w:ascii="Calibri" w:hAnsi="Calibri"/>
          <w:bCs/>
          <w:sz w:val="22"/>
          <w:szCs w:val="22"/>
        </w:rPr>
        <w:t xml:space="preserve"> </w:t>
      </w:r>
      <w:r w:rsidRPr="00935187">
        <w:rPr>
          <w:rFonts w:ascii="Calibri" w:hAnsi="Calibri"/>
          <w:bCs/>
          <w:i/>
          <w:iCs/>
          <w:sz w:val="22"/>
          <w:szCs w:val="22"/>
        </w:rPr>
        <w:t>J. Mass Spectrom</w:t>
      </w:r>
      <w:r w:rsidRPr="00935187">
        <w:rPr>
          <w:rFonts w:ascii="Calibri" w:hAnsi="Calibri"/>
          <w:bCs/>
          <w:sz w:val="22"/>
          <w:szCs w:val="22"/>
        </w:rPr>
        <w:t xml:space="preserve">. </w:t>
      </w:r>
      <w:r w:rsidRPr="00935187">
        <w:rPr>
          <w:rFonts w:ascii="Calibri" w:hAnsi="Calibri"/>
          <w:b/>
          <w:sz w:val="22"/>
          <w:szCs w:val="22"/>
        </w:rPr>
        <w:t>39</w:t>
      </w:r>
      <w:r w:rsidRPr="00935187">
        <w:rPr>
          <w:rFonts w:ascii="Calibri" w:hAnsi="Calibri"/>
          <w:bCs/>
          <w:sz w:val="22"/>
          <w:szCs w:val="22"/>
        </w:rPr>
        <w:t>, 485–494.</w:t>
      </w:r>
    </w:p>
    <w:p w14:paraId="77662EC6"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 xml:space="preserve">Gilbert, R. O. 1987. </w:t>
      </w:r>
      <w:proofErr w:type="gramStart"/>
      <w:r w:rsidRPr="00935187">
        <w:rPr>
          <w:rFonts w:ascii="Calibri" w:hAnsi="Calibri"/>
          <w:sz w:val="22"/>
          <w:szCs w:val="22"/>
        </w:rPr>
        <w:t>Statistical Methods for Environmental Pollution Monitoring.</w:t>
      </w:r>
      <w:proofErr w:type="gramEnd"/>
      <w:r w:rsidRPr="00935187">
        <w:rPr>
          <w:rFonts w:ascii="Calibri" w:hAnsi="Calibri"/>
          <w:sz w:val="22"/>
          <w:szCs w:val="22"/>
        </w:rPr>
        <w:t xml:space="preserve"> Van Nostrand Reinhold, New York.</w:t>
      </w:r>
    </w:p>
    <w:p w14:paraId="261D5133" w14:textId="77777777" w:rsidR="00FC360C" w:rsidRPr="00935187" w:rsidRDefault="00FC360C" w:rsidP="00935187">
      <w:pPr>
        <w:pStyle w:val="BodyText"/>
        <w:spacing w:after="120" w:line="276" w:lineRule="auto"/>
        <w:rPr>
          <w:rFonts w:ascii="Calibri" w:hAnsi="Calibri"/>
          <w:sz w:val="22"/>
          <w:szCs w:val="22"/>
        </w:rPr>
      </w:pPr>
      <w:proofErr w:type="gramStart"/>
      <w:r w:rsidRPr="00935187">
        <w:rPr>
          <w:rFonts w:ascii="Calibri" w:hAnsi="Calibri"/>
          <w:sz w:val="22"/>
          <w:szCs w:val="22"/>
        </w:rPr>
        <w:t>Gomez-Ariza, J. L., Giraldez, I., Morales, E., Ariese, F., Cofino, W., and Quevauviller, Ph. 1999.</w:t>
      </w:r>
      <w:proofErr w:type="gramEnd"/>
      <w:r w:rsidRPr="00935187">
        <w:rPr>
          <w:rFonts w:ascii="Calibri" w:hAnsi="Calibri"/>
          <w:sz w:val="22"/>
          <w:szCs w:val="22"/>
        </w:rPr>
        <w:t xml:space="preserve"> </w:t>
      </w:r>
      <w:proofErr w:type="gramStart"/>
      <w:r w:rsidRPr="00935187">
        <w:rPr>
          <w:rFonts w:ascii="Calibri" w:hAnsi="Calibri"/>
          <w:sz w:val="22"/>
          <w:szCs w:val="22"/>
        </w:rPr>
        <w:t>Stability and storage problems in organotin speciation in environmental samples.</w:t>
      </w:r>
      <w:proofErr w:type="gramEnd"/>
      <w:r w:rsidRPr="00935187">
        <w:rPr>
          <w:rFonts w:ascii="Calibri" w:hAnsi="Calibri"/>
          <w:sz w:val="22"/>
          <w:szCs w:val="22"/>
        </w:rPr>
        <w:t xml:space="preserve"> </w:t>
      </w:r>
      <w:r w:rsidRPr="00935187">
        <w:rPr>
          <w:rFonts w:ascii="Calibri" w:hAnsi="Calibri"/>
          <w:i/>
          <w:iCs/>
          <w:sz w:val="22"/>
          <w:szCs w:val="22"/>
        </w:rPr>
        <w:t xml:space="preserve">J. Environ. </w:t>
      </w:r>
      <w:proofErr w:type="gramStart"/>
      <w:r w:rsidRPr="00935187">
        <w:rPr>
          <w:rFonts w:ascii="Calibri" w:hAnsi="Calibri"/>
          <w:i/>
          <w:iCs/>
          <w:sz w:val="22"/>
          <w:szCs w:val="22"/>
        </w:rPr>
        <w:t>Monit.</w:t>
      </w:r>
      <w:proofErr w:type="gramEnd"/>
      <w:r w:rsidRPr="00935187">
        <w:rPr>
          <w:rFonts w:ascii="Calibri" w:hAnsi="Calibri"/>
          <w:sz w:val="22"/>
          <w:szCs w:val="22"/>
        </w:rPr>
        <w:t xml:space="preserve"> </w:t>
      </w:r>
      <w:r w:rsidRPr="00935187">
        <w:rPr>
          <w:rFonts w:ascii="Calibri" w:hAnsi="Calibri"/>
          <w:b/>
          <w:sz w:val="22"/>
          <w:szCs w:val="22"/>
        </w:rPr>
        <w:t>1</w:t>
      </w:r>
      <w:r w:rsidRPr="00935187">
        <w:rPr>
          <w:rFonts w:ascii="Calibri" w:hAnsi="Calibri"/>
          <w:sz w:val="22"/>
          <w:szCs w:val="22"/>
        </w:rPr>
        <w:t>, 197–202.</w:t>
      </w:r>
    </w:p>
    <w:p w14:paraId="4DC0E153" w14:textId="77777777" w:rsidR="00FC360C" w:rsidRPr="00935187" w:rsidRDefault="00FC360C" w:rsidP="00935187">
      <w:pPr>
        <w:pStyle w:val="BodyText"/>
        <w:spacing w:after="120" w:line="276" w:lineRule="auto"/>
        <w:rPr>
          <w:rFonts w:ascii="Calibri" w:hAnsi="Calibri"/>
          <w:sz w:val="22"/>
          <w:szCs w:val="22"/>
        </w:rPr>
      </w:pPr>
      <w:proofErr w:type="gramStart"/>
      <w:r w:rsidRPr="00935187">
        <w:rPr>
          <w:rFonts w:ascii="Calibri" w:hAnsi="Calibri"/>
          <w:sz w:val="22"/>
          <w:szCs w:val="22"/>
        </w:rPr>
        <w:t>HELCOM.</w:t>
      </w:r>
      <w:proofErr w:type="gramEnd"/>
      <w:r w:rsidRPr="00935187">
        <w:rPr>
          <w:rFonts w:ascii="Calibri" w:hAnsi="Calibri"/>
          <w:sz w:val="22"/>
          <w:szCs w:val="22"/>
        </w:rPr>
        <w:t xml:space="preserve"> 1988. Guidelines for the Baltic Monitoring Programme for the Third Stage (1988). Part C: Contents from Balt. Sea Environ. Proc. No. 27 C, HELCOM, Helsinki.</w:t>
      </w:r>
    </w:p>
    <w:p w14:paraId="7B911826" w14:textId="77777777" w:rsidR="00FC360C" w:rsidRPr="00935187" w:rsidRDefault="00FC360C" w:rsidP="00935187">
      <w:pPr>
        <w:pStyle w:val="BodyText"/>
        <w:spacing w:after="120" w:line="276" w:lineRule="auto"/>
        <w:rPr>
          <w:rFonts w:ascii="Calibri" w:hAnsi="Calibri"/>
          <w:sz w:val="22"/>
          <w:szCs w:val="22"/>
        </w:rPr>
      </w:pPr>
      <w:proofErr w:type="gramStart"/>
      <w:r w:rsidRPr="00935187">
        <w:rPr>
          <w:rFonts w:ascii="Calibri" w:hAnsi="Calibri"/>
          <w:sz w:val="22"/>
          <w:szCs w:val="22"/>
        </w:rPr>
        <w:t>ICES.</w:t>
      </w:r>
      <w:proofErr w:type="gramEnd"/>
      <w:r w:rsidRPr="00935187">
        <w:rPr>
          <w:rFonts w:ascii="Calibri" w:hAnsi="Calibri"/>
          <w:sz w:val="22"/>
          <w:szCs w:val="22"/>
        </w:rPr>
        <w:t xml:space="preserve"> 1996. Guidelines on Quality Assurance of Chemical Measurements in the Baltic Sea. </w:t>
      </w:r>
      <w:proofErr w:type="gramStart"/>
      <w:r w:rsidRPr="00935187">
        <w:rPr>
          <w:rFonts w:ascii="Calibri" w:hAnsi="Calibri"/>
          <w:sz w:val="22"/>
          <w:szCs w:val="22"/>
        </w:rPr>
        <w:t>In Report of the ICES/HELCOM Steering Group on Quality Assurance of Chemical Measurements in the Baltic Sea, pp. 10–28.</w:t>
      </w:r>
      <w:proofErr w:type="gramEnd"/>
      <w:r w:rsidRPr="00935187">
        <w:rPr>
          <w:rFonts w:ascii="Calibri" w:hAnsi="Calibri"/>
          <w:sz w:val="22"/>
          <w:szCs w:val="22"/>
        </w:rPr>
        <w:t xml:space="preserve"> </w:t>
      </w:r>
      <w:proofErr w:type="gramStart"/>
      <w:r w:rsidRPr="00935187">
        <w:rPr>
          <w:rFonts w:ascii="Calibri" w:hAnsi="Calibri"/>
          <w:sz w:val="22"/>
          <w:szCs w:val="22"/>
        </w:rPr>
        <w:t>ICES C.M. 1996/E: 4.</w:t>
      </w:r>
      <w:proofErr w:type="gramEnd"/>
    </w:p>
    <w:p w14:paraId="08585255"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 xml:space="preserve">Iyengar, G. 1976. </w:t>
      </w:r>
      <w:proofErr w:type="gramStart"/>
      <w:r w:rsidRPr="00935187">
        <w:rPr>
          <w:rFonts w:ascii="Calibri" w:hAnsi="Calibri"/>
          <w:sz w:val="22"/>
          <w:szCs w:val="22"/>
        </w:rPr>
        <w:t>Homogenised sampling of bone and other biological materials.</w:t>
      </w:r>
      <w:proofErr w:type="gramEnd"/>
      <w:r w:rsidRPr="00935187">
        <w:rPr>
          <w:rFonts w:ascii="Calibri" w:hAnsi="Calibri"/>
          <w:sz w:val="22"/>
          <w:szCs w:val="22"/>
        </w:rPr>
        <w:t xml:space="preserve"> </w:t>
      </w:r>
      <w:proofErr w:type="gramStart"/>
      <w:r w:rsidRPr="00935187">
        <w:rPr>
          <w:rFonts w:ascii="Calibri" w:hAnsi="Calibri"/>
          <w:i/>
          <w:iCs/>
          <w:sz w:val="22"/>
          <w:szCs w:val="22"/>
        </w:rPr>
        <w:t>Radiochem.</w:t>
      </w:r>
      <w:proofErr w:type="gramEnd"/>
      <w:r w:rsidRPr="00935187">
        <w:rPr>
          <w:rFonts w:ascii="Calibri" w:hAnsi="Calibri"/>
          <w:i/>
          <w:iCs/>
          <w:sz w:val="22"/>
          <w:szCs w:val="22"/>
        </w:rPr>
        <w:t xml:space="preserve"> </w:t>
      </w:r>
      <w:proofErr w:type="gramStart"/>
      <w:r w:rsidRPr="00935187">
        <w:rPr>
          <w:rFonts w:ascii="Calibri" w:hAnsi="Calibri"/>
          <w:i/>
          <w:iCs/>
          <w:sz w:val="22"/>
          <w:szCs w:val="22"/>
        </w:rPr>
        <w:t>Radioanal.</w:t>
      </w:r>
      <w:proofErr w:type="gramEnd"/>
      <w:r w:rsidRPr="00935187">
        <w:rPr>
          <w:rFonts w:ascii="Calibri" w:hAnsi="Calibri"/>
          <w:i/>
          <w:iCs/>
          <w:sz w:val="22"/>
          <w:szCs w:val="22"/>
        </w:rPr>
        <w:t xml:space="preserve"> </w:t>
      </w:r>
      <w:proofErr w:type="gramStart"/>
      <w:r w:rsidRPr="00935187">
        <w:rPr>
          <w:rFonts w:ascii="Calibri" w:hAnsi="Calibri"/>
          <w:i/>
          <w:iCs/>
          <w:sz w:val="22"/>
          <w:szCs w:val="22"/>
        </w:rPr>
        <w:t>Letters</w:t>
      </w:r>
      <w:r w:rsidRPr="00935187">
        <w:rPr>
          <w:rFonts w:ascii="Calibri" w:hAnsi="Calibri"/>
          <w:sz w:val="22"/>
          <w:szCs w:val="22"/>
        </w:rPr>
        <w:t xml:space="preserve"> </w:t>
      </w:r>
      <w:r w:rsidRPr="00935187">
        <w:rPr>
          <w:rFonts w:ascii="Calibri" w:hAnsi="Calibri"/>
          <w:b/>
          <w:bCs/>
          <w:sz w:val="22"/>
          <w:szCs w:val="22"/>
        </w:rPr>
        <w:t>24</w:t>
      </w:r>
      <w:r w:rsidRPr="00935187">
        <w:rPr>
          <w:rFonts w:ascii="Calibri" w:hAnsi="Calibri"/>
          <w:sz w:val="22"/>
          <w:szCs w:val="22"/>
        </w:rPr>
        <w:t>,</w:t>
      </w:r>
      <w:r w:rsidRPr="00935187">
        <w:rPr>
          <w:rFonts w:ascii="Calibri" w:hAnsi="Calibri"/>
          <w:b/>
          <w:sz w:val="22"/>
          <w:szCs w:val="22"/>
        </w:rPr>
        <w:t xml:space="preserve"> </w:t>
      </w:r>
      <w:r w:rsidRPr="00935187">
        <w:rPr>
          <w:rFonts w:ascii="Calibri" w:hAnsi="Calibri"/>
          <w:sz w:val="22"/>
          <w:szCs w:val="22"/>
        </w:rPr>
        <w:t>35.</w:t>
      </w:r>
      <w:proofErr w:type="gramEnd"/>
    </w:p>
    <w:p w14:paraId="3F5B4957"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 xml:space="preserve">Iyengar, G. V., and Kasperek, K. 1977. Application of the brittle fracture technique (BFT) to homogenise biological samples and some observations regarding the distribution behaviour of trace elements at different concentration levels in a biological matrix. </w:t>
      </w:r>
      <w:r w:rsidRPr="00935187">
        <w:rPr>
          <w:rFonts w:ascii="Calibri" w:hAnsi="Calibri"/>
          <w:i/>
          <w:iCs/>
          <w:sz w:val="22"/>
          <w:szCs w:val="22"/>
        </w:rPr>
        <w:t>J. Radioanal. Chem</w:t>
      </w:r>
      <w:r w:rsidRPr="00935187">
        <w:rPr>
          <w:rFonts w:ascii="Calibri" w:hAnsi="Calibri"/>
          <w:sz w:val="22"/>
          <w:szCs w:val="22"/>
        </w:rPr>
        <w:t xml:space="preserve">. </w:t>
      </w:r>
      <w:r w:rsidRPr="00935187">
        <w:rPr>
          <w:rFonts w:ascii="Calibri" w:hAnsi="Calibri"/>
          <w:b/>
          <w:bCs/>
          <w:sz w:val="22"/>
          <w:szCs w:val="22"/>
        </w:rPr>
        <w:t>39</w:t>
      </w:r>
      <w:r w:rsidRPr="00935187">
        <w:rPr>
          <w:rFonts w:ascii="Calibri" w:hAnsi="Calibri"/>
          <w:sz w:val="22"/>
          <w:szCs w:val="22"/>
        </w:rPr>
        <w:t>, 301</w:t>
      </w:r>
      <w:r w:rsidRPr="00935187">
        <w:rPr>
          <w:rFonts w:ascii="Calibri" w:hAnsi="Calibri"/>
          <w:caps/>
          <w:smallCaps/>
          <w:sz w:val="22"/>
          <w:szCs w:val="22"/>
        </w:rPr>
        <w:t>–316</w:t>
      </w:r>
      <w:r w:rsidRPr="00935187">
        <w:rPr>
          <w:rFonts w:ascii="Calibri" w:hAnsi="Calibri"/>
          <w:b/>
          <w:caps/>
          <w:smallCaps/>
          <w:sz w:val="22"/>
          <w:szCs w:val="22"/>
        </w:rPr>
        <w:t>.</w:t>
      </w:r>
    </w:p>
    <w:p w14:paraId="2C196CDE" w14:textId="77777777" w:rsidR="00FC360C" w:rsidRPr="00935187" w:rsidRDefault="00FC360C" w:rsidP="00935187">
      <w:pPr>
        <w:pStyle w:val="BodyText"/>
        <w:spacing w:after="120" w:line="276" w:lineRule="auto"/>
        <w:rPr>
          <w:rFonts w:ascii="Calibri" w:hAnsi="Calibri"/>
          <w:sz w:val="22"/>
          <w:szCs w:val="22"/>
        </w:rPr>
      </w:pPr>
      <w:proofErr w:type="gramStart"/>
      <w:r w:rsidRPr="00935187">
        <w:rPr>
          <w:rFonts w:ascii="Calibri" w:hAnsi="Calibri"/>
          <w:sz w:val="22"/>
          <w:szCs w:val="22"/>
        </w:rPr>
        <w:t>Klussmann, U., Strupp, D., and Ebing, W. 1985.</w:t>
      </w:r>
      <w:proofErr w:type="gramEnd"/>
      <w:r w:rsidRPr="00935187">
        <w:rPr>
          <w:rFonts w:ascii="Calibri" w:hAnsi="Calibri"/>
          <w:sz w:val="22"/>
          <w:szCs w:val="22"/>
        </w:rPr>
        <w:t xml:space="preserve"> </w:t>
      </w:r>
      <w:proofErr w:type="gramStart"/>
      <w:r w:rsidRPr="00935187">
        <w:rPr>
          <w:rFonts w:ascii="Calibri" w:hAnsi="Calibri"/>
          <w:sz w:val="22"/>
          <w:szCs w:val="22"/>
        </w:rPr>
        <w:t>Entwicklung einer Apparatur zur Homogenisierung von tiefgekühlten Pflanzenproben.</w:t>
      </w:r>
      <w:proofErr w:type="gramEnd"/>
      <w:r w:rsidRPr="00935187">
        <w:rPr>
          <w:rFonts w:ascii="Calibri" w:hAnsi="Calibri"/>
          <w:sz w:val="22"/>
          <w:szCs w:val="22"/>
        </w:rPr>
        <w:t xml:space="preserve"> </w:t>
      </w:r>
      <w:r w:rsidRPr="00935187">
        <w:rPr>
          <w:rFonts w:ascii="Calibri" w:hAnsi="Calibri"/>
          <w:i/>
          <w:iCs/>
          <w:sz w:val="22"/>
          <w:szCs w:val="22"/>
        </w:rPr>
        <w:t xml:space="preserve">Fresenius Z. Anal. </w:t>
      </w:r>
      <w:proofErr w:type="gramStart"/>
      <w:r w:rsidRPr="00935187">
        <w:rPr>
          <w:rFonts w:ascii="Calibri" w:hAnsi="Calibri"/>
          <w:i/>
          <w:iCs/>
          <w:sz w:val="22"/>
          <w:szCs w:val="22"/>
        </w:rPr>
        <w:t>Chem</w:t>
      </w:r>
      <w:r w:rsidRPr="00935187">
        <w:rPr>
          <w:rFonts w:ascii="Calibri" w:hAnsi="Calibri"/>
          <w:sz w:val="22"/>
          <w:szCs w:val="22"/>
        </w:rPr>
        <w:t xml:space="preserve">. </w:t>
      </w:r>
      <w:r w:rsidRPr="00935187">
        <w:rPr>
          <w:rFonts w:ascii="Calibri" w:hAnsi="Calibri"/>
          <w:b/>
          <w:bCs/>
          <w:sz w:val="22"/>
          <w:szCs w:val="22"/>
        </w:rPr>
        <w:t>322</w:t>
      </w:r>
      <w:r w:rsidRPr="00935187">
        <w:rPr>
          <w:rFonts w:ascii="Calibri" w:hAnsi="Calibri"/>
          <w:sz w:val="22"/>
          <w:szCs w:val="22"/>
        </w:rPr>
        <w:t>, 456.</w:t>
      </w:r>
      <w:proofErr w:type="gramEnd"/>
    </w:p>
    <w:p w14:paraId="66724774"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 xml:space="preserve">Morabito, R., Massanisso, P., and Quevauviller, P. 2000. </w:t>
      </w:r>
      <w:proofErr w:type="gramStart"/>
      <w:r w:rsidRPr="00935187">
        <w:rPr>
          <w:rFonts w:ascii="Calibri" w:hAnsi="Calibri"/>
          <w:sz w:val="22"/>
          <w:szCs w:val="22"/>
        </w:rPr>
        <w:t>Derivatization methods for the determination of orgnotin compounds in environmental samples.</w:t>
      </w:r>
      <w:proofErr w:type="gramEnd"/>
      <w:r w:rsidRPr="00935187">
        <w:rPr>
          <w:rFonts w:ascii="Calibri" w:hAnsi="Calibri"/>
          <w:sz w:val="22"/>
          <w:szCs w:val="22"/>
        </w:rPr>
        <w:t xml:space="preserve"> </w:t>
      </w:r>
      <w:r w:rsidRPr="00935187">
        <w:rPr>
          <w:rFonts w:ascii="Calibri" w:hAnsi="Calibri"/>
          <w:i/>
          <w:iCs/>
          <w:sz w:val="22"/>
          <w:szCs w:val="22"/>
        </w:rPr>
        <w:t>Trends in Analytical Chemistry</w:t>
      </w:r>
      <w:r w:rsidRPr="00935187">
        <w:rPr>
          <w:rFonts w:ascii="Calibri" w:hAnsi="Calibri"/>
          <w:sz w:val="22"/>
          <w:szCs w:val="22"/>
        </w:rPr>
        <w:t xml:space="preserve"> </w:t>
      </w:r>
      <w:r w:rsidRPr="00935187">
        <w:rPr>
          <w:rFonts w:ascii="Calibri" w:hAnsi="Calibri"/>
          <w:b/>
          <w:bCs/>
          <w:sz w:val="22"/>
          <w:szCs w:val="22"/>
        </w:rPr>
        <w:t>19</w:t>
      </w:r>
      <w:r w:rsidRPr="00935187">
        <w:rPr>
          <w:rFonts w:ascii="Calibri" w:hAnsi="Calibri"/>
          <w:sz w:val="22"/>
          <w:szCs w:val="22"/>
        </w:rPr>
        <w:t xml:space="preserve"> (2</w:t>
      </w:r>
      <w:proofErr w:type="gramStart"/>
      <w:r w:rsidRPr="00935187">
        <w:rPr>
          <w:rFonts w:ascii="Calibri" w:hAnsi="Calibri"/>
          <w:sz w:val="22"/>
          <w:szCs w:val="22"/>
        </w:rPr>
        <w:t>,3</w:t>
      </w:r>
      <w:proofErr w:type="gramEnd"/>
      <w:r w:rsidRPr="00935187">
        <w:rPr>
          <w:rFonts w:ascii="Calibri" w:hAnsi="Calibri"/>
          <w:sz w:val="22"/>
          <w:szCs w:val="22"/>
        </w:rPr>
        <w:t>): 113–119.</w:t>
      </w:r>
    </w:p>
    <w:p w14:paraId="492C1FEE" w14:textId="77777777" w:rsidR="00FC360C" w:rsidRPr="00935187" w:rsidRDefault="00FC360C" w:rsidP="00935187">
      <w:pPr>
        <w:pStyle w:val="BodyText"/>
        <w:spacing w:after="120" w:line="276" w:lineRule="auto"/>
        <w:rPr>
          <w:rFonts w:ascii="Calibri" w:hAnsi="Calibri"/>
          <w:sz w:val="22"/>
          <w:szCs w:val="22"/>
        </w:rPr>
      </w:pPr>
      <w:proofErr w:type="gramStart"/>
      <w:r w:rsidRPr="00935187">
        <w:rPr>
          <w:rFonts w:ascii="Calibri" w:hAnsi="Calibri"/>
          <w:sz w:val="22"/>
          <w:szCs w:val="22"/>
        </w:rPr>
        <w:t>Morabito, R., Muntau, H., and Cofino, W. 1999.</w:t>
      </w:r>
      <w:proofErr w:type="gramEnd"/>
      <w:r w:rsidRPr="00935187">
        <w:rPr>
          <w:rFonts w:ascii="Calibri" w:hAnsi="Calibri"/>
          <w:sz w:val="22"/>
          <w:szCs w:val="22"/>
        </w:rPr>
        <w:t xml:space="preserve"> A new mussel certified reference material (CRM 477) for the quality control of butyltin determination in the marine environment. </w:t>
      </w:r>
      <w:r w:rsidRPr="00935187">
        <w:rPr>
          <w:rFonts w:ascii="Calibri" w:hAnsi="Calibri"/>
          <w:i/>
          <w:iCs/>
          <w:sz w:val="22"/>
          <w:szCs w:val="22"/>
        </w:rPr>
        <w:t>Journal of Environmental Monitoring</w:t>
      </w:r>
      <w:r w:rsidRPr="00935187">
        <w:rPr>
          <w:rFonts w:ascii="Calibri" w:hAnsi="Calibri"/>
          <w:sz w:val="22"/>
          <w:szCs w:val="22"/>
        </w:rPr>
        <w:t xml:space="preserve"> </w:t>
      </w:r>
      <w:r w:rsidRPr="00935187">
        <w:rPr>
          <w:rFonts w:ascii="Calibri" w:hAnsi="Calibri"/>
          <w:b/>
          <w:bCs/>
          <w:sz w:val="22"/>
          <w:szCs w:val="22"/>
        </w:rPr>
        <w:t>1</w:t>
      </w:r>
      <w:r w:rsidRPr="00935187">
        <w:rPr>
          <w:rFonts w:ascii="Calibri" w:hAnsi="Calibri"/>
          <w:sz w:val="22"/>
          <w:szCs w:val="22"/>
        </w:rPr>
        <w:t xml:space="preserve"> (1): 75–82.</w:t>
      </w:r>
    </w:p>
    <w:p w14:paraId="3CD1D1CA" w14:textId="77777777" w:rsidR="00FC360C" w:rsidRPr="00935187" w:rsidRDefault="00FC360C" w:rsidP="00935187">
      <w:pPr>
        <w:pStyle w:val="BodyText"/>
        <w:spacing w:after="120" w:line="276" w:lineRule="auto"/>
        <w:rPr>
          <w:rFonts w:ascii="Calibri" w:hAnsi="Calibri"/>
          <w:sz w:val="22"/>
          <w:szCs w:val="22"/>
        </w:rPr>
      </w:pPr>
      <w:proofErr w:type="gramStart"/>
      <w:r w:rsidRPr="00935187">
        <w:rPr>
          <w:rFonts w:ascii="Calibri" w:hAnsi="Calibri"/>
          <w:sz w:val="22"/>
          <w:szCs w:val="22"/>
        </w:rPr>
        <w:t>Nicholson, M. D., and Fryer, R. J. 1996.</w:t>
      </w:r>
      <w:proofErr w:type="gramEnd"/>
      <w:r w:rsidRPr="00935187">
        <w:rPr>
          <w:rFonts w:ascii="Calibri" w:hAnsi="Calibri"/>
          <w:sz w:val="22"/>
          <w:szCs w:val="22"/>
        </w:rPr>
        <w:t xml:space="preserve"> Contaminants in marine organisms: Pooling strategies for monitoring mean concentrations. Tech. Mar. Environ. </w:t>
      </w:r>
      <w:proofErr w:type="gramStart"/>
      <w:r w:rsidRPr="00935187">
        <w:rPr>
          <w:rFonts w:ascii="Calibri" w:hAnsi="Calibri"/>
          <w:sz w:val="22"/>
          <w:szCs w:val="22"/>
        </w:rPr>
        <w:t>Sci., No. 18.</w:t>
      </w:r>
      <w:proofErr w:type="gramEnd"/>
      <w:r w:rsidRPr="00935187">
        <w:rPr>
          <w:rFonts w:ascii="Calibri" w:hAnsi="Calibri"/>
          <w:sz w:val="22"/>
          <w:szCs w:val="22"/>
        </w:rPr>
        <w:t xml:space="preserve"> </w:t>
      </w:r>
      <w:proofErr w:type="gramStart"/>
      <w:r w:rsidRPr="00935187">
        <w:rPr>
          <w:rFonts w:ascii="Calibri" w:hAnsi="Calibri"/>
          <w:sz w:val="22"/>
          <w:szCs w:val="22"/>
        </w:rPr>
        <w:t>ICES.</w:t>
      </w:r>
      <w:proofErr w:type="gramEnd"/>
      <w:r w:rsidRPr="00935187">
        <w:rPr>
          <w:rFonts w:ascii="Calibri" w:hAnsi="Calibri"/>
          <w:sz w:val="22"/>
          <w:szCs w:val="22"/>
        </w:rPr>
        <w:t xml:space="preserve"> </w:t>
      </w:r>
      <w:proofErr w:type="gramStart"/>
      <w:r w:rsidRPr="00935187">
        <w:rPr>
          <w:rFonts w:ascii="Calibri" w:hAnsi="Calibri"/>
          <w:sz w:val="22"/>
          <w:szCs w:val="22"/>
        </w:rPr>
        <w:t>Copenhagen, 30.</w:t>
      </w:r>
      <w:proofErr w:type="gramEnd"/>
    </w:p>
    <w:p w14:paraId="586A148A" w14:textId="77777777" w:rsidR="00FC360C" w:rsidRPr="00935187" w:rsidRDefault="00FC360C" w:rsidP="00935187">
      <w:pPr>
        <w:pStyle w:val="BodyText"/>
        <w:spacing w:after="120" w:line="276" w:lineRule="auto"/>
        <w:rPr>
          <w:rFonts w:ascii="Calibri" w:hAnsi="Calibri"/>
          <w:sz w:val="22"/>
          <w:szCs w:val="22"/>
        </w:rPr>
      </w:pPr>
      <w:proofErr w:type="gramStart"/>
      <w:r w:rsidRPr="00935187">
        <w:rPr>
          <w:rFonts w:ascii="Calibri" w:hAnsi="Calibri"/>
          <w:sz w:val="22"/>
          <w:szCs w:val="22"/>
        </w:rPr>
        <w:t>Nicholson, M.D., Fryer, R.J. and Larsen, J.R. (1997).</w:t>
      </w:r>
      <w:proofErr w:type="gramEnd"/>
      <w:r w:rsidRPr="00935187">
        <w:rPr>
          <w:rFonts w:ascii="Calibri" w:hAnsi="Calibri"/>
          <w:sz w:val="22"/>
          <w:szCs w:val="22"/>
        </w:rPr>
        <w:t xml:space="preserve"> </w:t>
      </w:r>
      <w:proofErr w:type="gramStart"/>
      <w:r w:rsidRPr="00935187">
        <w:rPr>
          <w:rFonts w:ascii="Calibri" w:hAnsi="Calibri"/>
          <w:sz w:val="22"/>
          <w:szCs w:val="22"/>
        </w:rPr>
        <w:t>A Robust Method for Analysing Contaminant Trend Monitoring Data.</w:t>
      </w:r>
      <w:proofErr w:type="gramEnd"/>
      <w:r w:rsidRPr="00935187">
        <w:rPr>
          <w:rFonts w:ascii="Calibri" w:hAnsi="Calibri"/>
          <w:sz w:val="22"/>
          <w:szCs w:val="22"/>
        </w:rPr>
        <w:t xml:space="preserve"> </w:t>
      </w:r>
      <w:proofErr w:type="gramStart"/>
      <w:r w:rsidRPr="00935187">
        <w:rPr>
          <w:rFonts w:ascii="Calibri" w:hAnsi="Calibri"/>
          <w:sz w:val="22"/>
          <w:szCs w:val="22"/>
        </w:rPr>
        <w:t>ICES Techniques in Marine Environmental Sciences, No. 20, 12.</w:t>
      </w:r>
      <w:proofErr w:type="gramEnd"/>
    </w:p>
    <w:p w14:paraId="78A2CA05"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 xml:space="preserve">Oehlenschläger, J. 1994. Quality Assurance </w:t>
      </w:r>
      <w:proofErr w:type="gramStart"/>
      <w:r w:rsidRPr="00935187">
        <w:rPr>
          <w:rFonts w:ascii="Calibri" w:hAnsi="Calibri"/>
          <w:sz w:val="22"/>
          <w:szCs w:val="22"/>
        </w:rPr>
        <w:t>During</w:t>
      </w:r>
      <w:proofErr w:type="gramEnd"/>
      <w:r w:rsidRPr="00935187">
        <w:rPr>
          <w:rFonts w:ascii="Calibri" w:hAnsi="Calibri"/>
          <w:sz w:val="22"/>
          <w:szCs w:val="22"/>
        </w:rPr>
        <w:t xml:space="preserve"> Sampling on Board. In: Topping, G. and Harms, U. (Editors): ICES/HELCOM Workshop on Quality Assurance of Chemical Analytical Procedures for the Baltic Monitoring Programme, 5–8 Oct. 1993, Hamburg, Germany. HELCOM, Balt. Sea Environ. Proc. No. 58, 82–84.</w:t>
      </w:r>
    </w:p>
    <w:p w14:paraId="182D247E" w14:textId="77777777" w:rsidR="00FC360C" w:rsidRPr="00935187" w:rsidRDefault="00FC360C" w:rsidP="00935187">
      <w:pPr>
        <w:pStyle w:val="BodyText"/>
        <w:spacing w:after="120" w:line="276" w:lineRule="auto"/>
        <w:rPr>
          <w:rFonts w:ascii="Calibri" w:hAnsi="Calibri"/>
          <w:sz w:val="22"/>
          <w:szCs w:val="22"/>
        </w:rPr>
      </w:pPr>
      <w:proofErr w:type="gramStart"/>
      <w:r w:rsidRPr="00935187">
        <w:rPr>
          <w:rFonts w:ascii="Calibri" w:hAnsi="Calibri"/>
          <w:sz w:val="22"/>
          <w:szCs w:val="22"/>
        </w:rPr>
        <w:t>QUASIMEME.</w:t>
      </w:r>
      <w:proofErr w:type="gramEnd"/>
      <w:r w:rsidRPr="00935187">
        <w:rPr>
          <w:rFonts w:ascii="Calibri" w:hAnsi="Calibri"/>
          <w:sz w:val="22"/>
          <w:szCs w:val="22"/>
        </w:rPr>
        <w:t xml:space="preserve"> 1992. Guidelines on Quality Assurance for Marine Measurements. </w:t>
      </w:r>
      <w:proofErr w:type="gramStart"/>
      <w:r w:rsidRPr="00935187">
        <w:rPr>
          <w:rFonts w:ascii="Calibri" w:hAnsi="Calibri"/>
          <w:sz w:val="22"/>
          <w:szCs w:val="22"/>
        </w:rPr>
        <w:t>Prepared by Topping, G., Wells, D. E., and Griepink, B. SOAFD Marine Laboratory, Aberdeen, Scotland.</w:t>
      </w:r>
      <w:proofErr w:type="gramEnd"/>
    </w:p>
    <w:p w14:paraId="16DDC739" w14:textId="77777777" w:rsidR="00FC360C" w:rsidRPr="00935187" w:rsidRDefault="00FC360C" w:rsidP="00935187">
      <w:pPr>
        <w:pStyle w:val="BodyText"/>
        <w:spacing w:after="120" w:line="276" w:lineRule="auto"/>
        <w:rPr>
          <w:rFonts w:ascii="Calibri" w:hAnsi="Calibri"/>
          <w:sz w:val="22"/>
          <w:szCs w:val="22"/>
        </w:rPr>
      </w:pPr>
      <w:r w:rsidRPr="00935187">
        <w:rPr>
          <w:rFonts w:ascii="Calibri" w:hAnsi="Calibri"/>
          <w:sz w:val="22"/>
          <w:szCs w:val="22"/>
        </w:rPr>
        <w:t xml:space="preserve">Smedes, F. 1999. </w:t>
      </w:r>
      <w:proofErr w:type="gramStart"/>
      <w:r w:rsidRPr="00935187">
        <w:rPr>
          <w:rFonts w:ascii="Calibri" w:hAnsi="Calibri"/>
          <w:sz w:val="22"/>
          <w:szCs w:val="22"/>
        </w:rPr>
        <w:t>Determination of total lipid using non-chlorinated solvents.</w:t>
      </w:r>
      <w:proofErr w:type="gramEnd"/>
      <w:r w:rsidRPr="00935187">
        <w:rPr>
          <w:rFonts w:ascii="Calibri" w:hAnsi="Calibri"/>
          <w:sz w:val="22"/>
          <w:szCs w:val="22"/>
        </w:rPr>
        <w:t xml:space="preserve"> </w:t>
      </w:r>
      <w:r w:rsidRPr="00935187">
        <w:rPr>
          <w:rFonts w:ascii="Calibri" w:hAnsi="Calibri"/>
          <w:i/>
          <w:iCs/>
          <w:sz w:val="22"/>
          <w:szCs w:val="22"/>
        </w:rPr>
        <w:t>The Analyst</w:t>
      </w:r>
      <w:r w:rsidRPr="00935187">
        <w:rPr>
          <w:rFonts w:ascii="Calibri" w:hAnsi="Calibri"/>
          <w:sz w:val="22"/>
          <w:szCs w:val="22"/>
        </w:rPr>
        <w:t xml:space="preserve"> </w:t>
      </w:r>
      <w:r w:rsidRPr="00935187">
        <w:rPr>
          <w:rFonts w:ascii="Calibri" w:hAnsi="Calibri"/>
          <w:b/>
          <w:bCs/>
          <w:sz w:val="22"/>
          <w:szCs w:val="22"/>
        </w:rPr>
        <w:t>124</w:t>
      </w:r>
      <w:r w:rsidRPr="00935187">
        <w:rPr>
          <w:rFonts w:ascii="Calibri" w:hAnsi="Calibri"/>
          <w:sz w:val="22"/>
          <w:szCs w:val="22"/>
        </w:rPr>
        <w:t>, 1711–1718.</w:t>
      </w:r>
    </w:p>
    <w:p w14:paraId="55309A31" w14:textId="77777777" w:rsidR="00FC360C" w:rsidRPr="00935187" w:rsidRDefault="00FC360C" w:rsidP="00935187">
      <w:pPr>
        <w:pStyle w:val="BodyText"/>
        <w:spacing w:after="120" w:line="276" w:lineRule="auto"/>
        <w:rPr>
          <w:rFonts w:ascii="Calibri" w:hAnsi="Calibri" w:cs="Arial"/>
          <w:sz w:val="22"/>
          <w:szCs w:val="22"/>
        </w:rPr>
      </w:pPr>
      <w:proofErr w:type="gramStart"/>
      <w:r w:rsidRPr="00935187">
        <w:rPr>
          <w:rFonts w:ascii="Calibri" w:hAnsi="Calibri"/>
          <w:sz w:val="22"/>
          <w:szCs w:val="22"/>
        </w:rPr>
        <w:t>Smedes, F., de Jong, A. S., and Davies, I. M. 2000.</w:t>
      </w:r>
      <w:proofErr w:type="gramEnd"/>
      <w:r w:rsidRPr="00935187">
        <w:rPr>
          <w:rFonts w:ascii="Calibri" w:hAnsi="Calibri"/>
          <w:sz w:val="22"/>
          <w:szCs w:val="22"/>
        </w:rPr>
        <w:t xml:space="preserve"> Determination of (mono-, di- and) tributyltin in sediments. </w:t>
      </w:r>
      <w:proofErr w:type="gramStart"/>
      <w:r w:rsidRPr="00935187">
        <w:rPr>
          <w:rFonts w:ascii="Calibri" w:hAnsi="Calibri"/>
          <w:sz w:val="22"/>
          <w:szCs w:val="22"/>
        </w:rPr>
        <w:t>Analytical methods.</w:t>
      </w:r>
      <w:proofErr w:type="gramEnd"/>
      <w:r w:rsidRPr="00935187">
        <w:rPr>
          <w:rFonts w:ascii="Calibri" w:hAnsi="Calibri"/>
          <w:sz w:val="22"/>
          <w:szCs w:val="22"/>
        </w:rPr>
        <w:t xml:space="preserve"> </w:t>
      </w:r>
      <w:r w:rsidRPr="00935187">
        <w:rPr>
          <w:rFonts w:ascii="Calibri" w:hAnsi="Calibri"/>
          <w:i/>
          <w:iCs/>
          <w:sz w:val="22"/>
          <w:szCs w:val="22"/>
        </w:rPr>
        <w:t xml:space="preserve">J. Environ. </w:t>
      </w:r>
      <w:proofErr w:type="gramStart"/>
      <w:r w:rsidRPr="00935187">
        <w:rPr>
          <w:rFonts w:ascii="Calibri" w:hAnsi="Calibri"/>
          <w:i/>
          <w:iCs/>
          <w:sz w:val="22"/>
          <w:szCs w:val="22"/>
        </w:rPr>
        <w:t>Monit.</w:t>
      </w:r>
      <w:proofErr w:type="gramEnd"/>
      <w:r w:rsidRPr="00935187">
        <w:rPr>
          <w:rFonts w:ascii="Calibri" w:hAnsi="Calibri"/>
          <w:sz w:val="22"/>
          <w:szCs w:val="22"/>
        </w:rPr>
        <w:t xml:space="preserve"> </w:t>
      </w:r>
      <w:r w:rsidRPr="00935187">
        <w:rPr>
          <w:rFonts w:ascii="Calibri" w:hAnsi="Calibri"/>
          <w:b/>
          <w:bCs/>
          <w:sz w:val="22"/>
          <w:szCs w:val="22"/>
        </w:rPr>
        <w:t>2</w:t>
      </w:r>
      <w:r w:rsidRPr="00935187">
        <w:rPr>
          <w:rFonts w:ascii="Calibri" w:hAnsi="Calibri"/>
          <w:sz w:val="22"/>
          <w:szCs w:val="22"/>
        </w:rPr>
        <w:t>, 541–549.</w:t>
      </w:r>
    </w:p>
    <w:p w14:paraId="44982464" w14:textId="77777777" w:rsidR="00FC360C" w:rsidRPr="00935187" w:rsidRDefault="00FC360C" w:rsidP="00935187">
      <w:pPr>
        <w:pStyle w:val="BodyText"/>
        <w:spacing w:after="120" w:line="276" w:lineRule="auto"/>
        <w:rPr>
          <w:rFonts w:ascii="Calibri" w:hAnsi="Calibri"/>
          <w:sz w:val="22"/>
          <w:szCs w:val="22"/>
          <w:highlight w:val="lightGray"/>
        </w:rPr>
      </w:pPr>
      <w:r w:rsidRPr="00935187">
        <w:rPr>
          <w:rFonts w:ascii="Calibri" w:hAnsi="Calibri"/>
          <w:sz w:val="22"/>
          <w:szCs w:val="22"/>
        </w:rPr>
        <w:t xml:space="preserve">Wahlen, R., and Catterick, T. 2003. Comparison of different liquid chromatography condition for the separation and analysis of organotin compounds in mussel and oyster tissue by liquid chromatography-inductively coupled plasma mass spectrometry. </w:t>
      </w:r>
      <w:r w:rsidRPr="00935187">
        <w:rPr>
          <w:rFonts w:ascii="Calibri" w:hAnsi="Calibri"/>
          <w:i/>
          <w:iCs/>
          <w:sz w:val="22"/>
          <w:szCs w:val="22"/>
        </w:rPr>
        <w:t>J. Chromatogr. B</w:t>
      </w:r>
      <w:r w:rsidRPr="00935187">
        <w:rPr>
          <w:rFonts w:ascii="Calibri" w:hAnsi="Calibri"/>
          <w:sz w:val="22"/>
          <w:szCs w:val="22"/>
        </w:rPr>
        <w:t xml:space="preserve"> </w:t>
      </w:r>
      <w:r w:rsidRPr="00935187">
        <w:rPr>
          <w:rFonts w:ascii="Calibri" w:hAnsi="Calibri"/>
          <w:b/>
          <w:bCs/>
          <w:sz w:val="22"/>
          <w:szCs w:val="22"/>
        </w:rPr>
        <w:t>783</w:t>
      </w:r>
      <w:r w:rsidRPr="00935187">
        <w:rPr>
          <w:rFonts w:ascii="Calibri" w:hAnsi="Calibri"/>
          <w:sz w:val="22"/>
          <w:szCs w:val="22"/>
        </w:rPr>
        <w:t>, 221–229.</w:t>
      </w:r>
    </w:p>
    <w:bookmarkEnd w:id="23"/>
    <w:bookmarkEnd w:id="24"/>
    <w:p w14:paraId="1BB8DAF6" w14:textId="77777777" w:rsidR="00FC360C" w:rsidRPr="00F63BAF" w:rsidRDefault="00FC360C" w:rsidP="00D06837">
      <w:pPr>
        <w:pStyle w:val="Title"/>
      </w:pPr>
      <w:r w:rsidRPr="00F63BAF">
        <w:br w:type="page"/>
      </w:r>
      <w:bookmarkStart w:id="308" w:name="_Toc511217587"/>
      <w:bookmarkStart w:id="309" w:name="_Toc229470654"/>
      <w:r w:rsidRPr="00F63BAF">
        <w:t>Technical Annex 8: Determination of chlorobiphenyls in biota</w:t>
      </w:r>
      <w:bookmarkEnd w:id="308"/>
      <w:r w:rsidRPr="00F63BAF">
        <w:t xml:space="preserve"> </w:t>
      </w:r>
    </w:p>
    <w:p w14:paraId="1DB4BF8C" w14:textId="77777777" w:rsidR="00FC360C" w:rsidRPr="00F63BAF" w:rsidRDefault="00FC360C" w:rsidP="00D06837">
      <w:pPr>
        <w:pStyle w:val="Heading1"/>
        <w:rPr>
          <w:lang w:eastAsia="en-US"/>
        </w:rPr>
      </w:pPr>
      <w:bookmarkStart w:id="310" w:name="_Toc511217588"/>
      <w:r w:rsidRPr="00F63BAF">
        <w:rPr>
          <w:lang w:eastAsia="en-US"/>
        </w:rPr>
        <w:t>Analytical Method</w:t>
      </w:r>
      <w:bookmarkEnd w:id="310"/>
    </w:p>
    <w:p w14:paraId="3A252FD5" w14:textId="77777777" w:rsidR="00FC360C" w:rsidRPr="00F63BAF" w:rsidRDefault="00FC360C" w:rsidP="00D06837">
      <w:pPr>
        <w:pStyle w:val="Heading1"/>
      </w:pPr>
      <w:bookmarkStart w:id="311" w:name="_Toc511217589"/>
      <w:r w:rsidRPr="00F63BAF">
        <w:t>1.</w:t>
      </w:r>
      <w:r w:rsidRPr="00F63BAF">
        <w:tab/>
        <w:t>Introduction</w:t>
      </w:r>
      <w:bookmarkEnd w:id="311"/>
    </w:p>
    <w:p w14:paraId="3FA8CD47" w14:textId="77777777" w:rsidR="00FC360C" w:rsidRPr="00D06837" w:rsidRDefault="00FC360C" w:rsidP="00D06837">
      <w:pPr>
        <w:rPr>
          <w:szCs w:val="22"/>
          <w:lang w:eastAsia="en-US"/>
        </w:rPr>
      </w:pPr>
      <w:r w:rsidRPr="00D06837">
        <w:rPr>
          <w:szCs w:val="22"/>
          <w:lang w:eastAsia="en-US"/>
        </w:rPr>
        <w:t>This technical annex provides advice on chlorobiphenyl (CB) analysis for all biota samples. The guideline is an update of an earlier version (OSPAR, 1999) taking into account evolutions in the field of analytical chemistry and also covering the determination of the planar CBs, i.e. the mono-</w:t>
      </w:r>
      <w:r w:rsidRPr="00D06837">
        <w:rPr>
          <w:i/>
          <w:szCs w:val="22"/>
          <w:lang w:eastAsia="en-US"/>
        </w:rPr>
        <w:t>ortho</w:t>
      </w:r>
      <w:r w:rsidRPr="00D06837">
        <w:rPr>
          <w:szCs w:val="22"/>
          <w:lang w:eastAsia="en-US"/>
        </w:rPr>
        <w:t xml:space="preserve"> (CB105, CB114, CB118, CB123, CB156, CB157, CB167 and CB189) and non-</w:t>
      </w:r>
      <w:r w:rsidRPr="00D06837">
        <w:rPr>
          <w:i/>
          <w:szCs w:val="22"/>
          <w:lang w:eastAsia="en-US"/>
        </w:rPr>
        <w:t>ortho</w:t>
      </w:r>
      <w:r w:rsidRPr="00D06837">
        <w:rPr>
          <w:szCs w:val="22"/>
          <w:lang w:eastAsia="en-US"/>
        </w:rPr>
        <w:t xml:space="preserve"> substituted CBs (CB81, CB77, CB126 and CB169). When reviewing the literature, it should be noted that planar, coplanar and dioxin-like CBs / PCBs are all equivalent terms.</w:t>
      </w:r>
    </w:p>
    <w:p w14:paraId="49D800E6" w14:textId="77777777" w:rsidR="00FC360C" w:rsidRPr="00D06837" w:rsidRDefault="00FC360C" w:rsidP="00D06837">
      <w:pPr>
        <w:rPr>
          <w:szCs w:val="22"/>
          <w:lang w:eastAsia="en-US"/>
        </w:rPr>
      </w:pPr>
      <w:r w:rsidRPr="00D06837">
        <w:rPr>
          <w:szCs w:val="22"/>
          <w:lang w:eastAsia="en-US"/>
        </w:rPr>
        <w:t>The analysis of CBs in biota generally involves extraction with organic solvents, clean-up (removal of lipids and fractionation), and gas chromatographic separation with electron capture or mass-spectrometric detection. All stages of the procedure are susceptible to insufficient recovery and/or contamination. Where possible, quality control procedures are required in order to check the method’s performance. These guidelines are intended to encourage and assist analytical chemists to reconsider their methods and to improve their procedures and/or the associated quality control measures where necessary. Due to the low concentrations of, particularly, non-</w:t>
      </w:r>
      <w:r w:rsidRPr="00D06837">
        <w:rPr>
          <w:i/>
          <w:szCs w:val="22"/>
          <w:lang w:eastAsia="en-US"/>
        </w:rPr>
        <w:t>ortho</w:t>
      </w:r>
      <w:r w:rsidRPr="00D06837">
        <w:rPr>
          <w:szCs w:val="22"/>
          <w:lang w:eastAsia="en-US"/>
        </w:rPr>
        <w:t xml:space="preserve"> substituted CBs in biota compared to those of other CBs, their determination requires an additional separation and concentration step. Therefore, in the relevant sections a distinction will be made between the non-</w:t>
      </w:r>
      <w:r w:rsidRPr="00D06837">
        <w:rPr>
          <w:i/>
          <w:szCs w:val="22"/>
          <w:lang w:eastAsia="en-US"/>
        </w:rPr>
        <w:t>ortho</w:t>
      </w:r>
      <w:r w:rsidRPr="00D06837">
        <w:rPr>
          <w:szCs w:val="22"/>
          <w:lang w:eastAsia="en-US"/>
        </w:rPr>
        <w:t xml:space="preserve"> CBs and the others.</w:t>
      </w:r>
    </w:p>
    <w:p w14:paraId="7EA744CD" w14:textId="77777777" w:rsidR="00FC360C" w:rsidRPr="00D06837" w:rsidRDefault="00FC360C" w:rsidP="00D06837">
      <w:pPr>
        <w:rPr>
          <w:szCs w:val="22"/>
          <w:lang w:eastAsia="en-US"/>
        </w:rPr>
      </w:pPr>
      <w:r w:rsidRPr="00D06837">
        <w:rPr>
          <w:szCs w:val="22"/>
          <w:lang w:eastAsia="en-US"/>
        </w:rPr>
        <w:t>These guidelines can also be used for several other groups of organochlorine compounds, e.g. DDTs and their metabolites, chlorobenzenes and hexachlorocyclohexanes. Recoveries in the clean-up procedures must be checked carefully. In particular, treatment with H</w:t>
      </w:r>
      <w:r w:rsidRPr="00D06837">
        <w:rPr>
          <w:szCs w:val="22"/>
          <w:vertAlign w:val="subscript"/>
          <w:lang w:eastAsia="en-US"/>
        </w:rPr>
        <w:t>2</w:t>
      </w:r>
      <w:r w:rsidRPr="00D06837">
        <w:rPr>
          <w:szCs w:val="22"/>
          <w:lang w:eastAsia="en-US"/>
        </w:rPr>
        <w:t>SO</w:t>
      </w:r>
      <w:r w:rsidRPr="00D06837">
        <w:rPr>
          <w:szCs w:val="22"/>
          <w:vertAlign w:val="subscript"/>
          <w:lang w:eastAsia="en-US"/>
        </w:rPr>
        <w:t>4</w:t>
      </w:r>
      <w:r w:rsidRPr="00D06837">
        <w:rPr>
          <w:szCs w:val="22"/>
          <w:lang w:eastAsia="en-US"/>
        </w:rPr>
        <w:t xml:space="preserve"> results in a loss of some compounds (e.g. dieldrin and endosulfan (de Boer and Wells, 1996)). </w:t>
      </w:r>
    </w:p>
    <w:p w14:paraId="72077716" w14:textId="77777777" w:rsidR="00FC360C" w:rsidRPr="00D06837" w:rsidRDefault="00FC360C" w:rsidP="00D06837">
      <w:pPr>
        <w:rPr>
          <w:szCs w:val="22"/>
          <w:lang w:eastAsia="en-US"/>
        </w:rPr>
      </w:pPr>
      <w:r w:rsidRPr="00D06837">
        <w:rPr>
          <w:szCs w:val="22"/>
          <w:lang w:eastAsia="en-US"/>
        </w:rPr>
        <w:t>These guidelines are not intended as a complete laboratory manual. If necessary, further guidance should be sought from specialised laboratories. Whichever analytical procedure is adopted, the laboratory must demonstrate the validity of the procedure. Analyses must be carried out by trained staff.</w:t>
      </w:r>
    </w:p>
    <w:p w14:paraId="237088B2" w14:textId="77777777" w:rsidR="00FC360C" w:rsidRPr="00D06837" w:rsidRDefault="00FC360C" w:rsidP="004A64B0">
      <w:pPr>
        <w:pStyle w:val="Heading1"/>
      </w:pPr>
      <w:bookmarkStart w:id="312" w:name="_Toc511217590"/>
      <w:r w:rsidRPr="00D06837">
        <w:t>2.</w:t>
      </w:r>
      <w:r w:rsidRPr="00D06837">
        <w:tab/>
        <w:t>Analysis</w:t>
      </w:r>
      <w:bookmarkEnd w:id="312"/>
    </w:p>
    <w:p w14:paraId="2F38D853" w14:textId="77777777" w:rsidR="00FC360C" w:rsidRPr="00D06837" w:rsidRDefault="00FC360C" w:rsidP="004A64B0">
      <w:pPr>
        <w:pStyle w:val="Heading2"/>
      </w:pPr>
      <w:bookmarkStart w:id="313" w:name="_Toc511217591"/>
      <w:r w:rsidRPr="00D06837">
        <w:t xml:space="preserve">2.1. </w:t>
      </w:r>
      <w:r w:rsidRPr="00D06837">
        <w:tab/>
        <w:t>Precautionary measures</w:t>
      </w:r>
      <w:bookmarkEnd w:id="313"/>
    </w:p>
    <w:p w14:paraId="32CFC2D1" w14:textId="77777777" w:rsidR="00FC360C" w:rsidRPr="00D06837" w:rsidRDefault="00FC360C" w:rsidP="00D06837">
      <w:pPr>
        <w:rPr>
          <w:szCs w:val="22"/>
          <w:lang w:eastAsia="en-US"/>
        </w:rPr>
      </w:pPr>
      <w:r w:rsidRPr="00D06837">
        <w:rPr>
          <w:szCs w:val="22"/>
          <w:lang w:eastAsia="en-US"/>
        </w:rPr>
        <w:t>Solvents, chemicals and adsorption materials must be free of CBs or other interfering compounds. If not they should be purified using appropriate methods. Solvents should be checked by concentrating the volume normally used in the procedure to 10% of the final volume if practical and then analysing for the presence of CBs and other interfering compounds. If necessary, the solvents can be purified by redistillation but this practice is not favoured by most analytical laboratories as they generally opt to purchase high quality solvents directly. Chemicals and adsorption materials should be purified by extraction and/or heating. Glass fibre materials (</w:t>
      </w:r>
      <w:r w:rsidRPr="00D06837">
        <w:rPr>
          <w:i/>
          <w:szCs w:val="22"/>
          <w:lang w:eastAsia="en-US"/>
        </w:rPr>
        <w:t>e.g.</w:t>
      </w:r>
      <w:r w:rsidRPr="00D06837">
        <w:rPr>
          <w:szCs w:val="22"/>
          <w:lang w:eastAsia="en-US"/>
        </w:rPr>
        <w:t xml:space="preserve"> thimbles for Soxhlet extraction) should be pre-extracted. Alternatively, glass thimbles with a G1 glass filter at the bottom can be used. Generally, paper filters should be avoided in filtration and substituted for by appropriate glass filters. As all pre-cleaned materials are prone to contamination (</w:t>
      </w:r>
      <w:r w:rsidRPr="00D06837">
        <w:rPr>
          <w:i/>
          <w:szCs w:val="22"/>
          <w:lang w:eastAsia="en-US"/>
        </w:rPr>
        <w:t>e.g.</w:t>
      </w:r>
      <w:r w:rsidRPr="00D06837">
        <w:rPr>
          <w:szCs w:val="22"/>
          <w:lang w:eastAsia="en-US"/>
        </w:rPr>
        <w:t xml:space="preserve"> by the adsorption of CBs and other compounds from laboratory air), materials ready for use should not be stored for long periods. All containers, tools, glassware </w:t>
      </w:r>
      <w:r w:rsidRPr="00D06837">
        <w:rPr>
          <w:i/>
          <w:szCs w:val="22"/>
          <w:lang w:eastAsia="en-US"/>
        </w:rPr>
        <w:t>etc.</w:t>
      </w:r>
      <w:r w:rsidRPr="00D06837">
        <w:rPr>
          <w:szCs w:val="22"/>
          <w:lang w:eastAsia="en-US"/>
        </w:rPr>
        <w:t xml:space="preserve"> which come into contact with the sample must be made of appropriate material and must have been thoroughly pre-cleaned. Glassware should be extensively washed with detergents, heated at &gt;250°C and rinsed immediately before use with organic solvents or mixtures such as hexane/acetone. In addition all glassware should preferably be covered with aluminium foil and stored in cupboards to keep out any dust. Old and scratched glassware is more likely to cause blank problems because of the larger surface and therefore greater chance of adsorption.</w:t>
      </w:r>
      <w:r w:rsidR="00B33CCD">
        <w:rPr>
          <w:szCs w:val="22"/>
          <w:lang w:eastAsia="en-US"/>
        </w:rPr>
        <w:t xml:space="preserve"> </w:t>
      </w:r>
      <w:r w:rsidRPr="00D06837">
        <w:rPr>
          <w:szCs w:val="22"/>
          <w:lang w:eastAsia="en-US"/>
        </w:rPr>
        <w:t xml:space="preserve">Furthermore, scratched glassware can be more difficult to clean effectively, as shown during analysis of brominated flame retardants (QUASIMEME, 2007). </w:t>
      </w:r>
    </w:p>
    <w:p w14:paraId="67719D85" w14:textId="77777777" w:rsidR="00FC360C" w:rsidRPr="00D06837" w:rsidRDefault="00FC360C" w:rsidP="004A64B0">
      <w:pPr>
        <w:pStyle w:val="Heading2"/>
      </w:pPr>
      <w:bookmarkStart w:id="314" w:name="_Toc511217592"/>
      <w:r w:rsidRPr="00D06837">
        <w:t>2.2</w:t>
      </w:r>
      <w:r w:rsidRPr="00D06837">
        <w:tab/>
        <w:t>Lipid determination</w:t>
      </w:r>
      <w:bookmarkEnd w:id="314"/>
    </w:p>
    <w:p w14:paraId="0CB4F01B" w14:textId="77777777" w:rsidR="00FC360C" w:rsidRPr="00D06837" w:rsidRDefault="00FC360C" w:rsidP="00D06837">
      <w:pPr>
        <w:rPr>
          <w:szCs w:val="22"/>
          <w:lang w:eastAsia="en-US"/>
        </w:rPr>
      </w:pPr>
      <w:r w:rsidRPr="00D06837">
        <w:rPr>
          <w:szCs w:val="22"/>
          <w:lang w:eastAsia="en-US"/>
        </w:rPr>
        <w:t>The determination of the lipid content of tissues can be of use in characterising the samples and reporting concentrations in biota on a wet weight or lipid weight basis.</w:t>
      </w:r>
      <w:r w:rsidR="00B33CCD">
        <w:rPr>
          <w:szCs w:val="22"/>
          <w:lang w:eastAsia="en-US"/>
        </w:rPr>
        <w:t xml:space="preserve"> </w:t>
      </w:r>
      <w:r w:rsidRPr="00D06837">
        <w:rPr>
          <w:szCs w:val="22"/>
          <w:lang w:eastAsia="en-US"/>
        </w:rPr>
        <w:t>The total lipid content of fish or shellfish should be determined using the method of Bligh and Dyer (1959) as modified by Hanson and Olley (1963) or an equivalent method such as Smedes (1999). Extractable lipid methods may be used, particularly if the sample size is small and lipid content is high.</w:t>
      </w:r>
      <w:r w:rsidR="00B33CCD">
        <w:rPr>
          <w:szCs w:val="22"/>
          <w:lang w:eastAsia="en-US"/>
        </w:rPr>
        <w:t xml:space="preserve"> </w:t>
      </w:r>
      <w:r w:rsidRPr="00D06837">
        <w:rPr>
          <w:szCs w:val="22"/>
          <w:lang w:eastAsia="en-US"/>
        </w:rPr>
        <w:t xml:space="preserve">It has been shown that if the lipid content is high (&gt; 5%) then the extractable lipid content will be comparable to that of the total lipid. If extraction techniques are applied which destroy or remove lipid materials (e.g., PLE with fat retainers), the lipid content should be determined on a separate subsample of the tissue homogenate. Other relevant information concerning lipid determination </w:t>
      </w:r>
      <w:proofErr w:type="gramStart"/>
      <w:r w:rsidRPr="00D06837">
        <w:rPr>
          <w:szCs w:val="22"/>
          <w:lang w:eastAsia="en-US"/>
        </w:rPr>
        <w:t>are</w:t>
      </w:r>
      <w:proofErr w:type="gramEnd"/>
      <w:r w:rsidRPr="00D06837">
        <w:rPr>
          <w:szCs w:val="22"/>
          <w:lang w:eastAsia="en-US"/>
        </w:rPr>
        <w:t xml:space="preserve"> provided by QUASIMEME, 1994 and Roose </w:t>
      </w:r>
      <w:r w:rsidRPr="00D06837">
        <w:rPr>
          <w:i/>
          <w:szCs w:val="22"/>
          <w:lang w:eastAsia="en-US"/>
        </w:rPr>
        <w:t>et al</w:t>
      </w:r>
      <w:r w:rsidRPr="00D06837">
        <w:rPr>
          <w:szCs w:val="22"/>
          <w:lang w:eastAsia="en-US"/>
        </w:rPr>
        <w:t>., 1996.</w:t>
      </w:r>
    </w:p>
    <w:p w14:paraId="146BE7CB" w14:textId="77777777" w:rsidR="00FC360C" w:rsidRPr="00D06837" w:rsidRDefault="00FC360C" w:rsidP="004A64B0">
      <w:pPr>
        <w:pStyle w:val="Heading2"/>
      </w:pPr>
      <w:bookmarkStart w:id="315" w:name="_Toc511217593"/>
      <w:r w:rsidRPr="00D06837">
        <w:t>2.3.</w:t>
      </w:r>
      <w:r w:rsidRPr="00D06837">
        <w:tab/>
        <w:t>Dry weight determination</w:t>
      </w:r>
      <w:bookmarkEnd w:id="315"/>
    </w:p>
    <w:p w14:paraId="0AA82221" w14:textId="77777777" w:rsidR="00FC360C" w:rsidRPr="00D06837" w:rsidRDefault="00FC360C" w:rsidP="00D06837">
      <w:pPr>
        <w:rPr>
          <w:szCs w:val="22"/>
          <w:lang w:eastAsia="en-US"/>
        </w:rPr>
      </w:pPr>
      <w:r w:rsidRPr="00D06837">
        <w:rPr>
          <w:szCs w:val="22"/>
          <w:lang w:eastAsia="en-US"/>
        </w:rPr>
        <w:t>Dry weight determinations should be carried out by drying homogenised sub-samples of the material to be analysed to constant weight at 105°C.</w:t>
      </w:r>
    </w:p>
    <w:p w14:paraId="6F31F51F" w14:textId="77777777" w:rsidR="00FC360C" w:rsidRPr="00D06837" w:rsidRDefault="00FC360C" w:rsidP="004A64B0">
      <w:pPr>
        <w:pStyle w:val="Heading2"/>
      </w:pPr>
      <w:bookmarkStart w:id="316" w:name="_Toc511217594"/>
      <w:r w:rsidRPr="00D06837">
        <w:t>2.4.</w:t>
      </w:r>
      <w:r w:rsidRPr="00D06837">
        <w:tab/>
        <w:t>Homogenisation and drying</w:t>
      </w:r>
      <w:bookmarkEnd w:id="316"/>
    </w:p>
    <w:p w14:paraId="6A959BBF" w14:textId="77777777" w:rsidR="00FC360C" w:rsidRPr="00D06837" w:rsidRDefault="00FC360C" w:rsidP="00D06837">
      <w:pPr>
        <w:rPr>
          <w:szCs w:val="22"/>
          <w:lang w:eastAsia="en-US"/>
        </w:rPr>
      </w:pPr>
      <w:r w:rsidRPr="00D06837">
        <w:rPr>
          <w:szCs w:val="22"/>
          <w:lang w:eastAsia="en-US"/>
        </w:rPr>
        <w:t>Prior to analysis, the samples should be sufficiently homogenised. Homogenisation is generally carried out on fresh tissue. Care should be taken that the sample integrity is maintained during the actual homogenisation. When the analysis is undertaken, all fluids that may initially separate on thawing should be included with the materials homogenised. Homogenisation should be performed prior to extraction and clean-up procedures. When homogenising samples after drying, classical techniques using a ball mill can be used. Cryogenic homogenisation of dried or fresh materials at liquid nitrogen temperatures using a PTFE device (</w:t>
      </w:r>
      <w:r w:rsidRPr="00D06837">
        <w:rPr>
          <w:i/>
          <w:szCs w:val="22"/>
          <w:lang w:eastAsia="en-US"/>
        </w:rPr>
        <w:t>cf.</w:t>
      </w:r>
      <w:r w:rsidRPr="00D06837">
        <w:rPr>
          <w:szCs w:val="22"/>
          <w:lang w:eastAsia="en-US"/>
        </w:rPr>
        <w:t xml:space="preserve"> Iyengar and Kasperek, 1977) or a similar technique is also possible (</w:t>
      </w:r>
      <w:r w:rsidRPr="00D06837">
        <w:rPr>
          <w:i/>
          <w:szCs w:val="22"/>
          <w:lang w:eastAsia="en-US"/>
        </w:rPr>
        <w:t>cf.</w:t>
      </w:r>
      <w:r w:rsidRPr="00D06837">
        <w:rPr>
          <w:szCs w:val="22"/>
          <w:lang w:eastAsia="en-US"/>
        </w:rPr>
        <w:t xml:space="preserve"> Iyengar, 1976; Klussmann </w:t>
      </w:r>
      <w:r w:rsidRPr="00D06837">
        <w:rPr>
          <w:i/>
          <w:szCs w:val="22"/>
          <w:lang w:eastAsia="en-US"/>
        </w:rPr>
        <w:t>et al</w:t>
      </w:r>
      <w:r w:rsidRPr="00D06837">
        <w:rPr>
          <w:szCs w:val="22"/>
          <w:lang w:eastAsia="en-US"/>
        </w:rPr>
        <w:t>., 1985).</w:t>
      </w:r>
    </w:p>
    <w:p w14:paraId="0884E766" w14:textId="77777777" w:rsidR="00FC360C" w:rsidRPr="00D06837" w:rsidRDefault="00FC360C" w:rsidP="00D06837">
      <w:pPr>
        <w:rPr>
          <w:szCs w:val="22"/>
          <w:lang w:eastAsia="en-US"/>
        </w:rPr>
      </w:pPr>
      <w:r w:rsidRPr="00D06837">
        <w:rPr>
          <w:szCs w:val="22"/>
          <w:lang w:eastAsia="en-US"/>
        </w:rPr>
        <w:t>CBs can be extracted from either wet or dried samples, although storage, homogenisation and extraction are easier when the samples are dry. Drying the samples may, however, alter the CB concentrations e.g. by the loss of compounds through evaporation or by contamination. Potential losses and contamination should be checked as part of the method validation.</w:t>
      </w:r>
    </w:p>
    <w:p w14:paraId="6DADF4F1" w14:textId="77777777" w:rsidR="00FC360C" w:rsidRPr="00D06837" w:rsidRDefault="00FC360C" w:rsidP="00D06837">
      <w:pPr>
        <w:rPr>
          <w:szCs w:val="22"/>
          <w:lang w:eastAsia="en-US"/>
        </w:rPr>
      </w:pPr>
      <w:r w:rsidRPr="00D06837">
        <w:rPr>
          <w:szCs w:val="22"/>
          <w:lang w:eastAsia="en-US"/>
        </w:rPr>
        <w:t>Chemical drying can be performed by grinding with e.g. Na</w:t>
      </w:r>
      <w:r w:rsidRPr="00D06837">
        <w:rPr>
          <w:szCs w:val="22"/>
          <w:vertAlign w:val="subscript"/>
          <w:lang w:eastAsia="en-US"/>
        </w:rPr>
        <w:t>2</w:t>
      </w:r>
      <w:r w:rsidRPr="00D06837">
        <w:rPr>
          <w:szCs w:val="22"/>
          <w:lang w:eastAsia="en-US"/>
        </w:rPr>
        <w:t>SO</w:t>
      </w:r>
      <w:r w:rsidRPr="00D06837">
        <w:rPr>
          <w:szCs w:val="22"/>
          <w:vertAlign w:val="subscript"/>
          <w:lang w:eastAsia="en-US"/>
        </w:rPr>
        <w:t>4</w:t>
      </w:r>
      <w:r w:rsidRPr="00D06837">
        <w:rPr>
          <w:szCs w:val="22"/>
          <w:lang w:eastAsia="en-US"/>
        </w:rPr>
        <w:t xml:space="preserve"> or MgSO</w:t>
      </w:r>
      <w:r w:rsidRPr="00D06837">
        <w:rPr>
          <w:szCs w:val="22"/>
          <w:vertAlign w:val="subscript"/>
          <w:lang w:eastAsia="en-US"/>
        </w:rPr>
        <w:t>4</w:t>
      </w:r>
      <w:r w:rsidRPr="00D06837">
        <w:rPr>
          <w:szCs w:val="22"/>
          <w:lang w:eastAsia="en-US"/>
        </w:rPr>
        <w:t xml:space="preserve"> until the sample reaches a free-flowing consistency. It is essential that at least several hours elapse between grinding and extraction to allow for complete dehydration of the sample, as the presence of residual water will decrease the extraction efficiency.</w:t>
      </w:r>
    </w:p>
    <w:p w14:paraId="459AA6EE" w14:textId="77777777" w:rsidR="00FC360C" w:rsidRPr="00D06837" w:rsidRDefault="00FC360C" w:rsidP="00D06837">
      <w:pPr>
        <w:rPr>
          <w:szCs w:val="22"/>
          <w:lang w:eastAsia="en-US"/>
        </w:rPr>
      </w:pPr>
      <w:r w:rsidRPr="00D06837">
        <w:rPr>
          <w:szCs w:val="22"/>
          <w:lang w:eastAsia="en-US"/>
        </w:rPr>
        <w:t>Freeze-drying is also a popular technique, although its application should be carefully considered. Possible losses or contamination must be checked. Losses through evaporation are diminished by keeping the temperature in the evaporation chamber below 0°C. Contamination during freeze-drying can be reduced by putting a lid, with a hole of about 3 mm in dia</w:t>
      </w:r>
      <w:r w:rsidR="004A64B0">
        <w:rPr>
          <w:szCs w:val="22"/>
          <w:lang w:eastAsia="en-US"/>
        </w:rPr>
        <w:t>meter, on the sample container.</w:t>
      </w:r>
    </w:p>
    <w:p w14:paraId="5902C928" w14:textId="77777777" w:rsidR="00FC360C" w:rsidRPr="00D06837" w:rsidRDefault="00FC360C" w:rsidP="004A64B0">
      <w:pPr>
        <w:pStyle w:val="Heading2"/>
      </w:pPr>
      <w:bookmarkStart w:id="317" w:name="_Toc511217595"/>
      <w:r w:rsidRPr="00D06837">
        <w:t>2.5.</w:t>
      </w:r>
      <w:r w:rsidRPr="00D06837">
        <w:tab/>
        <w:t>Extraction</w:t>
      </w:r>
      <w:bookmarkEnd w:id="317"/>
    </w:p>
    <w:p w14:paraId="5AEBF56C" w14:textId="77777777" w:rsidR="00FC360C" w:rsidRPr="00D06837" w:rsidRDefault="00FC360C" w:rsidP="00D06837">
      <w:pPr>
        <w:rPr>
          <w:szCs w:val="22"/>
          <w:lang w:eastAsia="en-US"/>
        </w:rPr>
      </w:pPr>
      <w:r w:rsidRPr="00D06837">
        <w:rPr>
          <w:szCs w:val="22"/>
          <w:lang w:eastAsia="en-US"/>
        </w:rPr>
        <w:t>Recovery standards should be added prior to extraction. When using Soxhlet extraction, a combination of polar and apolar solvents is recommended. Alternatively, saponification may be used. This technique is highly effective, but conditions should be controlled as saponification could result in the decomposition of some pesticides and, under certain conditions, of some CB congeners.</w:t>
      </w:r>
    </w:p>
    <w:p w14:paraId="29330DAC" w14:textId="77777777" w:rsidR="00FC360C" w:rsidRPr="00D06837" w:rsidRDefault="00FC360C" w:rsidP="00D06837">
      <w:pPr>
        <w:rPr>
          <w:szCs w:val="22"/>
          <w:lang w:eastAsia="en-US"/>
        </w:rPr>
      </w:pPr>
      <w:r w:rsidRPr="00D06837">
        <w:rPr>
          <w:szCs w:val="22"/>
          <w:lang w:eastAsia="en-US"/>
        </w:rPr>
        <w:t>Although the use of binary non-polar/polar solvent mixtures and Soxhlet extraction is still the benchmark for CB extraction, there have been numerous attempts to find alternative procedures, which are less time-consuming, use less solvent and/or enable miniaturisation. Amongst thes</w:t>
      </w:r>
      <w:r w:rsidR="00F63BAF" w:rsidRPr="00D06837">
        <w:rPr>
          <w:szCs w:val="22"/>
          <w:lang w:eastAsia="en-US"/>
        </w:rPr>
        <w:t>e novel approaches are pressuris</w:t>
      </w:r>
      <w:r w:rsidRPr="00D06837">
        <w:rPr>
          <w:szCs w:val="22"/>
          <w:lang w:eastAsia="en-US"/>
        </w:rPr>
        <w:t xml:space="preserve">ed liquid extraction (PLE) and related subcritical water extraction (SWE), microwave-assisted extraction (MAE), matrix solid-phase dispersion (MSPD), ultrasound extraction (US) and supercritical fluid extraction (SFE). </w:t>
      </w:r>
    </w:p>
    <w:p w14:paraId="26A0465E" w14:textId="77777777" w:rsidR="00FC360C" w:rsidRPr="00D06837" w:rsidRDefault="00FC360C" w:rsidP="00D06837">
      <w:pPr>
        <w:rPr>
          <w:szCs w:val="22"/>
          <w:lang w:eastAsia="en-US"/>
        </w:rPr>
      </w:pPr>
      <w:r w:rsidRPr="00D06837">
        <w:rPr>
          <w:szCs w:val="22"/>
          <w:lang w:eastAsia="en-US"/>
        </w:rPr>
        <w:t xml:space="preserve">From among the techniques mentioned, PLE or Accelerated Solvent Extraction (ASE) has – so far – been most successful. Soxhlet methods are easily translated into PLE as the same solvent compositions can be used. The method further allows interesting modifications that include in-cell clean-up of samples by adding fat retainers, such as acid-impregnated silica, florisil or alumina, to the cell. New promising techniques have been described, e.g. the use of a small carbon column in the extraction cell, which selectively adsorbs dioxin-like compounds (subsequently isolated by back-flushing with toluene), but these are not established for routine analysis (Sporring </w:t>
      </w:r>
      <w:r w:rsidRPr="00D06837">
        <w:rPr>
          <w:i/>
          <w:szCs w:val="22"/>
          <w:lang w:eastAsia="en-US"/>
        </w:rPr>
        <w:t>et al</w:t>
      </w:r>
      <w:r w:rsidRPr="00D06837">
        <w:rPr>
          <w:szCs w:val="22"/>
          <w:lang w:eastAsia="en-US"/>
        </w:rPr>
        <w:t xml:space="preserve">., 2003). PLE and MAE have the shared advantage over SFE that they are matrix-independent, which facilitates method development and changing-over from the classical Soxhlet extraction. Recent years have also seen an increased use of ultrasound-based techniques for the isolation of analytes from solid samples. With most applications, extraction efficiency is satisfactory, and sonication time often is 30 min or less (Roose and Brinkman, 2005). </w:t>
      </w:r>
    </w:p>
    <w:p w14:paraId="6DB8578B" w14:textId="77777777" w:rsidR="00FC360C" w:rsidRPr="00D06837" w:rsidRDefault="00FC360C" w:rsidP="00D06837">
      <w:pPr>
        <w:rPr>
          <w:szCs w:val="22"/>
          <w:lang w:eastAsia="en-US"/>
        </w:rPr>
      </w:pPr>
      <w:r w:rsidRPr="00D06837">
        <w:rPr>
          <w:szCs w:val="22"/>
          <w:lang w:eastAsia="en-US"/>
        </w:rPr>
        <w:t xml:space="preserve">All the methods described above are in principle suitable for extracting CBs from biota. However, Soxhlet extraction is still the reference for alternative approaches. </w:t>
      </w:r>
    </w:p>
    <w:p w14:paraId="54034FB4" w14:textId="77777777" w:rsidR="00FC360C" w:rsidRPr="00D06837" w:rsidRDefault="00FC360C" w:rsidP="004A64B0">
      <w:pPr>
        <w:pStyle w:val="Heading2"/>
      </w:pPr>
      <w:bookmarkStart w:id="318" w:name="_Toc511217596"/>
      <w:r w:rsidRPr="00D06837">
        <w:t>2.6</w:t>
      </w:r>
      <w:r w:rsidRPr="00D06837">
        <w:tab/>
        <w:t>Clean-up</w:t>
      </w:r>
      <w:bookmarkEnd w:id="318"/>
    </w:p>
    <w:p w14:paraId="1E158EEC" w14:textId="77777777" w:rsidR="00FC360C" w:rsidRPr="00D06837" w:rsidRDefault="00FC360C" w:rsidP="00D06837">
      <w:pPr>
        <w:rPr>
          <w:szCs w:val="22"/>
          <w:lang w:eastAsia="en-US"/>
        </w:rPr>
      </w:pPr>
      <w:r w:rsidRPr="00D06837">
        <w:rPr>
          <w:szCs w:val="22"/>
          <w:lang w:eastAsia="en-US"/>
        </w:rPr>
        <w:t>The extraction procedures above will result in the co-extraction of lipids, which will need to be removed from the extract. Furthermore, tissue extracts will always contain many compounds other</w:t>
      </w:r>
      <w:r w:rsidR="004A64B0">
        <w:rPr>
          <w:szCs w:val="22"/>
          <w:lang w:eastAsia="en-US"/>
        </w:rPr>
        <w:t xml:space="preserve"> than CBs, and a suitable clean-</w:t>
      </w:r>
      <w:r w:rsidRPr="00D06837">
        <w:rPr>
          <w:szCs w:val="22"/>
          <w:lang w:eastAsia="en-US"/>
        </w:rPr>
        <w:t>up is necessary to remove those compounds which may interfere with the subsequent analysis. Different techniques may be used, either singly or in combination, and the choice will be influenced by the selectivity and sensitivity of the final measurement technique and also by the extraction method employed. Most CBs are stable under acid conditions; therefore treatment with sulphuric acid or acid impregnated silica columns may be used in the clean-up.</w:t>
      </w:r>
      <w:r w:rsidR="00B33CCD">
        <w:rPr>
          <w:szCs w:val="22"/>
          <w:lang w:eastAsia="en-US"/>
        </w:rPr>
        <w:t xml:space="preserve"> </w:t>
      </w:r>
    </w:p>
    <w:p w14:paraId="3C18C81B" w14:textId="77777777" w:rsidR="00FC360C" w:rsidRPr="00D06837" w:rsidRDefault="00FC360C" w:rsidP="00D06837">
      <w:pPr>
        <w:rPr>
          <w:szCs w:val="22"/>
          <w:lang w:eastAsia="en-US"/>
        </w:rPr>
      </w:pPr>
      <w:r w:rsidRPr="00D06837">
        <w:rPr>
          <w:szCs w:val="22"/>
          <w:lang w:eastAsia="en-US"/>
        </w:rPr>
        <w:t>The most commonly used clean-up methods involve the use of alumina or silica adsorption chromatography, but gel permeation chromatography (GPC) is also employed. Any water residues in the extract should be removed prior to clean-up, e.g. by adding Na</w:t>
      </w:r>
      <w:r w:rsidRPr="00D06837">
        <w:rPr>
          <w:szCs w:val="22"/>
          <w:vertAlign w:val="subscript"/>
          <w:lang w:eastAsia="en-US"/>
        </w:rPr>
        <w:t>2</w:t>
      </w:r>
      <w:r w:rsidRPr="00D06837">
        <w:rPr>
          <w:szCs w:val="22"/>
          <w:lang w:eastAsia="en-US"/>
        </w:rPr>
        <w:t>SO</w:t>
      </w:r>
      <w:r w:rsidRPr="00D06837">
        <w:rPr>
          <w:szCs w:val="22"/>
          <w:vertAlign w:val="subscript"/>
          <w:lang w:eastAsia="en-US"/>
        </w:rPr>
        <w:t>4</w:t>
      </w:r>
      <w:r w:rsidRPr="00D06837">
        <w:rPr>
          <w:szCs w:val="22"/>
          <w:lang w:eastAsia="en-US"/>
        </w:rPr>
        <w:t>.</w:t>
      </w:r>
    </w:p>
    <w:p w14:paraId="1DC17B84" w14:textId="77777777" w:rsidR="00FC360C" w:rsidRPr="00D06837" w:rsidRDefault="00FC360C" w:rsidP="00D06837">
      <w:pPr>
        <w:rPr>
          <w:szCs w:val="22"/>
          <w:lang w:eastAsia="en-US"/>
        </w:rPr>
      </w:pPr>
      <w:r w:rsidRPr="00D06837">
        <w:rPr>
          <w:szCs w:val="22"/>
          <w:lang w:eastAsia="en-US"/>
        </w:rPr>
        <w:t>As CBs are apolar, clean-up using normal-phase chromatography is the most appropriate technique for their separation from other compounds. Using an apolar solvent (</w:t>
      </w:r>
      <w:r w:rsidRPr="00D06837">
        <w:rPr>
          <w:i/>
          <w:szCs w:val="22"/>
          <w:lang w:eastAsia="en-US"/>
        </w:rPr>
        <w:t>e.g.</w:t>
      </w:r>
      <w:r w:rsidRPr="00D06837">
        <w:rPr>
          <w:szCs w:val="22"/>
          <w:lang w:eastAsia="en-US"/>
        </w:rPr>
        <w:t xml:space="preserve"> hexane or </w:t>
      </w:r>
      <w:r w:rsidRPr="00D06837">
        <w:rPr>
          <w:i/>
          <w:szCs w:val="22"/>
          <w:lang w:eastAsia="en-US"/>
        </w:rPr>
        <w:t>iso</w:t>
      </w:r>
      <w:r w:rsidRPr="00D06837">
        <w:rPr>
          <w:szCs w:val="22"/>
          <w:lang w:eastAsia="en-US"/>
        </w:rPr>
        <w:t>-octane) as an eluent, CBs normally elute very rapidly. All polar solvents used in the extraction should be removed before further clean-up. The last concentration step is usually performed by evaporation with a gentle stream of nitrogen. Evaporation to dryness should always be avoided but, for the analysis of planar CBs, very small final sample extract volumes might be necessary to achieve detectable concentrations.</w:t>
      </w:r>
    </w:p>
    <w:p w14:paraId="22AC4A47" w14:textId="77777777" w:rsidR="00FC360C" w:rsidRPr="00D06837" w:rsidRDefault="00FC360C" w:rsidP="00D06837">
      <w:pPr>
        <w:rPr>
          <w:szCs w:val="22"/>
          <w:lang w:eastAsia="en-US"/>
        </w:rPr>
      </w:pPr>
      <w:r w:rsidRPr="00D06837">
        <w:rPr>
          <w:szCs w:val="22"/>
          <w:lang w:eastAsia="en-US"/>
        </w:rPr>
        <w:t>Deactivated Al</w:t>
      </w:r>
      <w:r w:rsidRPr="00D06837">
        <w:rPr>
          <w:szCs w:val="22"/>
          <w:vertAlign w:val="subscript"/>
          <w:lang w:eastAsia="en-US"/>
        </w:rPr>
        <w:t>2</w:t>
      </w:r>
      <w:r w:rsidRPr="00D06837">
        <w:rPr>
          <w:szCs w:val="22"/>
          <w:lang w:eastAsia="en-US"/>
        </w:rPr>
        <w:t>O</w:t>
      </w:r>
      <w:r w:rsidRPr="00D06837">
        <w:rPr>
          <w:szCs w:val="22"/>
          <w:vertAlign w:val="subscript"/>
          <w:lang w:eastAsia="en-US"/>
        </w:rPr>
        <w:t>3</w:t>
      </w:r>
      <w:r w:rsidRPr="00D06837">
        <w:rPr>
          <w:szCs w:val="22"/>
          <w:lang w:eastAsia="en-US"/>
        </w:rPr>
        <w:t xml:space="preserve"> (5-10% water) is often used as a primary clean-up technique. Al</w:t>
      </w:r>
      <w:r w:rsidRPr="00D06837">
        <w:rPr>
          <w:szCs w:val="22"/>
          <w:vertAlign w:val="subscript"/>
          <w:lang w:eastAsia="en-US"/>
        </w:rPr>
        <w:t>2</w:t>
      </w:r>
      <w:r w:rsidRPr="00D06837">
        <w:rPr>
          <w:szCs w:val="22"/>
          <w:lang w:eastAsia="en-US"/>
        </w:rPr>
        <w:t>O</w:t>
      </w:r>
      <w:r w:rsidRPr="00D06837">
        <w:rPr>
          <w:szCs w:val="22"/>
          <w:vertAlign w:val="subscript"/>
          <w:lang w:eastAsia="en-US"/>
        </w:rPr>
        <w:t>3</w:t>
      </w:r>
      <w:r w:rsidRPr="00D06837">
        <w:rPr>
          <w:szCs w:val="22"/>
          <w:lang w:eastAsia="en-US"/>
        </w:rPr>
        <w:t xml:space="preserve"> can yield a sufficiently clean extract for a GC-ECD analysis of the sample. Al</w:t>
      </w:r>
      <w:r w:rsidRPr="00D06837">
        <w:rPr>
          <w:szCs w:val="22"/>
          <w:vertAlign w:val="subscript"/>
          <w:lang w:eastAsia="en-US"/>
        </w:rPr>
        <w:t>2</w:t>
      </w:r>
      <w:r w:rsidRPr="00D06837">
        <w:rPr>
          <w:szCs w:val="22"/>
          <w:lang w:eastAsia="en-US"/>
        </w:rPr>
        <w:t>O</w:t>
      </w:r>
      <w:r w:rsidRPr="00D06837">
        <w:rPr>
          <w:szCs w:val="22"/>
          <w:vertAlign w:val="subscript"/>
          <w:lang w:eastAsia="en-US"/>
        </w:rPr>
        <w:t>3</w:t>
      </w:r>
      <w:r w:rsidRPr="00D06837">
        <w:rPr>
          <w:szCs w:val="22"/>
          <w:lang w:eastAsia="en-US"/>
        </w:rPr>
        <w:t xml:space="preserve"> effectively removes lipid compounds from the extracts (although samples </w:t>
      </w:r>
      <w:proofErr w:type="gramStart"/>
      <w:r w:rsidRPr="00D06837">
        <w:rPr>
          <w:szCs w:val="22"/>
          <w:lang w:eastAsia="en-US"/>
        </w:rPr>
        <w:t>with a very high lipid content and low CB concentrations</w:t>
      </w:r>
      <w:proofErr w:type="gramEnd"/>
      <w:r w:rsidRPr="00D06837">
        <w:rPr>
          <w:szCs w:val="22"/>
          <w:lang w:eastAsia="en-US"/>
        </w:rPr>
        <w:t xml:space="preserve"> may require additional clean-up).</w:t>
      </w:r>
    </w:p>
    <w:p w14:paraId="46AA38AB" w14:textId="77777777" w:rsidR="00FC360C" w:rsidRPr="00D06837" w:rsidRDefault="00FC360C" w:rsidP="00D06837">
      <w:pPr>
        <w:rPr>
          <w:szCs w:val="22"/>
          <w:lang w:eastAsia="en-US"/>
        </w:rPr>
      </w:pPr>
      <w:r w:rsidRPr="00D06837">
        <w:rPr>
          <w:szCs w:val="22"/>
          <w:lang w:eastAsia="en-US"/>
        </w:rPr>
        <w:t>Deactivated silica (1-5% water) does not retain CBs (including non-</w:t>
      </w:r>
      <w:r w:rsidRPr="00D06837">
        <w:rPr>
          <w:i/>
          <w:szCs w:val="22"/>
          <w:lang w:eastAsia="en-US"/>
        </w:rPr>
        <w:t>ortho</w:t>
      </w:r>
      <w:r w:rsidRPr="00D06837">
        <w:rPr>
          <w:szCs w:val="22"/>
          <w:lang w:eastAsia="en-US"/>
        </w:rPr>
        <w:t xml:space="preserve"> CBs) and only retains polycyclic aromatic hydrocarbons (PAHs) slightly when eluted with hexane or </w:t>
      </w:r>
      <w:r w:rsidRPr="00D06837">
        <w:rPr>
          <w:i/>
          <w:szCs w:val="22"/>
          <w:lang w:eastAsia="en-US"/>
        </w:rPr>
        <w:t>iso</w:t>
      </w:r>
      <w:r w:rsidRPr="00D06837">
        <w:rPr>
          <w:szCs w:val="22"/>
          <w:lang w:eastAsia="en-US"/>
        </w:rPr>
        <w:t>-octane. When organochlorine pesticides are also to be determined in the same extract, deactivation of the silica with a few percent of water is necessary.</w:t>
      </w:r>
    </w:p>
    <w:p w14:paraId="0B4CDEC7" w14:textId="77777777" w:rsidR="00FC360C" w:rsidRPr="00D06837" w:rsidRDefault="00FC360C" w:rsidP="00D06837">
      <w:pPr>
        <w:rPr>
          <w:szCs w:val="22"/>
          <w:lang w:eastAsia="en-US"/>
        </w:rPr>
      </w:pPr>
      <w:r w:rsidRPr="00D06837">
        <w:rPr>
          <w:szCs w:val="22"/>
          <w:lang w:eastAsia="en-US"/>
        </w:rPr>
        <w:t>For high activity silica (heated overnight at 180°C) the retention of CBs is negligible, while PAHs are more strongly retained. The CBs and a few other organochlorine compounds can be eluted with apolar solvents. More polar solvents (</w:t>
      </w:r>
      <w:r w:rsidRPr="00D06837">
        <w:rPr>
          <w:i/>
          <w:szCs w:val="22"/>
          <w:lang w:eastAsia="en-US"/>
        </w:rPr>
        <w:t>e.g.</w:t>
      </w:r>
      <w:r w:rsidRPr="00D06837">
        <w:rPr>
          <w:szCs w:val="22"/>
          <w:lang w:eastAsia="en-US"/>
        </w:rPr>
        <w:t xml:space="preserve"> hexane/acetone) should be avoided as some interfering organochlorine pesticides would be eluted as well. </w:t>
      </w:r>
    </w:p>
    <w:p w14:paraId="1F0B25ED" w14:textId="77777777" w:rsidR="00FC360C" w:rsidRPr="00D06837" w:rsidRDefault="00FC360C" w:rsidP="00D06837">
      <w:pPr>
        <w:rPr>
          <w:szCs w:val="22"/>
          <w:lang w:eastAsia="en-US"/>
        </w:rPr>
      </w:pPr>
      <w:r w:rsidRPr="00D06837">
        <w:rPr>
          <w:szCs w:val="22"/>
          <w:lang w:eastAsia="en-US"/>
        </w:rPr>
        <w:t>For the separation of CBs from lipids or oil components, reversed</w:t>
      </w:r>
      <w:r w:rsidRPr="00D06837">
        <w:rPr>
          <w:szCs w:val="22"/>
          <w:lang w:eastAsia="en-US"/>
        </w:rPr>
        <w:noBreakHyphen/>
        <w:t xml:space="preserve">phase HPLC can be used. In reversed-phase chromatography, CBs elute during a solvent gradient of 80 to 90% methanol together with numerous other compounds of the same polarity. Most of the above mentioned extraction methods and clean-up procedures yield an extract containing an apolar solvent. These cannot be injected directly for reversed-phase chromatography, and so compounds must be transferred between solvents several times </w:t>
      </w:r>
      <w:r w:rsidRPr="00D06837">
        <w:rPr>
          <w:i/>
          <w:szCs w:val="22"/>
          <w:lang w:eastAsia="en-US"/>
        </w:rPr>
        <w:t>e.g.</w:t>
      </w:r>
      <w:r w:rsidRPr="00D06837">
        <w:rPr>
          <w:szCs w:val="22"/>
          <w:lang w:eastAsia="en-US"/>
        </w:rPr>
        <w:t xml:space="preserve"> before injection and after elution. When using polar solvents for extraction, reversed-phase columns could be used directly for clean-up. When eluting an acetonitrile extract from a C</w:t>
      </w:r>
      <w:r w:rsidRPr="00D06837">
        <w:rPr>
          <w:szCs w:val="22"/>
          <w:vertAlign w:val="subscript"/>
          <w:lang w:eastAsia="en-US"/>
        </w:rPr>
        <w:t>18</w:t>
      </w:r>
      <w:r w:rsidRPr="00D06837">
        <w:rPr>
          <w:szCs w:val="22"/>
          <w:lang w:eastAsia="en-US"/>
        </w:rPr>
        <w:t xml:space="preserve"> solid phase extraction (SPE) column with acetonitrile, high molecular hydrocarbons are strongly retained while CBs elute in the first few column volumes.</w:t>
      </w:r>
    </w:p>
    <w:p w14:paraId="09BAC054" w14:textId="77777777" w:rsidR="00FC360C" w:rsidRPr="00D06837" w:rsidRDefault="00FC360C" w:rsidP="00D06837">
      <w:pPr>
        <w:rPr>
          <w:szCs w:val="22"/>
          <w:lang w:eastAsia="en-US"/>
        </w:rPr>
      </w:pPr>
      <w:r w:rsidRPr="00D06837">
        <w:rPr>
          <w:szCs w:val="22"/>
          <w:lang w:eastAsia="en-US"/>
        </w:rPr>
        <w:t>The above mentioned normal-phase chromatographic procedures on silica and Al</w:t>
      </w:r>
      <w:r w:rsidRPr="00D06837">
        <w:rPr>
          <w:szCs w:val="22"/>
          <w:vertAlign w:val="subscript"/>
          <w:lang w:eastAsia="en-US"/>
        </w:rPr>
        <w:t>2</w:t>
      </w:r>
      <w:r w:rsidRPr="00D06837">
        <w:rPr>
          <w:szCs w:val="22"/>
          <w:lang w:eastAsia="en-US"/>
        </w:rPr>
        <w:t>O</w:t>
      </w:r>
      <w:r w:rsidRPr="00D06837">
        <w:rPr>
          <w:szCs w:val="22"/>
          <w:vertAlign w:val="subscript"/>
          <w:lang w:eastAsia="en-US"/>
        </w:rPr>
        <w:t>3</w:t>
      </w:r>
      <w:r w:rsidRPr="00D06837">
        <w:rPr>
          <w:szCs w:val="22"/>
          <w:lang w:eastAsia="en-US"/>
        </w:rPr>
        <w:t xml:space="preserve"> can be transferred to HPLC having the advantages of higher resolution and better reproducibility.</w:t>
      </w:r>
    </w:p>
    <w:p w14:paraId="5C711814" w14:textId="77777777" w:rsidR="00FC360C" w:rsidRPr="00D06837" w:rsidRDefault="00FC360C" w:rsidP="00D06837">
      <w:pPr>
        <w:rPr>
          <w:szCs w:val="22"/>
          <w:lang w:eastAsia="en-US"/>
        </w:rPr>
      </w:pPr>
      <w:r w:rsidRPr="00D06837">
        <w:rPr>
          <w:szCs w:val="22"/>
          <w:lang w:eastAsia="en-US"/>
        </w:rPr>
        <w:t xml:space="preserve">When using GPC, the elution of CBs should be carefully checked. Two serial columns are often used for improved lipid separation. Solvent mixtures such as dichloromethane/hexane or cyclohexane/ethyl acetate can be used as eluents for GPC. However, a second clean-up step is often required to separate the CBs from other organohalogenated compounds and/or to remove residual lipids. </w:t>
      </w:r>
    </w:p>
    <w:p w14:paraId="79B58EA1" w14:textId="77777777" w:rsidR="00FC360C" w:rsidRPr="00D06837" w:rsidRDefault="00FC360C" w:rsidP="00D06837">
      <w:pPr>
        <w:rPr>
          <w:szCs w:val="22"/>
          <w:lang w:eastAsia="en-US"/>
        </w:rPr>
      </w:pPr>
      <w:r w:rsidRPr="00D06837">
        <w:rPr>
          <w:szCs w:val="22"/>
          <w:lang w:eastAsia="en-US"/>
        </w:rPr>
        <w:t>One advantage of using PLE extraction is that it is possible to combine the clean</w:t>
      </w:r>
      <w:r w:rsidR="006F0A4B">
        <w:rPr>
          <w:szCs w:val="22"/>
          <w:lang w:eastAsia="en-US"/>
        </w:rPr>
        <w:t>-</w:t>
      </w:r>
      <w:r w:rsidRPr="00D06837">
        <w:rPr>
          <w:szCs w:val="22"/>
          <w:lang w:eastAsia="en-US"/>
        </w:rPr>
        <w:t xml:space="preserve">up with the extraction, especially where mass spectrometry will be used as the detection method. If Soxhlet extraction is used for biota, then there is a much greater quantity of residual lipid to be removed than in the case of PLE with fat retainers. An additional clean-up stage may therefore be necessary. Methods have been developed for online clean-up and fractionation of dioxins, furans and CBs with PLE for food, feed and environmental samples (Sporring </w:t>
      </w:r>
      <w:r w:rsidRPr="00D06837">
        <w:rPr>
          <w:i/>
          <w:szCs w:val="22"/>
          <w:lang w:eastAsia="en-US"/>
        </w:rPr>
        <w:t>et al</w:t>
      </w:r>
      <w:r w:rsidRPr="00D06837">
        <w:rPr>
          <w:szCs w:val="22"/>
          <w:lang w:eastAsia="en-US"/>
        </w:rPr>
        <w:t>., 2003), utilising a fat retainer for the on-line clean-up of fat. Silica impregnated with sulphuric acid, alumina and florisil have all been used as fat retainers.</w:t>
      </w:r>
      <w:r w:rsidR="00B33CCD">
        <w:rPr>
          <w:szCs w:val="22"/>
          <w:lang w:eastAsia="en-US"/>
        </w:rPr>
        <w:t xml:space="preserve"> </w:t>
      </w:r>
      <w:r w:rsidRPr="00D06837">
        <w:rPr>
          <w:szCs w:val="22"/>
          <w:lang w:eastAsia="en-US"/>
        </w:rPr>
        <w:t>A non-polar extraction solvent such as hexane should be used if fat retainers are used during PLE.</w:t>
      </w:r>
    </w:p>
    <w:p w14:paraId="452DAEC0" w14:textId="77777777" w:rsidR="00FC360C" w:rsidRPr="00D06837" w:rsidRDefault="00FC360C" w:rsidP="00D06837">
      <w:pPr>
        <w:rPr>
          <w:szCs w:val="22"/>
          <w:lang w:eastAsia="en-US"/>
        </w:rPr>
      </w:pPr>
      <w:r w:rsidRPr="00D06837">
        <w:rPr>
          <w:szCs w:val="22"/>
          <w:lang w:eastAsia="en-US"/>
        </w:rPr>
        <w:t>Non-</w:t>
      </w:r>
      <w:r w:rsidRPr="00D06837">
        <w:rPr>
          <w:i/>
          <w:szCs w:val="22"/>
          <w:lang w:eastAsia="en-US"/>
        </w:rPr>
        <w:t>ortho</w:t>
      </w:r>
      <w:r w:rsidRPr="00D06837">
        <w:rPr>
          <w:szCs w:val="22"/>
          <w:lang w:eastAsia="en-US"/>
        </w:rPr>
        <w:t xml:space="preserve"> CBs require a more specialised clean-up that is generally associated with the analysis of dioxins. Although initial clean-up may very well proceed along the lines described above, the larger sample intake results in the presence of even more co-extractive compounds and care has to be taken that the capacity of the adsorption columns is not exceeded and/or that lipids are adequately removed. Often, more rigorous procedures are applied to remove the excess material by e.g. shaking the sample with concentrated sulphuric acid. A more efficient alternative is to elute the sample over a silica column impregnated with sulphuric acid (40 % w/w).</w:t>
      </w:r>
    </w:p>
    <w:p w14:paraId="0495C3C3" w14:textId="77777777" w:rsidR="00FC360C" w:rsidRPr="00D06837" w:rsidRDefault="00FC360C" w:rsidP="00D06837">
      <w:pPr>
        <w:rPr>
          <w:szCs w:val="22"/>
          <w:lang w:eastAsia="en-US"/>
        </w:rPr>
      </w:pPr>
      <w:r w:rsidRPr="00D06837">
        <w:rPr>
          <w:szCs w:val="22"/>
          <w:lang w:eastAsia="en-US"/>
        </w:rPr>
        <w:t>Non-</w:t>
      </w:r>
      <w:r w:rsidRPr="00D06837">
        <w:rPr>
          <w:i/>
          <w:szCs w:val="22"/>
          <w:lang w:eastAsia="en-US"/>
        </w:rPr>
        <w:t>ortho</w:t>
      </w:r>
      <w:r w:rsidRPr="00D06837">
        <w:rPr>
          <w:szCs w:val="22"/>
          <w:lang w:eastAsia="en-US"/>
        </w:rPr>
        <w:t xml:space="preserve"> CBs are nearly always separated from the other CBs using advanced separation techniques. One very efficient method is to inject the extracts (after concentrating them) into a HPLC system coupled to a PYE (2-(1-pyrenyl) ethyldimethylsilylated silica) column. Column dimensions are typically 4.6 x 150 mm, but </w:t>
      </w:r>
      <w:r w:rsidRPr="00D06837">
        <w:rPr>
          <w:szCs w:val="22"/>
        </w:rPr>
        <w:t xml:space="preserve">combinations of several columns in-line are sometimes used. The </w:t>
      </w:r>
      <w:proofErr w:type="gramStart"/>
      <w:r w:rsidRPr="00D06837">
        <w:rPr>
          <w:szCs w:val="22"/>
        </w:rPr>
        <w:t>use of PYE columns not only allow</w:t>
      </w:r>
      <w:proofErr w:type="gramEnd"/>
      <w:r w:rsidRPr="00D06837">
        <w:rPr>
          <w:szCs w:val="22"/>
        </w:rPr>
        <w:t xml:space="preserve"> the separation of ortho, mono-ortho and non-ortho CBs from one another on the basis of structural polarity, but also from dibenzo-p-dioxins and dibenzofurans. The eluting solvent is an apolar solvent such as iso-hexane. Coupled</w:t>
      </w:r>
      <w:r w:rsidRPr="00D06837">
        <w:rPr>
          <w:szCs w:val="22"/>
          <w:lang w:eastAsia="en-US"/>
        </w:rPr>
        <w:t xml:space="preserve"> to a fraction collector, the use of a HPLC system allows the automatic clean-up of a considerable number of samples at a time. Alternatively, HPLC systems equipped with porous graphitised carbon can be used. Column sizes are in the order of 50 x 4.7 mm and care has to be taken that the column is not overloaded. Similarly to PYE columns, they will separate non-</w:t>
      </w:r>
      <w:r w:rsidRPr="00D06837">
        <w:rPr>
          <w:i/>
          <w:szCs w:val="22"/>
          <w:lang w:eastAsia="en-US"/>
        </w:rPr>
        <w:t>ortho</w:t>
      </w:r>
      <w:r w:rsidRPr="00D06837">
        <w:rPr>
          <w:szCs w:val="22"/>
          <w:lang w:eastAsia="en-US"/>
        </w:rPr>
        <w:t xml:space="preserve"> CBs from the other CBs and from dioxins. Fully automated systems, such as Powerprep™, that combine several steps are routinely used.</w:t>
      </w:r>
    </w:p>
    <w:p w14:paraId="0083B250" w14:textId="77777777" w:rsidR="00FC360C" w:rsidRPr="00D06837" w:rsidRDefault="00FC360C" w:rsidP="004A64B0">
      <w:pPr>
        <w:pStyle w:val="Heading2"/>
      </w:pPr>
      <w:bookmarkStart w:id="319" w:name="_Toc511217597"/>
      <w:r w:rsidRPr="00D06837">
        <w:t>2.7</w:t>
      </w:r>
      <w:r w:rsidRPr="00D06837">
        <w:tab/>
        <w:t>Pre-concentration</w:t>
      </w:r>
      <w:bookmarkEnd w:id="319"/>
    </w:p>
    <w:p w14:paraId="575C4974" w14:textId="77777777" w:rsidR="00FC360C" w:rsidRPr="00D06837" w:rsidRDefault="00FC360C" w:rsidP="00D06837">
      <w:pPr>
        <w:rPr>
          <w:szCs w:val="22"/>
          <w:lang w:eastAsia="en-US"/>
        </w:rPr>
      </w:pPr>
      <w:r w:rsidRPr="00D06837">
        <w:rPr>
          <w:szCs w:val="22"/>
          <w:lang w:eastAsia="en-US"/>
        </w:rPr>
        <w:t xml:space="preserve">Evaporation of solvents using a rotary-film evaporator was, until recently, the most common method. However, evaporation of solvents using this technique should be performed at low temperature (water bath temperature of ≤ 40°C) and under controlled pressure conditions, in order to prevent losses of the more volatile CBs. To reduce the sample to the final volume, solvents can be removed by blowing-down with a gentle stream of nitrogen. Only nitrogen of a controlled high quality should be used. </w:t>
      </w:r>
    </w:p>
    <w:p w14:paraId="0A7ACF4C" w14:textId="77777777" w:rsidR="00FC360C" w:rsidRPr="00D06837" w:rsidRDefault="00FC360C" w:rsidP="00D06837">
      <w:pPr>
        <w:rPr>
          <w:szCs w:val="22"/>
          <w:lang w:eastAsia="en-US"/>
        </w:rPr>
      </w:pPr>
      <w:r w:rsidRPr="00D06837">
        <w:rPr>
          <w:szCs w:val="22"/>
          <w:lang w:eastAsia="en-US"/>
        </w:rPr>
        <w:t xml:space="preserve">Turbovap sample concentrators can also be used to reduce solvent volume. This is a rapid technique, but needs to be carefully optimised and monitored to prevent both losses (both of volatiles and solvent aerosols) and cross-contamination. The use of rotary-film evaporators is more time consuming but more controllable. Here also, evaporation to dryness should be avoided at all costs. Syncore™ parallel evaporators (Buchi, Switzerland) can be used with careful optimisation of the evaporation parameters. The Buchi Syncore™ Analyst also uses glass tubes but the system is sealed, avoiding contamination from the laboratory air during evaporation. It does not use a nitrogen stream, thus reducing the loss of volatiles and if the flushback module is fitted the sides of the tubes are rinsed automatically thus reducing the loss of the heavier components. Again water-bath temperatures should be minimised to prevent losses. When reducing the sample to the required final volume, solvents can be removed by a stream of clean nitrogen gas. Suitable solvents for injection into the gas chromatograph (GC) include hexane, heptane, toluene and </w:t>
      </w:r>
      <w:r w:rsidRPr="00D06837">
        <w:rPr>
          <w:i/>
          <w:szCs w:val="22"/>
          <w:lang w:eastAsia="en-US"/>
        </w:rPr>
        <w:t>iso</w:t>
      </w:r>
      <w:r w:rsidRPr="00D06837">
        <w:rPr>
          <w:szCs w:val="22"/>
          <w:lang w:eastAsia="en-US"/>
        </w:rPr>
        <w:t>-octane.</w:t>
      </w:r>
    </w:p>
    <w:p w14:paraId="246F419F" w14:textId="77777777" w:rsidR="00FC360C" w:rsidRPr="00D06837" w:rsidRDefault="00FC360C" w:rsidP="004A64B0">
      <w:pPr>
        <w:pStyle w:val="Heading2"/>
      </w:pPr>
      <w:bookmarkStart w:id="320" w:name="_Toc511217598"/>
      <w:r w:rsidRPr="00D06837">
        <w:t>2.8</w:t>
      </w:r>
      <w:r w:rsidRPr="00D06837">
        <w:tab/>
        <w:t>Calibration and preparation of calibrant solutions</w:t>
      </w:r>
      <w:bookmarkEnd w:id="320"/>
    </w:p>
    <w:p w14:paraId="5B352E47" w14:textId="77777777" w:rsidR="00FC360C" w:rsidRPr="00D06837" w:rsidRDefault="00FC360C" w:rsidP="00D06837">
      <w:pPr>
        <w:rPr>
          <w:szCs w:val="22"/>
        </w:rPr>
      </w:pPr>
      <w:r w:rsidRPr="00D06837">
        <w:rPr>
          <w:szCs w:val="22"/>
          <w:lang w:eastAsia="en-US"/>
        </w:rPr>
        <w:t xml:space="preserve">Internal standards (recovery and quantification standards) should be added in a fixed volume or weight to all </w:t>
      </w:r>
      <w:r w:rsidRPr="00D06837">
        <w:rPr>
          <w:szCs w:val="22"/>
        </w:rPr>
        <w:t>standards and samples. The ideal internal is a CB which is not found in the samples. All CBs with a 2</w:t>
      </w:r>
      <w:proofErr w:type="gramStart"/>
      <w:r w:rsidRPr="00D06837">
        <w:rPr>
          <w:szCs w:val="22"/>
        </w:rPr>
        <w:t>,4,6</w:t>
      </w:r>
      <w:proofErr w:type="gramEnd"/>
      <w:r w:rsidRPr="00D06837">
        <w:rPr>
          <w:szCs w:val="22"/>
        </w:rPr>
        <w:noBreakHyphen/>
        <w:t>substitution (e.g. CB112, CB155, CB198) are, in principle, suitable for this purpose. Alternatively, 1</w:t>
      </w:r>
      <w:proofErr w:type="gramStart"/>
      <w:r w:rsidRPr="00D06837">
        <w:rPr>
          <w:szCs w:val="22"/>
        </w:rPr>
        <w:t>,2,3,4</w:t>
      </w:r>
      <w:proofErr w:type="gramEnd"/>
      <w:r w:rsidRPr="00D06837">
        <w:rPr>
          <w:szCs w:val="22"/>
        </w:rPr>
        <w:noBreakHyphen/>
        <w:t>tetrachloronaphthalene or homologues of dichloroalkylbenzylether can be used. For GC analysis with mass selective detection (GC-MS), 13C labelled CBs should be used at each degree of chlorination. This is especially critical for the determination of the non-ortho CBs. If possible, the labelled calibrant solutions should correspond to the unlabelled determinants. For the non-ortho CBs, a labelled standard is available for each congener and use of all of them is recommended. When preparing a calibration solution for a new determinant for the first time, two independent stock solutions of different concentrations should always be prepared simultaneously to allow cross checking. A new calibration solution should also be cross-checked to the old standard solution. Crystalline CBs of known purity can be used for preparing calibration solutions but, for health and safety reasons, the purchase of solutions is</w:t>
      </w:r>
      <w:r w:rsidRPr="00D06837">
        <w:rPr>
          <w:szCs w:val="22"/>
          <w:lang w:eastAsia="en-US"/>
        </w:rPr>
        <w:t xml:space="preserve"> </w:t>
      </w:r>
      <w:r w:rsidRPr="00D06837">
        <w:rPr>
          <w:szCs w:val="22"/>
        </w:rPr>
        <w:t>recommended for planar CBs. In recent years, a lot of certified commercial custom made standards have become available and laboratories have been switching to these. If the quality of the standard materials is not guaranteed by the producer or supplier, it should be checked by GC preferably with mass spectrometric detection. Solid standards should be weighed to a precision of 10-5 grams. Calibration solutions should preferably be stored in ampoules in a cool and dark place. Commercially available screw-cap vials with a capillary opening (CertanTM) combine of advantages of ampoules and vials, and, have proven to be reliable. When stored in containers the weight loss during storage should be recorded.</w:t>
      </w:r>
    </w:p>
    <w:p w14:paraId="223D3881" w14:textId="77777777" w:rsidR="00FC360C" w:rsidRPr="00D06837" w:rsidRDefault="00FC360C" w:rsidP="004A64B0">
      <w:pPr>
        <w:pStyle w:val="Heading2"/>
      </w:pPr>
      <w:bookmarkStart w:id="321" w:name="_Toc511217599"/>
      <w:r w:rsidRPr="00D06837">
        <w:t>2.9</w:t>
      </w:r>
      <w:r w:rsidRPr="00D06837">
        <w:tab/>
        <w:t>Instrumental determination</w:t>
      </w:r>
      <w:bookmarkEnd w:id="321"/>
    </w:p>
    <w:p w14:paraId="21AD771F" w14:textId="77777777" w:rsidR="00FC360C" w:rsidRPr="00D06837" w:rsidRDefault="00FC360C" w:rsidP="004A64B0">
      <w:pPr>
        <w:pStyle w:val="Heading3"/>
        <w:rPr>
          <w:lang w:eastAsia="en-US"/>
        </w:rPr>
      </w:pPr>
      <w:bookmarkStart w:id="322" w:name="_Toc511217600"/>
      <w:r w:rsidRPr="00D06837">
        <w:rPr>
          <w:lang w:eastAsia="en-US"/>
        </w:rPr>
        <w:t>2.9.1</w:t>
      </w:r>
      <w:r w:rsidRPr="00D06837">
        <w:rPr>
          <w:lang w:eastAsia="en-US"/>
        </w:rPr>
        <w:tab/>
        <w:t>Injection techniques</w:t>
      </w:r>
      <w:bookmarkEnd w:id="322"/>
    </w:p>
    <w:p w14:paraId="16BF93F7" w14:textId="77777777" w:rsidR="00FC360C" w:rsidRPr="00D06837" w:rsidRDefault="00FC360C" w:rsidP="00D06837">
      <w:pPr>
        <w:rPr>
          <w:szCs w:val="22"/>
          <w:lang w:eastAsia="en-US"/>
        </w:rPr>
      </w:pPr>
      <w:r w:rsidRPr="00D06837">
        <w:rPr>
          <w:szCs w:val="22"/>
          <w:lang w:eastAsia="en-US"/>
        </w:rPr>
        <w:t>The two modes commonly used are splitless and on-column injection as, in split injection, strong discrimination effects may occur. The liner should possess sufficient capacity with respect to the injected volume after evaporation, but should not be oversized so as to avoid poor transfer to the column and losses by adsorption. Liners with a light packing of (silylated) glass wool may improve the performance for CBs, but may cause degradation of some organochlorine compounds like DDT, which are often included in national monitoring programmes.</w:t>
      </w:r>
    </w:p>
    <w:p w14:paraId="4E9C2AF2" w14:textId="77777777" w:rsidR="004A64B0" w:rsidRDefault="00FC360C" w:rsidP="004A64B0">
      <w:pPr>
        <w:rPr>
          <w:szCs w:val="22"/>
          <w:lang w:eastAsia="en-US"/>
        </w:rPr>
      </w:pPr>
      <w:r w:rsidRPr="00D06837">
        <w:rPr>
          <w:szCs w:val="22"/>
          <w:lang w:eastAsia="en-US"/>
        </w:rPr>
        <w:t>Recently, other techniques such as temperature</w:t>
      </w:r>
      <w:r w:rsidRPr="00D06837">
        <w:rPr>
          <w:szCs w:val="22"/>
          <w:lang w:eastAsia="en-US"/>
        </w:rPr>
        <w:noBreakHyphen/>
        <w:t>programmed or pressure</w:t>
      </w:r>
      <w:r w:rsidRPr="00D06837">
        <w:rPr>
          <w:szCs w:val="22"/>
          <w:lang w:eastAsia="en-US"/>
        </w:rPr>
        <w:noBreakHyphen/>
        <w:t>programmed injection have become more prominent. They offer additional advantages such as an increased injection volume without the negative effects previously associated with that technique, but should be thoroughly optimised before use. Increasing the injection volume will allow either the elimination of an extra evaporation step or the lowering of the analyt</w:t>
      </w:r>
      <w:r w:rsidR="004A64B0">
        <w:rPr>
          <w:szCs w:val="22"/>
          <w:lang w:eastAsia="en-US"/>
        </w:rPr>
        <w:t>ical detection limits, or both.</w:t>
      </w:r>
    </w:p>
    <w:p w14:paraId="582852F0" w14:textId="77777777" w:rsidR="00FC360C" w:rsidRPr="004A64B0" w:rsidRDefault="00FC360C" w:rsidP="004A64B0">
      <w:pPr>
        <w:pStyle w:val="Heading3"/>
        <w:rPr>
          <w:rFonts w:cs="Times New Roman"/>
          <w:lang w:eastAsia="en-US"/>
        </w:rPr>
      </w:pPr>
      <w:bookmarkStart w:id="323" w:name="_Toc511217601"/>
      <w:r w:rsidRPr="00D06837">
        <w:rPr>
          <w:lang w:eastAsia="en-US"/>
        </w:rPr>
        <w:t>2.9.2</w:t>
      </w:r>
      <w:r w:rsidRPr="00D06837">
        <w:rPr>
          <w:lang w:eastAsia="en-US"/>
        </w:rPr>
        <w:tab/>
        <w:t>Carrier gas</w:t>
      </w:r>
      <w:bookmarkEnd w:id="323"/>
    </w:p>
    <w:p w14:paraId="1E02B6E7" w14:textId="77777777" w:rsidR="00FC360C" w:rsidRPr="00D06837" w:rsidRDefault="00FC360C" w:rsidP="00D06837">
      <w:pPr>
        <w:rPr>
          <w:szCs w:val="22"/>
          <w:lang w:eastAsia="en-US"/>
        </w:rPr>
      </w:pPr>
      <w:r w:rsidRPr="00D06837">
        <w:rPr>
          <w:szCs w:val="22"/>
          <w:lang w:eastAsia="en-US"/>
        </w:rPr>
        <w:t>Hydrogen is the preferred carrier gas and is indispensable for columns with very small inner diameters. Helium is also acceptable and is the standard carrier gas for use with GC-MS techniques.</w:t>
      </w:r>
    </w:p>
    <w:p w14:paraId="692F7D1A" w14:textId="77777777" w:rsidR="00FC360C" w:rsidRPr="00D06837" w:rsidRDefault="00FC360C" w:rsidP="004A64B0">
      <w:pPr>
        <w:pStyle w:val="Heading3"/>
        <w:rPr>
          <w:lang w:eastAsia="en-US"/>
        </w:rPr>
      </w:pPr>
      <w:bookmarkStart w:id="324" w:name="_Toc511217602"/>
      <w:r w:rsidRPr="00D06837">
        <w:rPr>
          <w:lang w:eastAsia="en-US"/>
        </w:rPr>
        <w:t>2.9.3</w:t>
      </w:r>
      <w:r w:rsidRPr="00D06837">
        <w:rPr>
          <w:lang w:eastAsia="en-US"/>
        </w:rPr>
        <w:tab/>
        <w:t>Columns</w:t>
      </w:r>
      <w:bookmarkEnd w:id="324"/>
    </w:p>
    <w:p w14:paraId="5DDF4FB2" w14:textId="77777777" w:rsidR="00FC360C" w:rsidRPr="00D06837" w:rsidRDefault="00FC360C" w:rsidP="00D06837">
      <w:pPr>
        <w:rPr>
          <w:szCs w:val="22"/>
          <w:lang w:eastAsia="en-US"/>
        </w:rPr>
      </w:pPr>
      <w:r w:rsidRPr="00D06837">
        <w:rPr>
          <w:szCs w:val="22"/>
          <w:lang w:eastAsia="en-US"/>
        </w:rPr>
        <w:t>Only capillary columns should be used. The following parameters are recommended:</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15"/>
        <w:gridCol w:w="6540"/>
      </w:tblGrid>
      <w:tr w:rsidR="00FC360C" w:rsidRPr="00D06837" w14:paraId="69F9D7AE" w14:textId="77777777" w:rsidTr="002F237A">
        <w:trPr>
          <w:jc w:val="center"/>
        </w:trPr>
        <w:tc>
          <w:tcPr>
            <w:tcW w:w="1682" w:type="pct"/>
          </w:tcPr>
          <w:p w14:paraId="5B01462A" w14:textId="77777777" w:rsidR="00FC360C" w:rsidRPr="00D06837" w:rsidRDefault="00FC360C" w:rsidP="00D06837">
            <w:pPr>
              <w:rPr>
                <w:rFonts w:cs="Arial"/>
                <w:szCs w:val="22"/>
                <w:lang w:eastAsia="en-US"/>
              </w:rPr>
            </w:pPr>
            <w:r w:rsidRPr="00D06837">
              <w:rPr>
                <w:rFonts w:cs="Arial"/>
                <w:szCs w:val="22"/>
                <w:lang w:eastAsia="en-US"/>
              </w:rPr>
              <w:t>Minimum Length</w:t>
            </w:r>
          </w:p>
        </w:tc>
        <w:tc>
          <w:tcPr>
            <w:tcW w:w="3318" w:type="pct"/>
          </w:tcPr>
          <w:p w14:paraId="5AEDA5AD" w14:textId="77777777" w:rsidR="00FC360C" w:rsidRPr="00D06837" w:rsidRDefault="00FC360C" w:rsidP="00D06837">
            <w:pPr>
              <w:rPr>
                <w:rFonts w:cs="Arial"/>
                <w:szCs w:val="22"/>
                <w:lang w:eastAsia="en-US"/>
              </w:rPr>
            </w:pPr>
            <w:r w:rsidRPr="00D06837">
              <w:rPr>
                <w:rFonts w:cs="Arial"/>
                <w:szCs w:val="22"/>
                <w:lang w:eastAsia="en-US"/>
              </w:rPr>
              <w:t>50 m (for micro</w:t>
            </w:r>
            <w:r w:rsidR="008E614E">
              <w:rPr>
                <w:rFonts w:cs="Arial"/>
                <w:szCs w:val="22"/>
                <w:lang w:eastAsia="en-US"/>
              </w:rPr>
              <w:t>columns of internal diameter &lt;0.</w:t>
            </w:r>
            <w:r w:rsidRPr="00D06837">
              <w:rPr>
                <w:rFonts w:cs="Arial"/>
                <w:szCs w:val="22"/>
                <w:lang w:eastAsia="en-US"/>
              </w:rPr>
              <w:t>1 mm, shorter columns can be suitable).</w:t>
            </w:r>
          </w:p>
        </w:tc>
      </w:tr>
      <w:tr w:rsidR="00FC360C" w:rsidRPr="00D06837" w14:paraId="25E9189F" w14:textId="77777777" w:rsidTr="002F237A">
        <w:trPr>
          <w:jc w:val="center"/>
        </w:trPr>
        <w:tc>
          <w:tcPr>
            <w:tcW w:w="1682" w:type="pct"/>
          </w:tcPr>
          <w:p w14:paraId="30D41563" w14:textId="77777777" w:rsidR="00FC360C" w:rsidRPr="00D06837" w:rsidRDefault="00FC360C" w:rsidP="00D06837">
            <w:pPr>
              <w:rPr>
                <w:rFonts w:cs="Arial"/>
                <w:szCs w:val="22"/>
                <w:lang w:eastAsia="en-US"/>
              </w:rPr>
            </w:pPr>
            <w:r w:rsidRPr="00D06837">
              <w:rPr>
                <w:rFonts w:cs="Arial"/>
                <w:szCs w:val="22"/>
                <w:lang w:eastAsia="en-US"/>
              </w:rPr>
              <w:t>Maximum internal diameter</w:t>
            </w:r>
          </w:p>
        </w:tc>
        <w:tc>
          <w:tcPr>
            <w:tcW w:w="3318" w:type="pct"/>
          </w:tcPr>
          <w:p w14:paraId="53455560" w14:textId="77777777" w:rsidR="00FC360C" w:rsidRPr="00D06837" w:rsidRDefault="00FC360C" w:rsidP="00D06837">
            <w:pPr>
              <w:rPr>
                <w:rFonts w:cs="Arial"/>
                <w:szCs w:val="22"/>
                <w:lang w:eastAsia="en-US"/>
              </w:rPr>
            </w:pPr>
            <w:r w:rsidRPr="00D06837">
              <w:rPr>
                <w:rFonts w:cs="Arial"/>
                <w:szCs w:val="22"/>
                <w:lang w:eastAsia="en-US"/>
              </w:rPr>
              <w:t>0.25 mm. Note that for diameters &lt;0.15 mm the elevated pressure of the carrier gas needs special instrumental equipment as most of the instruments are limited to 400 kPa.</w:t>
            </w:r>
          </w:p>
        </w:tc>
      </w:tr>
      <w:tr w:rsidR="00FC360C" w:rsidRPr="00D06837" w14:paraId="64817A76" w14:textId="77777777" w:rsidTr="002F237A">
        <w:trPr>
          <w:jc w:val="center"/>
        </w:trPr>
        <w:tc>
          <w:tcPr>
            <w:tcW w:w="1682" w:type="pct"/>
          </w:tcPr>
          <w:p w14:paraId="7A624FF1" w14:textId="77777777" w:rsidR="00FC360C" w:rsidRPr="00D06837" w:rsidRDefault="00FC360C" w:rsidP="00D06837">
            <w:pPr>
              <w:rPr>
                <w:rFonts w:cs="Arial"/>
                <w:szCs w:val="22"/>
                <w:lang w:eastAsia="en-US"/>
              </w:rPr>
            </w:pPr>
            <w:r w:rsidRPr="00D06837">
              <w:rPr>
                <w:rFonts w:cs="Arial"/>
                <w:szCs w:val="22"/>
                <w:lang w:eastAsia="en-US"/>
              </w:rPr>
              <w:t>Film thickness</w:t>
            </w:r>
          </w:p>
        </w:tc>
        <w:tc>
          <w:tcPr>
            <w:tcW w:w="3318" w:type="pct"/>
          </w:tcPr>
          <w:p w14:paraId="28A1DBFE" w14:textId="77777777" w:rsidR="00FC360C" w:rsidRPr="00D06837" w:rsidRDefault="00FC360C" w:rsidP="00D06837">
            <w:pPr>
              <w:rPr>
                <w:rFonts w:cs="Arial"/>
                <w:szCs w:val="22"/>
                <w:lang w:eastAsia="en-US"/>
              </w:rPr>
            </w:pPr>
            <w:r w:rsidRPr="00D06837">
              <w:rPr>
                <w:rFonts w:cs="Arial"/>
                <w:szCs w:val="22"/>
                <w:lang w:eastAsia="en-US"/>
              </w:rPr>
              <w:t>0.2 - 0.4 µm.</w:t>
            </w:r>
          </w:p>
        </w:tc>
      </w:tr>
    </w:tbl>
    <w:p w14:paraId="5643DCE1" w14:textId="77777777" w:rsidR="00FC360C" w:rsidRPr="00D06837" w:rsidRDefault="00FC360C" w:rsidP="00D06837">
      <w:pPr>
        <w:rPr>
          <w:szCs w:val="22"/>
          <w:lang w:eastAsia="en-US"/>
        </w:rPr>
      </w:pPr>
      <w:r w:rsidRPr="00D06837">
        <w:rPr>
          <w:szCs w:val="22"/>
          <w:lang w:eastAsia="en-US"/>
        </w:rPr>
        <w:t>Columns which do not fulfil these requirements generally do not offer sufficient resolution to separate CB28, CB105 and CB156 from closely eluting CBs. A wide range of stationary phases can be used for CB separation. The chemical composition is different for columns from different producers and this influences the maximum temperature at which the column can be operated. Further advice may be found in the producers’ catalogues, where compositions, applications and tables from which to compare products from different manufacturers are included.</w:t>
      </w:r>
    </w:p>
    <w:p w14:paraId="047D7FAE" w14:textId="77777777" w:rsidR="00FC360C" w:rsidRPr="00D06837" w:rsidRDefault="00FC360C" w:rsidP="00D06837">
      <w:pPr>
        <w:rPr>
          <w:szCs w:val="22"/>
          <w:lang w:eastAsia="en-US"/>
        </w:rPr>
      </w:pPr>
      <w:r w:rsidRPr="00D06837">
        <w:rPr>
          <w:szCs w:val="22"/>
          <w:lang w:eastAsia="en-US"/>
        </w:rPr>
        <w:t>In recent years, new chromatographic phases have become available that result in an improved separation of critical CB pairs. A good example is the HT-8 phase (1</w:t>
      </w:r>
      <w:proofErr w:type="gramStart"/>
      <w:r w:rsidRPr="00D06837">
        <w:rPr>
          <w:szCs w:val="22"/>
          <w:lang w:eastAsia="en-US"/>
        </w:rPr>
        <w:t>,7</w:t>
      </w:r>
      <w:proofErr w:type="gramEnd"/>
      <w:r w:rsidRPr="00D06837">
        <w:rPr>
          <w:szCs w:val="22"/>
          <w:lang w:eastAsia="en-US"/>
        </w:rPr>
        <w:t xml:space="preserve">-dicarba-closo-dodecarborane phenylmethyl siloxane) (Larsen </w:t>
      </w:r>
      <w:r w:rsidRPr="00D06837">
        <w:rPr>
          <w:i/>
          <w:szCs w:val="22"/>
          <w:lang w:eastAsia="en-US"/>
        </w:rPr>
        <w:t>et al</w:t>
      </w:r>
      <w:r w:rsidRPr="00D06837">
        <w:rPr>
          <w:szCs w:val="22"/>
          <w:lang w:eastAsia="en-US"/>
        </w:rPr>
        <w:t>., 1995) that shows a remarkable selectivity for CBs (Table 1). This column is currently recommended for CB analysis.</w:t>
      </w:r>
    </w:p>
    <w:p w14:paraId="5D97E4D1" w14:textId="77777777" w:rsidR="00FC360C" w:rsidRPr="00D06837" w:rsidRDefault="00FC360C" w:rsidP="004A64B0">
      <w:pPr>
        <w:pStyle w:val="Heading3"/>
        <w:rPr>
          <w:lang w:eastAsia="en-US"/>
        </w:rPr>
      </w:pPr>
      <w:bookmarkStart w:id="325" w:name="_Toc511217603"/>
      <w:r w:rsidRPr="00D06837">
        <w:rPr>
          <w:lang w:eastAsia="en-US"/>
        </w:rPr>
        <w:t>2.9.4</w:t>
      </w:r>
      <w:r w:rsidRPr="00D06837">
        <w:rPr>
          <w:lang w:eastAsia="en-US"/>
        </w:rPr>
        <w:tab/>
        <w:t>Detection</w:t>
      </w:r>
      <w:bookmarkEnd w:id="325"/>
    </w:p>
    <w:p w14:paraId="2731FF04" w14:textId="77777777" w:rsidR="00FC360C" w:rsidRPr="00D06837" w:rsidRDefault="00FC360C" w:rsidP="00D06837">
      <w:pPr>
        <w:rPr>
          <w:szCs w:val="22"/>
          <w:lang w:eastAsia="en-US"/>
        </w:rPr>
      </w:pPr>
      <w:r w:rsidRPr="00D06837">
        <w:rPr>
          <w:szCs w:val="22"/>
          <w:lang w:eastAsia="en-US"/>
        </w:rPr>
        <w:t xml:space="preserve">The electron capture detector (ECD) is still frequently used for CB analysis. Injection of chlorinated solvents or oxygen-containing solvents should be avoided when ECD is used due to the generation of large interfering signals. When using mass selective detectors (MSD), the electron-capture negative-ion chemical ionisation mode (ECNICI) is extremely sensitive for pentachlorinated to decachlorinated CBs, and is approximately ten fold more sensitive than ECD. However, the sensitivity of MS systems has improved considerably, allowing analysis also to be undertaken using electron impact ionisation (EI). Previously, the use of ECNICI was often necessary in order to detect the low concentrations </w:t>
      </w:r>
      <w:proofErr w:type="gramStart"/>
      <w:r w:rsidRPr="00D06837">
        <w:rPr>
          <w:szCs w:val="22"/>
          <w:lang w:eastAsia="en-US"/>
        </w:rPr>
        <w:t>of,</w:t>
      </w:r>
      <w:proofErr w:type="gramEnd"/>
      <w:r w:rsidRPr="00D06837">
        <w:rPr>
          <w:szCs w:val="22"/>
          <w:lang w:eastAsia="en-US"/>
        </w:rPr>
        <w:t xml:space="preserve"> in particular, the non-</w:t>
      </w:r>
      <w:r w:rsidRPr="00D06837">
        <w:rPr>
          <w:i/>
          <w:szCs w:val="22"/>
          <w:lang w:eastAsia="en-US"/>
        </w:rPr>
        <w:t>ortho</w:t>
      </w:r>
      <w:r w:rsidRPr="00D06837">
        <w:rPr>
          <w:szCs w:val="22"/>
          <w:lang w:eastAsia="en-US"/>
        </w:rPr>
        <w:t xml:space="preserve"> CBs.</w:t>
      </w:r>
      <w:r w:rsidR="00B33CCD">
        <w:rPr>
          <w:szCs w:val="22"/>
          <w:lang w:eastAsia="en-US"/>
        </w:rPr>
        <w:t xml:space="preserve"> </w:t>
      </w:r>
      <w:r w:rsidRPr="00D06837">
        <w:rPr>
          <w:szCs w:val="22"/>
          <w:lang w:eastAsia="en-US"/>
        </w:rPr>
        <w:t xml:space="preserve">Suggested target and qualifier ions for </w:t>
      </w:r>
      <w:r w:rsidRPr="00D06837">
        <w:rPr>
          <w:i/>
          <w:szCs w:val="22"/>
          <w:lang w:eastAsia="en-US"/>
        </w:rPr>
        <w:t>ortho</w:t>
      </w:r>
      <w:r w:rsidRPr="00D06837">
        <w:rPr>
          <w:szCs w:val="22"/>
          <w:lang w:eastAsia="en-US"/>
        </w:rPr>
        <w:t xml:space="preserve"> CBs (including mono-</w:t>
      </w:r>
      <w:r w:rsidRPr="00D06837">
        <w:rPr>
          <w:i/>
          <w:szCs w:val="22"/>
          <w:lang w:eastAsia="en-US"/>
        </w:rPr>
        <w:t>ortho</w:t>
      </w:r>
      <w:r w:rsidRPr="00D06837">
        <w:rPr>
          <w:szCs w:val="22"/>
          <w:lang w:eastAsia="en-US"/>
        </w:rPr>
        <w:t xml:space="preserve"> CBs) are shown in Table 1 and in Table 2 for non-</w:t>
      </w:r>
      <w:r w:rsidRPr="00D06837">
        <w:rPr>
          <w:i/>
          <w:szCs w:val="22"/>
          <w:lang w:eastAsia="en-US"/>
        </w:rPr>
        <w:t xml:space="preserve">ortho </w:t>
      </w:r>
      <w:r w:rsidR="004A64B0">
        <w:rPr>
          <w:szCs w:val="22"/>
          <w:lang w:eastAsia="en-US"/>
        </w:rPr>
        <w:t>CBs.</w:t>
      </w:r>
    </w:p>
    <w:p w14:paraId="4411152B" w14:textId="4A48802D" w:rsidR="00FC360C" w:rsidRPr="00D06837" w:rsidRDefault="00FC360C" w:rsidP="00D06837">
      <w:pPr>
        <w:rPr>
          <w:szCs w:val="22"/>
          <w:lang w:eastAsia="en-US"/>
        </w:rPr>
      </w:pPr>
      <w:r w:rsidRPr="00D06837">
        <w:rPr>
          <w:szCs w:val="22"/>
          <w:lang w:eastAsia="en-US"/>
        </w:rPr>
        <w:t xml:space="preserve">Next to conventional GC-MS, the use of ion-trap with its tandem MS² option </w:t>
      </w:r>
      <w:r w:rsidR="00AA7C8C">
        <w:rPr>
          <w:szCs w:val="22"/>
          <w:lang w:eastAsia="en-US"/>
        </w:rPr>
        <w:t>–</w:t>
      </w:r>
      <w:r w:rsidRPr="00D06837">
        <w:rPr>
          <w:szCs w:val="22"/>
          <w:lang w:eastAsia="en-US"/>
        </w:rPr>
        <w:t xml:space="preserve"> </w:t>
      </w:r>
      <w:r w:rsidR="00AA7C8C">
        <w:rPr>
          <w:szCs w:val="22"/>
          <w:lang w:eastAsia="en-US"/>
        </w:rPr>
        <w:t>i</w:t>
      </w:r>
      <w:r w:rsidRPr="00D06837">
        <w:rPr>
          <w:szCs w:val="22"/>
          <w:lang w:eastAsia="en-US"/>
        </w:rPr>
        <w:t xml:space="preserve">.e., yielding improved selectivity </w:t>
      </w:r>
      <w:r w:rsidR="00AA7C8C">
        <w:rPr>
          <w:szCs w:val="22"/>
          <w:lang w:eastAsia="en-US"/>
        </w:rPr>
        <w:t>–</w:t>
      </w:r>
      <w:r w:rsidRPr="00D06837">
        <w:rPr>
          <w:szCs w:val="22"/>
          <w:lang w:eastAsia="en-US"/>
        </w:rPr>
        <w:t xml:space="preserve"> </w:t>
      </w:r>
      <w:r w:rsidR="00AA7C8C">
        <w:rPr>
          <w:szCs w:val="22"/>
          <w:lang w:eastAsia="en-US"/>
        </w:rPr>
        <w:t>i</w:t>
      </w:r>
      <w:r w:rsidRPr="00D06837">
        <w:rPr>
          <w:szCs w:val="22"/>
          <w:lang w:eastAsia="en-US"/>
        </w:rPr>
        <w:t>s receiving increased attention. The use of GC-ITMS provides a less expensive alternative to high-resolution mass spectrometry (HRMS), which is commonly used to determine PCDD/Fs and, as such, is also ideally suited for the detection of all CB groups.</w:t>
      </w:r>
    </w:p>
    <w:p w14:paraId="5E65EEDB" w14:textId="77777777" w:rsidR="00FC360C" w:rsidRPr="00D06837" w:rsidRDefault="00FC360C" w:rsidP="004A64B0">
      <w:pPr>
        <w:rPr>
          <w:rFonts w:cs="Arial"/>
          <w:szCs w:val="22"/>
          <w:lang w:eastAsia="en-US"/>
        </w:rPr>
      </w:pPr>
      <w:r w:rsidRPr="00D06837">
        <w:rPr>
          <w:rFonts w:cs="Arial"/>
          <w:b/>
          <w:szCs w:val="22"/>
          <w:lang w:eastAsia="en-US"/>
        </w:rPr>
        <w:t>Table 1</w:t>
      </w:r>
      <w:r w:rsidR="004A64B0">
        <w:rPr>
          <w:rFonts w:cs="Arial"/>
          <w:szCs w:val="22"/>
          <w:lang w:eastAsia="en-US"/>
        </w:rPr>
        <w:t>:</w:t>
      </w:r>
      <w:r w:rsidRPr="00D06837">
        <w:rPr>
          <w:rFonts w:cs="Arial"/>
          <w:b/>
          <w:szCs w:val="22"/>
          <w:lang w:eastAsia="en-US"/>
        </w:rPr>
        <w:tab/>
      </w:r>
      <w:r w:rsidRPr="00D06837">
        <w:rPr>
          <w:rFonts w:cs="Arial"/>
          <w:szCs w:val="22"/>
          <w:lang w:eastAsia="en-US"/>
        </w:rPr>
        <w:t>Example of retention times for selected CB congeners using a 50 m HT8 column (0.25 mm i.d. and 0.25 µm film), along with possible target and qualifier ions. Temperature programme: 80</w:t>
      </w:r>
      <w:r w:rsidRPr="00D06837">
        <w:rPr>
          <w:rFonts w:cs="Arial"/>
          <w:szCs w:val="22"/>
          <w:vertAlign w:val="superscript"/>
          <w:lang w:eastAsia="en-US"/>
        </w:rPr>
        <w:t>o</w:t>
      </w:r>
      <w:r w:rsidRPr="00D06837">
        <w:rPr>
          <w:rFonts w:cs="Arial"/>
          <w:szCs w:val="22"/>
          <w:lang w:eastAsia="en-US"/>
        </w:rPr>
        <w:t>C, hold for 1 minute, ramp 20</w:t>
      </w:r>
      <w:r w:rsidRPr="00D06837">
        <w:rPr>
          <w:rFonts w:cs="Arial"/>
          <w:szCs w:val="22"/>
          <w:vertAlign w:val="superscript"/>
          <w:lang w:eastAsia="en-US"/>
        </w:rPr>
        <w:t>o</w:t>
      </w:r>
      <w:r w:rsidRPr="00D06837">
        <w:rPr>
          <w:rFonts w:cs="Arial"/>
          <w:szCs w:val="22"/>
          <w:lang w:eastAsia="en-US"/>
        </w:rPr>
        <w:t>C/minute, to 170</w:t>
      </w:r>
      <w:r w:rsidRPr="00D06837">
        <w:rPr>
          <w:rFonts w:cs="Arial"/>
          <w:szCs w:val="22"/>
          <w:vertAlign w:val="superscript"/>
          <w:lang w:eastAsia="en-US"/>
        </w:rPr>
        <w:t xml:space="preserve"> o</w:t>
      </w:r>
      <w:r w:rsidRPr="00D06837">
        <w:rPr>
          <w:rFonts w:cs="Arial"/>
          <w:szCs w:val="22"/>
          <w:lang w:eastAsia="en-US"/>
        </w:rPr>
        <w:t>C, hold 7.5 minutes, ramp 3</w:t>
      </w:r>
      <w:r w:rsidRPr="00D06837">
        <w:rPr>
          <w:rFonts w:cs="Arial"/>
          <w:szCs w:val="22"/>
          <w:vertAlign w:val="superscript"/>
          <w:lang w:eastAsia="en-US"/>
        </w:rPr>
        <w:t xml:space="preserve"> o</w:t>
      </w:r>
      <w:r w:rsidRPr="00D06837">
        <w:rPr>
          <w:rFonts w:cs="Arial"/>
          <w:szCs w:val="22"/>
          <w:lang w:eastAsia="en-US"/>
        </w:rPr>
        <w:t>C/minute to 300</w:t>
      </w:r>
      <w:r w:rsidRPr="00D06837">
        <w:rPr>
          <w:rFonts w:cs="Arial"/>
          <w:szCs w:val="22"/>
          <w:vertAlign w:val="superscript"/>
          <w:lang w:eastAsia="en-US"/>
        </w:rPr>
        <w:t xml:space="preserve"> o</w:t>
      </w:r>
      <w:r w:rsidRPr="00D06837">
        <w:rPr>
          <w:rFonts w:cs="Arial"/>
          <w:szCs w:val="22"/>
          <w:lang w:eastAsia="en-US"/>
        </w:rPr>
        <w:t>C, hold for 10 minutes.</w:t>
      </w:r>
    </w:p>
    <w:tbl>
      <w:tblPr>
        <w:tblW w:w="4802" w:type="pct"/>
        <w:jc w:val="center"/>
        <w:tblLook w:val="0020" w:firstRow="1" w:lastRow="0" w:firstColumn="0" w:lastColumn="0" w:noHBand="0" w:noVBand="0"/>
      </w:tblPr>
      <w:tblGrid>
        <w:gridCol w:w="1913"/>
        <w:gridCol w:w="1124"/>
        <w:gridCol w:w="1124"/>
        <w:gridCol w:w="1709"/>
        <w:gridCol w:w="1660"/>
        <w:gridCol w:w="1935"/>
      </w:tblGrid>
      <w:tr w:rsidR="00FC360C" w:rsidRPr="00D06837" w14:paraId="0F3A9AA1" w14:textId="77777777" w:rsidTr="004A64B0">
        <w:trPr>
          <w:trHeight w:val="255"/>
          <w:tblHeader/>
          <w:jc w:val="center"/>
        </w:trPr>
        <w:tc>
          <w:tcPr>
            <w:tcW w:w="1010" w:type="pct"/>
            <w:tcBorders>
              <w:top w:val="single" w:sz="8" w:space="0" w:color="auto"/>
              <w:bottom w:val="single" w:sz="8" w:space="0" w:color="auto"/>
            </w:tcBorders>
            <w:shd w:val="clear" w:color="auto" w:fill="auto"/>
            <w:noWrap/>
          </w:tcPr>
          <w:p w14:paraId="07893868"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CB congener</w:t>
            </w:r>
          </w:p>
        </w:tc>
        <w:tc>
          <w:tcPr>
            <w:tcW w:w="594" w:type="pct"/>
            <w:tcBorders>
              <w:top w:val="single" w:sz="8" w:space="0" w:color="auto"/>
              <w:bottom w:val="single" w:sz="8" w:space="0" w:color="auto"/>
            </w:tcBorders>
            <w:shd w:val="clear" w:color="auto" w:fill="auto"/>
            <w:noWrap/>
          </w:tcPr>
          <w:p w14:paraId="36459006" w14:textId="77777777" w:rsidR="00FC360C" w:rsidRPr="004A64B0" w:rsidRDefault="00FC360C" w:rsidP="004A64B0">
            <w:pPr>
              <w:spacing w:line="240" w:lineRule="auto"/>
              <w:rPr>
                <w:rFonts w:cs="Arial"/>
                <w:b/>
                <w:bCs/>
                <w:color w:val="000000"/>
                <w:sz w:val="20"/>
                <w:lang w:eastAsia="en-US"/>
              </w:rPr>
            </w:pPr>
            <w:r w:rsidRPr="004A64B0">
              <w:rPr>
                <w:rFonts w:cs="Arial"/>
                <w:b/>
                <w:bCs/>
                <w:color w:val="000000"/>
                <w:sz w:val="20"/>
                <w:lang w:eastAsia="en-US"/>
              </w:rPr>
              <w:t>MW</w:t>
            </w:r>
          </w:p>
        </w:tc>
        <w:tc>
          <w:tcPr>
            <w:tcW w:w="594" w:type="pct"/>
            <w:tcBorders>
              <w:top w:val="single" w:sz="8" w:space="0" w:color="auto"/>
              <w:bottom w:val="single" w:sz="8" w:space="0" w:color="auto"/>
            </w:tcBorders>
            <w:shd w:val="clear" w:color="auto" w:fill="auto"/>
            <w:noWrap/>
          </w:tcPr>
          <w:p w14:paraId="25B31065"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RT</w:t>
            </w:r>
          </w:p>
        </w:tc>
        <w:tc>
          <w:tcPr>
            <w:tcW w:w="903" w:type="pct"/>
            <w:tcBorders>
              <w:top w:val="single" w:sz="8" w:space="0" w:color="auto"/>
              <w:bottom w:val="single" w:sz="8" w:space="0" w:color="auto"/>
            </w:tcBorders>
            <w:shd w:val="clear" w:color="auto" w:fill="auto"/>
            <w:noWrap/>
          </w:tcPr>
          <w:p w14:paraId="6188C0D7"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Target Ion</w:t>
            </w:r>
          </w:p>
        </w:tc>
        <w:tc>
          <w:tcPr>
            <w:tcW w:w="877" w:type="pct"/>
            <w:tcBorders>
              <w:top w:val="single" w:sz="8" w:space="0" w:color="auto"/>
              <w:bottom w:val="single" w:sz="8" w:space="0" w:color="auto"/>
            </w:tcBorders>
            <w:shd w:val="clear" w:color="auto" w:fill="auto"/>
            <w:noWrap/>
          </w:tcPr>
          <w:p w14:paraId="565AE340"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Qualifier Ion</w:t>
            </w:r>
          </w:p>
        </w:tc>
        <w:tc>
          <w:tcPr>
            <w:tcW w:w="1021" w:type="pct"/>
            <w:tcBorders>
              <w:top w:val="single" w:sz="8" w:space="0" w:color="auto"/>
              <w:bottom w:val="single" w:sz="8" w:space="0" w:color="auto"/>
              <w:right w:val="nil"/>
            </w:tcBorders>
            <w:shd w:val="clear" w:color="auto" w:fill="auto"/>
            <w:noWrap/>
          </w:tcPr>
          <w:p w14:paraId="77CD04B5"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Number of chlorines</w:t>
            </w:r>
          </w:p>
        </w:tc>
      </w:tr>
      <w:tr w:rsidR="00FC360C" w:rsidRPr="00D06837" w14:paraId="7D5A09CE" w14:textId="77777777" w:rsidTr="004A64B0">
        <w:trPr>
          <w:trHeight w:val="255"/>
          <w:jc w:val="center"/>
        </w:trPr>
        <w:tc>
          <w:tcPr>
            <w:tcW w:w="1010" w:type="pct"/>
            <w:tcBorders>
              <w:top w:val="single" w:sz="8" w:space="0" w:color="auto"/>
            </w:tcBorders>
            <w:shd w:val="clear" w:color="auto" w:fill="auto"/>
            <w:noWrap/>
            <w:vAlign w:val="bottom"/>
          </w:tcPr>
          <w:p w14:paraId="564AC42A" w14:textId="77777777" w:rsidR="00FC360C" w:rsidRPr="004A64B0" w:rsidRDefault="00FC360C" w:rsidP="004A64B0">
            <w:pPr>
              <w:spacing w:line="240" w:lineRule="auto"/>
              <w:rPr>
                <w:rFonts w:cs="Arial"/>
                <w:b/>
                <w:bCs/>
                <w:i/>
                <w:iCs/>
                <w:sz w:val="20"/>
                <w:lang w:eastAsia="en-US"/>
              </w:rPr>
            </w:pPr>
            <w:r w:rsidRPr="004A64B0">
              <w:rPr>
                <w:rFonts w:cs="Arial"/>
                <w:b/>
                <w:bCs/>
                <w:i/>
                <w:iCs/>
                <w:sz w:val="20"/>
                <w:vertAlign w:val="superscript"/>
                <w:lang w:eastAsia="en-US"/>
              </w:rPr>
              <w:t>13</w:t>
            </w:r>
            <w:r w:rsidRPr="004A64B0">
              <w:rPr>
                <w:rFonts w:cs="Arial"/>
                <w:b/>
                <w:bCs/>
                <w:i/>
                <w:iCs/>
                <w:sz w:val="20"/>
                <w:lang w:eastAsia="en-US"/>
              </w:rPr>
              <w:t>C-CB28</w:t>
            </w:r>
          </w:p>
        </w:tc>
        <w:tc>
          <w:tcPr>
            <w:tcW w:w="594" w:type="pct"/>
            <w:tcBorders>
              <w:top w:val="single" w:sz="8" w:space="0" w:color="auto"/>
            </w:tcBorders>
            <w:shd w:val="clear" w:color="auto" w:fill="auto"/>
            <w:noWrap/>
            <w:vAlign w:val="bottom"/>
          </w:tcPr>
          <w:p w14:paraId="0D546982"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270</w:t>
            </w:r>
          </w:p>
        </w:tc>
        <w:tc>
          <w:tcPr>
            <w:tcW w:w="594" w:type="pct"/>
            <w:tcBorders>
              <w:top w:val="single" w:sz="8" w:space="0" w:color="auto"/>
            </w:tcBorders>
            <w:shd w:val="clear" w:color="auto" w:fill="auto"/>
            <w:noWrap/>
            <w:vAlign w:val="bottom"/>
          </w:tcPr>
          <w:p w14:paraId="7A60696E" w14:textId="77777777" w:rsidR="00FC360C" w:rsidRPr="004A64B0" w:rsidRDefault="00FC360C" w:rsidP="004A64B0">
            <w:pPr>
              <w:spacing w:line="240" w:lineRule="auto"/>
              <w:rPr>
                <w:rFonts w:cs="Arial"/>
                <w:sz w:val="20"/>
                <w:lang w:eastAsia="en-US"/>
              </w:rPr>
            </w:pPr>
            <w:r w:rsidRPr="004A64B0">
              <w:rPr>
                <w:rFonts w:cs="Arial"/>
                <w:sz w:val="20"/>
                <w:lang w:eastAsia="en-US"/>
              </w:rPr>
              <w:t>28.371</w:t>
            </w:r>
          </w:p>
        </w:tc>
        <w:tc>
          <w:tcPr>
            <w:tcW w:w="903" w:type="pct"/>
            <w:tcBorders>
              <w:top w:val="single" w:sz="8" w:space="0" w:color="auto"/>
            </w:tcBorders>
            <w:shd w:val="clear" w:color="auto" w:fill="auto"/>
            <w:noWrap/>
            <w:vAlign w:val="bottom"/>
          </w:tcPr>
          <w:p w14:paraId="5FB98C8E" w14:textId="77777777" w:rsidR="00FC360C" w:rsidRPr="004A64B0" w:rsidRDefault="00FC360C" w:rsidP="004A64B0">
            <w:pPr>
              <w:spacing w:line="240" w:lineRule="auto"/>
              <w:rPr>
                <w:rFonts w:cs="Arial"/>
                <w:sz w:val="20"/>
                <w:lang w:eastAsia="en-US"/>
              </w:rPr>
            </w:pPr>
            <w:r w:rsidRPr="004A64B0">
              <w:rPr>
                <w:rFonts w:cs="Arial"/>
                <w:sz w:val="20"/>
                <w:lang w:eastAsia="en-US"/>
              </w:rPr>
              <w:t>268</w:t>
            </w:r>
          </w:p>
        </w:tc>
        <w:tc>
          <w:tcPr>
            <w:tcW w:w="877" w:type="pct"/>
            <w:tcBorders>
              <w:top w:val="single" w:sz="8" w:space="0" w:color="auto"/>
            </w:tcBorders>
            <w:shd w:val="clear" w:color="auto" w:fill="auto"/>
            <w:noWrap/>
            <w:vAlign w:val="bottom"/>
          </w:tcPr>
          <w:p w14:paraId="6C521D7E" w14:textId="77777777" w:rsidR="00FC360C" w:rsidRPr="004A64B0" w:rsidRDefault="00FC360C" w:rsidP="004A64B0">
            <w:pPr>
              <w:spacing w:line="240" w:lineRule="auto"/>
              <w:rPr>
                <w:rFonts w:cs="Arial"/>
                <w:sz w:val="20"/>
                <w:lang w:eastAsia="en-US"/>
              </w:rPr>
            </w:pPr>
            <w:r w:rsidRPr="004A64B0">
              <w:rPr>
                <w:rFonts w:cs="Arial"/>
                <w:sz w:val="20"/>
                <w:lang w:eastAsia="en-US"/>
              </w:rPr>
              <w:t>270</w:t>
            </w:r>
          </w:p>
        </w:tc>
        <w:tc>
          <w:tcPr>
            <w:tcW w:w="1021" w:type="pct"/>
            <w:tcBorders>
              <w:top w:val="single" w:sz="8" w:space="0" w:color="auto"/>
              <w:right w:val="nil"/>
            </w:tcBorders>
            <w:shd w:val="clear" w:color="auto" w:fill="auto"/>
            <w:noWrap/>
            <w:vAlign w:val="bottom"/>
          </w:tcPr>
          <w:p w14:paraId="254258EC" w14:textId="77777777" w:rsidR="00FC360C" w:rsidRPr="004A64B0" w:rsidRDefault="00FC360C" w:rsidP="004A64B0">
            <w:pPr>
              <w:spacing w:line="240" w:lineRule="auto"/>
              <w:rPr>
                <w:rFonts w:cs="Arial"/>
                <w:sz w:val="20"/>
                <w:lang w:eastAsia="en-US"/>
              </w:rPr>
            </w:pPr>
            <w:r w:rsidRPr="004A64B0">
              <w:rPr>
                <w:rFonts w:cs="Arial"/>
                <w:sz w:val="20"/>
                <w:lang w:eastAsia="en-US"/>
              </w:rPr>
              <w:t>3</w:t>
            </w:r>
          </w:p>
        </w:tc>
      </w:tr>
      <w:tr w:rsidR="00FC360C" w:rsidRPr="00D06837" w14:paraId="09F8B449" w14:textId="77777777" w:rsidTr="004A64B0">
        <w:trPr>
          <w:trHeight w:val="255"/>
          <w:jc w:val="center"/>
        </w:trPr>
        <w:tc>
          <w:tcPr>
            <w:tcW w:w="1010" w:type="pct"/>
            <w:tcBorders>
              <w:top w:val="nil"/>
            </w:tcBorders>
            <w:shd w:val="clear" w:color="auto" w:fill="auto"/>
            <w:noWrap/>
            <w:vAlign w:val="bottom"/>
          </w:tcPr>
          <w:p w14:paraId="02372D42" w14:textId="77777777" w:rsidR="00FC360C" w:rsidRPr="004A64B0" w:rsidRDefault="00FC360C" w:rsidP="004A64B0">
            <w:pPr>
              <w:spacing w:line="240" w:lineRule="auto"/>
              <w:rPr>
                <w:rFonts w:cs="Arial"/>
                <w:sz w:val="20"/>
                <w:lang w:eastAsia="en-US"/>
              </w:rPr>
            </w:pPr>
            <w:r w:rsidRPr="004A64B0">
              <w:rPr>
                <w:rFonts w:cs="Arial"/>
                <w:sz w:val="20"/>
                <w:lang w:eastAsia="en-US"/>
              </w:rPr>
              <w:t>CB31</w:t>
            </w:r>
          </w:p>
        </w:tc>
        <w:tc>
          <w:tcPr>
            <w:tcW w:w="594" w:type="pct"/>
            <w:tcBorders>
              <w:top w:val="nil"/>
            </w:tcBorders>
            <w:shd w:val="clear" w:color="auto" w:fill="auto"/>
            <w:noWrap/>
            <w:vAlign w:val="bottom"/>
          </w:tcPr>
          <w:p w14:paraId="19CFF58D"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258</w:t>
            </w:r>
          </w:p>
        </w:tc>
        <w:tc>
          <w:tcPr>
            <w:tcW w:w="594" w:type="pct"/>
            <w:tcBorders>
              <w:top w:val="nil"/>
            </w:tcBorders>
            <w:shd w:val="clear" w:color="auto" w:fill="auto"/>
            <w:noWrap/>
            <w:vAlign w:val="bottom"/>
          </w:tcPr>
          <w:p w14:paraId="5A0BDB05" w14:textId="77777777" w:rsidR="00FC360C" w:rsidRPr="004A64B0" w:rsidRDefault="00FC360C" w:rsidP="004A64B0">
            <w:pPr>
              <w:spacing w:line="240" w:lineRule="auto"/>
              <w:rPr>
                <w:rFonts w:cs="Arial"/>
                <w:sz w:val="20"/>
                <w:lang w:eastAsia="en-US"/>
              </w:rPr>
            </w:pPr>
            <w:r w:rsidRPr="004A64B0">
              <w:rPr>
                <w:rFonts w:cs="Arial"/>
                <w:sz w:val="20"/>
                <w:lang w:eastAsia="en-US"/>
              </w:rPr>
              <w:t>28.071</w:t>
            </w:r>
          </w:p>
        </w:tc>
        <w:tc>
          <w:tcPr>
            <w:tcW w:w="903" w:type="pct"/>
            <w:tcBorders>
              <w:top w:val="nil"/>
            </w:tcBorders>
            <w:shd w:val="clear" w:color="auto" w:fill="auto"/>
            <w:noWrap/>
            <w:vAlign w:val="bottom"/>
          </w:tcPr>
          <w:p w14:paraId="13DE3386" w14:textId="77777777" w:rsidR="00FC360C" w:rsidRPr="004A64B0" w:rsidRDefault="00FC360C" w:rsidP="004A64B0">
            <w:pPr>
              <w:spacing w:line="240" w:lineRule="auto"/>
              <w:rPr>
                <w:rFonts w:cs="Arial"/>
                <w:sz w:val="20"/>
                <w:lang w:eastAsia="en-US"/>
              </w:rPr>
            </w:pPr>
            <w:r w:rsidRPr="004A64B0">
              <w:rPr>
                <w:rFonts w:cs="Arial"/>
                <w:sz w:val="20"/>
                <w:lang w:eastAsia="en-US"/>
              </w:rPr>
              <w:t>256</w:t>
            </w:r>
          </w:p>
        </w:tc>
        <w:tc>
          <w:tcPr>
            <w:tcW w:w="877" w:type="pct"/>
            <w:tcBorders>
              <w:top w:val="nil"/>
            </w:tcBorders>
            <w:shd w:val="clear" w:color="auto" w:fill="auto"/>
            <w:noWrap/>
            <w:vAlign w:val="bottom"/>
          </w:tcPr>
          <w:p w14:paraId="4E6B53F3" w14:textId="77777777" w:rsidR="00FC360C" w:rsidRPr="004A64B0" w:rsidRDefault="00FC360C" w:rsidP="004A64B0">
            <w:pPr>
              <w:spacing w:line="240" w:lineRule="auto"/>
              <w:rPr>
                <w:rFonts w:cs="Arial"/>
                <w:sz w:val="20"/>
                <w:lang w:eastAsia="en-US"/>
              </w:rPr>
            </w:pPr>
            <w:r w:rsidRPr="004A64B0">
              <w:rPr>
                <w:rFonts w:cs="Arial"/>
                <w:sz w:val="20"/>
                <w:lang w:eastAsia="en-US"/>
              </w:rPr>
              <w:t>258</w:t>
            </w:r>
          </w:p>
        </w:tc>
        <w:tc>
          <w:tcPr>
            <w:tcW w:w="1021" w:type="pct"/>
            <w:tcBorders>
              <w:top w:val="nil"/>
              <w:right w:val="nil"/>
            </w:tcBorders>
            <w:shd w:val="clear" w:color="auto" w:fill="auto"/>
            <w:noWrap/>
            <w:vAlign w:val="bottom"/>
          </w:tcPr>
          <w:p w14:paraId="06807AEE" w14:textId="77777777" w:rsidR="00FC360C" w:rsidRPr="004A64B0" w:rsidRDefault="00FC360C" w:rsidP="004A64B0">
            <w:pPr>
              <w:spacing w:line="240" w:lineRule="auto"/>
              <w:rPr>
                <w:rFonts w:cs="Arial"/>
                <w:sz w:val="20"/>
                <w:lang w:eastAsia="en-US"/>
              </w:rPr>
            </w:pPr>
            <w:r w:rsidRPr="004A64B0">
              <w:rPr>
                <w:rFonts w:cs="Arial"/>
                <w:sz w:val="20"/>
                <w:lang w:eastAsia="en-US"/>
              </w:rPr>
              <w:t>3</w:t>
            </w:r>
          </w:p>
        </w:tc>
      </w:tr>
      <w:tr w:rsidR="00FC360C" w:rsidRPr="00D06837" w14:paraId="532ED9A2" w14:textId="77777777" w:rsidTr="004A64B0">
        <w:trPr>
          <w:trHeight w:val="255"/>
          <w:jc w:val="center"/>
        </w:trPr>
        <w:tc>
          <w:tcPr>
            <w:tcW w:w="1010" w:type="pct"/>
            <w:tcBorders>
              <w:top w:val="nil"/>
            </w:tcBorders>
            <w:shd w:val="clear" w:color="auto" w:fill="auto"/>
            <w:noWrap/>
            <w:vAlign w:val="bottom"/>
          </w:tcPr>
          <w:p w14:paraId="2529145C" w14:textId="77777777" w:rsidR="00FC360C" w:rsidRPr="004A64B0" w:rsidRDefault="00FC360C" w:rsidP="004A64B0">
            <w:pPr>
              <w:spacing w:line="240" w:lineRule="auto"/>
              <w:rPr>
                <w:rFonts w:cs="Arial"/>
                <w:sz w:val="20"/>
                <w:lang w:eastAsia="en-US"/>
              </w:rPr>
            </w:pPr>
            <w:r w:rsidRPr="004A64B0">
              <w:rPr>
                <w:rFonts w:cs="Arial"/>
                <w:sz w:val="20"/>
                <w:lang w:eastAsia="en-US"/>
              </w:rPr>
              <w:t>CB28</w:t>
            </w:r>
          </w:p>
        </w:tc>
        <w:tc>
          <w:tcPr>
            <w:tcW w:w="594" w:type="pct"/>
            <w:tcBorders>
              <w:top w:val="nil"/>
            </w:tcBorders>
            <w:shd w:val="clear" w:color="auto" w:fill="auto"/>
            <w:noWrap/>
            <w:vAlign w:val="bottom"/>
          </w:tcPr>
          <w:p w14:paraId="33FEDDF9"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258</w:t>
            </w:r>
          </w:p>
        </w:tc>
        <w:tc>
          <w:tcPr>
            <w:tcW w:w="594" w:type="pct"/>
            <w:tcBorders>
              <w:top w:val="nil"/>
            </w:tcBorders>
            <w:shd w:val="clear" w:color="auto" w:fill="auto"/>
            <w:noWrap/>
            <w:vAlign w:val="bottom"/>
          </w:tcPr>
          <w:p w14:paraId="5396570C" w14:textId="77777777" w:rsidR="00FC360C" w:rsidRPr="004A64B0" w:rsidRDefault="00FC360C" w:rsidP="004A64B0">
            <w:pPr>
              <w:spacing w:line="240" w:lineRule="auto"/>
              <w:rPr>
                <w:rFonts w:cs="Arial"/>
                <w:sz w:val="20"/>
                <w:lang w:eastAsia="en-US"/>
              </w:rPr>
            </w:pPr>
            <w:r w:rsidRPr="004A64B0">
              <w:rPr>
                <w:rFonts w:cs="Arial"/>
                <w:sz w:val="20"/>
                <w:lang w:eastAsia="en-US"/>
              </w:rPr>
              <w:t>28.388</w:t>
            </w:r>
          </w:p>
        </w:tc>
        <w:tc>
          <w:tcPr>
            <w:tcW w:w="903" w:type="pct"/>
            <w:tcBorders>
              <w:top w:val="nil"/>
            </w:tcBorders>
            <w:shd w:val="clear" w:color="auto" w:fill="auto"/>
            <w:noWrap/>
            <w:vAlign w:val="bottom"/>
          </w:tcPr>
          <w:p w14:paraId="49964D09" w14:textId="77777777" w:rsidR="00FC360C" w:rsidRPr="004A64B0" w:rsidRDefault="00FC360C" w:rsidP="004A64B0">
            <w:pPr>
              <w:spacing w:line="240" w:lineRule="auto"/>
              <w:rPr>
                <w:rFonts w:cs="Arial"/>
                <w:sz w:val="20"/>
                <w:lang w:eastAsia="en-US"/>
              </w:rPr>
            </w:pPr>
            <w:r w:rsidRPr="004A64B0">
              <w:rPr>
                <w:rFonts w:cs="Arial"/>
                <w:sz w:val="20"/>
                <w:lang w:eastAsia="en-US"/>
              </w:rPr>
              <w:t>256</w:t>
            </w:r>
          </w:p>
        </w:tc>
        <w:tc>
          <w:tcPr>
            <w:tcW w:w="877" w:type="pct"/>
            <w:tcBorders>
              <w:top w:val="nil"/>
            </w:tcBorders>
            <w:shd w:val="clear" w:color="auto" w:fill="auto"/>
            <w:noWrap/>
            <w:vAlign w:val="bottom"/>
          </w:tcPr>
          <w:p w14:paraId="26163EC5" w14:textId="77777777" w:rsidR="00FC360C" w:rsidRPr="004A64B0" w:rsidRDefault="00FC360C" w:rsidP="004A64B0">
            <w:pPr>
              <w:spacing w:line="240" w:lineRule="auto"/>
              <w:rPr>
                <w:rFonts w:cs="Arial"/>
                <w:sz w:val="20"/>
                <w:lang w:eastAsia="en-US"/>
              </w:rPr>
            </w:pPr>
            <w:r w:rsidRPr="004A64B0">
              <w:rPr>
                <w:rFonts w:cs="Arial"/>
                <w:sz w:val="20"/>
                <w:lang w:eastAsia="en-US"/>
              </w:rPr>
              <w:t>258</w:t>
            </w:r>
          </w:p>
        </w:tc>
        <w:tc>
          <w:tcPr>
            <w:tcW w:w="1021" w:type="pct"/>
            <w:tcBorders>
              <w:top w:val="nil"/>
              <w:right w:val="nil"/>
            </w:tcBorders>
            <w:shd w:val="clear" w:color="auto" w:fill="auto"/>
            <w:noWrap/>
            <w:vAlign w:val="bottom"/>
          </w:tcPr>
          <w:p w14:paraId="3E72BFA4" w14:textId="77777777" w:rsidR="00FC360C" w:rsidRPr="004A64B0" w:rsidRDefault="00FC360C" w:rsidP="004A64B0">
            <w:pPr>
              <w:spacing w:line="240" w:lineRule="auto"/>
              <w:rPr>
                <w:rFonts w:cs="Arial"/>
                <w:sz w:val="20"/>
                <w:lang w:eastAsia="en-US"/>
              </w:rPr>
            </w:pPr>
            <w:r w:rsidRPr="004A64B0">
              <w:rPr>
                <w:rFonts w:cs="Arial"/>
                <w:sz w:val="20"/>
                <w:lang w:eastAsia="en-US"/>
              </w:rPr>
              <w:t>3</w:t>
            </w:r>
          </w:p>
        </w:tc>
      </w:tr>
      <w:tr w:rsidR="00FC360C" w:rsidRPr="00D06837" w14:paraId="64AD3481" w14:textId="77777777" w:rsidTr="004A64B0">
        <w:trPr>
          <w:trHeight w:val="255"/>
          <w:jc w:val="center"/>
        </w:trPr>
        <w:tc>
          <w:tcPr>
            <w:tcW w:w="1010" w:type="pct"/>
            <w:tcBorders>
              <w:top w:val="nil"/>
            </w:tcBorders>
            <w:shd w:val="clear" w:color="auto" w:fill="auto"/>
            <w:noWrap/>
            <w:vAlign w:val="bottom"/>
          </w:tcPr>
          <w:p w14:paraId="475FFAA3" w14:textId="77777777" w:rsidR="00FC360C" w:rsidRPr="004A64B0" w:rsidRDefault="00FC360C" w:rsidP="004A64B0">
            <w:pPr>
              <w:spacing w:line="240" w:lineRule="auto"/>
              <w:rPr>
                <w:rFonts w:cs="Arial"/>
                <w:b/>
                <w:bCs/>
                <w:i/>
                <w:iCs/>
                <w:sz w:val="20"/>
                <w:lang w:eastAsia="en-US"/>
              </w:rPr>
            </w:pPr>
            <w:r w:rsidRPr="004A64B0">
              <w:rPr>
                <w:rFonts w:cs="Arial"/>
                <w:b/>
                <w:bCs/>
                <w:i/>
                <w:iCs/>
                <w:sz w:val="20"/>
                <w:vertAlign w:val="superscript"/>
                <w:lang w:eastAsia="en-US"/>
              </w:rPr>
              <w:t>13</w:t>
            </w:r>
            <w:r w:rsidRPr="004A64B0">
              <w:rPr>
                <w:rFonts w:cs="Arial"/>
                <w:b/>
                <w:bCs/>
                <w:i/>
                <w:iCs/>
                <w:sz w:val="20"/>
                <w:lang w:eastAsia="en-US"/>
              </w:rPr>
              <w:t>C-CB52</w:t>
            </w:r>
          </w:p>
        </w:tc>
        <w:tc>
          <w:tcPr>
            <w:tcW w:w="594" w:type="pct"/>
            <w:tcBorders>
              <w:top w:val="nil"/>
            </w:tcBorders>
            <w:shd w:val="clear" w:color="auto" w:fill="auto"/>
            <w:noWrap/>
            <w:vAlign w:val="bottom"/>
          </w:tcPr>
          <w:p w14:paraId="481F1070"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304</w:t>
            </w:r>
          </w:p>
        </w:tc>
        <w:tc>
          <w:tcPr>
            <w:tcW w:w="594" w:type="pct"/>
            <w:tcBorders>
              <w:top w:val="nil"/>
            </w:tcBorders>
            <w:shd w:val="clear" w:color="auto" w:fill="auto"/>
            <w:noWrap/>
            <w:vAlign w:val="bottom"/>
          </w:tcPr>
          <w:p w14:paraId="6AC66EA1" w14:textId="77777777" w:rsidR="00FC360C" w:rsidRPr="004A64B0" w:rsidRDefault="00FC360C" w:rsidP="004A64B0">
            <w:pPr>
              <w:spacing w:line="240" w:lineRule="auto"/>
              <w:rPr>
                <w:rFonts w:cs="Arial"/>
                <w:sz w:val="20"/>
                <w:lang w:eastAsia="en-US"/>
              </w:rPr>
            </w:pPr>
            <w:r w:rsidRPr="004A64B0">
              <w:rPr>
                <w:rFonts w:cs="Arial"/>
                <w:sz w:val="20"/>
                <w:lang w:eastAsia="en-US"/>
              </w:rPr>
              <w:t>30.317</w:t>
            </w:r>
          </w:p>
        </w:tc>
        <w:tc>
          <w:tcPr>
            <w:tcW w:w="903" w:type="pct"/>
            <w:tcBorders>
              <w:top w:val="nil"/>
            </w:tcBorders>
            <w:shd w:val="clear" w:color="auto" w:fill="auto"/>
            <w:noWrap/>
            <w:vAlign w:val="bottom"/>
          </w:tcPr>
          <w:p w14:paraId="598EFD70" w14:textId="77777777" w:rsidR="00FC360C" w:rsidRPr="004A64B0" w:rsidRDefault="00FC360C" w:rsidP="004A64B0">
            <w:pPr>
              <w:spacing w:line="240" w:lineRule="auto"/>
              <w:rPr>
                <w:rFonts w:cs="Arial"/>
                <w:sz w:val="20"/>
                <w:lang w:eastAsia="en-US"/>
              </w:rPr>
            </w:pPr>
            <w:r w:rsidRPr="004A64B0">
              <w:rPr>
                <w:rFonts w:cs="Arial"/>
                <w:sz w:val="20"/>
                <w:lang w:eastAsia="en-US"/>
              </w:rPr>
              <w:t>304</w:t>
            </w:r>
          </w:p>
        </w:tc>
        <w:tc>
          <w:tcPr>
            <w:tcW w:w="877" w:type="pct"/>
            <w:tcBorders>
              <w:top w:val="nil"/>
            </w:tcBorders>
            <w:shd w:val="clear" w:color="auto" w:fill="auto"/>
            <w:noWrap/>
            <w:vAlign w:val="bottom"/>
          </w:tcPr>
          <w:p w14:paraId="5D9DA1B4" w14:textId="77777777" w:rsidR="00FC360C" w:rsidRPr="004A64B0" w:rsidRDefault="00FC360C" w:rsidP="004A64B0">
            <w:pPr>
              <w:spacing w:line="240" w:lineRule="auto"/>
              <w:rPr>
                <w:rFonts w:cs="Arial"/>
                <w:sz w:val="20"/>
                <w:lang w:eastAsia="en-US"/>
              </w:rPr>
            </w:pPr>
            <w:r w:rsidRPr="004A64B0">
              <w:rPr>
                <w:rFonts w:cs="Arial"/>
                <w:sz w:val="20"/>
                <w:lang w:eastAsia="en-US"/>
              </w:rPr>
              <w:t>302</w:t>
            </w:r>
          </w:p>
        </w:tc>
        <w:tc>
          <w:tcPr>
            <w:tcW w:w="1021" w:type="pct"/>
            <w:tcBorders>
              <w:top w:val="nil"/>
              <w:right w:val="nil"/>
            </w:tcBorders>
            <w:shd w:val="clear" w:color="auto" w:fill="auto"/>
            <w:noWrap/>
            <w:vAlign w:val="bottom"/>
          </w:tcPr>
          <w:p w14:paraId="03516570" w14:textId="77777777" w:rsidR="00FC360C" w:rsidRPr="004A64B0" w:rsidRDefault="00FC360C" w:rsidP="004A64B0">
            <w:pPr>
              <w:spacing w:line="240" w:lineRule="auto"/>
              <w:rPr>
                <w:rFonts w:cs="Arial"/>
                <w:sz w:val="20"/>
                <w:lang w:eastAsia="en-US"/>
              </w:rPr>
            </w:pPr>
            <w:r w:rsidRPr="004A64B0">
              <w:rPr>
                <w:rFonts w:cs="Arial"/>
                <w:sz w:val="20"/>
                <w:lang w:eastAsia="en-US"/>
              </w:rPr>
              <w:t>4</w:t>
            </w:r>
          </w:p>
        </w:tc>
      </w:tr>
      <w:tr w:rsidR="00FC360C" w:rsidRPr="00D06837" w14:paraId="6E0396CB" w14:textId="77777777" w:rsidTr="004A64B0">
        <w:trPr>
          <w:trHeight w:val="255"/>
          <w:jc w:val="center"/>
        </w:trPr>
        <w:tc>
          <w:tcPr>
            <w:tcW w:w="1010" w:type="pct"/>
            <w:tcBorders>
              <w:top w:val="nil"/>
            </w:tcBorders>
            <w:shd w:val="clear" w:color="auto" w:fill="auto"/>
            <w:noWrap/>
            <w:vAlign w:val="bottom"/>
          </w:tcPr>
          <w:p w14:paraId="63C42942" w14:textId="77777777" w:rsidR="00FC360C" w:rsidRPr="004A64B0" w:rsidRDefault="00FC360C" w:rsidP="004A64B0">
            <w:pPr>
              <w:spacing w:line="240" w:lineRule="auto"/>
              <w:rPr>
                <w:rFonts w:cs="Arial"/>
                <w:sz w:val="20"/>
                <w:lang w:eastAsia="en-US"/>
              </w:rPr>
            </w:pPr>
            <w:r w:rsidRPr="004A64B0">
              <w:rPr>
                <w:rFonts w:cs="Arial"/>
                <w:sz w:val="20"/>
                <w:lang w:eastAsia="en-US"/>
              </w:rPr>
              <w:t>CB52</w:t>
            </w:r>
          </w:p>
        </w:tc>
        <w:tc>
          <w:tcPr>
            <w:tcW w:w="594" w:type="pct"/>
            <w:tcBorders>
              <w:top w:val="nil"/>
            </w:tcBorders>
            <w:shd w:val="clear" w:color="auto" w:fill="auto"/>
            <w:noWrap/>
            <w:vAlign w:val="bottom"/>
          </w:tcPr>
          <w:p w14:paraId="776FA523"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292</w:t>
            </w:r>
          </w:p>
        </w:tc>
        <w:tc>
          <w:tcPr>
            <w:tcW w:w="594" w:type="pct"/>
            <w:tcBorders>
              <w:top w:val="nil"/>
            </w:tcBorders>
            <w:shd w:val="clear" w:color="auto" w:fill="auto"/>
            <w:noWrap/>
            <w:vAlign w:val="bottom"/>
          </w:tcPr>
          <w:p w14:paraId="111F1997" w14:textId="77777777" w:rsidR="00FC360C" w:rsidRPr="004A64B0" w:rsidRDefault="00FC360C" w:rsidP="004A64B0">
            <w:pPr>
              <w:spacing w:line="240" w:lineRule="auto"/>
              <w:rPr>
                <w:rFonts w:cs="Arial"/>
                <w:sz w:val="20"/>
                <w:lang w:eastAsia="en-US"/>
              </w:rPr>
            </w:pPr>
            <w:r w:rsidRPr="004A64B0">
              <w:rPr>
                <w:rFonts w:cs="Arial"/>
                <w:sz w:val="20"/>
                <w:lang w:eastAsia="en-US"/>
              </w:rPr>
              <w:t>30.336</w:t>
            </w:r>
          </w:p>
        </w:tc>
        <w:tc>
          <w:tcPr>
            <w:tcW w:w="903" w:type="pct"/>
            <w:tcBorders>
              <w:top w:val="nil"/>
            </w:tcBorders>
            <w:shd w:val="clear" w:color="auto" w:fill="auto"/>
            <w:noWrap/>
            <w:vAlign w:val="bottom"/>
          </w:tcPr>
          <w:p w14:paraId="712582A7" w14:textId="77777777" w:rsidR="00FC360C" w:rsidRPr="004A64B0" w:rsidRDefault="00FC360C" w:rsidP="004A64B0">
            <w:pPr>
              <w:spacing w:line="240" w:lineRule="auto"/>
              <w:rPr>
                <w:rFonts w:cs="Arial"/>
                <w:sz w:val="20"/>
                <w:lang w:eastAsia="en-US"/>
              </w:rPr>
            </w:pPr>
            <w:r w:rsidRPr="004A64B0">
              <w:rPr>
                <w:rFonts w:cs="Arial"/>
                <w:sz w:val="20"/>
                <w:lang w:eastAsia="en-US"/>
              </w:rPr>
              <w:t>292</w:t>
            </w:r>
          </w:p>
        </w:tc>
        <w:tc>
          <w:tcPr>
            <w:tcW w:w="877" w:type="pct"/>
            <w:tcBorders>
              <w:top w:val="nil"/>
            </w:tcBorders>
            <w:shd w:val="clear" w:color="auto" w:fill="auto"/>
            <w:noWrap/>
            <w:vAlign w:val="bottom"/>
          </w:tcPr>
          <w:p w14:paraId="471247D7" w14:textId="77777777" w:rsidR="00FC360C" w:rsidRPr="004A64B0" w:rsidRDefault="00FC360C" w:rsidP="004A64B0">
            <w:pPr>
              <w:spacing w:line="240" w:lineRule="auto"/>
              <w:rPr>
                <w:rFonts w:cs="Arial"/>
                <w:sz w:val="20"/>
                <w:lang w:eastAsia="en-US"/>
              </w:rPr>
            </w:pPr>
            <w:r w:rsidRPr="004A64B0">
              <w:rPr>
                <w:rFonts w:cs="Arial"/>
                <w:sz w:val="20"/>
                <w:lang w:eastAsia="en-US"/>
              </w:rPr>
              <w:t>290</w:t>
            </w:r>
          </w:p>
        </w:tc>
        <w:tc>
          <w:tcPr>
            <w:tcW w:w="1021" w:type="pct"/>
            <w:tcBorders>
              <w:top w:val="nil"/>
              <w:right w:val="nil"/>
            </w:tcBorders>
            <w:shd w:val="clear" w:color="auto" w:fill="auto"/>
            <w:noWrap/>
            <w:vAlign w:val="bottom"/>
          </w:tcPr>
          <w:p w14:paraId="235AD0A9" w14:textId="77777777" w:rsidR="00FC360C" w:rsidRPr="004A64B0" w:rsidRDefault="00FC360C" w:rsidP="004A64B0">
            <w:pPr>
              <w:spacing w:line="240" w:lineRule="auto"/>
              <w:rPr>
                <w:rFonts w:cs="Arial"/>
                <w:sz w:val="20"/>
                <w:lang w:eastAsia="en-US"/>
              </w:rPr>
            </w:pPr>
            <w:r w:rsidRPr="004A64B0">
              <w:rPr>
                <w:rFonts w:cs="Arial"/>
                <w:sz w:val="20"/>
                <w:lang w:eastAsia="en-US"/>
              </w:rPr>
              <w:t>4</w:t>
            </w:r>
          </w:p>
        </w:tc>
      </w:tr>
      <w:tr w:rsidR="00FC360C" w:rsidRPr="00D06837" w14:paraId="1FA6B46D" w14:textId="77777777" w:rsidTr="004A64B0">
        <w:trPr>
          <w:trHeight w:val="255"/>
          <w:jc w:val="center"/>
        </w:trPr>
        <w:tc>
          <w:tcPr>
            <w:tcW w:w="1010" w:type="pct"/>
            <w:tcBorders>
              <w:top w:val="nil"/>
            </w:tcBorders>
            <w:shd w:val="clear" w:color="auto" w:fill="auto"/>
            <w:noWrap/>
            <w:vAlign w:val="bottom"/>
          </w:tcPr>
          <w:p w14:paraId="1ABCDAD1" w14:textId="77777777" w:rsidR="00FC360C" w:rsidRPr="004A64B0" w:rsidRDefault="00FC360C" w:rsidP="004A64B0">
            <w:pPr>
              <w:spacing w:line="240" w:lineRule="auto"/>
              <w:rPr>
                <w:rFonts w:cs="Arial"/>
                <w:sz w:val="20"/>
                <w:lang w:eastAsia="en-US"/>
              </w:rPr>
            </w:pPr>
            <w:r w:rsidRPr="004A64B0">
              <w:rPr>
                <w:rFonts w:cs="Arial"/>
                <w:sz w:val="20"/>
                <w:lang w:eastAsia="en-US"/>
              </w:rPr>
              <w:t>CB49</w:t>
            </w:r>
          </w:p>
        </w:tc>
        <w:tc>
          <w:tcPr>
            <w:tcW w:w="594" w:type="pct"/>
            <w:tcBorders>
              <w:top w:val="nil"/>
            </w:tcBorders>
            <w:shd w:val="clear" w:color="auto" w:fill="auto"/>
            <w:noWrap/>
            <w:vAlign w:val="bottom"/>
          </w:tcPr>
          <w:p w14:paraId="5A233B26"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292</w:t>
            </w:r>
          </w:p>
        </w:tc>
        <w:tc>
          <w:tcPr>
            <w:tcW w:w="594" w:type="pct"/>
            <w:tcBorders>
              <w:top w:val="nil"/>
            </w:tcBorders>
            <w:shd w:val="clear" w:color="auto" w:fill="auto"/>
            <w:noWrap/>
            <w:vAlign w:val="bottom"/>
          </w:tcPr>
          <w:p w14:paraId="14A0F5A0" w14:textId="77777777" w:rsidR="00FC360C" w:rsidRPr="004A64B0" w:rsidRDefault="00FC360C" w:rsidP="004A64B0">
            <w:pPr>
              <w:spacing w:line="240" w:lineRule="auto"/>
              <w:rPr>
                <w:rFonts w:cs="Arial"/>
                <w:sz w:val="20"/>
                <w:lang w:eastAsia="en-US"/>
              </w:rPr>
            </w:pPr>
            <w:r w:rsidRPr="004A64B0">
              <w:rPr>
                <w:rFonts w:cs="Arial"/>
                <w:sz w:val="20"/>
                <w:lang w:eastAsia="en-US"/>
              </w:rPr>
              <w:t>30.698</w:t>
            </w:r>
          </w:p>
        </w:tc>
        <w:tc>
          <w:tcPr>
            <w:tcW w:w="903" w:type="pct"/>
            <w:tcBorders>
              <w:top w:val="nil"/>
            </w:tcBorders>
            <w:shd w:val="clear" w:color="auto" w:fill="auto"/>
            <w:noWrap/>
            <w:vAlign w:val="bottom"/>
          </w:tcPr>
          <w:p w14:paraId="7DFBC646" w14:textId="77777777" w:rsidR="00FC360C" w:rsidRPr="004A64B0" w:rsidRDefault="00FC360C" w:rsidP="004A64B0">
            <w:pPr>
              <w:spacing w:line="240" w:lineRule="auto"/>
              <w:rPr>
                <w:rFonts w:cs="Arial"/>
                <w:sz w:val="20"/>
                <w:lang w:eastAsia="en-US"/>
              </w:rPr>
            </w:pPr>
            <w:r w:rsidRPr="004A64B0">
              <w:rPr>
                <w:rFonts w:cs="Arial"/>
                <w:sz w:val="20"/>
                <w:lang w:eastAsia="en-US"/>
              </w:rPr>
              <w:t>292</w:t>
            </w:r>
          </w:p>
        </w:tc>
        <w:tc>
          <w:tcPr>
            <w:tcW w:w="877" w:type="pct"/>
            <w:tcBorders>
              <w:top w:val="nil"/>
            </w:tcBorders>
            <w:shd w:val="clear" w:color="auto" w:fill="auto"/>
            <w:noWrap/>
            <w:vAlign w:val="bottom"/>
          </w:tcPr>
          <w:p w14:paraId="3EF272C0" w14:textId="77777777" w:rsidR="00FC360C" w:rsidRPr="004A64B0" w:rsidRDefault="00FC360C" w:rsidP="004A64B0">
            <w:pPr>
              <w:spacing w:line="240" w:lineRule="auto"/>
              <w:rPr>
                <w:rFonts w:cs="Arial"/>
                <w:sz w:val="20"/>
                <w:lang w:eastAsia="en-US"/>
              </w:rPr>
            </w:pPr>
            <w:r w:rsidRPr="004A64B0">
              <w:rPr>
                <w:rFonts w:cs="Arial"/>
                <w:sz w:val="20"/>
                <w:lang w:eastAsia="en-US"/>
              </w:rPr>
              <w:t>290</w:t>
            </w:r>
          </w:p>
        </w:tc>
        <w:tc>
          <w:tcPr>
            <w:tcW w:w="1021" w:type="pct"/>
            <w:tcBorders>
              <w:top w:val="nil"/>
              <w:right w:val="nil"/>
            </w:tcBorders>
            <w:shd w:val="clear" w:color="auto" w:fill="auto"/>
            <w:noWrap/>
            <w:vAlign w:val="bottom"/>
          </w:tcPr>
          <w:p w14:paraId="76290B62" w14:textId="77777777" w:rsidR="00FC360C" w:rsidRPr="004A64B0" w:rsidRDefault="00FC360C" w:rsidP="004A64B0">
            <w:pPr>
              <w:spacing w:line="240" w:lineRule="auto"/>
              <w:rPr>
                <w:rFonts w:cs="Arial"/>
                <w:sz w:val="20"/>
                <w:lang w:eastAsia="en-US"/>
              </w:rPr>
            </w:pPr>
            <w:r w:rsidRPr="004A64B0">
              <w:rPr>
                <w:rFonts w:cs="Arial"/>
                <w:sz w:val="20"/>
                <w:lang w:eastAsia="en-US"/>
              </w:rPr>
              <w:t>4</w:t>
            </w:r>
          </w:p>
        </w:tc>
      </w:tr>
      <w:tr w:rsidR="00FC360C" w:rsidRPr="00D06837" w14:paraId="3E9B9020" w14:textId="77777777" w:rsidTr="004A64B0">
        <w:trPr>
          <w:trHeight w:val="255"/>
          <w:jc w:val="center"/>
        </w:trPr>
        <w:tc>
          <w:tcPr>
            <w:tcW w:w="1010" w:type="pct"/>
            <w:tcBorders>
              <w:top w:val="nil"/>
            </w:tcBorders>
            <w:shd w:val="clear" w:color="auto" w:fill="auto"/>
            <w:noWrap/>
            <w:vAlign w:val="bottom"/>
          </w:tcPr>
          <w:p w14:paraId="59647CF5" w14:textId="77777777" w:rsidR="00FC360C" w:rsidRPr="004A64B0" w:rsidRDefault="00FC360C" w:rsidP="004A64B0">
            <w:pPr>
              <w:spacing w:line="240" w:lineRule="auto"/>
              <w:rPr>
                <w:rFonts w:cs="Arial"/>
                <w:sz w:val="20"/>
                <w:lang w:eastAsia="en-US"/>
              </w:rPr>
            </w:pPr>
            <w:r w:rsidRPr="004A64B0">
              <w:rPr>
                <w:rFonts w:cs="Arial"/>
                <w:sz w:val="20"/>
                <w:lang w:eastAsia="en-US"/>
              </w:rPr>
              <w:t>CB44</w:t>
            </w:r>
          </w:p>
        </w:tc>
        <w:tc>
          <w:tcPr>
            <w:tcW w:w="594" w:type="pct"/>
            <w:tcBorders>
              <w:top w:val="nil"/>
            </w:tcBorders>
            <w:shd w:val="clear" w:color="auto" w:fill="auto"/>
            <w:noWrap/>
            <w:vAlign w:val="bottom"/>
          </w:tcPr>
          <w:p w14:paraId="7F1AA827"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292</w:t>
            </w:r>
          </w:p>
        </w:tc>
        <w:tc>
          <w:tcPr>
            <w:tcW w:w="594" w:type="pct"/>
            <w:tcBorders>
              <w:top w:val="nil"/>
            </w:tcBorders>
            <w:shd w:val="clear" w:color="auto" w:fill="auto"/>
            <w:noWrap/>
            <w:vAlign w:val="bottom"/>
          </w:tcPr>
          <w:p w14:paraId="3CB1E89D" w14:textId="77777777" w:rsidR="00FC360C" w:rsidRPr="004A64B0" w:rsidRDefault="00FC360C" w:rsidP="004A64B0">
            <w:pPr>
              <w:spacing w:line="240" w:lineRule="auto"/>
              <w:rPr>
                <w:rFonts w:cs="Arial"/>
                <w:sz w:val="20"/>
                <w:lang w:eastAsia="en-US"/>
              </w:rPr>
            </w:pPr>
            <w:r w:rsidRPr="004A64B0">
              <w:rPr>
                <w:rFonts w:cs="Arial"/>
                <w:sz w:val="20"/>
                <w:lang w:eastAsia="en-US"/>
              </w:rPr>
              <w:t>32.024</w:t>
            </w:r>
          </w:p>
        </w:tc>
        <w:tc>
          <w:tcPr>
            <w:tcW w:w="903" w:type="pct"/>
            <w:tcBorders>
              <w:top w:val="nil"/>
            </w:tcBorders>
            <w:shd w:val="clear" w:color="auto" w:fill="auto"/>
            <w:noWrap/>
            <w:vAlign w:val="bottom"/>
          </w:tcPr>
          <w:p w14:paraId="1035A009" w14:textId="77777777" w:rsidR="00FC360C" w:rsidRPr="004A64B0" w:rsidRDefault="00FC360C" w:rsidP="004A64B0">
            <w:pPr>
              <w:spacing w:line="240" w:lineRule="auto"/>
              <w:rPr>
                <w:rFonts w:cs="Arial"/>
                <w:sz w:val="20"/>
                <w:lang w:eastAsia="en-US"/>
              </w:rPr>
            </w:pPr>
            <w:r w:rsidRPr="004A64B0">
              <w:rPr>
                <w:rFonts w:cs="Arial"/>
                <w:sz w:val="20"/>
                <w:lang w:eastAsia="en-US"/>
              </w:rPr>
              <w:t>292</w:t>
            </w:r>
          </w:p>
        </w:tc>
        <w:tc>
          <w:tcPr>
            <w:tcW w:w="877" w:type="pct"/>
            <w:tcBorders>
              <w:top w:val="nil"/>
            </w:tcBorders>
            <w:shd w:val="clear" w:color="auto" w:fill="auto"/>
            <w:noWrap/>
            <w:vAlign w:val="bottom"/>
          </w:tcPr>
          <w:p w14:paraId="74493A4E" w14:textId="77777777" w:rsidR="00FC360C" w:rsidRPr="004A64B0" w:rsidRDefault="00FC360C" w:rsidP="004A64B0">
            <w:pPr>
              <w:spacing w:line="240" w:lineRule="auto"/>
              <w:rPr>
                <w:rFonts w:cs="Arial"/>
                <w:sz w:val="20"/>
                <w:lang w:eastAsia="en-US"/>
              </w:rPr>
            </w:pPr>
            <w:r w:rsidRPr="004A64B0">
              <w:rPr>
                <w:rFonts w:cs="Arial"/>
                <w:sz w:val="20"/>
                <w:lang w:eastAsia="en-US"/>
              </w:rPr>
              <w:t>290</w:t>
            </w:r>
          </w:p>
        </w:tc>
        <w:tc>
          <w:tcPr>
            <w:tcW w:w="1021" w:type="pct"/>
            <w:tcBorders>
              <w:top w:val="nil"/>
              <w:right w:val="nil"/>
            </w:tcBorders>
            <w:shd w:val="clear" w:color="auto" w:fill="auto"/>
            <w:noWrap/>
            <w:vAlign w:val="bottom"/>
          </w:tcPr>
          <w:p w14:paraId="384EB5A7" w14:textId="77777777" w:rsidR="00FC360C" w:rsidRPr="004A64B0" w:rsidRDefault="00FC360C" w:rsidP="004A64B0">
            <w:pPr>
              <w:spacing w:line="240" w:lineRule="auto"/>
              <w:rPr>
                <w:rFonts w:cs="Arial"/>
                <w:sz w:val="20"/>
                <w:lang w:eastAsia="en-US"/>
              </w:rPr>
            </w:pPr>
            <w:r w:rsidRPr="004A64B0">
              <w:rPr>
                <w:rFonts w:cs="Arial"/>
                <w:sz w:val="20"/>
                <w:lang w:eastAsia="en-US"/>
              </w:rPr>
              <w:t>4</w:t>
            </w:r>
          </w:p>
        </w:tc>
      </w:tr>
      <w:tr w:rsidR="00FC360C" w:rsidRPr="00D06837" w14:paraId="1A43FC7C" w14:textId="77777777" w:rsidTr="004A64B0">
        <w:trPr>
          <w:trHeight w:val="255"/>
          <w:jc w:val="center"/>
        </w:trPr>
        <w:tc>
          <w:tcPr>
            <w:tcW w:w="1010" w:type="pct"/>
            <w:tcBorders>
              <w:top w:val="nil"/>
            </w:tcBorders>
            <w:shd w:val="clear" w:color="auto" w:fill="auto"/>
            <w:noWrap/>
            <w:vAlign w:val="bottom"/>
          </w:tcPr>
          <w:p w14:paraId="70F4E7E6" w14:textId="77777777" w:rsidR="00FC360C" w:rsidRPr="004A64B0" w:rsidRDefault="00FC360C" w:rsidP="004A64B0">
            <w:pPr>
              <w:spacing w:line="240" w:lineRule="auto"/>
              <w:rPr>
                <w:rFonts w:cs="Arial"/>
                <w:sz w:val="20"/>
                <w:lang w:eastAsia="en-US"/>
              </w:rPr>
            </w:pPr>
            <w:r w:rsidRPr="004A64B0">
              <w:rPr>
                <w:rFonts w:cs="Arial"/>
                <w:sz w:val="20"/>
                <w:lang w:eastAsia="en-US"/>
              </w:rPr>
              <w:t>CB74</w:t>
            </w:r>
          </w:p>
        </w:tc>
        <w:tc>
          <w:tcPr>
            <w:tcW w:w="594" w:type="pct"/>
            <w:tcBorders>
              <w:top w:val="nil"/>
            </w:tcBorders>
            <w:shd w:val="clear" w:color="auto" w:fill="auto"/>
            <w:noWrap/>
            <w:vAlign w:val="bottom"/>
          </w:tcPr>
          <w:p w14:paraId="7E715F4F"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292</w:t>
            </w:r>
          </w:p>
        </w:tc>
        <w:tc>
          <w:tcPr>
            <w:tcW w:w="594" w:type="pct"/>
            <w:tcBorders>
              <w:top w:val="nil"/>
            </w:tcBorders>
            <w:shd w:val="clear" w:color="auto" w:fill="auto"/>
            <w:noWrap/>
            <w:vAlign w:val="bottom"/>
          </w:tcPr>
          <w:p w14:paraId="5E62442C" w14:textId="77777777" w:rsidR="00FC360C" w:rsidRPr="004A64B0" w:rsidRDefault="00FC360C" w:rsidP="004A64B0">
            <w:pPr>
              <w:spacing w:line="240" w:lineRule="auto"/>
              <w:rPr>
                <w:rFonts w:cs="Arial"/>
                <w:sz w:val="20"/>
                <w:lang w:eastAsia="en-US"/>
              </w:rPr>
            </w:pPr>
            <w:r w:rsidRPr="004A64B0">
              <w:rPr>
                <w:rFonts w:cs="Arial"/>
                <w:sz w:val="20"/>
                <w:lang w:eastAsia="en-US"/>
              </w:rPr>
              <w:t>34.881</w:t>
            </w:r>
          </w:p>
        </w:tc>
        <w:tc>
          <w:tcPr>
            <w:tcW w:w="903" w:type="pct"/>
            <w:tcBorders>
              <w:top w:val="nil"/>
            </w:tcBorders>
            <w:shd w:val="clear" w:color="auto" w:fill="auto"/>
            <w:noWrap/>
            <w:vAlign w:val="bottom"/>
          </w:tcPr>
          <w:p w14:paraId="7ADE2A2A" w14:textId="77777777" w:rsidR="00FC360C" w:rsidRPr="004A64B0" w:rsidRDefault="00FC360C" w:rsidP="004A64B0">
            <w:pPr>
              <w:spacing w:line="240" w:lineRule="auto"/>
              <w:rPr>
                <w:rFonts w:cs="Arial"/>
                <w:sz w:val="20"/>
                <w:lang w:eastAsia="en-US"/>
              </w:rPr>
            </w:pPr>
            <w:r w:rsidRPr="004A64B0">
              <w:rPr>
                <w:rFonts w:cs="Arial"/>
                <w:sz w:val="20"/>
                <w:lang w:eastAsia="en-US"/>
              </w:rPr>
              <w:t>292</w:t>
            </w:r>
          </w:p>
        </w:tc>
        <w:tc>
          <w:tcPr>
            <w:tcW w:w="877" w:type="pct"/>
            <w:tcBorders>
              <w:top w:val="nil"/>
            </w:tcBorders>
            <w:shd w:val="clear" w:color="auto" w:fill="auto"/>
            <w:noWrap/>
            <w:vAlign w:val="bottom"/>
          </w:tcPr>
          <w:p w14:paraId="380499D3" w14:textId="77777777" w:rsidR="00FC360C" w:rsidRPr="004A64B0" w:rsidRDefault="00FC360C" w:rsidP="004A64B0">
            <w:pPr>
              <w:spacing w:line="240" w:lineRule="auto"/>
              <w:rPr>
                <w:rFonts w:cs="Arial"/>
                <w:sz w:val="20"/>
                <w:lang w:eastAsia="en-US"/>
              </w:rPr>
            </w:pPr>
            <w:r w:rsidRPr="004A64B0">
              <w:rPr>
                <w:rFonts w:cs="Arial"/>
                <w:sz w:val="20"/>
                <w:lang w:eastAsia="en-US"/>
              </w:rPr>
              <w:t>290</w:t>
            </w:r>
          </w:p>
        </w:tc>
        <w:tc>
          <w:tcPr>
            <w:tcW w:w="1021" w:type="pct"/>
            <w:tcBorders>
              <w:top w:val="nil"/>
              <w:right w:val="nil"/>
            </w:tcBorders>
            <w:shd w:val="clear" w:color="auto" w:fill="auto"/>
            <w:noWrap/>
            <w:vAlign w:val="bottom"/>
          </w:tcPr>
          <w:p w14:paraId="238E0434" w14:textId="77777777" w:rsidR="00FC360C" w:rsidRPr="004A64B0" w:rsidRDefault="00FC360C" w:rsidP="004A64B0">
            <w:pPr>
              <w:spacing w:line="240" w:lineRule="auto"/>
              <w:rPr>
                <w:rFonts w:cs="Arial"/>
                <w:sz w:val="20"/>
                <w:lang w:eastAsia="en-US"/>
              </w:rPr>
            </w:pPr>
            <w:r w:rsidRPr="004A64B0">
              <w:rPr>
                <w:rFonts w:cs="Arial"/>
                <w:sz w:val="20"/>
                <w:lang w:eastAsia="en-US"/>
              </w:rPr>
              <w:t>4</w:t>
            </w:r>
          </w:p>
        </w:tc>
      </w:tr>
      <w:tr w:rsidR="00FC360C" w:rsidRPr="00D06837" w14:paraId="4EDE91F0" w14:textId="77777777" w:rsidTr="004A64B0">
        <w:trPr>
          <w:trHeight w:val="255"/>
          <w:jc w:val="center"/>
        </w:trPr>
        <w:tc>
          <w:tcPr>
            <w:tcW w:w="1010" w:type="pct"/>
            <w:tcBorders>
              <w:top w:val="nil"/>
            </w:tcBorders>
            <w:shd w:val="clear" w:color="auto" w:fill="auto"/>
            <w:noWrap/>
            <w:vAlign w:val="bottom"/>
          </w:tcPr>
          <w:p w14:paraId="3D39E05D" w14:textId="77777777" w:rsidR="00FC360C" w:rsidRPr="004A64B0" w:rsidRDefault="00FC360C" w:rsidP="004A64B0">
            <w:pPr>
              <w:spacing w:line="240" w:lineRule="auto"/>
              <w:rPr>
                <w:rFonts w:cs="Arial"/>
                <w:sz w:val="20"/>
                <w:lang w:eastAsia="en-US"/>
              </w:rPr>
            </w:pPr>
            <w:r w:rsidRPr="004A64B0">
              <w:rPr>
                <w:rFonts w:cs="Arial"/>
                <w:sz w:val="20"/>
                <w:lang w:eastAsia="en-US"/>
              </w:rPr>
              <w:t>CB70</w:t>
            </w:r>
          </w:p>
        </w:tc>
        <w:tc>
          <w:tcPr>
            <w:tcW w:w="594" w:type="pct"/>
            <w:tcBorders>
              <w:top w:val="nil"/>
            </w:tcBorders>
            <w:shd w:val="clear" w:color="auto" w:fill="auto"/>
            <w:noWrap/>
            <w:vAlign w:val="bottom"/>
          </w:tcPr>
          <w:p w14:paraId="706115EA"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292</w:t>
            </w:r>
          </w:p>
        </w:tc>
        <w:tc>
          <w:tcPr>
            <w:tcW w:w="594" w:type="pct"/>
            <w:tcBorders>
              <w:top w:val="nil"/>
            </w:tcBorders>
            <w:shd w:val="clear" w:color="auto" w:fill="auto"/>
            <w:noWrap/>
            <w:vAlign w:val="bottom"/>
          </w:tcPr>
          <w:p w14:paraId="5792B2CF" w14:textId="77777777" w:rsidR="00FC360C" w:rsidRPr="004A64B0" w:rsidRDefault="00FC360C" w:rsidP="004A64B0">
            <w:pPr>
              <w:spacing w:line="240" w:lineRule="auto"/>
              <w:rPr>
                <w:rFonts w:cs="Arial"/>
                <w:sz w:val="20"/>
                <w:lang w:eastAsia="en-US"/>
              </w:rPr>
            </w:pPr>
            <w:r w:rsidRPr="004A64B0">
              <w:rPr>
                <w:rFonts w:cs="Arial"/>
                <w:sz w:val="20"/>
                <w:lang w:eastAsia="en-US"/>
              </w:rPr>
              <w:t>35.199</w:t>
            </w:r>
          </w:p>
        </w:tc>
        <w:tc>
          <w:tcPr>
            <w:tcW w:w="903" w:type="pct"/>
            <w:tcBorders>
              <w:top w:val="nil"/>
            </w:tcBorders>
            <w:shd w:val="clear" w:color="auto" w:fill="auto"/>
            <w:noWrap/>
            <w:vAlign w:val="bottom"/>
          </w:tcPr>
          <w:p w14:paraId="31E29255" w14:textId="77777777" w:rsidR="00FC360C" w:rsidRPr="004A64B0" w:rsidRDefault="00FC360C" w:rsidP="004A64B0">
            <w:pPr>
              <w:spacing w:line="240" w:lineRule="auto"/>
              <w:rPr>
                <w:rFonts w:cs="Arial"/>
                <w:sz w:val="20"/>
                <w:lang w:eastAsia="en-US"/>
              </w:rPr>
            </w:pPr>
            <w:r w:rsidRPr="004A64B0">
              <w:rPr>
                <w:rFonts w:cs="Arial"/>
                <w:sz w:val="20"/>
                <w:lang w:eastAsia="en-US"/>
              </w:rPr>
              <w:t>292</w:t>
            </w:r>
          </w:p>
        </w:tc>
        <w:tc>
          <w:tcPr>
            <w:tcW w:w="877" w:type="pct"/>
            <w:tcBorders>
              <w:top w:val="nil"/>
            </w:tcBorders>
            <w:shd w:val="clear" w:color="auto" w:fill="auto"/>
            <w:noWrap/>
            <w:vAlign w:val="bottom"/>
          </w:tcPr>
          <w:p w14:paraId="5C148644" w14:textId="77777777" w:rsidR="00FC360C" w:rsidRPr="004A64B0" w:rsidRDefault="00FC360C" w:rsidP="004A64B0">
            <w:pPr>
              <w:spacing w:line="240" w:lineRule="auto"/>
              <w:rPr>
                <w:rFonts w:cs="Arial"/>
                <w:sz w:val="20"/>
                <w:lang w:eastAsia="en-US"/>
              </w:rPr>
            </w:pPr>
            <w:r w:rsidRPr="004A64B0">
              <w:rPr>
                <w:rFonts w:cs="Arial"/>
                <w:sz w:val="20"/>
                <w:lang w:eastAsia="en-US"/>
              </w:rPr>
              <w:t>290</w:t>
            </w:r>
          </w:p>
        </w:tc>
        <w:tc>
          <w:tcPr>
            <w:tcW w:w="1021" w:type="pct"/>
            <w:tcBorders>
              <w:top w:val="nil"/>
              <w:right w:val="nil"/>
            </w:tcBorders>
            <w:shd w:val="clear" w:color="auto" w:fill="auto"/>
            <w:noWrap/>
            <w:vAlign w:val="bottom"/>
          </w:tcPr>
          <w:p w14:paraId="1A6FD22C" w14:textId="77777777" w:rsidR="00FC360C" w:rsidRPr="004A64B0" w:rsidRDefault="00FC360C" w:rsidP="004A64B0">
            <w:pPr>
              <w:spacing w:line="240" w:lineRule="auto"/>
              <w:rPr>
                <w:rFonts w:cs="Arial"/>
                <w:sz w:val="20"/>
                <w:lang w:eastAsia="en-US"/>
              </w:rPr>
            </w:pPr>
            <w:r w:rsidRPr="004A64B0">
              <w:rPr>
                <w:rFonts w:cs="Arial"/>
                <w:sz w:val="20"/>
                <w:lang w:eastAsia="en-US"/>
              </w:rPr>
              <w:t>4</w:t>
            </w:r>
          </w:p>
        </w:tc>
      </w:tr>
      <w:tr w:rsidR="00FC360C" w:rsidRPr="00D06837" w14:paraId="5B711AB3" w14:textId="77777777" w:rsidTr="004A64B0">
        <w:trPr>
          <w:trHeight w:val="255"/>
          <w:jc w:val="center"/>
        </w:trPr>
        <w:tc>
          <w:tcPr>
            <w:tcW w:w="1010" w:type="pct"/>
            <w:tcBorders>
              <w:top w:val="nil"/>
            </w:tcBorders>
            <w:shd w:val="clear" w:color="auto" w:fill="auto"/>
            <w:noWrap/>
            <w:vAlign w:val="bottom"/>
          </w:tcPr>
          <w:p w14:paraId="4B91879E" w14:textId="77777777" w:rsidR="00FC360C" w:rsidRPr="004A64B0" w:rsidRDefault="00FC360C" w:rsidP="004A64B0">
            <w:pPr>
              <w:spacing w:line="240" w:lineRule="auto"/>
              <w:rPr>
                <w:rFonts w:cs="Arial"/>
                <w:b/>
                <w:bCs/>
                <w:i/>
                <w:iCs/>
                <w:sz w:val="20"/>
                <w:lang w:eastAsia="en-US"/>
              </w:rPr>
            </w:pPr>
            <w:r w:rsidRPr="004A64B0">
              <w:rPr>
                <w:rFonts w:cs="Arial"/>
                <w:b/>
                <w:bCs/>
                <w:i/>
                <w:iCs/>
                <w:sz w:val="20"/>
                <w:vertAlign w:val="superscript"/>
                <w:lang w:eastAsia="en-US"/>
              </w:rPr>
              <w:t>13</w:t>
            </w:r>
            <w:r w:rsidRPr="004A64B0">
              <w:rPr>
                <w:rFonts w:cs="Arial"/>
                <w:b/>
                <w:bCs/>
                <w:i/>
                <w:iCs/>
                <w:sz w:val="20"/>
                <w:lang w:eastAsia="en-US"/>
              </w:rPr>
              <w:t>C-CB101</w:t>
            </w:r>
          </w:p>
        </w:tc>
        <w:tc>
          <w:tcPr>
            <w:tcW w:w="594" w:type="pct"/>
            <w:tcBorders>
              <w:top w:val="nil"/>
            </w:tcBorders>
            <w:shd w:val="clear" w:color="auto" w:fill="auto"/>
            <w:noWrap/>
            <w:vAlign w:val="bottom"/>
          </w:tcPr>
          <w:p w14:paraId="290C93AA"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340</w:t>
            </w:r>
          </w:p>
        </w:tc>
        <w:tc>
          <w:tcPr>
            <w:tcW w:w="594" w:type="pct"/>
            <w:tcBorders>
              <w:top w:val="nil"/>
            </w:tcBorders>
            <w:shd w:val="clear" w:color="auto" w:fill="auto"/>
            <w:noWrap/>
            <w:vAlign w:val="bottom"/>
          </w:tcPr>
          <w:p w14:paraId="62899D5F" w14:textId="77777777" w:rsidR="00FC360C" w:rsidRPr="004A64B0" w:rsidRDefault="00FC360C" w:rsidP="004A64B0">
            <w:pPr>
              <w:spacing w:line="240" w:lineRule="auto"/>
              <w:rPr>
                <w:rFonts w:cs="Arial"/>
                <w:sz w:val="20"/>
                <w:lang w:eastAsia="en-US"/>
              </w:rPr>
            </w:pPr>
            <w:r w:rsidRPr="004A64B0">
              <w:rPr>
                <w:rFonts w:cs="Arial"/>
                <w:sz w:val="20"/>
                <w:lang w:eastAsia="en-US"/>
              </w:rPr>
              <w:t>36.612</w:t>
            </w:r>
          </w:p>
        </w:tc>
        <w:tc>
          <w:tcPr>
            <w:tcW w:w="903" w:type="pct"/>
            <w:tcBorders>
              <w:top w:val="nil"/>
            </w:tcBorders>
            <w:shd w:val="clear" w:color="auto" w:fill="auto"/>
            <w:noWrap/>
            <w:vAlign w:val="bottom"/>
          </w:tcPr>
          <w:p w14:paraId="546743B1" w14:textId="77777777" w:rsidR="00FC360C" w:rsidRPr="004A64B0" w:rsidRDefault="00FC360C" w:rsidP="004A64B0">
            <w:pPr>
              <w:spacing w:line="240" w:lineRule="auto"/>
              <w:rPr>
                <w:rFonts w:cs="Arial"/>
                <w:sz w:val="20"/>
                <w:lang w:eastAsia="en-US"/>
              </w:rPr>
            </w:pPr>
            <w:r w:rsidRPr="004A64B0">
              <w:rPr>
                <w:rFonts w:cs="Arial"/>
                <w:sz w:val="20"/>
                <w:lang w:eastAsia="en-US"/>
              </w:rPr>
              <w:t>338</w:t>
            </w:r>
          </w:p>
        </w:tc>
        <w:tc>
          <w:tcPr>
            <w:tcW w:w="877" w:type="pct"/>
            <w:tcBorders>
              <w:top w:val="nil"/>
            </w:tcBorders>
            <w:shd w:val="clear" w:color="auto" w:fill="auto"/>
            <w:noWrap/>
            <w:vAlign w:val="bottom"/>
          </w:tcPr>
          <w:p w14:paraId="189CB2A6" w14:textId="77777777" w:rsidR="00FC360C" w:rsidRPr="004A64B0" w:rsidRDefault="00FC360C" w:rsidP="004A64B0">
            <w:pPr>
              <w:spacing w:line="240" w:lineRule="auto"/>
              <w:rPr>
                <w:rFonts w:cs="Arial"/>
                <w:sz w:val="20"/>
                <w:lang w:eastAsia="en-US"/>
              </w:rPr>
            </w:pPr>
            <w:r w:rsidRPr="004A64B0">
              <w:rPr>
                <w:rFonts w:cs="Arial"/>
                <w:sz w:val="20"/>
                <w:lang w:eastAsia="en-US"/>
              </w:rPr>
              <w:t>340</w:t>
            </w:r>
          </w:p>
        </w:tc>
        <w:tc>
          <w:tcPr>
            <w:tcW w:w="1021" w:type="pct"/>
            <w:tcBorders>
              <w:top w:val="nil"/>
              <w:right w:val="nil"/>
            </w:tcBorders>
            <w:shd w:val="clear" w:color="auto" w:fill="auto"/>
            <w:noWrap/>
            <w:vAlign w:val="bottom"/>
          </w:tcPr>
          <w:p w14:paraId="4E7E3982" w14:textId="77777777" w:rsidR="00FC360C" w:rsidRPr="004A64B0" w:rsidRDefault="00FC360C" w:rsidP="004A64B0">
            <w:pPr>
              <w:spacing w:line="240" w:lineRule="auto"/>
              <w:rPr>
                <w:rFonts w:cs="Arial"/>
                <w:sz w:val="20"/>
                <w:lang w:eastAsia="en-US"/>
              </w:rPr>
            </w:pPr>
            <w:r w:rsidRPr="004A64B0">
              <w:rPr>
                <w:rFonts w:cs="Arial"/>
                <w:sz w:val="20"/>
                <w:lang w:eastAsia="en-US"/>
              </w:rPr>
              <w:t>5</w:t>
            </w:r>
          </w:p>
        </w:tc>
      </w:tr>
      <w:tr w:rsidR="00FC360C" w:rsidRPr="00D06837" w14:paraId="156934CF" w14:textId="77777777" w:rsidTr="004A64B0">
        <w:trPr>
          <w:trHeight w:val="255"/>
          <w:jc w:val="center"/>
        </w:trPr>
        <w:tc>
          <w:tcPr>
            <w:tcW w:w="1010" w:type="pct"/>
            <w:tcBorders>
              <w:top w:val="nil"/>
            </w:tcBorders>
            <w:shd w:val="clear" w:color="auto" w:fill="auto"/>
            <w:noWrap/>
            <w:vAlign w:val="bottom"/>
          </w:tcPr>
          <w:p w14:paraId="1D1A2324" w14:textId="77777777" w:rsidR="00FC360C" w:rsidRPr="004A64B0" w:rsidRDefault="00FC360C" w:rsidP="004A64B0">
            <w:pPr>
              <w:spacing w:line="240" w:lineRule="auto"/>
              <w:rPr>
                <w:rFonts w:cs="Arial"/>
                <w:sz w:val="20"/>
                <w:lang w:eastAsia="en-US"/>
              </w:rPr>
            </w:pPr>
            <w:r w:rsidRPr="004A64B0">
              <w:rPr>
                <w:rFonts w:cs="Arial"/>
                <w:sz w:val="20"/>
                <w:lang w:eastAsia="en-US"/>
              </w:rPr>
              <w:t>CB101</w:t>
            </w:r>
          </w:p>
        </w:tc>
        <w:tc>
          <w:tcPr>
            <w:tcW w:w="594" w:type="pct"/>
            <w:tcBorders>
              <w:top w:val="nil"/>
            </w:tcBorders>
            <w:shd w:val="clear" w:color="auto" w:fill="auto"/>
            <w:noWrap/>
            <w:vAlign w:val="bottom"/>
          </w:tcPr>
          <w:p w14:paraId="0EC2D4F4"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326</w:t>
            </w:r>
          </w:p>
        </w:tc>
        <w:tc>
          <w:tcPr>
            <w:tcW w:w="594" w:type="pct"/>
            <w:tcBorders>
              <w:top w:val="nil"/>
            </w:tcBorders>
            <w:shd w:val="clear" w:color="auto" w:fill="auto"/>
            <w:noWrap/>
            <w:vAlign w:val="bottom"/>
          </w:tcPr>
          <w:p w14:paraId="637042F2" w14:textId="77777777" w:rsidR="00FC360C" w:rsidRPr="004A64B0" w:rsidRDefault="00FC360C" w:rsidP="004A64B0">
            <w:pPr>
              <w:spacing w:line="240" w:lineRule="auto"/>
              <w:rPr>
                <w:rFonts w:cs="Arial"/>
                <w:sz w:val="20"/>
                <w:lang w:eastAsia="en-US"/>
              </w:rPr>
            </w:pPr>
            <w:r w:rsidRPr="004A64B0">
              <w:rPr>
                <w:rFonts w:cs="Arial"/>
                <w:sz w:val="20"/>
                <w:lang w:eastAsia="en-US"/>
              </w:rPr>
              <w:t>36.630</w:t>
            </w:r>
          </w:p>
        </w:tc>
        <w:tc>
          <w:tcPr>
            <w:tcW w:w="903" w:type="pct"/>
            <w:tcBorders>
              <w:top w:val="nil"/>
            </w:tcBorders>
            <w:shd w:val="clear" w:color="auto" w:fill="auto"/>
            <w:noWrap/>
            <w:vAlign w:val="bottom"/>
          </w:tcPr>
          <w:p w14:paraId="64C5217E" w14:textId="77777777" w:rsidR="00FC360C" w:rsidRPr="004A64B0" w:rsidRDefault="00FC360C" w:rsidP="004A64B0">
            <w:pPr>
              <w:spacing w:line="240" w:lineRule="auto"/>
              <w:rPr>
                <w:rFonts w:cs="Arial"/>
                <w:sz w:val="20"/>
                <w:lang w:eastAsia="en-US"/>
              </w:rPr>
            </w:pPr>
            <w:r w:rsidRPr="004A64B0">
              <w:rPr>
                <w:rFonts w:cs="Arial"/>
                <w:sz w:val="20"/>
                <w:lang w:eastAsia="en-US"/>
              </w:rPr>
              <w:t>326</w:t>
            </w:r>
          </w:p>
        </w:tc>
        <w:tc>
          <w:tcPr>
            <w:tcW w:w="877" w:type="pct"/>
            <w:tcBorders>
              <w:top w:val="nil"/>
            </w:tcBorders>
            <w:shd w:val="clear" w:color="auto" w:fill="auto"/>
            <w:noWrap/>
            <w:vAlign w:val="bottom"/>
          </w:tcPr>
          <w:p w14:paraId="79A2C7F8" w14:textId="77777777" w:rsidR="00FC360C" w:rsidRPr="004A64B0" w:rsidRDefault="00FC360C" w:rsidP="004A64B0">
            <w:pPr>
              <w:spacing w:line="240" w:lineRule="auto"/>
              <w:rPr>
                <w:rFonts w:cs="Arial"/>
                <w:sz w:val="20"/>
                <w:lang w:eastAsia="en-US"/>
              </w:rPr>
            </w:pPr>
            <w:r w:rsidRPr="004A64B0">
              <w:rPr>
                <w:rFonts w:cs="Arial"/>
                <w:sz w:val="20"/>
                <w:lang w:eastAsia="en-US"/>
              </w:rPr>
              <w:t>328</w:t>
            </w:r>
          </w:p>
        </w:tc>
        <w:tc>
          <w:tcPr>
            <w:tcW w:w="1021" w:type="pct"/>
            <w:tcBorders>
              <w:top w:val="nil"/>
              <w:right w:val="nil"/>
            </w:tcBorders>
            <w:shd w:val="clear" w:color="auto" w:fill="auto"/>
            <w:noWrap/>
            <w:vAlign w:val="bottom"/>
          </w:tcPr>
          <w:p w14:paraId="74DE7631" w14:textId="77777777" w:rsidR="00FC360C" w:rsidRPr="004A64B0" w:rsidRDefault="00FC360C" w:rsidP="004A64B0">
            <w:pPr>
              <w:spacing w:line="240" w:lineRule="auto"/>
              <w:rPr>
                <w:rFonts w:cs="Arial"/>
                <w:sz w:val="20"/>
                <w:lang w:eastAsia="en-US"/>
              </w:rPr>
            </w:pPr>
            <w:r w:rsidRPr="004A64B0">
              <w:rPr>
                <w:rFonts w:cs="Arial"/>
                <w:sz w:val="20"/>
                <w:lang w:eastAsia="en-US"/>
              </w:rPr>
              <w:t>5</w:t>
            </w:r>
          </w:p>
        </w:tc>
      </w:tr>
      <w:tr w:rsidR="00FC360C" w:rsidRPr="00D06837" w14:paraId="001202F5" w14:textId="77777777" w:rsidTr="004A64B0">
        <w:trPr>
          <w:trHeight w:val="255"/>
          <w:jc w:val="center"/>
        </w:trPr>
        <w:tc>
          <w:tcPr>
            <w:tcW w:w="1010" w:type="pct"/>
            <w:tcBorders>
              <w:top w:val="nil"/>
            </w:tcBorders>
            <w:shd w:val="clear" w:color="auto" w:fill="auto"/>
            <w:noWrap/>
            <w:vAlign w:val="bottom"/>
          </w:tcPr>
          <w:p w14:paraId="001B982F" w14:textId="77777777" w:rsidR="00FC360C" w:rsidRPr="004A64B0" w:rsidRDefault="00FC360C" w:rsidP="004A64B0">
            <w:pPr>
              <w:spacing w:line="240" w:lineRule="auto"/>
              <w:rPr>
                <w:rFonts w:cs="Arial"/>
                <w:sz w:val="20"/>
                <w:lang w:eastAsia="en-US"/>
              </w:rPr>
            </w:pPr>
            <w:r w:rsidRPr="004A64B0">
              <w:rPr>
                <w:rFonts w:cs="Arial"/>
                <w:sz w:val="20"/>
                <w:lang w:eastAsia="en-US"/>
              </w:rPr>
              <w:t>CB99</w:t>
            </w:r>
          </w:p>
        </w:tc>
        <w:tc>
          <w:tcPr>
            <w:tcW w:w="594" w:type="pct"/>
            <w:tcBorders>
              <w:top w:val="nil"/>
            </w:tcBorders>
            <w:shd w:val="clear" w:color="auto" w:fill="auto"/>
            <w:noWrap/>
            <w:vAlign w:val="bottom"/>
          </w:tcPr>
          <w:p w14:paraId="3DA9F248"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326</w:t>
            </w:r>
          </w:p>
        </w:tc>
        <w:tc>
          <w:tcPr>
            <w:tcW w:w="594" w:type="pct"/>
            <w:tcBorders>
              <w:top w:val="nil"/>
            </w:tcBorders>
            <w:shd w:val="clear" w:color="auto" w:fill="auto"/>
            <w:noWrap/>
            <w:vAlign w:val="bottom"/>
          </w:tcPr>
          <w:p w14:paraId="3BC07845" w14:textId="77777777" w:rsidR="00FC360C" w:rsidRPr="004A64B0" w:rsidRDefault="00FC360C" w:rsidP="004A64B0">
            <w:pPr>
              <w:spacing w:line="240" w:lineRule="auto"/>
              <w:rPr>
                <w:rFonts w:cs="Arial"/>
                <w:sz w:val="20"/>
                <w:lang w:eastAsia="en-US"/>
              </w:rPr>
            </w:pPr>
            <w:r w:rsidRPr="004A64B0">
              <w:rPr>
                <w:rFonts w:cs="Arial"/>
                <w:sz w:val="20"/>
                <w:lang w:eastAsia="en-US"/>
              </w:rPr>
              <w:t>37.062</w:t>
            </w:r>
          </w:p>
        </w:tc>
        <w:tc>
          <w:tcPr>
            <w:tcW w:w="903" w:type="pct"/>
            <w:tcBorders>
              <w:top w:val="nil"/>
            </w:tcBorders>
            <w:shd w:val="clear" w:color="auto" w:fill="auto"/>
            <w:noWrap/>
            <w:vAlign w:val="bottom"/>
          </w:tcPr>
          <w:p w14:paraId="61D2B533" w14:textId="77777777" w:rsidR="00FC360C" w:rsidRPr="004A64B0" w:rsidRDefault="00FC360C" w:rsidP="004A64B0">
            <w:pPr>
              <w:spacing w:line="240" w:lineRule="auto"/>
              <w:rPr>
                <w:rFonts w:cs="Arial"/>
                <w:sz w:val="20"/>
                <w:lang w:eastAsia="en-US"/>
              </w:rPr>
            </w:pPr>
            <w:r w:rsidRPr="004A64B0">
              <w:rPr>
                <w:rFonts w:cs="Arial"/>
                <w:sz w:val="20"/>
                <w:lang w:eastAsia="en-US"/>
              </w:rPr>
              <w:t>326</w:t>
            </w:r>
          </w:p>
        </w:tc>
        <w:tc>
          <w:tcPr>
            <w:tcW w:w="877" w:type="pct"/>
            <w:tcBorders>
              <w:top w:val="nil"/>
            </w:tcBorders>
            <w:shd w:val="clear" w:color="auto" w:fill="auto"/>
            <w:noWrap/>
            <w:vAlign w:val="bottom"/>
          </w:tcPr>
          <w:p w14:paraId="6B7E3FF7" w14:textId="77777777" w:rsidR="00FC360C" w:rsidRPr="004A64B0" w:rsidRDefault="00FC360C" w:rsidP="004A64B0">
            <w:pPr>
              <w:spacing w:line="240" w:lineRule="auto"/>
              <w:rPr>
                <w:rFonts w:cs="Arial"/>
                <w:sz w:val="20"/>
                <w:lang w:eastAsia="en-US"/>
              </w:rPr>
            </w:pPr>
            <w:r w:rsidRPr="004A64B0">
              <w:rPr>
                <w:rFonts w:cs="Arial"/>
                <w:sz w:val="20"/>
                <w:lang w:eastAsia="en-US"/>
              </w:rPr>
              <w:t>328</w:t>
            </w:r>
          </w:p>
        </w:tc>
        <w:tc>
          <w:tcPr>
            <w:tcW w:w="1021" w:type="pct"/>
            <w:tcBorders>
              <w:top w:val="nil"/>
              <w:right w:val="nil"/>
            </w:tcBorders>
            <w:shd w:val="clear" w:color="auto" w:fill="auto"/>
            <w:noWrap/>
            <w:vAlign w:val="bottom"/>
          </w:tcPr>
          <w:p w14:paraId="6568C9C9" w14:textId="77777777" w:rsidR="00FC360C" w:rsidRPr="004A64B0" w:rsidRDefault="00FC360C" w:rsidP="004A64B0">
            <w:pPr>
              <w:spacing w:line="240" w:lineRule="auto"/>
              <w:rPr>
                <w:rFonts w:cs="Arial"/>
                <w:sz w:val="20"/>
                <w:lang w:eastAsia="en-US"/>
              </w:rPr>
            </w:pPr>
            <w:r w:rsidRPr="004A64B0">
              <w:rPr>
                <w:rFonts w:cs="Arial"/>
                <w:sz w:val="20"/>
                <w:lang w:eastAsia="en-US"/>
              </w:rPr>
              <w:t>5</w:t>
            </w:r>
          </w:p>
        </w:tc>
      </w:tr>
      <w:tr w:rsidR="00FC360C" w:rsidRPr="00D06837" w14:paraId="3943F062" w14:textId="77777777" w:rsidTr="004A64B0">
        <w:trPr>
          <w:trHeight w:val="255"/>
          <w:jc w:val="center"/>
        </w:trPr>
        <w:tc>
          <w:tcPr>
            <w:tcW w:w="1010" w:type="pct"/>
            <w:tcBorders>
              <w:top w:val="nil"/>
            </w:tcBorders>
            <w:shd w:val="clear" w:color="auto" w:fill="auto"/>
            <w:noWrap/>
            <w:vAlign w:val="bottom"/>
          </w:tcPr>
          <w:p w14:paraId="4E0829CD" w14:textId="77777777" w:rsidR="00FC360C" w:rsidRPr="004A64B0" w:rsidRDefault="00FC360C" w:rsidP="004A64B0">
            <w:pPr>
              <w:spacing w:line="240" w:lineRule="auto"/>
              <w:rPr>
                <w:rFonts w:cs="Arial"/>
                <w:sz w:val="20"/>
                <w:lang w:eastAsia="en-US"/>
              </w:rPr>
            </w:pPr>
            <w:r w:rsidRPr="004A64B0">
              <w:rPr>
                <w:rFonts w:cs="Arial"/>
                <w:sz w:val="20"/>
                <w:lang w:eastAsia="en-US"/>
              </w:rPr>
              <w:t>CB97</w:t>
            </w:r>
          </w:p>
        </w:tc>
        <w:tc>
          <w:tcPr>
            <w:tcW w:w="594" w:type="pct"/>
            <w:tcBorders>
              <w:top w:val="nil"/>
            </w:tcBorders>
            <w:shd w:val="clear" w:color="auto" w:fill="auto"/>
            <w:noWrap/>
            <w:vAlign w:val="bottom"/>
          </w:tcPr>
          <w:p w14:paraId="2A386B2D"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326</w:t>
            </w:r>
          </w:p>
        </w:tc>
        <w:tc>
          <w:tcPr>
            <w:tcW w:w="594" w:type="pct"/>
            <w:tcBorders>
              <w:top w:val="nil"/>
            </w:tcBorders>
            <w:shd w:val="clear" w:color="auto" w:fill="auto"/>
            <w:noWrap/>
            <w:vAlign w:val="bottom"/>
          </w:tcPr>
          <w:p w14:paraId="51746C52" w14:textId="77777777" w:rsidR="00FC360C" w:rsidRPr="004A64B0" w:rsidRDefault="00FC360C" w:rsidP="004A64B0">
            <w:pPr>
              <w:spacing w:line="240" w:lineRule="auto"/>
              <w:rPr>
                <w:rFonts w:cs="Arial"/>
                <w:sz w:val="20"/>
                <w:lang w:eastAsia="en-US"/>
              </w:rPr>
            </w:pPr>
            <w:r w:rsidRPr="004A64B0">
              <w:rPr>
                <w:rFonts w:cs="Arial"/>
                <w:sz w:val="20"/>
                <w:lang w:eastAsia="en-US"/>
              </w:rPr>
              <w:t>38.267</w:t>
            </w:r>
          </w:p>
        </w:tc>
        <w:tc>
          <w:tcPr>
            <w:tcW w:w="903" w:type="pct"/>
            <w:tcBorders>
              <w:top w:val="nil"/>
            </w:tcBorders>
            <w:shd w:val="clear" w:color="auto" w:fill="auto"/>
            <w:noWrap/>
            <w:vAlign w:val="bottom"/>
          </w:tcPr>
          <w:p w14:paraId="7A6C70DC" w14:textId="77777777" w:rsidR="00FC360C" w:rsidRPr="004A64B0" w:rsidRDefault="00FC360C" w:rsidP="004A64B0">
            <w:pPr>
              <w:spacing w:line="240" w:lineRule="auto"/>
              <w:rPr>
                <w:rFonts w:cs="Arial"/>
                <w:sz w:val="20"/>
                <w:lang w:eastAsia="en-US"/>
              </w:rPr>
            </w:pPr>
            <w:r w:rsidRPr="004A64B0">
              <w:rPr>
                <w:rFonts w:cs="Arial"/>
                <w:sz w:val="20"/>
                <w:lang w:eastAsia="en-US"/>
              </w:rPr>
              <w:t>326</w:t>
            </w:r>
          </w:p>
        </w:tc>
        <w:tc>
          <w:tcPr>
            <w:tcW w:w="877" w:type="pct"/>
            <w:tcBorders>
              <w:top w:val="nil"/>
            </w:tcBorders>
            <w:shd w:val="clear" w:color="auto" w:fill="auto"/>
            <w:noWrap/>
            <w:vAlign w:val="bottom"/>
          </w:tcPr>
          <w:p w14:paraId="2D32976B" w14:textId="77777777" w:rsidR="00FC360C" w:rsidRPr="004A64B0" w:rsidRDefault="00FC360C" w:rsidP="004A64B0">
            <w:pPr>
              <w:spacing w:line="240" w:lineRule="auto"/>
              <w:rPr>
                <w:rFonts w:cs="Arial"/>
                <w:sz w:val="20"/>
                <w:lang w:eastAsia="en-US"/>
              </w:rPr>
            </w:pPr>
            <w:r w:rsidRPr="004A64B0">
              <w:rPr>
                <w:rFonts w:cs="Arial"/>
                <w:sz w:val="20"/>
                <w:lang w:eastAsia="en-US"/>
              </w:rPr>
              <w:t>328</w:t>
            </w:r>
          </w:p>
        </w:tc>
        <w:tc>
          <w:tcPr>
            <w:tcW w:w="1021" w:type="pct"/>
            <w:tcBorders>
              <w:top w:val="nil"/>
              <w:right w:val="nil"/>
            </w:tcBorders>
            <w:shd w:val="clear" w:color="auto" w:fill="auto"/>
            <w:noWrap/>
            <w:vAlign w:val="bottom"/>
          </w:tcPr>
          <w:p w14:paraId="08E7A224" w14:textId="77777777" w:rsidR="00FC360C" w:rsidRPr="004A64B0" w:rsidRDefault="00FC360C" w:rsidP="004A64B0">
            <w:pPr>
              <w:spacing w:line="240" w:lineRule="auto"/>
              <w:rPr>
                <w:rFonts w:cs="Arial"/>
                <w:sz w:val="20"/>
                <w:lang w:eastAsia="en-US"/>
              </w:rPr>
            </w:pPr>
            <w:r w:rsidRPr="004A64B0">
              <w:rPr>
                <w:rFonts w:cs="Arial"/>
                <w:sz w:val="20"/>
                <w:lang w:eastAsia="en-US"/>
              </w:rPr>
              <w:t>5</w:t>
            </w:r>
          </w:p>
        </w:tc>
      </w:tr>
      <w:tr w:rsidR="00FC360C" w:rsidRPr="00D06837" w14:paraId="08964E4A" w14:textId="77777777" w:rsidTr="004A64B0">
        <w:trPr>
          <w:trHeight w:val="255"/>
          <w:jc w:val="center"/>
        </w:trPr>
        <w:tc>
          <w:tcPr>
            <w:tcW w:w="1010" w:type="pct"/>
            <w:tcBorders>
              <w:top w:val="nil"/>
            </w:tcBorders>
            <w:shd w:val="clear" w:color="auto" w:fill="auto"/>
            <w:noWrap/>
            <w:vAlign w:val="bottom"/>
          </w:tcPr>
          <w:p w14:paraId="7E69A701" w14:textId="77777777" w:rsidR="00FC360C" w:rsidRPr="004A64B0" w:rsidRDefault="00FC360C" w:rsidP="004A64B0">
            <w:pPr>
              <w:spacing w:line="240" w:lineRule="auto"/>
              <w:rPr>
                <w:rFonts w:cs="Arial"/>
                <w:sz w:val="20"/>
                <w:lang w:eastAsia="en-US"/>
              </w:rPr>
            </w:pPr>
            <w:r w:rsidRPr="004A64B0">
              <w:rPr>
                <w:rFonts w:cs="Arial"/>
                <w:sz w:val="20"/>
                <w:lang w:eastAsia="en-US"/>
              </w:rPr>
              <w:t>CB110</w:t>
            </w:r>
          </w:p>
        </w:tc>
        <w:tc>
          <w:tcPr>
            <w:tcW w:w="594" w:type="pct"/>
            <w:tcBorders>
              <w:top w:val="nil"/>
            </w:tcBorders>
            <w:shd w:val="clear" w:color="auto" w:fill="auto"/>
            <w:noWrap/>
            <w:vAlign w:val="bottom"/>
          </w:tcPr>
          <w:p w14:paraId="3638D58A"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326</w:t>
            </w:r>
          </w:p>
        </w:tc>
        <w:tc>
          <w:tcPr>
            <w:tcW w:w="594" w:type="pct"/>
            <w:tcBorders>
              <w:top w:val="nil"/>
            </w:tcBorders>
            <w:shd w:val="clear" w:color="auto" w:fill="auto"/>
            <w:noWrap/>
            <w:vAlign w:val="bottom"/>
          </w:tcPr>
          <w:p w14:paraId="3D64D27E" w14:textId="77777777" w:rsidR="00FC360C" w:rsidRPr="004A64B0" w:rsidRDefault="00FC360C" w:rsidP="004A64B0">
            <w:pPr>
              <w:spacing w:line="240" w:lineRule="auto"/>
              <w:rPr>
                <w:rFonts w:cs="Arial"/>
                <w:sz w:val="20"/>
                <w:lang w:eastAsia="en-US"/>
              </w:rPr>
            </w:pPr>
            <w:r w:rsidRPr="004A64B0">
              <w:rPr>
                <w:rFonts w:cs="Arial"/>
                <w:sz w:val="20"/>
                <w:lang w:eastAsia="en-US"/>
              </w:rPr>
              <w:t>39.277</w:t>
            </w:r>
          </w:p>
        </w:tc>
        <w:tc>
          <w:tcPr>
            <w:tcW w:w="903" w:type="pct"/>
            <w:tcBorders>
              <w:top w:val="nil"/>
            </w:tcBorders>
            <w:shd w:val="clear" w:color="auto" w:fill="auto"/>
            <w:noWrap/>
            <w:vAlign w:val="bottom"/>
          </w:tcPr>
          <w:p w14:paraId="5FEC10ED" w14:textId="77777777" w:rsidR="00FC360C" w:rsidRPr="004A64B0" w:rsidRDefault="00FC360C" w:rsidP="004A64B0">
            <w:pPr>
              <w:spacing w:line="240" w:lineRule="auto"/>
              <w:rPr>
                <w:rFonts w:cs="Arial"/>
                <w:sz w:val="20"/>
                <w:lang w:eastAsia="en-US"/>
              </w:rPr>
            </w:pPr>
            <w:r w:rsidRPr="004A64B0">
              <w:rPr>
                <w:rFonts w:cs="Arial"/>
                <w:sz w:val="20"/>
                <w:lang w:eastAsia="en-US"/>
              </w:rPr>
              <w:t>326</w:t>
            </w:r>
          </w:p>
        </w:tc>
        <w:tc>
          <w:tcPr>
            <w:tcW w:w="877" w:type="pct"/>
            <w:tcBorders>
              <w:top w:val="nil"/>
            </w:tcBorders>
            <w:shd w:val="clear" w:color="auto" w:fill="auto"/>
            <w:noWrap/>
            <w:vAlign w:val="bottom"/>
          </w:tcPr>
          <w:p w14:paraId="7E52362D" w14:textId="77777777" w:rsidR="00FC360C" w:rsidRPr="004A64B0" w:rsidRDefault="00FC360C" w:rsidP="004A64B0">
            <w:pPr>
              <w:spacing w:line="240" w:lineRule="auto"/>
              <w:rPr>
                <w:rFonts w:cs="Arial"/>
                <w:sz w:val="20"/>
                <w:lang w:eastAsia="en-US"/>
              </w:rPr>
            </w:pPr>
            <w:r w:rsidRPr="004A64B0">
              <w:rPr>
                <w:rFonts w:cs="Arial"/>
                <w:sz w:val="20"/>
                <w:lang w:eastAsia="en-US"/>
              </w:rPr>
              <w:t>328</w:t>
            </w:r>
          </w:p>
        </w:tc>
        <w:tc>
          <w:tcPr>
            <w:tcW w:w="1021" w:type="pct"/>
            <w:tcBorders>
              <w:top w:val="nil"/>
              <w:right w:val="nil"/>
            </w:tcBorders>
            <w:shd w:val="clear" w:color="auto" w:fill="auto"/>
            <w:noWrap/>
            <w:vAlign w:val="bottom"/>
          </w:tcPr>
          <w:p w14:paraId="32F553A2" w14:textId="77777777" w:rsidR="00FC360C" w:rsidRPr="004A64B0" w:rsidRDefault="00FC360C" w:rsidP="004A64B0">
            <w:pPr>
              <w:spacing w:line="240" w:lineRule="auto"/>
              <w:rPr>
                <w:rFonts w:cs="Arial"/>
                <w:sz w:val="20"/>
                <w:lang w:eastAsia="en-US"/>
              </w:rPr>
            </w:pPr>
            <w:r w:rsidRPr="004A64B0">
              <w:rPr>
                <w:rFonts w:cs="Arial"/>
                <w:sz w:val="20"/>
                <w:lang w:eastAsia="en-US"/>
              </w:rPr>
              <w:t>5</w:t>
            </w:r>
          </w:p>
        </w:tc>
      </w:tr>
      <w:tr w:rsidR="00FC360C" w:rsidRPr="00D06837" w14:paraId="5B8D890C" w14:textId="77777777" w:rsidTr="004A64B0">
        <w:trPr>
          <w:trHeight w:val="255"/>
          <w:jc w:val="center"/>
        </w:trPr>
        <w:tc>
          <w:tcPr>
            <w:tcW w:w="1010" w:type="pct"/>
            <w:tcBorders>
              <w:top w:val="nil"/>
            </w:tcBorders>
            <w:shd w:val="clear" w:color="auto" w:fill="auto"/>
            <w:noWrap/>
            <w:vAlign w:val="bottom"/>
          </w:tcPr>
          <w:p w14:paraId="09461798" w14:textId="77777777" w:rsidR="00FC360C" w:rsidRPr="004A64B0" w:rsidRDefault="00FC360C" w:rsidP="004A64B0">
            <w:pPr>
              <w:spacing w:line="240" w:lineRule="auto"/>
              <w:rPr>
                <w:rFonts w:cs="Arial"/>
                <w:sz w:val="20"/>
                <w:lang w:eastAsia="en-US"/>
              </w:rPr>
            </w:pPr>
            <w:r w:rsidRPr="004A64B0">
              <w:rPr>
                <w:rFonts w:cs="Arial"/>
                <w:sz w:val="20"/>
                <w:lang w:eastAsia="en-US"/>
              </w:rPr>
              <w:t>CB123*</w:t>
            </w:r>
          </w:p>
        </w:tc>
        <w:tc>
          <w:tcPr>
            <w:tcW w:w="594" w:type="pct"/>
            <w:tcBorders>
              <w:top w:val="nil"/>
            </w:tcBorders>
            <w:shd w:val="clear" w:color="auto" w:fill="auto"/>
            <w:noWrap/>
            <w:vAlign w:val="bottom"/>
          </w:tcPr>
          <w:p w14:paraId="6103EA39"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326</w:t>
            </w:r>
          </w:p>
        </w:tc>
        <w:tc>
          <w:tcPr>
            <w:tcW w:w="594" w:type="pct"/>
            <w:tcBorders>
              <w:top w:val="nil"/>
            </w:tcBorders>
            <w:shd w:val="clear" w:color="auto" w:fill="auto"/>
            <w:noWrap/>
            <w:vAlign w:val="bottom"/>
          </w:tcPr>
          <w:p w14:paraId="6E3D7BE6" w14:textId="77777777" w:rsidR="00FC360C" w:rsidRPr="004A64B0" w:rsidRDefault="00FC360C" w:rsidP="004A64B0">
            <w:pPr>
              <w:spacing w:line="240" w:lineRule="auto"/>
              <w:rPr>
                <w:rFonts w:cs="Arial"/>
                <w:sz w:val="20"/>
                <w:lang w:eastAsia="en-US"/>
              </w:rPr>
            </w:pPr>
            <w:r w:rsidRPr="004A64B0">
              <w:rPr>
                <w:rFonts w:cs="Arial"/>
                <w:sz w:val="20"/>
                <w:lang w:eastAsia="en-US"/>
              </w:rPr>
              <w:t> 41.2</w:t>
            </w:r>
          </w:p>
        </w:tc>
        <w:tc>
          <w:tcPr>
            <w:tcW w:w="903" w:type="pct"/>
            <w:tcBorders>
              <w:top w:val="nil"/>
            </w:tcBorders>
            <w:shd w:val="clear" w:color="auto" w:fill="auto"/>
            <w:noWrap/>
            <w:vAlign w:val="bottom"/>
          </w:tcPr>
          <w:p w14:paraId="47C715AC" w14:textId="77777777" w:rsidR="00FC360C" w:rsidRPr="004A64B0" w:rsidRDefault="00FC360C" w:rsidP="004A64B0">
            <w:pPr>
              <w:spacing w:line="240" w:lineRule="auto"/>
              <w:rPr>
                <w:rFonts w:cs="Arial"/>
                <w:sz w:val="20"/>
                <w:lang w:eastAsia="en-US"/>
              </w:rPr>
            </w:pPr>
            <w:r w:rsidRPr="004A64B0">
              <w:rPr>
                <w:rFonts w:cs="Arial"/>
                <w:sz w:val="20"/>
                <w:lang w:eastAsia="en-US"/>
              </w:rPr>
              <w:t>326</w:t>
            </w:r>
          </w:p>
        </w:tc>
        <w:tc>
          <w:tcPr>
            <w:tcW w:w="877" w:type="pct"/>
            <w:tcBorders>
              <w:top w:val="nil"/>
            </w:tcBorders>
            <w:shd w:val="clear" w:color="auto" w:fill="auto"/>
            <w:noWrap/>
            <w:vAlign w:val="bottom"/>
          </w:tcPr>
          <w:p w14:paraId="3B974FB6" w14:textId="77777777" w:rsidR="00FC360C" w:rsidRPr="004A64B0" w:rsidRDefault="00FC360C" w:rsidP="004A64B0">
            <w:pPr>
              <w:spacing w:line="240" w:lineRule="auto"/>
              <w:rPr>
                <w:rFonts w:cs="Arial"/>
                <w:sz w:val="20"/>
                <w:lang w:eastAsia="en-US"/>
              </w:rPr>
            </w:pPr>
            <w:r w:rsidRPr="004A64B0">
              <w:rPr>
                <w:rFonts w:cs="Arial"/>
                <w:sz w:val="20"/>
                <w:lang w:eastAsia="en-US"/>
              </w:rPr>
              <w:t>328</w:t>
            </w:r>
          </w:p>
        </w:tc>
        <w:tc>
          <w:tcPr>
            <w:tcW w:w="1021" w:type="pct"/>
            <w:tcBorders>
              <w:top w:val="nil"/>
              <w:right w:val="nil"/>
            </w:tcBorders>
            <w:shd w:val="clear" w:color="auto" w:fill="auto"/>
            <w:noWrap/>
            <w:vAlign w:val="bottom"/>
          </w:tcPr>
          <w:p w14:paraId="36D9C5FF" w14:textId="77777777" w:rsidR="00FC360C" w:rsidRPr="004A64B0" w:rsidRDefault="00FC360C" w:rsidP="004A64B0">
            <w:pPr>
              <w:spacing w:line="240" w:lineRule="auto"/>
              <w:rPr>
                <w:rFonts w:cs="Arial"/>
                <w:sz w:val="20"/>
                <w:lang w:eastAsia="en-US"/>
              </w:rPr>
            </w:pPr>
            <w:r w:rsidRPr="004A64B0">
              <w:rPr>
                <w:rFonts w:cs="Arial"/>
                <w:sz w:val="20"/>
                <w:lang w:eastAsia="en-US"/>
              </w:rPr>
              <w:t>5</w:t>
            </w:r>
          </w:p>
        </w:tc>
      </w:tr>
      <w:tr w:rsidR="00FC360C" w:rsidRPr="00D06837" w14:paraId="426CDD7B" w14:textId="77777777" w:rsidTr="004A64B0">
        <w:trPr>
          <w:trHeight w:val="255"/>
          <w:jc w:val="center"/>
        </w:trPr>
        <w:tc>
          <w:tcPr>
            <w:tcW w:w="1010" w:type="pct"/>
            <w:tcBorders>
              <w:top w:val="nil"/>
            </w:tcBorders>
            <w:shd w:val="clear" w:color="auto" w:fill="auto"/>
            <w:noWrap/>
            <w:vAlign w:val="bottom"/>
          </w:tcPr>
          <w:p w14:paraId="5FCF8127" w14:textId="77777777" w:rsidR="00FC360C" w:rsidRPr="004A64B0" w:rsidRDefault="00FC360C" w:rsidP="004A64B0">
            <w:pPr>
              <w:spacing w:line="240" w:lineRule="auto"/>
              <w:rPr>
                <w:rFonts w:cs="Arial"/>
                <w:sz w:val="20"/>
                <w:lang w:eastAsia="en-US"/>
              </w:rPr>
            </w:pPr>
            <w:r w:rsidRPr="004A64B0">
              <w:rPr>
                <w:rFonts w:cs="Arial"/>
                <w:sz w:val="20"/>
                <w:lang w:eastAsia="en-US"/>
              </w:rPr>
              <w:t>CB118*</w:t>
            </w:r>
          </w:p>
        </w:tc>
        <w:tc>
          <w:tcPr>
            <w:tcW w:w="594" w:type="pct"/>
            <w:tcBorders>
              <w:top w:val="nil"/>
            </w:tcBorders>
            <w:shd w:val="clear" w:color="auto" w:fill="auto"/>
            <w:noWrap/>
            <w:vAlign w:val="bottom"/>
          </w:tcPr>
          <w:p w14:paraId="369A8F4F"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326</w:t>
            </w:r>
          </w:p>
        </w:tc>
        <w:tc>
          <w:tcPr>
            <w:tcW w:w="594" w:type="pct"/>
            <w:tcBorders>
              <w:top w:val="nil"/>
            </w:tcBorders>
            <w:shd w:val="clear" w:color="auto" w:fill="auto"/>
            <w:noWrap/>
            <w:vAlign w:val="bottom"/>
          </w:tcPr>
          <w:p w14:paraId="627890E1" w14:textId="77777777" w:rsidR="00FC360C" w:rsidRPr="004A64B0" w:rsidRDefault="00FC360C" w:rsidP="004A64B0">
            <w:pPr>
              <w:spacing w:line="240" w:lineRule="auto"/>
              <w:rPr>
                <w:rFonts w:cs="Arial"/>
                <w:sz w:val="20"/>
                <w:lang w:eastAsia="en-US"/>
              </w:rPr>
            </w:pPr>
            <w:r w:rsidRPr="004A64B0">
              <w:rPr>
                <w:rFonts w:cs="Arial"/>
                <w:sz w:val="20"/>
                <w:lang w:eastAsia="en-US"/>
              </w:rPr>
              <w:t>41.563</w:t>
            </w:r>
          </w:p>
        </w:tc>
        <w:tc>
          <w:tcPr>
            <w:tcW w:w="903" w:type="pct"/>
            <w:tcBorders>
              <w:top w:val="nil"/>
            </w:tcBorders>
            <w:shd w:val="clear" w:color="auto" w:fill="auto"/>
            <w:noWrap/>
            <w:vAlign w:val="bottom"/>
          </w:tcPr>
          <w:p w14:paraId="465AF702" w14:textId="77777777" w:rsidR="00FC360C" w:rsidRPr="004A64B0" w:rsidRDefault="00FC360C" w:rsidP="004A64B0">
            <w:pPr>
              <w:spacing w:line="240" w:lineRule="auto"/>
              <w:rPr>
                <w:rFonts w:cs="Arial"/>
                <w:sz w:val="20"/>
                <w:lang w:eastAsia="en-US"/>
              </w:rPr>
            </w:pPr>
            <w:r w:rsidRPr="004A64B0">
              <w:rPr>
                <w:rFonts w:cs="Arial"/>
                <w:sz w:val="20"/>
                <w:lang w:eastAsia="en-US"/>
              </w:rPr>
              <w:t>326</w:t>
            </w:r>
          </w:p>
        </w:tc>
        <w:tc>
          <w:tcPr>
            <w:tcW w:w="877" w:type="pct"/>
            <w:tcBorders>
              <w:top w:val="nil"/>
            </w:tcBorders>
            <w:shd w:val="clear" w:color="auto" w:fill="auto"/>
            <w:noWrap/>
            <w:vAlign w:val="bottom"/>
          </w:tcPr>
          <w:p w14:paraId="2AC2D774" w14:textId="77777777" w:rsidR="00FC360C" w:rsidRPr="004A64B0" w:rsidRDefault="00FC360C" w:rsidP="004A64B0">
            <w:pPr>
              <w:spacing w:line="240" w:lineRule="auto"/>
              <w:rPr>
                <w:rFonts w:cs="Arial"/>
                <w:sz w:val="20"/>
                <w:lang w:eastAsia="en-US"/>
              </w:rPr>
            </w:pPr>
            <w:r w:rsidRPr="004A64B0">
              <w:rPr>
                <w:rFonts w:cs="Arial"/>
                <w:sz w:val="20"/>
                <w:lang w:eastAsia="en-US"/>
              </w:rPr>
              <w:t>328</w:t>
            </w:r>
          </w:p>
        </w:tc>
        <w:tc>
          <w:tcPr>
            <w:tcW w:w="1021" w:type="pct"/>
            <w:tcBorders>
              <w:top w:val="nil"/>
              <w:right w:val="nil"/>
            </w:tcBorders>
            <w:shd w:val="clear" w:color="auto" w:fill="auto"/>
            <w:noWrap/>
            <w:vAlign w:val="bottom"/>
          </w:tcPr>
          <w:p w14:paraId="0FD03ACF" w14:textId="77777777" w:rsidR="00FC360C" w:rsidRPr="004A64B0" w:rsidRDefault="00FC360C" w:rsidP="004A64B0">
            <w:pPr>
              <w:spacing w:line="240" w:lineRule="auto"/>
              <w:rPr>
                <w:rFonts w:cs="Arial"/>
                <w:sz w:val="20"/>
                <w:lang w:eastAsia="en-US"/>
              </w:rPr>
            </w:pPr>
            <w:r w:rsidRPr="004A64B0">
              <w:rPr>
                <w:rFonts w:cs="Arial"/>
                <w:sz w:val="20"/>
                <w:lang w:eastAsia="en-US"/>
              </w:rPr>
              <w:t>5</w:t>
            </w:r>
          </w:p>
        </w:tc>
      </w:tr>
      <w:tr w:rsidR="00FC360C" w:rsidRPr="00D06837" w14:paraId="0346BC4D" w14:textId="77777777" w:rsidTr="004A64B0">
        <w:trPr>
          <w:trHeight w:val="255"/>
          <w:jc w:val="center"/>
        </w:trPr>
        <w:tc>
          <w:tcPr>
            <w:tcW w:w="1010" w:type="pct"/>
            <w:tcBorders>
              <w:top w:val="nil"/>
            </w:tcBorders>
            <w:shd w:val="clear" w:color="auto" w:fill="auto"/>
            <w:noWrap/>
            <w:vAlign w:val="bottom"/>
          </w:tcPr>
          <w:p w14:paraId="6579A00F" w14:textId="77777777" w:rsidR="00FC360C" w:rsidRPr="004A64B0" w:rsidRDefault="00FC360C" w:rsidP="004A64B0">
            <w:pPr>
              <w:spacing w:line="240" w:lineRule="auto"/>
              <w:rPr>
                <w:rFonts w:cs="Arial"/>
                <w:sz w:val="20"/>
                <w:lang w:eastAsia="en-US"/>
              </w:rPr>
            </w:pPr>
            <w:r w:rsidRPr="004A64B0">
              <w:rPr>
                <w:rFonts w:cs="Arial"/>
                <w:sz w:val="20"/>
                <w:lang w:eastAsia="en-US"/>
              </w:rPr>
              <w:t>CB105*</w:t>
            </w:r>
          </w:p>
        </w:tc>
        <w:tc>
          <w:tcPr>
            <w:tcW w:w="594" w:type="pct"/>
            <w:tcBorders>
              <w:top w:val="nil"/>
            </w:tcBorders>
            <w:shd w:val="clear" w:color="auto" w:fill="auto"/>
            <w:noWrap/>
            <w:vAlign w:val="bottom"/>
          </w:tcPr>
          <w:p w14:paraId="05FE3A44"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326</w:t>
            </w:r>
          </w:p>
        </w:tc>
        <w:tc>
          <w:tcPr>
            <w:tcW w:w="594" w:type="pct"/>
            <w:tcBorders>
              <w:top w:val="nil"/>
            </w:tcBorders>
            <w:shd w:val="clear" w:color="auto" w:fill="auto"/>
            <w:noWrap/>
            <w:vAlign w:val="bottom"/>
          </w:tcPr>
          <w:p w14:paraId="050DFBE1" w14:textId="77777777" w:rsidR="00FC360C" w:rsidRPr="004A64B0" w:rsidRDefault="00FC360C" w:rsidP="004A64B0">
            <w:pPr>
              <w:spacing w:line="240" w:lineRule="auto"/>
              <w:rPr>
                <w:rFonts w:cs="Arial"/>
                <w:sz w:val="20"/>
                <w:lang w:eastAsia="en-US"/>
              </w:rPr>
            </w:pPr>
            <w:r w:rsidRPr="004A64B0">
              <w:rPr>
                <w:rFonts w:cs="Arial"/>
                <w:sz w:val="20"/>
                <w:lang w:eastAsia="en-US"/>
              </w:rPr>
              <w:t>43.443</w:t>
            </w:r>
          </w:p>
        </w:tc>
        <w:tc>
          <w:tcPr>
            <w:tcW w:w="903" w:type="pct"/>
            <w:tcBorders>
              <w:top w:val="nil"/>
            </w:tcBorders>
            <w:shd w:val="clear" w:color="auto" w:fill="auto"/>
            <w:noWrap/>
            <w:vAlign w:val="bottom"/>
          </w:tcPr>
          <w:p w14:paraId="04848A8F" w14:textId="77777777" w:rsidR="00FC360C" w:rsidRPr="004A64B0" w:rsidRDefault="00FC360C" w:rsidP="004A64B0">
            <w:pPr>
              <w:spacing w:line="240" w:lineRule="auto"/>
              <w:rPr>
                <w:rFonts w:cs="Arial"/>
                <w:sz w:val="20"/>
                <w:lang w:eastAsia="en-US"/>
              </w:rPr>
            </w:pPr>
            <w:r w:rsidRPr="004A64B0">
              <w:rPr>
                <w:rFonts w:cs="Arial"/>
                <w:sz w:val="20"/>
                <w:lang w:eastAsia="en-US"/>
              </w:rPr>
              <w:t>326</w:t>
            </w:r>
          </w:p>
        </w:tc>
        <w:tc>
          <w:tcPr>
            <w:tcW w:w="877" w:type="pct"/>
            <w:tcBorders>
              <w:top w:val="nil"/>
            </w:tcBorders>
            <w:shd w:val="clear" w:color="auto" w:fill="auto"/>
            <w:noWrap/>
            <w:vAlign w:val="bottom"/>
          </w:tcPr>
          <w:p w14:paraId="6BC43CAE" w14:textId="77777777" w:rsidR="00FC360C" w:rsidRPr="004A64B0" w:rsidRDefault="00FC360C" w:rsidP="004A64B0">
            <w:pPr>
              <w:spacing w:line="240" w:lineRule="auto"/>
              <w:rPr>
                <w:rFonts w:cs="Arial"/>
                <w:sz w:val="20"/>
                <w:lang w:eastAsia="en-US"/>
              </w:rPr>
            </w:pPr>
            <w:r w:rsidRPr="004A64B0">
              <w:rPr>
                <w:rFonts w:cs="Arial"/>
                <w:sz w:val="20"/>
                <w:lang w:eastAsia="en-US"/>
              </w:rPr>
              <w:t>328</w:t>
            </w:r>
          </w:p>
        </w:tc>
        <w:tc>
          <w:tcPr>
            <w:tcW w:w="1021" w:type="pct"/>
            <w:tcBorders>
              <w:top w:val="nil"/>
              <w:right w:val="nil"/>
            </w:tcBorders>
            <w:shd w:val="clear" w:color="auto" w:fill="auto"/>
            <w:noWrap/>
            <w:vAlign w:val="bottom"/>
          </w:tcPr>
          <w:p w14:paraId="6258C9E8" w14:textId="77777777" w:rsidR="00FC360C" w:rsidRPr="004A64B0" w:rsidRDefault="00FC360C" w:rsidP="004A64B0">
            <w:pPr>
              <w:spacing w:line="240" w:lineRule="auto"/>
              <w:rPr>
                <w:rFonts w:cs="Arial"/>
                <w:sz w:val="20"/>
                <w:lang w:eastAsia="en-US"/>
              </w:rPr>
            </w:pPr>
            <w:r w:rsidRPr="004A64B0">
              <w:rPr>
                <w:rFonts w:cs="Arial"/>
                <w:sz w:val="20"/>
                <w:lang w:eastAsia="en-US"/>
              </w:rPr>
              <w:t>5</w:t>
            </w:r>
          </w:p>
        </w:tc>
      </w:tr>
      <w:tr w:rsidR="00FC360C" w:rsidRPr="00D06837" w14:paraId="69075C64" w14:textId="77777777" w:rsidTr="004A64B0">
        <w:trPr>
          <w:trHeight w:val="255"/>
          <w:jc w:val="center"/>
        </w:trPr>
        <w:tc>
          <w:tcPr>
            <w:tcW w:w="1010" w:type="pct"/>
            <w:tcBorders>
              <w:top w:val="nil"/>
            </w:tcBorders>
            <w:shd w:val="clear" w:color="auto" w:fill="auto"/>
            <w:noWrap/>
            <w:vAlign w:val="bottom"/>
          </w:tcPr>
          <w:p w14:paraId="4BB2827B" w14:textId="77777777" w:rsidR="00FC360C" w:rsidRPr="004A64B0" w:rsidRDefault="00FC360C" w:rsidP="004A64B0">
            <w:pPr>
              <w:spacing w:line="240" w:lineRule="auto"/>
              <w:rPr>
                <w:rFonts w:cs="Arial"/>
                <w:sz w:val="20"/>
                <w:lang w:eastAsia="en-US"/>
              </w:rPr>
            </w:pPr>
            <w:r w:rsidRPr="004A64B0">
              <w:rPr>
                <w:rFonts w:cs="Arial"/>
                <w:sz w:val="20"/>
                <w:lang w:eastAsia="en-US"/>
              </w:rPr>
              <w:t>CB114*</w:t>
            </w:r>
          </w:p>
        </w:tc>
        <w:tc>
          <w:tcPr>
            <w:tcW w:w="594" w:type="pct"/>
            <w:tcBorders>
              <w:top w:val="nil"/>
            </w:tcBorders>
            <w:shd w:val="clear" w:color="auto" w:fill="auto"/>
            <w:noWrap/>
            <w:vAlign w:val="bottom"/>
          </w:tcPr>
          <w:p w14:paraId="1A447E7B"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326</w:t>
            </w:r>
          </w:p>
        </w:tc>
        <w:tc>
          <w:tcPr>
            <w:tcW w:w="594" w:type="pct"/>
            <w:tcBorders>
              <w:top w:val="nil"/>
            </w:tcBorders>
            <w:shd w:val="clear" w:color="auto" w:fill="auto"/>
            <w:noWrap/>
            <w:vAlign w:val="bottom"/>
          </w:tcPr>
          <w:p w14:paraId="50B4FE56" w14:textId="77777777" w:rsidR="00FC360C" w:rsidRPr="004A64B0" w:rsidRDefault="00FC360C" w:rsidP="004A64B0">
            <w:pPr>
              <w:spacing w:line="240" w:lineRule="auto"/>
              <w:rPr>
                <w:rFonts w:cs="Arial"/>
                <w:sz w:val="20"/>
                <w:lang w:eastAsia="en-US"/>
              </w:rPr>
            </w:pPr>
            <w:r w:rsidRPr="004A64B0">
              <w:rPr>
                <w:rFonts w:cs="Arial"/>
                <w:sz w:val="20"/>
                <w:lang w:eastAsia="en-US"/>
              </w:rPr>
              <w:t>42.2 </w:t>
            </w:r>
          </w:p>
        </w:tc>
        <w:tc>
          <w:tcPr>
            <w:tcW w:w="903" w:type="pct"/>
            <w:tcBorders>
              <w:top w:val="nil"/>
            </w:tcBorders>
            <w:shd w:val="clear" w:color="auto" w:fill="auto"/>
            <w:noWrap/>
            <w:vAlign w:val="bottom"/>
          </w:tcPr>
          <w:p w14:paraId="4A8E1849" w14:textId="77777777" w:rsidR="00FC360C" w:rsidRPr="004A64B0" w:rsidRDefault="00FC360C" w:rsidP="004A64B0">
            <w:pPr>
              <w:spacing w:line="240" w:lineRule="auto"/>
              <w:rPr>
                <w:rFonts w:cs="Arial"/>
                <w:sz w:val="20"/>
                <w:lang w:eastAsia="en-US"/>
              </w:rPr>
            </w:pPr>
            <w:r w:rsidRPr="004A64B0">
              <w:rPr>
                <w:rFonts w:cs="Arial"/>
                <w:sz w:val="20"/>
                <w:lang w:eastAsia="en-US"/>
              </w:rPr>
              <w:t>326</w:t>
            </w:r>
          </w:p>
        </w:tc>
        <w:tc>
          <w:tcPr>
            <w:tcW w:w="877" w:type="pct"/>
            <w:tcBorders>
              <w:top w:val="nil"/>
            </w:tcBorders>
            <w:shd w:val="clear" w:color="auto" w:fill="auto"/>
            <w:noWrap/>
            <w:vAlign w:val="bottom"/>
          </w:tcPr>
          <w:p w14:paraId="484689B4" w14:textId="77777777" w:rsidR="00FC360C" w:rsidRPr="004A64B0" w:rsidRDefault="00FC360C" w:rsidP="004A64B0">
            <w:pPr>
              <w:spacing w:line="240" w:lineRule="auto"/>
              <w:rPr>
                <w:rFonts w:cs="Arial"/>
                <w:sz w:val="20"/>
                <w:lang w:eastAsia="en-US"/>
              </w:rPr>
            </w:pPr>
            <w:r w:rsidRPr="004A64B0">
              <w:rPr>
                <w:rFonts w:cs="Arial"/>
                <w:sz w:val="20"/>
                <w:lang w:eastAsia="en-US"/>
              </w:rPr>
              <w:t>328</w:t>
            </w:r>
          </w:p>
        </w:tc>
        <w:tc>
          <w:tcPr>
            <w:tcW w:w="1021" w:type="pct"/>
            <w:tcBorders>
              <w:top w:val="nil"/>
              <w:right w:val="nil"/>
            </w:tcBorders>
            <w:shd w:val="clear" w:color="auto" w:fill="auto"/>
            <w:noWrap/>
            <w:vAlign w:val="bottom"/>
          </w:tcPr>
          <w:p w14:paraId="551D886B" w14:textId="77777777" w:rsidR="00FC360C" w:rsidRPr="004A64B0" w:rsidRDefault="00FC360C" w:rsidP="004A64B0">
            <w:pPr>
              <w:spacing w:line="240" w:lineRule="auto"/>
              <w:rPr>
                <w:rFonts w:cs="Arial"/>
                <w:sz w:val="20"/>
                <w:lang w:eastAsia="en-US"/>
              </w:rPr>
            </w:pPr>
            <w:r w:rsidRPr="004A64B0">
              <w:rPr>
                <w:rFonts w:cs="Arial"/>
                <w:sz w:val="20"/>
                <w:lang w:eastAsia="en-US"/>
              </w:rPr>
              <w:t>5</w:t>
            </w:r>
          </w:p>
        </w:tc>
      </w:tr>
      <w:tr w:rsidR="00FC360C" w:rsidRPr="00D06837" w14:paraId="6B0AE230" w14:textId="77777777" w:rsidTr="004A64B0">
        <w:trPr>
          <w:trHeight w:val="255"/>
          <w:jc w:val="center"/>
        </w:trPr>
        <w:tc>
          <w:tcPr>
            <w:tcW w:w="1010" w:type="pct"/>
            <w:tcBorders>
              <w:top w:val="nil"/>
            </w:tcBorders>
            <w:shd w:val="clear" w:color="auto" w:fill="auto"/>
            <w:noWrap/>
            <w:vAlign w:val="bottom"/>
          </w:tcPr>
          <w:p w14:paraId="5A705B44" w14:textId="77777777" w:rsidR="00FC360C" w:rsidRPr="004A64B0" w:rsidRDefault="00FC360C" w:rsidP="004A64B0">
            <w:pPr>
              <w:spacing w:line="240" w:lineRule="auto"/>
              <w:rPr>
                <w:rFonts w:cs="Arial"/>
                <w:b/>
                <w:bCs/>
                <w:i/>
                <w:iCs/>
                <w:sz w:val="20"/>
                <w:lang w:eastAsia="en-US"/>
              </w:rPr>
            </w:pPr>
            <w:r w:rsidRPr="004A64B0">
              <w:rPr>
                <w:rFonts w:cs="Arial"/>
                <w:b/>
                <w:bCs/>
                <w:i/>
                <w:iCs/>
                <w:sz w:val="20"/>
                <w:vertAlign w:val="superscript"/>
                <w:lang w:eastAsia="en-US"/>
              </w:rPr>
              <w:t>13</w:t>
            </w:r>
            <w:r w:rsidRPr="004A64B0">
              <w:rPr>
                <w:rFonts w:cs="Arial"/>
                <w:b/>
                <w:bCs/>
                <w:i/>
                <w:iCs/>
                <w:sz w:val="20"/>
                <w:lang w:eastAsia="en-US"/>
              </w:rPr>
              <w:t>C-CB153</w:t>
            </w:r>
          </w:p>
        </w:tc>
        <w:tc>
          <w:tcPr>
            <w:tcW w:w="594" w:type="pct"/>
            <w:tcBorders>
              <w:top w:val="nil"/>
            </w:tcBorders>
            <w:shd w:val="clear" w:color="auto" w:fill="auto"/>
            <w:noWrap/>
            <w:vAlign w:val="bottom"/>
          </w:tcPr>
          <w:p w14:paraId="236A31F9"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374</w:t>
            </w:r>
          </w:p>
        </w:tc>
        <w:tc>
          <w:tcPr>
            <w:tcW w:w="594" w:type="pct"/>
            <w:tcBorders>
              <w:top w:val="nil"/>
            </w:tcBorders>
            <w:shd w:val="clear" w:color="auto" w:fill="auto"/>
            <w:noWrap/>
            <w:vAlign w:val="bottom"/>
          </w:tcPr>
          <w:p w14:paraId="3C0BD102" w14:textId="77777777" w:rsidR="00FC360C" w:rsidRPr="004A64B0" w:rsidRDefault="00FC360C" w:rsidP="004A64B0">
            <w:pPr>
              <w:spacing w:line="240" w:lineRule="auto"/>
              <w:rPr>
                <w:rFonts w:cs="Arial"/>
                <w:sz w:val="20"/>
                <w:lang w:eastAsia="en-US"/>
              </w:rPr>
            </w:pPr>
            <w:r w:rsidRPr="004A64B0">
              <w:rPr>
                <w:rFonts w:cs="Arial"/>
                <w:sz w:val="20"/>
                <w:lang w:eastAsia="en-US"/>
              </w:rPr>
              <w:t>42.567</w:t>
            </w:r>
          </w:p>
        </w:tc>
        <w:tc>
          <w:tcPr>
            <w:tcW w:w="903" w:type="pct"/>
            <w:tcBorders>
              <w:top w:val="nil"/>
            </w:tcBorders>
            <w:shd w:val="clear" w:color="auto" w:fill="auto"/>
            <w:noWrap/>
            <w:vAlign w:val="bottom"/>
          </w:tcPr>
          <w:p w14:paraId="2C5E125E" w14:textId="77777777" w:rsidR="00FC360C" w:rsidRPr="004A64B0" w:rsidRDefault="00FC360C" w:rsidP="004A64B0">
            <w:pPr>
              <w:spacing w:line="240" w:lineRule="auto"/>
              <w:rPr>
                <w:rFonts w:cs="Arial"/>
                <w:sz w:val="20"/>
                <w:lang w:eastAsia="en-US"/>
              </w:rPr>
            </w:pPr>
            <w:r w:rsidRPr="004A64B0">
              <w:rPr>
                <w:rFonts w:cs="Arial"/>
                <w:sz w:val="20"/>
                <w:lang w:eastAsia="en-US"/>
              </w:rPr>
              <w:t>372</w:t>
            </w:r>
          </w:p>
        </w:tc>
        <w:tc>
          <w:tcPr>
            <w:tcW w:w="877" w:type="pct"/>
            <w:tcBorders>
              <w:top w:val="nil"/>
            </w:tcBorders>
            <w:shd w:val="clear" w:color="auto" w:fill="auto"/>
            <w:noWrap/>
            <w:vAlign w:val="bottom"/>
          </w:tcPr>
          <w:p w14:paraId="2FF3756B" w14:textId="77777777" w:rsidR="00FC360C" w:rsidRPr="004A64B0" w:rsidRDefault="00FC360C" w:rsidP="004A64B0">
            <w:pPr>
              <w:spacing w:line="240" w:lineRule="auto"/>
              <w:rPr>
                <w:rFonts w:cs="Arial"/>
                <w:sz w:val="20"/>
                <w:lang w:eastAsia="en-US"/>
              </w:rPr>
            </w:pPr>
            <w:r w:rsidRPr="004A64B0">
              <w:rPr>
                <w:rFonts w:cs="Arial"/>
                <w:sz w:val="20"/>
                <w:lang w:eastAsia="en-US"/>
              </w:rPr>
              <w:t>374</w:t>
            </w:r>
          </w:p>
        </w:tc>
        <w:tc>
          <w:tcPr>
            <w:tcW w:w="1021" w:type="pct"/>
            <w:tcBorders>
              <w:top w:val="nil"/>
              <w:right w:val="nil"/>
            </w:tcBorders>
            <w:shd w:val="clear" w:color="auto" w:fill="auto"/>
            <w:noWrap/>
            <w:vAlign w:val="bottom"/>
          </w:tcPr>
          <w:p w14:paraId="29EC5879" w14:textId="77777777" w:rsidR="00FC360C" w:rsidRPr="004A64B0" w:rsidRDefault="00FC360C" w:rsidP="004A64B0">
            <w:pPr>
              <w:spacing w:line="240" w:lineRule="auto"/>
              <w:rPr>
                <w:rFonts w:cs="Arial"/>
                <w:sz w:val="20"/>
                <w:lang w:eastAsia="en-US"/>
              </w:rPr>
            </w:pPr>
            <w:r w:rsidRPr="004A64B0">
              <w:rPr>
                <w:rFonts w:cs="Arial"/>
                <w:sz w:val="20"/>
                <w:lang w:eastAsia="en-US"/>
              </w:rPr>
              <w:t>6</w:t>
            </w:r>
          </w:p>
        </w:tc>
      </w:tr>
      <w:tr w:rsidR="00FC360C" w:rsidRPr="00D06837" w14:paraId="645B1102" w14:textId="77777777" w:rsidTr="004A64B0">
        <w:trPr>
          <w:trHeight w:val="255"/>
          <w:jc w:val="center"/>
        </w:trPr>
        <w:tc>
          <w:tcPr>
            <w:tcW w:w="1010" w:type="pct"/>
            <w:tcBorders>
              <w:top w:val="nil"/>
            </w:tcBorders>
            <w:shd w:val="clear" w:color="auto" w:fill="auto"/>
            <w:noWrap/>
            <w:vAlign w:val="bottom"/>
          </w:tcPr>
          <w:p w14:paraId="1B94292D" w14:textId="77777777" w:rsidR="00FC360C" w:rsidRPr="004A64B0" w:rsidRDefault="00FC360C" w:rsidP="004A64B0">
            <w:pPr>
              <w:spacing w:line="240" w:lineRule="auto"/>
              <w:rPr>
                <w:rFonts w:cs="Arial"/>
                <w:sz w:val="20"/>
                <w:lang w:eastAsia="en-US"/>
              </w:rPr>
            </w:pPr>
            <w:r w:rsidRPr="004A64B0">
              <w:rPr>
                <w:rFonts w:cs="Arial"/>
                <w:sz w:val="20"/>
                <w:lang w:eastAsia="en-US"/>
              </w:rPr>
              <w:t>CB149</w:t>
            </w:r>
          </w:p>
        </w:tc>
        <w:tc>
          <w:tcPr>
            <w:tcW w:w="594" w:type="pct"/>
            <w:tcBorders>
              <w:top w:val="nil"/>
            </w:tcBorders>
            <w:shd w:val="clear" w:color="auto" w:fill="auto"/>
            <w:noWrap/>
            <w:vAlign w:val="bottom"/>
          </w:tcPr>
          <w:p w14:paraId="1DFC5FD1"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362</w:t>
            </w:r>
          </w:p>
        </w:tc>
        <w:tc>
          <w:tcPr>
            <w:tcW w:w="594" w:type="pct"/>
            <w:tcBorders>
              <w:top w:val="nil"/>
            </w:tcBorders>
            <w:shd w:val="clear" w:color="auto" w:fill="auto"/>
            <w:noWrap/>
            <w:vAlign w:val="bottom"/>
          </w:tcPr>
          <w:p w14:paraId="75F49ECD" w14:textId="77777777" w:rsidR="00FC360C" w:rsidRPr="004A64B0" w:rsidRDefault="00FC360C" w:rsidP="004A64B0">
            <w:pPr>
              <w:spacing w:line="240" w:lineRule="auto"/>
              <w:rPr>
                <w:rFonts w:cs="Arial"/>
                <w:sz w:val="20"/>
                <w:lang w:eastAsia="en-US"/>
              </w:rPr>
            </w:pPr>
            <w:r w:rsidRPr="004A64B0">
              <w:rPr>
                <w:rFonts w:cs="Arial"/>
                <w:sz w:val="20"/>
                <w:lang w:eastAsia="en-US"/>
              </w:rPr>
              <w:t>40.328</w:t>
            </w:r>
          </w:p>
        </w:tc>
        <w:tc>
          <w:tcPr>
            <w:tcW w:w="903" w:type="pct"/>
            <w:tcBorders>
              <w:top w:val="nil"/>
            </w:tcBorders>
            <w:shd w:val="clear" w:color="auto" w:fill="auto"/>
            <w:noWrap/>
            <w:vAlign w:val="bottom"/>
          </w:tcPr>
          <w:p w14:paraId="447D226C" w14:textId="77777777" w:rsidR="00FC360C" w:rsidRPr="004A64B0" w:rsidRDefault="00FC360C" w:rsidP="004A64B0">
            <w:pPr>
              <w:spacing w:line="240" w:lineRule="auto"/>
              <w:rPr>
                <w:rFonts w:cs="Arial"/>
                <w:sz w:val="20"/>
                <w:lang w:eastAsia="en-US"/>
              </w:rPr>
            </w:pPr>
            <w:r w:rsidRPr="004A64B0">
              <w:rPr>
                <w:rFonts w:cs="Arial"/>
                <w:sz w:val="20"/>
                <w:lang w:eastAsia="en-US"/>
              </w:rPr>
              <w:t>360</w:t>
            </w:r>
          </w:p>
        </w:tc>
        <w:tc>
          <w:tcPr>
            <w:tcW w:w="877" w:type="pct"/>
            <w:tcBorders>
              <w:top w:val="nil"/>
            </w:tcBorders>
            <w:shd w:val="clear" w:color="auto" w:fill="auto"/>
            <w:noWrap/>
            <w:vAlign w:val="bottom"/>
          </w:tcPr>
          <w:p w14:paraId="0F9E5E22" w14:textId="77777777" w:rsidR="00FC360C" w:rsidRPr="004A64B0" w:rsidRDefault="00FC360C" w:rsidP="004A64B0">
            <w:pPr>
              <w:spacing w:line="240" w:lineRule="auto"/>
              <w:rPr>
                <w:rFonts w:cs="Arial"/>
                <w:sz w:val="20"/>
                <w:lang w:eastAsia="en-US"/>
              </w:rPr>
            </w:pPr>
            <w:r w:rsidRPr="004A64B0">
              <w:rPr>
                <w:rFonts w:cs="Arial"/>
                <w:sz w:val="20"/>
                <w:lang w:eastAsia="en-US"/>
              </w:rPr>
              <w:t>362</w:t>
            </w:r>
          </w:p>
        </w:tc>
        <w:tc>
          <w:tcPr>
            <w:tcW w:w="1021" w:type="pct"/>
            <w:tcBorders>
              <w:top w:val="nil"/>
              <w:right w:val="nil"/>
            </w:tcBorders>
            <w:shd w:val="clear" w:color="auto" w:fill="auto"/>
            <w:noWrap/>
            <w:vAlign w:val="bottom"/>
          </w:tcPr>
          <w:p w14:paraId="498DEA1C" w14:textId="77777777" w:rsidR="00FC360C" w:rsidRPr="004A64B0" w:rsidRDefault="00FC360C" w:rsidP="004A64B0">
            <w:pPr>
              <w:spacing w:line="240" w:lineRule="auto"/>
              <w:rPr>
                <w:rFonts w:cs="Arial"/>
                <w:sz w:val="20"/>
                <w:lang w:eastAsia="en-US"/>
              </w:rPr>
            </w:pPr>
            <w:r w:rsidRPr="004A64B0">
              <w:rPr>
                <w:rFonts w:cs="Arial"/>
                <w:sz w:val="20"/>
                <w:lang w:eastAsia="en-US"/>
              </w:rPr>
              <w:t>6</w:t>
            </w:r>
          </w:p>
        </w:tc>
      </w:tr>
      <w:tr w:rsidR="00FC360C" w:rsidRPr="00D06837" w14:paraId="65AE4593" w14:textId="77777777" w:rsidTr="004A64B0">
        <w:trPr>
          <w:trHeight w:val="255"/>
          <w:jc w:val="center"/>
        </w:trPr>
        <w:tc>
          <w:tcPr>
            <w:tcW w:w="1010" w:type="pct"/>
            <w:tcBorders>
              <w:top w:val="nil"/>
            </w:tcBorders>
            <w:shd w:val="clear" w:color="auto" w:fill="auto"/>
            <w:noWrap/>
            <w:vAlign w:val="bottom"/>
          </w:tcPr>
          <w:p w14:paraId="14A85597" w14:textId="77777777" w:rsidR="00FC360C" w:rsidRPr="004A64B0" w:rsidRDefault="00FC360C" w:rsidP="004A64B0">
            <w:pPr>
              <w:spacing w:line="240" w:lineRule="auto"/>
              <w:rPr>
                <w:rFonts w:cs="Arial"/>
                <w:sz w:val="20"/>
                <w:lang w:eastAsia="en-US"/>
              </w:rPr>
            </w:pPr>
            <w:r w:rsidRPr="004A64B0">
              <w:rPr>
                <w:rFonts w:cs="Arial"/>
                <w:sz w:val="20"/>
                <w:lang w:eastAsia="en-US"/>
              </w:rPr>
              <w:t>CB153</w:t>
            </w:r>
          </w:p>
        </w:tc>
        <w:tc>
          <w:tcPr>
            <w:tcW w:w="594" w:type="pct"/>
            <w:tcBorders>
              <w:top w:val="nil"/>
            </w:tcBorders>
            <w:shd w:val="clear" w:color="auto" w:fill="auto"/>
            <w:noWrap/>
            <w:vAlign w:val="bottom"/>
          </w:tcPr>
          <w:p w14:paraId="18E84FDC"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362</w:t>
            </w:r>
          </w:p>
        </w:tc>
        <w:tc>
          <w:tcPr>
            <w:tcW w:w="594" w:type="pct"/>
            <w:tcBorders>
              <w:top w:val="nil"/>
            </w:tcBorders>
            <w:shd w:val="clear" w:color="auto" w:fill="auto"/>
            <w:noWrap/>
            <w:vAlign w:val="bottom"/>
          </w:tcPr>
          <w:p w14:paraId="234C61C5" w14:textId="77777777" w:rsidR="00FC360C" w:rsidRPr="004A64B0" w:rsidRDefault="00FC360C" w:rsidP="004A64B0">
            <w:pPr>
              <w:spacing w:line="240" w:lineRule="auto"/>
              <w:rPr>
                <w:rFonts w:cs="Arial"/>
                <w:sz w:val="20"/>
                <w:lang w:eastAsia="en-US"/>
              </w:rPr>
            </w:pPr>
            <w:r w:rsidRPr="004A64B0">
              <w:rPr>
                <w:rFonts w:cs="Arial"/>
                <w:sz w:val="20"/>
                <w:lang w:eastAsia="en-US"/>
              </w:rPr>
              <w:t>42.584</w:t>
            </w:r>
          </w:p>
        </w:tc>
        <w:tc>
          <w:tcPr>
            <w:tcW w:w="903" w:type="pct"/>
            <w:tcBorders>
              <w:top w:val="nil"/>
            </w:tcBorders>
            <w:shd w:val="clear" w:color="auto" w:fill="auto"/>
            <w:noWrap/>
            <w:vAlign w:val="bottom"/>
          </w:tcPr>
          <w:p w14:paraId="444F9AE8" w14:textId="77777777" w:rsidR="00FC360C" w:rsidRPr="004A64B0" w:rsidRDefault="00FC360C" w:rsidP="004A64B0">
            <w:pPr>
              <w:spacing w:line="240" w:lineRule="auto"/>
              <w:rPr>
                <w:rFonts w:cs="Arial"/>
                <w:sz w:val="20"/>
                <w:lang w:eastAsia="en-US"/>
              </w:rPr>
            </w:pPr>
            <w:r w:rsidRPr="004A64B0">
              <w:rPr>
                <w:rFonts w:cs="Arial"/>
                <w:sz w:val="20"/>
                <w:lang w:eastAsia="en-US"/>
              </w:rPr>
              <w:t>360</w:t>
            </w:r>
          </w:p>
        </w:tc>
        <w:tc>
          <w:tcPr>
            <w:tcW w:w="877" w:type="pct"/>
            <w:tcBorders>
              <w:top w:val="nil"/>
            </w:tcBorders>
            <w:shd w:val="clear" w:color="auto" w:fill="auto"/>
            <w:noWrap/>
            <w:vAlign w:val="bottom"/>
          </w:tcPr>
          <w:p w14:paraId="3CF6960A" w14:textId="77777777" w:rsidR="00FC360C" w:rsidRPr="004A64B0" w:rsidRDefault="00FC360C" w:rsidP="004A64B0">
            <w:pPr>
              <w:spacing w:line="240" w:lineRule="auto"/>
              <w:rPr>
                <w:rFonts w:cs="Arial"/>
                <w:sz w:val="20"/>
                <w:lang w:eastAsia="en-US"/>
              </w:rPr>
            </w:pPr>
            <w:r w:rsidRPr="004A64B0">
              <w:rPr>
                <w:rFonts w:cs="Arial"/>
                <w:sz w:val="20"/>
                <w:lang w:eastAsia="en-US"/>
              </w:rPr>
              <w:t>362</w:t>
            </w:r>
          </w:p>
        </w:tc>
        <w:tc>
          <w:tcPr>
            <w:tcW w:w="1021" w:type="pct"/>
            <w:tcBorders>
              <w:top w:val="nil"/>
              <w:right w:val="nil"/>
            </w:tcBorders>
            <w:shd w:val="clear" w:color="auto" w:fill="auto"/>
            <w:noWrap/>
            <w:vAlign w:val="bottom"/>
          </w:tcPr>
          <w:p w14:paraId="5AE6DCB7" w14:textId="77777777" w:rsidR="00FC360C" w:rsidRPr="004A64B0" w:rsidRDefault="00FC360C" w:rsidP="004A64B0">
            <w:pPr>
              <w:spacing w:line="240" w:lineRule="auto"/>
              <w:rPr>
                <w:rFonts w:cs="Arial"/>
                <w:sz w:val="20"/>
                <w:lang w:eastAsia="en-US"/>
              </w:rPr>
            </w:pPr>
            <w:r w:rsidRPr="004A64B0">
              <w:rPr>
                <w:rFonts w:cs="Arial"/>
                <w:sz w:val="20"/>
                <w:lang w:eastAsia="en-US"/>
              </w:rPr>
              <w:t>6</w:t>
            </w:r>
          </w:p>
        </w:tc>
      </w:tr>
      <w:tr w:rsidR="00FC360C" w:rsidRPr="00D06837" w14:paraId="187E355F" w14:textId="77777777" w:rsidTr="004A64B0">
        <w:trPr>
          <w:trHeight w:val="255"/>
          <w:jc w:val="center"/>
        </w:trPr>
        <w:tc>
          <w:tcPr>
            <w:tcW w:w="1010" w:type="pct"/>
            <w:tcBorders>
              <w:top w:val="nil"/>
            </w:tcBorders>
            <w:shd w:val="clear" w:color="auto" w:fill="auto"/>
            <w:noWrap/>
            <w:vAlign w:val="bottom"/>
          </w:tcPr>
          <w:p w14:paraId="69B00439" w14:textId="77777777" w:rsidR="00FC360C" w:rsidRPr="004A64B0" w:rsidRDefault="00FC360C" w:rsidP="004A64B0">
            <w:pPr>
              <w:spacing w:line="240" w:lineRule="auto"/>
              <w:rPr>
                <w:rFonts w:cs="Arial"/>
                <w:sz w:val="20"/>
                <w:lang w:eastAsia="en-US"/>
              </w:rPr>
            </w:pPr>
            <w:r w:rsidRPr="004A64B0">
              <w:rPr>
                <w:rFonts w:cs="Arial"/>
                <w:sz w:val="20"/>
                <w:lang w:eastAsia="en-US"/>
              </w:rPr>
              <w:t>CB132</w:t>
            </w:r>
          </w:p>
        </w:tc>
        <w:tc>
          <w:tcPr>
            <w:tcW w:w="594" w:type="pct"/>
            <w:tcBorders>
              <w:top w:val="nil"/>
            </w:tcBorders>
            <w:shd w:val="clear" w:color="auto" w:fill="auto"/>
            <w:noWrap/>
            <w:vAlign w:val="bottom"/>
          </w:tcPr>
          <w:p w14:paraId="209EE729"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362</w:t>
            </w:r>
          </w:p>
        </w:tc>
        <w:tc>
          <w:tcPr>
            <w:tcW w:w="594" w:type="pct"/>
            <w:tcBorders>
              <w:top w:val="nil"/>
            </w:tcBorders>
            <w:shd w:val="clear" w:color="auto" w:fill="auto"/>
            <w:noWrap/>
            <w:vAlign w:val="bottom"/>
          </w:tcPr>
          <w:p w14:paraId="0B16CB51" w14:textId="77777777" w:rsidR="00FC360C" w:rsidRPr="004A64B0" w:rsidRDefault="00FC360C" w:rsidP="004A64B0">
            <w:pPr>
              <w:spacing w:line="240" w:lineRule="auto"/>
              <w:rPr>
                <w:rFonts w:cs="Arial"/>
                <w:sz w:val="20"/>
                <w:lang w:eastAsia="en-US"/>
              </w:rPr>
            </w:pPr>
            <w:r w:rsidRPr="004A64B0">
              <w:rPr>
                <w:rFonts w:cs="Arial"/>
                <w:sz w:val="20"/>
                <w:lang w:eastAsia="en-US"/>
              </w:rPr>
              <w:t>42.236</w:t>
            </w:r>
          </w:p>
        </w:tc>
        <w:tc>
          <w:tcPr>
            <w:tcW w:w="903" w:type="pct"/>
            <w:tcBorders>
              <w:top w:val="nil"/>
            </w:tcBorders>
            <w:shd w:val="clear" w:color="auto" w:fill="auto"/>
            <w:noWrap/>
            <w:vAlign w:val="bottom"/>
          </w:tcPr>
          <w:p w14:paraId="0482977B" w14:textId="77777777" w:rsidR="00FC360C" w:rsidRPr="004A64B0" w:rsidRDefault="00FC360C" w:rsidP="004A64B0">
            <w:pPr>
              <w:spacing w:line="240" w:lineRule="auto"/>
              <w:rPr>
                <w:rFonts w:cs="Arial"/>
                <w:sz w:val="20"/>
                <w:lang w:eastAsia="en-US"/>
              </w:rPr>
            </w:pPr>
            <w:r w:rsidRPr="004A64B0">
              <w:rPr>
                <w:rFonts w:cs="Arial"/>
                <w:sz w:val="20"/>
                <w:lang w:eastAsia="en-US"/>
              </w:rPr>
              <w:t>360</w:t>
            </w:r>
          </w:p>
        </w:tc>
        <w:tc>
          <w:tcPr>
            <w:tcW w:w="877" w:type="pct"/>
            <w:tcBorders>
              <w:top w:val="nil"/>
            </w:tcBorders>
            <w:shd w:val="clear" w:color="auto" w:fill="auto"/>
            <w:noWrap/>
            <w:vAlign w:val="bottom"/>
          </w:tcPr>
          <w:p w14:paraId="20F9EDE0" w14:textId="77777777" w:rsidR="00FC360C" w:rsidRPr="004A64B0" w:rsidRDefault="00FC360C" w:rsidP="004A64B0">
            <w:pPr>
              <w:spacing w:line="240" w:lineRule="auto"/>
              <w:rPr>
                <w:rFonts w:cs="Arial"/>
                <w:sz w:val="20"/>
                <w:lang w:eastAsia="en-US"/>
              </w:rPr>
            </w:pPr>
            <w:r w:rsidRPr="004A64B0">
              <w:rPr>
                <w:rFonts w:cs="Arial"/>
                <w:sz w:val="20"/>
                <w:lang w:eastAsia="en-US"/>
              </w:rPr>
              <w:t>362</w:t>
            </w:r>
          </w:p>
        </w:tc>
        <w:tc>
          <w:tcPr>
            <w:tcW w:w="1021" w:type="pct"/>
            <w:tcBorders>
              <w:top w:val="nil"/>
              <w:right w:val="nil"/>
            </w:tcBorders>
            <w:shd w:val="clear" w:color="auto" w:fill="auto"/>
            <w:noWrap/>
            <w:vAlign w:val="bottom"/>
          </w:tcPr>
          <w:p w14:paraId="2F2779F3" w14:textId="77777777" w:rsidR="00FC360C" w:rsidRPr="004A64B0" w:rsidRDefault="00FC360C" w:rsidP="004A64B0">
            <w:pPr>
              <w:spacing w:line="240" w:lineRule="auto"/>
              <w:rPr>
                <w:rFonts w:cs="Arial"/>
                <w:sz w:val="20"/>
                <w:lang w:eastAsia="en-US"/>
              </w:rPr>
            </w:pPr>
            <w:r w:rsidRPr="004A64B0">
              <w:rPr>
                <w:rFonts w:cs="Arial"/>
                <w:sz w:val="20"/>
                <w:lang w:eastAsia="en-US"/>
              </w:rPr>
              <w:t>6</w:t>
            </w:r>
          </w:p>
        </w:tc>
      </w:tr>
      <w:tr w:rsidR="00FC360C" w:rsidRPr="00D06837" w14:paraId="03DB58B7" w14:textId="77777777" w:rsidTr="004A64B0">
        <w:trPr>
          <w:trHeight w:val="255"/>
          <w:jc w:val="center"/>
        </w:trPr>
        <w:tc>
          <w:tcPr>
            <w:tcW w:w="1010" w:type="pct"/>
            <w:tcBorders>
              <w:top w:val="nil"/>
            </w:tcBorders>
            <w:shd w:val="clear" w:color="auto" w:fill="auto"/>
            <w:noWrap/>
            <w:vAlign w:val="bottom"/>
          </w:tcPr>
          <w:p w14:paraId="3CD24C09" w14:textId="77777777" w:rsidR="00FC360C" w:rsidRPr="004A64B0" w:rsidRDefault="00FC360C" w:rsidP="004A64B0">
            <w:pPr>
              <w:spacing w:line="240" w:lineRule="auto"/>
              <w:rPr>
                <w:rFonts w:cs="Arial"/>
                <w:sz w:val="20"/>
                <w:lang w:eastAsia="en-US"/>
              </w:rPr>
            </w:pPr>
            <w:r w:rsidRPr="004A64B0">
              <w:rPr>
                <w:rFonts w:cs="Arial"/>
                <w:sz w:val="20"/>
                <w:lang w:eastAsia="en-US"/>
              </w:rPr>
              <w:t>CB137</w:t>
            </w:r>
          </w:p>
        </w:tc>
        <w:tc>
          <w:tcPr>
            <w:tcW w:w="594" w:type="pct"/>
            <w:tcBorders>
              <w:top w:val="nil"/>
            </w:tcBorders>
            <w:shd w:val="clear" w:color="auto" w:fill="auto"/>
            <w:noWrap/>
            <w:vAlign w:val="bottom"/>
          </w:tcPr>
          <w:p w14:paraId="6ABBDCE5"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362</w:t>
            </w:r>
          </w:p>
        </w:tc>
        <w:tc>
          <w:tcPr>
            <w:tcW w:w="594" w:type="pct"/>
            <w:tcBorders>
              <w:top w:val="nil"/>
            </w:tcBorders>
            <w:shd w:val="clear" w:color="auto" w:fill="auto"/>
            <w:noWrap/>
            <w:vAlign w:val="bottom"/>
          </w:tcPr>
          <w:p w14:paraId="44161F0C" w14:textId="77777777" w:rsidR="00FC360C" w:rsidRPr="004A64B0" w:rsidRDefault="00FC360C" w:rsidP="004A64B0">
            <w:pPr>
              <w:spacing w:line="240" w:lineRule="auto"/>
              <w:rPr>
                <w:rFonts w:cs="Arial"/>
                <w:sz w:val="20"/>
                <w:lang w:eastAsia="en-US"/>
              </w:rPr>
            </w:pPr>
            <w:r w:rsidRPr="004A64B0">
              <w:rPr>
                <w:rFonts w:cs="Arial"/>
                <w:sz w:val="20"/>
                <w:lang w:eastAsia="en-US"/>
              </w:rPr>
              <w:t>43.744</w:t>
            </w:r>
          </w:p>
        </w:tc>
        <w:tc>
          <w:tcPr>
            <w:tcW w:w="903" w:type="pct"/>
            <w:tcBorders>
              <w:top w:val="nil"/>
            </w:tcBorders>
            <w:shd w:val="clear" w:color="auto" w:fill="auto"/>
            <w:noWrap/>
            <w:vAlign w:val="bottom"/>
          </w:tcPr>
          <w:p w14:paraId="1FB1F1BE" w14:textId="77777777" w:rsidR="00FC360C" w:rsidRPr="004A64B0" w:rsidRDefault="00FC360C" w:rsidP="004A64B0">
            <w:pPr>
              <w:spacing w:line="240" w:lineRule="auto"/>
              <w:rPr>
                <w:rFonts w:cs="Arial"/>
                <w:sz w:val="20"/>
                <w:lang w:eastAsia="en-US"/>
              </w:rPr>
            </w:pPr>
            <w:r w:rsidRPr="004A64B0">
              <w:rPr>
                <w:rFonts w:cs="Arial"/>
                <w:sz w:val="20"/>
                <w:lang w:eastAsia="en-US"/>
              </w:rPr>
              <w:t>360</w:t>
            </w:r>
          </w:p>
        </w:tc>
        <w:tc>
          <w:tcPr>
            <w:tcW w:w="877" w:type="pct"/>
            <w:tcBorders>
              <w:top w:val="nil"/>
            </w:tcBorders>
            <w:shd w:val="clear" w:color="auto" w:fill="auto"/>
            <w:noWrap/>
            <w:vAlign w:val="bottom"/>
          </w:tcPr>
          <w:p w14:paraId="0893CC76" w14:textId="77777777" w:rsidR="00FC360C" w:rsidRPr="004A64B0" w:rsidRDefault="00FC360C" w:rsidP="004A64B0">
            <w:pPr>
              <w:spacing w:line="240" w:lineRule="auto"/>
              <w:rPr>
                <w:rFonts w:cs="Arial"/>
                <w:sz w:val="20"/>
                <w:lang w:eastAsia="en-US"/>
              </w:rPr>
            </w:pPr>
            <w:r w:rsidRPr="004A64B0">
              <w:rPr>
                <w:rFonts w:cs="Arial"/>
                <w:sz w:val="20"/>
                <w:lang w:eastAsia="en-US"/>
              </w:rPr>
              <w:t>362</w:t>
            </w:r>
          </w:p>
        </w:tc>
        <w:tc>
          <w:tcPr>
            <w:tcW w:w="1021" w:type="pct"/>
            <w:tcBorders>
              <w:top w:val="nil"/>
              <w:right w:val="nil"/>
            </w:tcBorders>
            <w:shd w:val="clear" w:color="auto" w:fill="auto"/>
            <w:noWrap/>
            <w:vAlign w:val="bottom"/>
          </w:tcPr>
          <w:p w14:paraId="29177474" w14:textId="77777777" w:rsidR="00FC360C" w:rsidRPr="004A64B0" w:rsidRDefault="00FC360C" w:rsidP="004A64B0">
            <w:pPr>
              <w:spacing w:line="240" w:lineRule="auto"/>
              <w:rPr>
                <w:rFonts w:cs="Arial"/>
                <w:sz w:val="20"/>
                <w:lang w:eastAsia="en-US"/>
              </w:rPr>
            </w:pPr>
            <w:r w:rsidRPr="004A64B0">
              <w:rPr>
                <w:rFonts w:cs="Arial"/>
                <w:sz w:val="20"/>
                <w:lang w:eastAsia="en-US"/>
              </w:rPr>
              <w:t>6</w:t>
            </w:r>
          </w:p>
        </w:tc>
      </w:tr>
      <w:tr w:rsidR="00FC360C" w:rsidRPr="00D06837" w14:paraId="79A9D03C" w14:textId="77777777" w:rsidTr="004A64B0">
        <w:trPr>
          <w:trHeight w:val="255"/>
          <w:jc w:val="center"/>
        </w:trPr>
        <w:tc>
          <w:tcPr>
            <w:tcW w:w="1010" w:type="pct"/>
            <w:tcBorders>
              <w:top w:val="nil"/>
            </w:tcBorders>
            <w:shd w:val="clear" w:color="auto" w:fill="auto"/>
            <w:noWrap/>
            <w:vAlign w:val="bottom"/>
          </w:tcPr>
          <w:p w14:paraId="10E71E67" w14:textId="77777777" w:rsidR="00FC360C" w:rsidRPr="004A64B0" w:rsidRDefault="00FC360C" w:rsidP="004A64B0">
            <w:pPr>
              <w:spacing w:line="240" w:lineRule="auto"/>
              <w:rPr>
                <w:rFonts w:cs="Arial"/>
                <w:b/>
                <w:bCs/>
                <w:i/>
                <w:iCs/>
                <w:sz w:val="20"/>
                <w:lang w:eastAsia="en-US"/>
              </w:rPr>
            </w:pPr>
            <w:r w:rsidRPr="004A64B0">
              <w:rPr>
                <w:rFonts w:cs="Arial"/>
                <w:b/>
                <w:bCs/>
                <w:i/>
                <w:iCs/>
                <w:sz w:val="20"/>
                <w:lang w:eastAsia="en-US"/>
              </w:rPr>
              <w:t>13C-CB138</w:t>
            </w:r>
          </w:p>
        </w:tc>
        <w:tc>
          <w:tcPr>
            <w:tcW w:w="594" w:type="pct"/>
            <w:tcBorders>
              <w:top w:val="nil"/>
            </w:tcBorders>
            <w:shd w:val="clear" w:color="auto" w:fill="auto"/>
            <w:noWrap/>
            <w:vAlign w:val="bottom"/>
          </w:tcPr>
          <w:p w14:paraId="0D86188F"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374</w:t>
            </w:r>
          </w:p>
        </w:tc>
        <w:tc>
          <w:tcPr>
            <w:tcW w:w="594" w:type="pct"/>
            <w:tcBorders>
              <w:top w:val="nil"/>
            </w:tcBorders>
            <w:shd w:val="clear" w:color="auto" w:fill="auto"/>
            <w:noWrap/>
            <w:vAlign w:val="bottom"/>
          </w:tcPr>
          <w:p w14:paraId="6C68CFD5" w14:textId="77777777" w:rsidR="00FC360C" w:rsidRPr="004A64B0" w:rsidRDefault="00FC360C" w:rsidP="004A64B0">
            <w:pPr>
              <w:spacing w:line="240" w:lineRule="auto"/>
              <w:rPr>
                <w:rFonts w:cs="Arial"/>
                <w:sz w:val="20"/>
                <w:lang w:eastAsia="en-US"/>
              </w:rPr>
            </w:pPr>
            <w:r w:rsidRPr="004A64B0">
              <w:rPr>
                <w:rFonts w:cs="Arial"/>
                <w:sz w:val="20"/>
                <w:lang w:eastAsia="en-US"/>
              </w:rPr>
              <w:t>44.437</w:t>
            </w:r>
          </w:p>
        </w:tc>
        <w:tc>
          <w:tcPr>
            <w:tcW w:w="903" w:type="pct"/>
            <w:tcBorders>
              <w:top w:val="nil"/>
            </w:tcBorders>
            <w:shd w:val="clear" w:color="auto" w:fill="auto"/>
            <w:noWrap/>
            <w:vAlign w:val="bottom"/>
          </w:tcPr>
          <w:p w14:paraId="0BFA0CD4" w14:textId="77777777" w:rsidR="00FC360C" w:rsidRPr="004A64B0" w:rsidRDefault="00FC360C" w:rsidP="004A64B0">
            <w:pPr>
              <w:spacing w:line="240" w:lineRule="auto"/>
              <w:rPr>
                <w:rFonts w:cs="Arial"/>
                <w:sz w:val="20"/>
                <w:lang w:eastAsia="en-US"/>
              </w:rPr>
            </w:pPr>
            <w:r w:rsidRPr="004A64B0">
              <w:rPr>
                <w:rFonts w:cs="Arial"/>
                <w:sz w:val="20"/>
                <w:lang w:eastAsia="en-US"/>
              </w:rPr>
              <w:t>372</w:t>
            </w:r>
          </w:p>
        </w:tc>
        <w:tc>
          <w:tcPr>
            <w:tcW w:w="877" w:type="pct"/>
            <w:tcBorders>
              <w:top w:val="nil"/>
            </w:tcBorders>
            <w:shd w:val="clear" w:color="auto" w:fill="auto"/>
            <w:noWrap/>
            <w:vAlign w:val="bottom"/>
          </w:tcPr>
          <w:p w14:paraId="12CACA9B" w14:textId="77777777" w:rsidR="00FC360C" w:rsidRPr="004A64B0" w:rsidRDefault="00FC360C" w:rsidP="004A64B0">
            <w:pPr>
              <w:spacing w:line="240" w:lineRule="auto"/>
              <w:rPr>
                <w:rFonts w:cs="Arial"/>
                <w:sz w:val="20"/>
                <w:lang w:eastAsia="en-US"/>
              </w:rPr>
            </w:pPr>
            <w:r w:rsidRPr="004A64B0">
              <w:rPr>
                <w:rFonts w:cs="Arial"/>
                <w:sz w:val="20"/>
                <w:lang w:eastAsia="en-US"/>
              </w:rPr>
              <w:t>374</w:t>
            </w:r>
          </w:p>
        </w:tc>
        <w:tc>
          <w:tcPr>
            <w:tcW w:w="1021" w:type="pct"/>
            <w:tcBorders>
              <w:top w:val="nil"/>
              <w:right w:val="nil"/>
            </w:tcBorders>
            <w:shd w:val="clear" w:color="auto" w:fill="auto"/>
            <w:noWrap/>
            <w:vAlign w:val="bottom"/>
          </w:tcPr>
          <w:p w14:paraId="08CB4885" w14:textId="77777777" w:rsidR="00FC360C" w:rsidRPr="004A64B0" w:rsidRDefault="00FC360C" w:rsidP="004A64B0">
            <w:pPr>
              <w:spacing w:line="240" w:lineRule="auto"/>
              <w:rPr>
                <w:rFonts w:cs="Arial"/>
                <w:sz w:val="20"/>
                <w:lang w:eastAsia="en-US"/>
              </w:rPr>
            </w:pPr>
            <w:r w:rsidRPr="004A64B0">
              <w:rPr>
                <w:rFonts w:cs="Arial"/>
                <w:sz w:val="20"/>
                <w:lang w:eastAsia="en-US"/>
              </w:rPr>
              <w:t>6</w:t>
            </w:r>
          </w:p>
        </w:tc>
      </w:tr>
      <w:tr w:rsidR="00FC360C" w:rsidRPr="00D06837" w14:paraId="4E6BA5B2" w14:textId="77777777" w:rsidTr="004A64B0">
        <w:trPr>
          <w:trHeight w:val="255"/>
          <w:jc w:val="center"/>
        </w:trPr>
        <w:tc>
          <w:tcPr>
            <w:tcW w:w="1010" w:type="pct"/>
            <w:tcBorders>
              <w:top w:val="nil"/>
            </w:tcBorders>
            <w:shd w:val="clear" w:color="auto" w:fill="auto"/>
            <w:noWrap/>
            <w:vAlign w:val="bottom"/>
          </w:tcPr>
          <w:p w14:paraId="02A6774D" w14:textId="77777777" w:rsidR="00FC360C" w:rsidRPr="004A64B0" w:rsidRDefault="00FC360C" w:rsidP="004A64B0">
            <w:pPr>
              <w:spacing w:line="240" w:lineRule="auto"/>
              <w:rPr>
                <w:rFonts w:cs="Arial"/>
                <w:sz w:val="20"/>
                <w:lang w:eastAsia="en-US"/>
              </w:rPr>
            </w:pPr>
            <w:r w:rsidRPr="004A64B0">
              <w:rPr>
                <w:rFonts w:cs="Arial"/>
                <w:sz w:val="20"/>
                <w:lang w:eastAsia="en-US"/>
              </w:rPr>
              <w:t>CB138</w:t>
            </w:r>
          </w:p>
        </w:tc>
        <w:tc>
          <w:tcPr>
            <w:tcW w:w="594" w:type="pct"/>
            <w:tcBorders>
              <w:top w:val="nil"/>
            </w:tcBorders>
            <w:shd w:val="clear" w:color="auto" w:fill="auto"/>
            <w:noWrap/>
            <w:vAlign w:val="bottom"/>
          </w:tcPr>
          <w:p w14:paraId="473B6EDC"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362</w:t>
            </w:r>
          </w:p>
        </w:tc>
        <w:tc>
          <w:tcPr>
            <w:tcW w:w="594" w:type="pct"/>
            <w:tcBorders>
              <w:top w:val="nil"/>
            </w:tcBorders>
            <w:shd w:val="clear" w:color="auto" w:fill="auto"/>
            <w:noWrap/>
            <w:vAlign w:val="bottom"/>
          </w:tcPr>
          <w:p w14:paraId="4E18B601" w14:textId="77777777" w:rsidR="00FC360C" w:rsidRPr="004A64B0" w:rsidRDefault="00FC360C" w:rsidP="004A64B0">
            <w:pPr>
              <w:spacing w:line="240" w:lineRule="auto"/>
              <w:rPr>
                <w:rFonts w:cs="Arial"/>
                <w:sz w:val="20"/>
                <w:lang w:eastAsia="en-US"/>
              </w:rPr>
            </w:pPr>
            <w:r w:rsidRPr="004A64B0">
              <w:rPr>
                <w:rFonts w:cs="Arial"/>
                <w:sz w:val="20"/>
                <w:lang w:eastAsia="en-US"/>
              </w:rPr>
              <w:t>44.487</w:t>
            </w:r>
          </w:p>
        </w:tc>
        <w:tc>
          <w:tcPr>
            <w:tcW w:w="903" w:type="pct"/>
            <w:tcBorders>
              <w:top w:val="nil"/>
            </w:tcBorders>
            <w:shd w:val="clear" w:color="auto" w:fill="auto"/>
            <w:noWrap/>
            <w:vAlign w:val="bottom"/>
          </w:tcPr>
          <w:p w14:paraId="250B2B2B" w14:textId="77777777" w:rsidR="00FC360C" w:rsidRPr="004A64B0" w:rsidRDefault="00FC360C" w:rsidP="004A64B0">
            <w:pPr>
              <w:spacing w:line="240" w:lineRule="auto"/>
              <w:rPr>
                <w:rFonts w:cs="Arial"/>
                <w:sz w:val="20"/>
                <w:lang w:eastAsia="en-US"/>
              </w:rPr>
            </w:pPr>
            <w:r w:rsidRPr="004A64B0">
              <w:rPr>
                <w:rFonts w:cs="Arial"/>
                <w:sz w:val="20"/>
                <w:lang w:eastAsia="en-US"/>
              </w:rPr>
              <w:t>360</w:t>
            </w:r>
          </w:p>
        </w:tc>
        <w:tc>
          <w:tcPr>
            <w:tcW w:w="877" w:type="pct"/>
            <w:tcBorders>
              <w:top w:val="nil"/>
            </w:tcBorders>
            <w:shd w:val="clear" w:color="auto" w:fill="auto"/>
            <w:noWrap/>
            <w:vAlign w:val="bottom"/>
          </w:tcPr>
          <w:p w14:paraId="3883CC31" w14:textId="77777777" w:rsidR="00FC360C" w:rsidRPr="004A64B0" w:rsidRDefault="00FC360C" w:rsidP="004A64B0">
            <w:pPr>
              <w:spacing w:line="240" w:lineRule="auto"/>
              <w:rPr>
                <w:rFonts w:cs="Arial"/>
                <w:sz w:val="20"/>
                <w:lang w:eastAsia="en-US"/>
              </w:rPr>
            </w:pPr>
            <w:r w:rsidRPr="004A64B0">
              <w:rPr>
                <w:rFonts w:cs="Arial"/>
                <w:sz w:val="20"/>
                <w:lang w:eastAsia="en-US"/>
              </w:rPr>
              <w:t>362</w:t>
            </w:r>
          </w:p>
        </w:tc>
        <w:tc>
          <w:tcPr>
            <w:tcW w:w="1021" w:type="pct"/>
            <w:tcBorders>
              <w:top w:val="nil"/>
              <w:right w:val="nil"/>
            </w:tcBorders>
            <w:shd w:val="clear" w:color="auto" w:fill="auto"/>
            <w:noWrap/>
            <w:vAlign w:val="bottom"/>
          </w:tcPr>
          <w:p w14:paraId="333D36CA" w14:textId="77777777" w:rsidR="00FC360C" w:rsidRPr="004A64B0" w:rsidRDefault="00FC360C" w:rsidP="004A64B0">
            <w:pPr>
              <w:spacing w:line="240" w:lineRule="auto"/>
              <w:rPr>
                <w:rFonts w:cs="Arial"/>
                <w:sz w:val="20"/>
                <w:lang w:eastAsia="en-US"/>
              </w:rPr>
            </w:pPr>
            <w:r w:rsidRPr="004A64B0">
              <w:rPr>
                <w:rFonts w:cs="Arial"/>
                <w:sz w:val="20"/>
                <w:lang w:eastAsia="en-US"/>
              </w:rPr>
              <w:t>6</w:t>
            </w:r>
          </w:p>
        </w:tc>
      </w:tr>
      <w:tr w:rsidR="00FC360C" w:rsidRPr="00D06837" w14:paraId="3B0F9060" w14:textId="77777777" w:rsidTr="004A64B0">
        <w:trPr>
          <w:trHeight w:val="255"/>
          <w:jc w:val="center"/>
        </w:trPr>
        <w:tc>
          <w:tcPr>
            <w:tcW w:w="1010" w:type="pct"/>
            <w:tcBorders>
              <w:top w:val="nil"/>
            </w:tcBorders>
            <w:shd w:val="clear" w:color="auto" w:fill="auto"/>
            <w:noWrap/>
            <w:vAlign w:val="bottom"/>
          </w:tcPr>
          <w:p w14:paraId="12C06DFE" w14:textId="77777777" w:rsidR="00FC360C" w:rsidRPr="004A64B0" w:rsidRDefault="00FC360C" w:rsidP="004A64B0">
            <w:pPr>
              <w:spacing w:line="240" w:lineRule="auto"/>
              <w:rPr>
                <w:rFonts w:cs="Arial"/>
                <w:sz w:val="20"/>
                <w:lang w:eastAsia="en-US"/>
              </w:rPr>
            </w:pPr>
            <w:r w:rsidRPr="004A64B0">
              <w:rPr>
                <w:rFonts w:cs="Arial"/>
                <w:sz w:val="20"/>
                <w:lang w:eastAsia="en-US"/>
              </w:rPr>
              <w:t>CB158</w:t>
            </w:r>
          </w:p>
        </w:tc>
        <w:tc>
          <w:tcPr>
            <w:tcW w:w="594" w:type="pct"/>
            <w:tcBorders>
              <w:top w:val="nil"/>
            </w:tcBorders>
            <w:shd w:val="clear" w:color="auto" w:fill="auto"/>
            <w:noWrap/>
            <w:vAlign w:val="bottom"/>
          </w:tcPr>
          <w:p w14:paraId="7B4851F5"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362</w:t>
            </w:r>
          </w:p>
        </w:tc>
        <w:tc>
          <w:tcPr>
            <w:tcW w:w="594" w:type="pct"/>
            <w:tcBorders>
              <w:top w:val="nil"/>
            </w:tcBorders>
            <w:shd w:val="clear" w:color="auto" w:fill="auto"/>
            <w:noWrap/>
            <w:vAlign w:val="bottom"/>
          </w:tcPr>
          <w:p w14:paraId="207D160C" w14:textId="77777777" w:rsidR="00FC360C" w:rsidRPr="004A64B0" w:rsidRDefault="00FC360C" w:rsidP="004A64B0">
            <w:pPr>
              <w:spacing w:line="240" w:lineRule="auto"/>
              <w:rPr>
                <w:rFonts w:cs="Arial"/>
                <w:sz w:val="20"/>
                <w:lang w:eastAsia="en-US"/>
              </w:rPr>
            </w:pPr>
            <w:r w:rsidRPr="004A64B0">
              <w:rPr>
                <w:rFonts w:cs="Arial"/>
                <w:sz w:val="20"/>
                <w:lang w:eastAsia="en-US"/>
              </w:rPr>
              <w:t>44.663</w:t>
            </w:r>
          </w:p>
        </w:tc>
        <w:tc>
          <w:tcPr>
            <w:tcW w:w="903" w:type="pct"/>
            <w:tcBorders>
              <w:top w:val="nil"/>
            </w:tcBorders>
            <w:shd w:val="clear" w:color="auto" w:fill="auto"/>
            <w:noWrap/>
            <w:vAlign w:val="bottom"/>
          </w:tcPr>
          <w:p w14:paraId="79C38F84" w14:textId="77777777" w:rsidR="00FC360C" w:rsidRPr="004A64B0" w:rsidRDefault="00FC360C" w:rsidP="004A64B0">
            <w:pPr>
              <w:spacing w:line="240" w:lineRule="auto"/>
              <w:rPr>
                <w:rFonts w:cs="Arial"/>
                <w:sz w:val="20"/>
                <w:lang w:eastAsia="en-US"/>
              </w:rPr>
            </w:pPr>
            <w:r w:rsidRPr="004A64B0">
              <w:rPr>
                <w:rFonts w:cs="Arial"/>
                <w:sz w:val="20"/>
                <w:lang w:eastAsia="en-US"/>
              </w:rPr>
              <w:t>360</w:t>
            </w:r>
          </w:p>
        </w:tc>
        <w:tc>
          <w:tcPr>
            <w:tcW w:w="877" w:type="pct"/>
            <w:tcBorders>
              <w:top w:val="nil"/>
            </w:tcBorders>
            <w:shd w:val="clear" w:color="auto" w:fill="auto"/>
            <w:noWrap/>
            <w:vAlign w:val="bottom"/>
          </w:tcPr>
          <w:p w14:paraId="5E65ADE4" w14:textId="77777777" w:rsidR="00FC360C" w:rsidRPr="004A64B0" w:rsidRDefault="00FC360C" w:rsidP="004A64B0">
            <w:pPr>
              <w:spacing w:line="240" w:lineRule="auto"/>
              <w:rPr>
                <w:rFonts w:cs="Arial"/>
                <w:sz w:val="20"/>
                <w:lang w:eastAsia="en-US"/>
              </w:rPr>
            </w:pPr>
            <w:r w:rsidRPr="004A64B0">
              <w:rPr>
                <w:rFonts w:cs="Arial"/>
                <w:sz w:val="20"/>
                <w:lang w:eastAsia="en-US"/>
              </w:rPr>
              <w:t>362</w:t>
            </w:r>
          </w:p>
        </w:tc>
        <w:tc>
          <w:tcPr>
            <w:tcW w:w="1021" w:type="pct"/>
            <w:tcBorders>
              <w:top w:val="nil"/>
              <w:right w:val="nil"/>
            </w:tcBorders>
            <w:shd w:val="clear" w:color="auto" w:fill="auto"/>
            <w:noWrap/>
            <w:vAlign w:val="bottom"/>
          </w:tcPr>
          <w:p w14:paraId="7DCCF63D" w14:textId="77777777" w:rsidR="00FC360C" w:rsidRPr="004A64B0" w:rsidRDefault="00FC360C" w:rsidP="004A64B0">
            <w:pPr>
              <w:spacing w:line="240" w:lineRule="auto"/>
              <w:rPr>
                <w:rFonts w:cs="Arial"/>
                <w:sz w:val="20"/>
                <w:lang w:eastAsia="en-US"/>
              </w:rPr>
            </w:pPr>
            <w:r w:rsidRPr="004A64B0">
              <w:rPr>
                <w:rFonts w:cs="Arial"/>
                <w:sz w:val="20"/>
                <w:lang w:eastAsia="en-US"/>
              </w:rPr>
              <w:t>6</w:t>
            </w:r>
          </w:p>
        </w:tc>
      </w:tr>
      <w:tr w:rsidR="00FC360C" w:rsidRPr="00D06837" w14:paraId="598D62F6" w14:textId="77777777" w:rsidTr="004A64B0">
        <w:trPr>
          <w:trHeight w:val="255"/>
          <w:jc w:val="center"/>
        </w:trPr>
        <w:tc>
          <w:tcPr>
            <w:tcW w:w="1010" w:type="pct"/>
            <w:tcBorders>
              <w:top w:val="nil"/>
            </w:tcBorders>
            <w:shd w:val="clear" w:color="auto" w:fill="auto"/>
            <w:noWrap/>
            <w:vAlign w:val="bottom"/>
          </w:tcPr>
          <w:p w14:paraId="5F22836C" w14:textId="77777777" w:rsidR="00FC360C" w:rsidRPr="004A64B0" w:rsidRDefault="00FC360C" w:rsidP="004A64B0">
            <w:pPr>
              <w:spacing w:line="240" w:lineRule="auto"/>
              <w:rPr>
                <w:rFonts w:cs="Arial"/>
                <w:sz w:val="20"/>
                <w:lang w:eastAsia="en-US"/>
              </w:rPr>
            </w:pPr>
            <w:r w:rsidRPr="004A64B0">
              <w:rPr>
                <w:rFonts w:cs="Arial"/>
                <w:sz w:val="20"/>
                <w:lang w:eastAsia="en-US"/>
              </w:rPr>
              <w:t>CB128</w:t>
            </w:r>
          </w:p>
        </w:tc>
        <w:tc>
          <w:tcPr>
            <w:tcW w:w="594" w:type="pct"/>
            <w:tcBorders>
              <w:top w:val="nil"/>
            </w:tcBorders>
            <w:shd w:val="clear" w:color="auto" w:fill="auto"/>
            <w:noWrap/>
            <w:vAlign w:val="bottom"/>
          </w:tcPr>
          <w:p w14:paraId="4A18AA30"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362</w:t>
            </w:r>
          </w:p>
        </w:tc>
        <w:tc>
          <w:tcPr>
            <w:tcW w:w="594" w:type="pct"/>
            <w:tcBorders>
              <w:top w:val="nil"/>
            </w:tcBorders>
            <w:shd w:val="clear" w:color="auto" w:fill="auto"/>
            <w:noWrap/>
            <w:vAlign w:val="bottom"/>
          </w:tcPr>
          <w:p w14:paraId="2F45D91E" w14:textId="77777777" w:rsidR="00FC360C" w:rsidRPr="004A64B0" w:rsidRDefault="00FC360C" w:rsidP="004A64B0">
            <w:pPr>
              <w:spacing w:line="240" w:lineRule="auto"/>
              <w:rPr>
                <w:rFonts w:cs="Arial"/>
                <w:sz w:val="20"/>
                <w:lang w:eastAsia="en-US"/>
              </w:rPr>
            </w:pPr>
            <w:r w:rsidRPr="004A64B0">
              <w:rPr>
                <w:rFonts w:cs="Arial"/>
                <w:sz w:val="20"/>
                <w:lang w:eastAsia="en-US"/>
              </w:rPr>
              <w:t>46.307</w:t>
            </w:r>
          </w:p>
        </w:tc>
        <w:tc>
          <w:tcPr>
            <w:tcW w:w="903" w:type="pct"/>
            <w:tcBorders>
              <w:top w:val="nil"/>
            </w:tcBorders>
            <w:shd w:val="clear" w:color="auto" w:fill="auto"/>
            <w:noWrap/>
            <w:vAlign w:val="bottom"/>
          </w:tcPr>
          <w:p w14:paraId="25A71A09" w14:textId="77777777" w:rsidR="00FC360C" w:rsidRPr="004A64B0" w:rsidRDefault="00FC360C" w:rsidP="004A64B0">
            <w:pPr>
              <w:spacing w:line="240" w:lineRule="auto"/>
              <w:rPr>
                <w:rFonts w:cs="Arial"/>
                <w:sz w:val="20"/>
                <w:lang w:eastAsia="en-US"/>
              </w:rPr>
            </w:pPr>
            <w:r w:rsidRPr="004A64B0">
              <w:rPr>
                <w:rFonts w:cs="Arial"/>
                <w:sz w:val="20"/>
                <w:lang w:eastAsia="en-US"/>
              </w:rPr>
              <w:t>360</w:t>
            </w:r>
          </w:p>
        </w:tc>
        <w:tc>
          <w:tcPr>
            <w:tcW w:w="877" w:type="pct"/>
            <w:tcBorders>
              <w:top w:val="nil"/>
            </w:tcBorders>
            <w:shd w:val="clear" w:color="auto" w:fill="auto"/>
            <w:noWrap/>
            <w:vAlign w:val="bottom"/>
          </w:tcPr>
          <w:p w14:paraId="169E7F59" w14:textId="77777777" w:rsidR="00FC360C" w:rsidRPr="004A64B0" w:rsidRDefault="00FC360C" w:rsidP="004A64B0">
            <w:pPr>
              <w:spacing w:line="240" w:lineRule="auto"/>
              <w:rPr>
                <w:rFonts w:cs="Arial"/>
                <w:sz w:val="20"/>
                <w:lang w:eastAsia="en-US"/>
              </w:rPr>
            </w:pPr>
            <w:r w:rsidRPr="004A64B0">
              <w:rPr>
                <w:rFonts w:cs="Arial"/>
                <w:sz w:val="20"/>
                <w:lang w:eastAsia="en-US"/>
              </w:rPr>
              <w:t>362</w:t>
            </w:r>
          </w:p>
        </w:tc>
        <w:tc>
          <w:tcPr>
            <w:tcW w:w="1021" w:type="pct"/>
            <w:tcBorders>
              <w:top w:val="nil"/>
              <w:right w:val="nil"/>
            </w:tcBorders>
            <w:shd w:val="clear" w:color="auto" w:fill="auto"/>
            <w:noWrap/>
            <w:vAlign w:val="bottom"/>
          </w:tcPr>
          <w:p w14:paraId="59883606" w14:textId="77777777" w:rsidR="00FC360C" w:rsidRPr="004A64B0" w:rsidRDefault="00FC360C" w:rsidP="004A64B0">
            <w:pPr>
              <w:spacing w:line="240" w:lineRule="auto"/>
              <w:rPr>
                <w:rFonts w:cs="Arial"/>
                <w:sz w:val="20"/>
                <w:lang w:eastAsia="en-US"/>
              </w:rPr>
            </w:pPr>
            <w:r w:rsidRPr="004A64B0">
              <w:rPr>
                <w:rFonts w:cs="Arial"/>
                <w:sz w:val="20"/>
                <w:lang w:eastAsia="en-US"/>
              </w:rPr>
              <w:t>6</w:t>
            </w:r>
          </w:p>
        </w:tc>
      </w:tr>
      <w:tr w:rsidR="00FC360C" w:rsidRPr="00D06837" w14:paraId="7C1703D0" w14:textId="77777777" w:rsidTr="004A64B0">
        <w:trPr>
          <w:trHeight w:val="255"/>
          <w:jc w:val="center"/>
        </w:trPr>
        <w:tc>
          <w:tcPr>
            <w:tcW w:w="1010" w:type="pct"/>
            <w:tcBorders>
              <w:top w:val="nil"/>
            </w:tcBorders>
            <w:shd w:val="clear" w:color="auto" w:fill="auto"/>
            <w:noWrap/>
            <w:vAlign w:val="bottom"/>
          </w:tcPr>
          <w:p w14:paraId="201A6EF4" w14:textId="77777777" w:rsidR="00FC360C" w:rsidRPr="004A64B0" w:rsidRDefault="00FC360C" w:rsidP="004A64B0">
            <w:pPr>
              <w:spacing w:line="240" w:lineRule="auto"/>
              <w:rPr>
                <w:rFonts w:cs="Arial"/>
                <w:b/>
                <w:bCs/>
                <w:i/>
                <w:iCs/>
                <w:sz w:val="20"/>
                <w:lang w:eastAsia="en-US"/>
              </w:rPr>
            </w:pPr>
            <w:r w:rsidRPr="004A64B0">
              <w:rPr>
                <w:rFonts w:cs="Arial"/>
                <w:b/>
                <w:bCs/>
                <w:i/>
                <w:iCs/>
                <w:sz w:val="20"/>
                <w:vertAlign w:val="superscript"/>
                <w:lang w:eastAsia="en-US"/>
              </w:rPr>
              <w:t>13</w:t>
            </w:r>
            <w:r w:rsidRPr="004A64B0">
              <w:rPr>
                <w:rFonts w:cs="Arial"/>
                <w:b/>
                <w:bCs/>
                <w:i/>
                <w:iCs/>
                <w:sz w:val="20"/>
                <w:lang w:eastAsia="en-US"/>
              </w:rPr>
              <w:t>C-CB156</w:t>
            </w:r>
          </w:p>
        </w:tc>
        <w:tc>
          <w:tcPr>
            <w:tcW w:w="594" w:type="pct"/>
            <w:tcBorders>
              <w:top w:val="nil"/>
            </w:tcBorders>
            <w:shd w:val="clear" w:color="auto" w:fill="auto"/>
            <w:noWrap/>
            <w:vAlign w:val="bottom"/>
          </w:tcPr>
          <w:p w14:paraId="311F5C96"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374</w:t>
            </w:r>
          </w:p>
        </w:tc>
        <w:tc>
          <w:tcPr>
            <w:tcW w:w="594" w:type="pct"/>
            <w:tcBorders>
              <w:top w:val="nil"/>
            </w:tcBorders>
            <w:shd w:val="clear" w:color="auto" w:fill="auto"/>
            <w:noWrap/>
            <w:vAlign w:val="bottom"/>
          </w:tcPr>
          <w:p w14:paraId="1B2FA715" w14:textId="77777777" w:rsidR="00FC360C" w:rsidRPr="004A64B0" w:rsidRDefault="00FC360C" w:rsidP="004A64B0">
            <w:pPr>
              <w:spacing w:line="240" w:lineRule="auto"/>
              <w:rPr>
                <w:rFonts w:cs="Arial"/>
                <w:sz w:val="20"/>
                <w:lang w:eastAsia="en-US"/>
              </w:rPr>
            </w:pPr>
            <w:r w:rsidRPr="004A64B0">
              <w:rPr>
                <w:rFonts w:cs="Arial"/>
                <w:sz w:val="20"/>
                <w:lang w:eastAsia="en-US"/>
              </w:rPr>
              <w:t>48.406</w:t>
            </w:r>
          </w:p>
        </w:tc>
        <w:tc>
          <w:tcPr>
            <w:tcW w:w="903" w:type="pct"/>
            <w:tcBorders>
              <w:top w:val="nil"/>
            </w:tcBorders>
            <w:shd w:val="clear" w:color="auto" w:fill="auto"/>
            <w:noWrap/>
            <w:vAlign w:val="bottom"/>
          </w:tcPr>
          <w:p w14:paraId="0E299A23" w14:textId="77777777" w:rsidR="00FC360C" w:rsidRPr="004A64B0" w:rsidRDefault="00FC360C" w:rsidP="004A64B0">
            <w:pPr>
              <w:spacing w:line="240" w:lineRule="auto"/>
              <w:rPr>
                <w:rFonts w:cs="Arial"/>
                <w:sz w:val="20"/>
                <w:lang w:eastAsia="en-US"/>
              </w:rPr>
            </w:pPr>
            <w:r w:rsidRPr="004A64B0">
              <w:rPr>
                <w:rFonts w:cs="Arial"/>
                <w:sz w:val="20"/>
                <w:lang w:eastAsia="en-US"/>
              </w:rPr>
              <w:t>372</w:t>
            </w:r>
          </w:p>
        </w:tc>
        <w:tc>
          <w:tcPr>
            <w:tcW w:w="877" w:type="pct"/>
            <w:tcBorders>
              <w:top w:val="nil"/>
            </w:tcBorders>
            <w:shd w:val="clear" w:color="auto" w:fill="auto"/>
            <w:noWrap/>
            <w:vAlign w:val="bottom"/>
          </w:tcPr>
          <w:p w14:paraId="6D0AEB75" w14:textId="77777777" w:rsidR="00FC360C" w:rsidRPr="004A64B0" w:rsidRDefault="00FC360C" w:rsidP="004A64B0">
            <w:pPr>
              <w:spacing w:line="240" w:lineRule="auto"/>
              <w:rPr>
                <w:rFonts w:cs="Arial"/>
                <w:sz w:val="20"/>
                <w:lang w:eastAsia="en-US"/>
              </w:rPr>
            </w:pPr>
            <w:r w:rsidRPr="004A64B0">
              <w:rPr>
                <w:rFonts w:cs="Arial"/>
                <w:sz w:val="20"/>
                <w:lang w:eastAsia="en-US"/>
              </w:rPr>
              <w:t>374</w:t>
            </w:r>
          </w:p>
        </w:tc>
        <w:tc>
          <w:tcPr>
            <w:tcW w:w="1021" w:type="pct"/>
            <w:tcBorders>
              <w:top w:val="nil"/>
              <w:right w:val="nil"/>
            </w:tcBorders>
            <w:shd w:val="clear" w:color="auto" w:fill="auto"/>
            <w:noWrap/>
            <w:vAlign w:val="bottom"/>
          </w:tcPr>
          <w:p w14:paraId="56F7D0ED" w14:textId="77777777" w:rsidR="00FC360C" w:rsidRPr="004A64B0" w:rsidRDefault="00FC360C" w:rsidP="004A64B0">
            <w:pPr>
              <w:spacing w:line="240" w:lineRule="auto"/>
              <w:rPr>
                <w:rFonts w:cs="Arial"/>
                <w:sz w:val="20"/>
                <w:lang w:eastAsia="en-US"/>
              </w:rPr>
            </w:pPr>
            <w:r w:rsidRPr="004A64B0">
              <w:rPr>
                <w:rFonts w:cs="Arial"/>
                <w:sz w:val="20"/>
                <w:lang w:eastAsia="en-US"/>
              </w:rPr>
              <w:t>6</w:t>
            </w:r>
          </w:p>
        </w:tc>
      </w:tr>
      <w:tr w:rsidR="00FC360C" w:rsidRPr="00D06837" w14:paraId="31EC8574" w14:textId="77777777" w:rsidTr="004A64B0">
        <w:trPr>
          <w:trHeight w:val="255"/>
          <w:jc w:val="center"/>
        </w:trPr>
        <w:tc>
          <w:tcPr>
            <w:tcW w:w="1010" w:type="pct"/>
            <w:tcBorders>
              <w:top w:val="nil"/>
            </w:tcBorders>
            <w:shd w:val="clear" w:color="auto" w:fill="auto"/>
            <w:noWrap/>
            <w:vAlign w:val="bottom"/>
          </w:tcPr>
          <w:p w14:paraId="19FA3C19" w14:textId="77777777" w:rsidR="00FC360C" w:rsidRPr="004A64B0" w:rsidRDefault="00FC360C" w:rsidP="004A64B0">
            <w:pPr>
              <w:spacing w:line="240" w:lineRule="auto"/>
              <w:rPr>
                <w:rFonts w:cs="Arial"/>
                <w:sz w:val="20"/>
                <w:lang w:eastAsia="en-US"/>
              </w:rPr>
            </w:pPr>
            <w:r w:rsidRPr="004A64B0">
              <w:rPr>
                <w:rFonts w:cs="Arial"/>
                <w:sz w:val="20"/>
                <w:lang w:eastAsia="en-US"/>
              </w:rPr>
              <w:t>CB156*</w:t>
            </w:r>
          </w:p>
        </w:tc>
        <w:tc>
          <w:tcPr>
            <w:tcW w:w="594" w:type="pct"/>
            <w:tcBorders>
              <w:top w:val="nil"/>
            </w:tcBorders>
            <w:shd w:val="clear" w:color="auto" w:fill="auto"/>
            <w:noWrap/>
            <w:vAlign w:val="bottom"/>
          </w:tcPr>
          <w:p w14:paraId="2FE05689"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362</w:t>
            </w:r>
          </w:p>
        </w:tc>
        <w:tc>
          <w:tcPr>
            <w:tcW w:w="594" w:type="pct"/>
            <w:tcBorders>
              <w:top w:val="nil"/>
            </w:tcBorders>
            <w:shd w:val="clear" w:color="auto" w:fill="auto"/>
            <w:noWrap/>
            <w:vAlign w:val="bottom"/>
          </w:tcPr>
          <w:p w14:paraId="4C649C3D" w14:textId="77777777" w:rsidR="00FC360C" w:rsidRPr="004A64B0" w:rsidRDefault="00FC360C" w:rsidP="004A64B0">
            <w:pPr>
              <w:spacing w:line="240" w:lineRule="auto"/>
              <w:rPr>
                <w:rFonts w:cs="Arial"/>
                <w:sz w:val="20"/>
                <w:lang w:eastAsia="en-US"/>
              </w:rPr>
            </w:pPr>
            <w:r w:rsidRPr="004A64B0">
              <w:rPr>
                <w:rFonts w:cs="Arial"/>
                <w:sz w:val="20"/>
                <w:lang w:eastAsia="en-US"/>
              </w:rPr>
              <w:t>48.366</w:t>
            </w:r>
          </w:p>
        </w:tc>
        <w:tc>
          <w:tcPr>
            <w:tcW w:w="903" w:type="pct"/>
            <w:tcBorders>
              <w:top w:val="nil"/>
            </w:tcBorders>
            <w:shd w:val="clear" w:color="auto" w:fill="auto"/>
            <w:noWrap/>
            <w:vAlign w:val="bottom"/>
          </w:tcPr>
          <w:p w14:paraId="4ACA9B2A" w14:textId="77777777" w:rsidR="00FC360C" w:rsidRPr="004A64B0" w:rsidRDefault="00FC360C" w:rsidP="004A64B0">
            <w:pPr>
              <w:spacing w:line="240" w:lineRule="auto"/>
              <w:rPr>
                <w:rFonts w:cs="Arial"/>
                <w:sz w:val="20"/>
                <w:lang w:eastAsia="en-US"/>
              </w:rPr>
            </w:pPr>
            <w:r w:rsidRPr="004A64B0">
              <w:rPr>
                <w:rFonts w:cs="Arial"/>
                <w:sz w:val="20"/>
                <w:lang w:eastAsia="en-US"/>
              </w:rPr>
              <w:t>360</w:t>
            </w:r>
          </w:p>
        </w:tc>
        <w:tc>
          <w:tcPr>
            <w:tcW w:w="877" w:type="pct"/>
            <w:tcBorders>
              <w:top w:val="nil"/>
            </w:tcBorders>
            <w:shd w:val="clear" w:color="auto" w:fill="auto"/>
            <w:noWrap/>
            <w:vAlign w:val="bottom"/>
          </w:tcPr>
          <w:p w14:paraId="59AF6D47" w14:textId="77777777" w:rsidR="00FC360C" w:rsidRPr="004A64B0" w:rsidRDefault="00FC360C" w:rsidP="004A64B0">
            <w:pPr>
              <w:spacing w:line="240" w:lineRule="auto"/>
              <w:rPr>
                <w:rFonts w:cs="Arial"/>
                <w:sz w:val="20"/>
                <w:lang w:eastAsia="en-US"/>
              </w:rPr>
            </w:pPr>
            <w:r w:rsidRPr="004A64B0">
              <w:rPr>
                <w:rFonts w:cs="Arial"/>
                <w:sz w:val="20"/>
                <w:lang w:eastAsia="en-US"/>
              </w:rPr>
              <w:t>362</w:t>
            </w:r>
          </w:p>
        </w:tc>
        <w:tc>
          <w:tcPr>
            <w:tcW w:w="1021" w:type="pct"/>
            <w:tcBorders>
              <w:top w:val="nil"/>
              <w:right w:val="nil"/>
            </w:tcBorders>
            <w:shd w:val="clear" w:color="auto" w:fill="auto"/>
            <w:noWrap/>
            <w:vAlign w:val="bottom"/>
          </w:tcPr>
          <w:p w14:paraId="3A002086" w14:textId="77777777" w:rsidR="00FC360C" w:rsidRPr="004A64B0" w:rsidRDefault="00FC360C" w:rsidP="004A64B0">
            <w:pPr>
              <w:spacing w:line="240" w:lineRule="auto"/>
              <w:rPr>
                <w:rFonts w:cs="Arial"/>
                <w:sz w:val="20"/>
                <w:lang w:eastAsia="en-US"/>
              </w:rPr>
            </w:pPr>
            <w:r w:rsidRPr="004A64B0">
              <w:rPr>
                <w:rFonts w:cs="Arial"/>
                <w:sz w:val="20"/>
                <w:lang w:eastAsia="en-US"/>
              </w:rPr>
              <w:t>6</w:t>
            </w:r>
          </w:p>
        </w:tc>
      </w:tr>
      <w:tr w:rsidR="00FC360C" w:rsidRPr="00D06837" w14:paraId="0ABC3D91" w14:textId="77777777" w:rsidTr="004A64B0">
        <w:trPr>
          <w:trHeight w:val="255"/>
          <w:jc w:val="center"/>
        </w:trPr>
        <w:tc>
          <w:tcPr>
            <w:tcW w:w="1010" w:type="pct"/>
            <w:tcBorders>
              <w:top w:val="nil"/>
            </w:tcBorders>
            <w:shd w:val="clear" w:color="auto" w:fill="auto"/>
            <w:noWrap/>
            <w:vAlign w:val="bottom"/>
          </w:tcPr>
          <w:p w14:paraId="59C885A3" w14:textId="77777777" w:rsidR="00FC360C" w:rsidRPr="004A64B0" w:rsidRDefault="00FC360C" w:rsidP="004A64B0">
            <w:pPr>
              <w:spacing w:line="240" w:lineRule="auto"/>
              <w:rPr>
                <w:rFonts w:cs="Arial"/>
                <w:sz w:val="20"/>
                <w:lang w:eastAsia="en-US"/>
              </w:rPr>
            </w:pPr>
            <w:r w:rsidRPr="004A64B0">
              <w:rPr>
                <w:rFonts w:cs="Arial"/>
                <w:sz w:val="20"/>
                <w:lang w:eastAsia="en-US"/>
              </w:rPr>
              <w:t>CB167*</w:t>
            </w:r>
          </w:p>
        </w:tc>
        <w:tc>
          <w:tcPr>
            <w:tcW w:w="594" w:type="pct"/>
            <w:tcBorders>
              <w:top w:val="nil"/>
            </w:tcBorders>
            <w:shd w:val="clear" w:color="auto" w:fill="auto"/>
            <w:noWrap/>
            <w:vAlign w:val="bottom"/>
          </w:tcPr>
          <w:p w14:paraId="7CBB9787"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362</w:t>
            </w:r>
          </w:p>
        </w:tc>
        <w:tc>
          <w:tcPr>
            <w:tcW w:w="594" w:type="pct"/>
            <w:tcBorders>
              <w:top w:val="nil"/>
            </w:tcBorders>
            <w:shd w:val="clear" w:color="auto" w:fill="auto"/>
            <w:noWrap/>
            <w:vAlign w:val="bottom"/>
          </w:tcPr>
          <w:p w14:paraId="43B103AA" w14:textId="77777777" w:rsidR="00FC360C" w:rsidRPr="004A64B0" w:rsidRDefault="00FC360C" w:rsidP="004A64B0">
            <w:pPr>
              <w:spacing w:line="240" w:lineRule="auto"/>
              <w:rPr>
                <w:rFonts w:cs="Arial"/>
                <w:sz w:val="20"/>
                <w:lang w:eastAsia="en-US"/>
              </w:rPr>
            </w:pPr>
            <w:r w:rsidRPr="004A64B0">
              <w:rPr>
                <w:rFonts w:cs="Arial"/>
                <w:sz w:val="20"/>
                <w:lang w:eastAsia="en-US"/>
              </w:rPr>
              <w:t>46.2 </w:t>
            </w:r>
          </w:p>
        </w:tc>
        <w:tc>
          <w:tcPr>
            <w:tcW w:w="903" w:type="pct"/>
            <w:tcBorders>
              <w:top w:val="nil"/>
            </w:tcBorders>
            <w:shd w:val="clear" w:color="auto" w:fill="auto"/>
            <w:noWrap/>
            <w:vAlign w:val="bottom"/>
          </w:tcPr>
          <w:p w14:paraId="78E660B4" w14:textId="77777777" w:rsidR="00FC360C" w:rsidRPr="004A64B0" w:rsidRDefault="00FC360C" w:rsidP="004A64B0">
            <w:pPr>
              <w:spacing w:line="240" w:lineRule="auto"/>
              <w:rPr>
                <w:rFonts w:cs="Arial"/>
                <w:sz w:val="20"/>
                <w:lang w:eastAsia="en-US"/>
              </w:rPr>
            </w:pPr>
            <w:r w:rsidRPr="004A64B0">
              <w:rPr>
                <w:rFonts w:cs="Arial"/>
                <w:sz w:val="20"/>
                <w:lang w:eastAsia="en-US"/>
              </w:rPr>
              <w:t>360</w:t>
            </w:r>
          </w:p>
        </w:tc>
        <w:tc>
          <w:tcPr>
            <w:tcW w:w="877" w:type="pct"/>
            <w:tcBorders>
              <w:top w:val="nil"/>
            </w:tcBorders>
            <w:shd w:val="clear" w:color="auto" w:fill="auto"/>
            <w:noWrap/>
            <w:vAlign w:val="bottom"/>
          </w:tcPr>
          <w:p w14:paraId="3918D253" w14:textId="77777777" w:rsidR="00FC360C" w:rsidRPr="004A64B0" w:rsidRDefault="00FC360C" w:rsidP="004A64B0">
            <w:pPr>
              <w:spacing w:line="240" w:lineRule="auto"/>
              <w:rPr>
                <w:rFonts w:cs="Arial"/>
                <w:sz w:val="20"/>
                <w:lang w:eastAsia="en-US"/>
              </w:rPr>
            </w:pPr>
            <w:r w:rsidRPr="004A64B0">
              <w:rPr>
                <w:rFonts w:cs="Arial"/>
                <w:sz w:val="20"/>
                <w:lang w:eastAsia="en-US"/>
              </w:rPr>
              <w:t>362</w:t>
            </w:r>
          </w:p>
        </w:tc>
        <w:tc>
          <w:tcPr>
            <w:tcW w:w="1021" w:type="pct"/>
            <w:tcBorders>
              <w:top w:val="nil"/>
              <w:right w:val="nil"/>
            </w:tcBorders>
            <w:shd w:val="clear" w:color="auto" w:fill="auto"/>
            <w:noWrap/>
            <w:vAlign w:val="bottom"/>
          </w:tcPr>
          <w:p w14:paraId="08499A97" w14:textId="77777777" w:rsidR="00FC360C" w:rsidRPr="004A64B0" w:rsidRDefault="00FC360C" w:rsidP="004A64B0">
            <w:pPr>
              <w:spacing w:line="240" w:lineRule="auto"/>
              <w:rPr>
                <w:rFonts w:cs="Arial"/>
                <w:sz w:val="20"/>
                <w:lang w:eastAsia="en-US"/>
              </w:rPr>
            </w:pPr>
            <w:r w:rsidRPr="004A64B0">
              <w:rPr>
                <w:rFonts w:cs="Arial"/>
                <w:sz w:val="20"/>
                <w:lang w:eastAsia="en-US"/>
              </w:rPr>
              <w:t>6</w:t>
            </w:r>
          </w:p>
        </w:tc>
      </w:tr>
      <w:tr w:rsidR="00FC360C" w:rsidRPr="00D06837" w14:paraId="51B87594" w14:textId="77777777" w:rsidTr="004A64B0">
        <w:trPr>
          <w:trHeight w:val="255"/>
          <w:jc w:val="center"/>
        </w:trPr>
        <w:tc>
          <w:tcPr>
            <w:tcW w:w="1010" w:type="pct"/>
            <w:tcBorders>
              <w:top w:val="nil"/>
            </w:tcBorders>
            <w:shd w:val="clear" w:color="auto" w:fill="auto"/>
            <w:noWrap/>
            <w:vAlign w:val="bottom"/>
          </w:tcPr>
          <w:p w14:paraId="7292ABAE" w14:textId="77777777" w:rsidR="00FC360C" w:rsidRPr="004A64B0" w:rsidRDefault="00FC360C" w:rsidP="004A64B0">
            <w:pPr>
              <w:spacing w:line="240" w:lineRule="auto"/>
              <w:rPr>
                <w:rFonts w:cs="Arial"/>
                <w:sz w:val="20"/>
                <w:lang w:eastAsia="en-US"/>
              </w:rPr>
            </w:pPr>
            <w:r w:rsidRPr="004A64B0">
              <w:rPr>
                <w:rFonts w:cs="Arial"/>
                <w:sz w:val="20"/>
                <w:lang w:eastAsia="en-US"/>
              </w:rPr>
              <w:t>CB157*</w:t>
            </w:r>
          </w:p>
        </w:tc>
        <w:tc>
          <w:tcPr>
            <w:tcW w:w="594" w:type="pct"/>
            <w:tcBorders>
              <w:top w:val="nil"/>
            </w:tcBorders>
            <w:shd w:val="clear" w:color="auto" w:fill="auto"/>
            <w:noWrap/>
            <w:vAlign w:val="bottom"/>
          </w:tcPr>
          <w:p w14:paraId="7FD12167"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362</w:t>
            </w:r>
          </w:p>
        </w:tc>
        <w:tc>
          <w:tcPr>
            <w:tcW w:w="594" w:type="pct"/>
            <w:tcBorders>
              <w:top w:val="nil"/>
            </w:tcBorders>
            <w:shd w:val="clear" w:color="auto" w:fill="auto"/>
            <w:noWrap/>
            <w:vAlign w:val="bottom"/>
          </w:tcPr>
          <w:p w14:paraId="14FB5B8A" w14:textId="77777777" w:rsidR="00FC360C" w:rsidRPr="004A64B0" w:rsidRDefault="00FC360C" w:rsidP="004A64B0">
            <w:pPr>
              <w:spacing w:line="240" w:lineRule="auto"/>
              <w:rPr>
                <w:rFonts w:cs="Arial"/>
                <w:sz w:val="20"/>
                <w:lang w:eastAsia="en-US"/>
              </w:rPr>
            </w:pPr>
            <w:r w:rsidRPr="004A64B0">
              <w:rPr>
                <w:rFonts w:cs="Arial"/>
                <w:sz w:val="20"/>
                <w:lang w:eastAsia="en-US"/>
              </w:rPr>
              <w:t>48.698</w:t>
            </w:r>
          </w:p>
        </w:tc>
        <w:tc>
          <w:tcPr>
            <w:tcW w:w="903" w:type="pct"/>
            <w:tcBorders>
              <w:top w:val="nil"/>
            </w:tcBorders>
            <w:shd w:val="clear" w:color="auto" w:fill="auto"/>
            <w:noWrap/>
            <w:vAlign w:val="bottom"/>
          </w:tcPr>
          <w:p w14:paraId="09F37F00" w14:textId="77777777" w:rsidR="00FC360C" w:rsidRPr="004A64B0" w:rsidRDefault="00FC360C" w:rsidP="004A64B0">
            <w:pPr>
              <w:spacing w:line="240" w:lineRule="auto"/>
              <w:rPr>
                <w:rFonts w:cs="Arial"/>
                <w:sz w:val="20"/>
                <w:lang w:eastAsia="en-US"/>
              </w:rPr>
            </w:pPr>
            <w:r w:rsidRPr="004A64B0">
              <w:rPr>
                <w:rFonts w:cs="Arial"/>
                <w:sz w:val="20"/>
                <w:lang w:eastAsia="en-US"/>
              </w:rPr>
              <w:t>360</w:t>
            </w:r>
          </w:p>
        </w:tc>
        <w:tc>
          <w:tcPr>
            <w:tcW w:w="877" w:type="pct"/>
            <w:tcBorders>
              <w:top w:val="nil"/>
            </w:tcBorders>
            <w:shd w:val="clear" w:color="auto" w:fill="auto"/>
            <w:noWrap/>
            <w:vAlign w:val="bottom"/>
          </w:tcPr>
          <w:p w14:paraId="5D5BC983" w14:textId="77777777" w:rsidR="00FC360C" w:rsidRPr="004A64B0" w:rsidRDefault="00FC360C" w:rsidP="004A64B0">
            <w:pPr>
              <w:spacing w:line="240" w:lineRule="auto"/>
              <w:rPr>
                <w:rFonts w:cs="Arial"/>
                <w:sz w:val="20"/>
                <w:lang w:eastAsia="en-US"/>
              </w:rPr>
            </w:pPr>
            <w:r w:rsidRPr="004A64B0">
              <w:rPr>
                <w:rFonts w:cs="Arial"/>
                <w:sz w:val="20"/>
                <w:lang w:eastAsia="en-US"/>
              </w:rPr>
              <w:t>362</w:t>
            </w:r>
          </w:p>
        </w:tc>
        <w:tc>
          <w:tcPr>
            <w:tcW w:w="1021" w:type="pct"/>
            <w:tcBorders>
              <w:top w:val="nil"/>
              <w:right w:val="nil"/>
            </w:tcBorders>
            <w:shd w:val="clear" w:color="auto" w:fill="auto"/>
            <w:noWrap/>
            <w:vAlign w:val="bottom"/>
          </w:tcPr>
          <w:p w14:paraId="254E8E5E" w14:textId="77777777" w:rsidR="00FC360C" w:rsidRPr="004A64B0" w:rsidRDefault="00FC360C" w:rsidP="004A64B0">
            <w:pPr>
              <w:spacing w:line="240" w:lineRule="auto"/>
              <w:rPr>
                <w:rFonts w:cs="Arial"/>
                <w:sz w:val="20"/>
                <w:lang w:eastAsia="en-US"/>
              </w:rPr>
            </w:pPr>
            <w:r w:rsidRPr="004A64B0">
              <w:rPr>
                <w:rFonts w:cs="Arial"/>
                <w:sz w:val="20"/>
                <w:lang w:eastAsia="en-US"/>
              </w:rPr>
              <w:t>6</w:t>
            </w:r>
          </w:p>
        </w:tc>
      </w:tr>
      <w:tr w:rsidR="00FC360C" w:rsidRPr="00D06837" w14:paraId="4C835000" w14:textId="77777777" w:rsidTr="004A64B0">
        <w:trPr>
          <w:trHeight w:val="255"/>
          <w:jc w:val="center"/>
        </w:trPr>
        <w:tc>
          <w:tcPr>
            <w:tcW w:w="1010" w:type="pct"/>
            <w:tcBorders>
              <w:top w:val="nil"/>
            </w:tcBorders>
            <w:shd w:val="clear" w:color="auto" w:fill="auto"/>
            <w:noWrap/>
            <w:vAlign w:val="bottom"/>
          </w:tcPr>
          <w:p w14:paraId="2C8388E8" w14:textId="77777777" w:rsidR="00FC360C" w:rsidRPr="004A64B0" w:rsidRDefault="00FC360C" w:rsidP="004A64B0">
            <w:pPr>
              <w:spacing w:line="240" w:lineRule="auto"/>
              <w:rPr>
                <w:rFonts w:cs="Arial"/>
                <w:b/>
                <w:bCs/>
                <w:i/>
                <w:iCs/>
                <w:sz w:val="20"/>
                <w:lang w:eastAsia="en-US"/>
              </w:rPr>
            </w:pPr>
            <w:r w:rsidRPr="004A64B0">
              <w:rPr>
                <w:rFonts w:cs="Arial"/>
                <w:b/>
                <w:bCs/>
                <w:i/>
                <w:iCs/>
                <w:sz w:val="20"/>
                <w:vertAlign w:val="superscript"/>
                <w:lang w:eastAsia="en-US"/>
              </w:rPr>
              <w:t>13</w:t>
            </w:r>
            <w:r w:rsidRPr="004A64B0">
              <w:rPr>
                <w:rFonts w:cs="Arial"/>
                <w:b/>
                <w:bCs/>
                <w:i/>
                <w:iCs/>
                <w:sz w:val="20"/>
                <w:lang w:eastAsia="en-US"/>
              </w:rPr>
              <w:t>C-CB180</w:t>
            </w:r>
          </w:p>
        </w:tc>
        <w:tc>
          <w:tcPr>
            <w:tcW w:w="594" w:type="pct"/>
            <w:tcBorders>
              <w:top w:val="nil"/>
            </w:tcBorders>
            <w:shd w:val="clear" w:color="auto" w:fill="auto"/>
            <w:noWrap/>
            <w:vAlign w:val="bottom"/>
          </w:tcPr>
          <w:p w14:paraId="4D27F376"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408</w:t>
            </w:r>
          </w:p>
        </w:tc>
        <w:tc>
          <w:tcPr>
            <w:tcW w:w="594" w:type="pct"/>
            <w:tcBorders>
              <w:top w:val="nil"/>
            </w:tcBorders>
            <w:shd w:val="clear" w:color="auto" w:fill="auto"/>
            <w:noWrap/>
            <w:vAlign w:val="bottom"/>
          </w:tcPr>
          <w:p w14:paraId="10B3E524" w14:textId="77777777" w:rsidR="00FC360C" w:rsidRPr="004A64B0" w:rsidRDefault="00FC360C" w:rsidP="004A64B0">
            <w:pPr>
              <w:spacing w:line="240" w:lineRule="auto"/>
              <w:rPr>
                <w:rFonts w:cs="Arial"/>
                <w:sz w:val="20"/>
                <w:lang w:eastAsia="en-US"/>
              </w:rPr>
            </w:pPr>
            <w:r w:rsidRPr="004A64B0">
              <w:rPr>
                <w:rFonts w:cs="Arial"/>
                <w:sz w:val="20"/>
                <w:lang w:eastAsia="en-US"/>
              </w:rPr>
              <w:t>48.829</w:t>
            </w:r>
          </w:p>
        </w:tc>
        <w:tc>
          <w:tcPr>
            <w:tcW w:w="903" w:type="pct"/>
            <w:tcBorders>
              <w:top w:val="nil"/>
            </w:tcBorders>
            <w:shd w:val="clear" w:color="auto" w:fill="auto"/>
            <w:noWrap/>
            <w:vAlign w:val="bottom"/>
          </w:tcPr>
          <w:p w14:paraId="606A3F70" w14:textId="77777777" w:rsidR="00FC360C" w:rsidRPr="004A64B0" w:rsidRDefault="00FC360C" w:rsidP="004A64B0">
            <w:pPr>
              <w:spacing w:line="240" w:lineRule="auto"/>
              <w:rPr>
                <w:rFonts w:cs="Arial"/>
                <w:sz w:val="20"/>
                <w:lang w:eastAsia="en-US"/>
              </w:rPr>
            </w:pPr>
            <w:r w:rsidRPr="004A64B0">
              <w:rPr>
                <w:rFonts w:cs="Arial"/>
                <w:sz w:val="20"/>
                <w:lang w:eastAsia="en-US"/>
              </w:rPr>
              <w:t>406</w:t>
            </w:r>
          </w:p>
        </w:tc>
        <w:tc>
          <w:tcPr>
            <w:tcW w:w="877" w:type="pct"/>
            <w:tcBorders>
              <w:top w:val="nil"/>
            </w:tcBorders>
            <w:shd w:val="clear" w:color="auto" w:fill="auto"/>
            <w:noWrap/>
            <w:vAlign w:val="bottom"/>
          </w:tcPr>
          <w:p w14:paraId="67108FB7" w14:textId="77777777" w:rsidR="00FC360C" w:rsidRPr="004A64B0" w:rsidRDefault="00FC360C" w:rsidP="004A64B0">
            <w:pPr>
              <w:spacing w:line="240" w:lineRule="auto"/>
              <w:rPr>
                <w:rFonts w:cs="Arial"/>
                <w:sz w:val="20"/>
                <w:lang w:eastAsia="en-US"/>
              </w:rPr>
            </w:pPr>
            <w:r w:rsidRPr="004A64B0">
              <w:rPr>
                <w:rFonts w:cs="Arial"/>
                <w:sz w:val="20"/>
                <w:lang w:eastAsia="en-US"/>
              </w:rPr>
              <w:t>408</w:t>
            </w:r>
          </w:p>
        </w:tc>
        <w:tc>
          <w:tcPr>
            <w:tcW w:w="1021" w:type="pct"/>
            <w:tcBorders>
              <w:top w:val="nil"/>
              <w:right w:val="nil"/>
            </w:tcBorders>
            <w:shd w:val="clear" w:color="auto" w:fill="auto"/>
            <w:noWrap/>
            <w:vAlign w:val="bottom"/>
          </w:tcPr>
          <w:p w14:paraId="01664C21" w14:textId="77777777" w:rsidR="00FC360C" w:rsidRPr="004A64B0" w:rsidRDefault="00FC360C" w:rsidP="004A64B0">
            <w:pPr>
              <w:spacing w:line="240" w:lineRule="auto"/>
              <w:rPr>
                <w:rFonts w:cs="Arial"/>
                <w:sz w:val="20"/>
                <w:lang w:eastAsia="en-US"/>
              </w:rPr>
            </w:pPr>
            <w:r w:rsidRPr="004A64B0">
              <w:rPr>
                <w:rFonts w:cs="Arial"/>
                <w:sz w:val="20"/>
                <w:lang w:eastAsia="en-US"/>
              </w:rPr>
              <w:t>7</w:t>
            </w:r>
          </w:p>
        </w:tc>
      </w:tr>
      <w:tr w:rsidR="00FC360C" w:rsidRPr="00D06837" w14:paraId="13674CF0" w14:textId="77777777" w:rsidTr="004A64B0">
        <w:trPr>
          <w:trHeight w:val="255"/>
          <w:jc w:val="center"/>
        </w:trPr>
        <w:tc>
          <w:tcPr>
            <w:tcW w:w="1010" w:type="pct"/>
            <w:tcBorders>
              <w:top w:val="nil"/>
            </w:tcBorders>
            <w:shd w:val="clear" w:color="auto" w:fill="auto"/>
            <w:noWrap/>
            <w:vAlign w:val="bottom"/>
          </w:tcPr>
          <w:p w14:paraId="64A0EAD0" w14:textId="77777777" w:rsidR="00FC360C" w:rsidRPr="004A64B0" w:rsidRDefault="00FC360C" w:rsidP="004A64B0">
            <w:pPr>
              <w:spacing w:line="240" w:lineRule="auto"/>
              <w:rPr>
                <w:rFonts w:cs="Arial"/>
                <w:sz w:val="20"/>
                <w:lang w:eastAsia="en-US"/>
              </w:rPr>
            </w:pPr>
            <w:r w:rsidRPr="004A64B0">
              <w:rPr>
                <w:rFonts w:cs="Arial"/>
                <w:sz w:val="20"/>
                <w:lang w:eastAsia="en-US"/>
              </w:rPr>
              <w:t>CB187</w:t>
            </w:r>
          </w:p>
        </w:tc>
        <w:tc>
          <w:tcPr>
            <w:tcW w:w="594" w:type="pct"/>
            <w:tcBorders>
              <w:top w:val="nil"/>
            </w:tcBorders>
            <w:shd w:val="clear" w:color="auto" w:fill="auto"/>
            <w:noWrap/>
            <w:vAlign w:val="bottom"/>
          </w:tcPr>
          <w:p w14:paraId="0C5D1890"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396</w:t>
            </w:r>
          </w:p>
        </w:tc>
        <w:tc>
          <w:tcPr>
            <w:tcW w:w="594" w:type="pct"/>
            <w:tcBorders>
              <w:top w:val="nil"/>
            </w:tcBorders>
            <w:shd w:val="clear" w:color="auto" w:fill="auto"/>
            <w:noWrap/>
            <w:vAlign w:val="bottom"/>
          </w:tcPr>
          <w:p w14:paraId="6A840E79" w14:textId="77777777" w:rsidR="00FC360C" w:rsidRPr="004A64B0" w:rsidRDefault="00FC360C" w:rsidP="004A64B0">
            <w:pPr>
              <w:spacing w:line="240" w:lineRule="auto"/>
              <w:rPr>
                <w:rFonts w:cs="Arial"/>
                <w:sz w:val="20"/>
                <w:lang w:eastAsia="en-US"/>
              </w:rPr>
            </w:pPr>
            <w:r w:rsidRPr="004A64B0">
              <w:rPr>
                <w:rFonts w:cs="Arial"/>
                <w:sz w:val="20"/>
                <w:lang w:eastAsia="en-US"/>
              </w:rPr>
              <w:t>44.787</w:t>
            </w:r>
          </w:p>
        </w:tc>
        <w:tc>
          <w:tcPr>
            <w:tcW w:w="903" w:type="pct"/>
            <w:tcBorders>
              <w:top w:val="nil"/>
            </w:tcBorders>
            <w:shd w:val="clear" w:color="auto" w:fill="auto"/>
            <w:noWrap/>
            <w:vAlign w:val="bottom"/>
          </w:tcPr>
          <w:p w14:paraId="672C20B4" w14:textId="77777777" w:rsidR="00FC360C" w:rsidRPr="004A64B0" w:rsidRDefault="00FC360C" w:rsidP="004A64B0">
            <w:pPr>
              <w:spacing w:line="240" w:lineRule="auto"/>
              <w:rPr>
                <w:rFonts w:cs="Arial"/>
                <w:sz w:val="20"/>
                <w:lang w:eastAsia="en-US"/>
              </w:rPr>
            </w:pPr>
            <w:r w:rsidRPr="004A64B0">
              <w:rPr>
                <w:rFonts w:cs="Arial"/>
                <w:sz w:val="20"/>
                <w:lang w:eastAsia="en-US"/>
              </w:rPr>
              <w:t>394</w:t>
            </w:r>
          </w:p>
        </w:tc>
        <w:tc>
          <w:tcPr>
            <w:tcW w:w="877" w:type="pct"/>
            <w:tcBorders>
              <w:top w:val="nil"/>
            </w:tcBorders>
            <w:shd w:val="clear" w:color="auto" w:fill="auto"/>
            <w:noWrap/>
            <w:vAlign w:val="bottom"/>
          </w:tcPr>
          <w:p w14:paraId="22EF970C" w14:textId="77777777" w:rsidR="00FC360C" w:rsidRPr="004A64B0" w:rsidRDefault="00FC360C" w:rsidP="004A64B0">
            <w:pPr>
              <w:spacing w:line="240" w:lineRule="auto"/>
              <w:rPr>
                <w:rFonts w:cs="Arial"/>
                <w:sz w:val="20"/>
                <w:lang w:eastAsia="en-US"/>
              </w:rPr>
            </w:pPr>
            <w:r w:rsidRPr="004A64B0">
              <w:rPr>
                <w:rFonts w:cs="Arial"/>
                <w:sz w:val="20"/>
                <w:lang w:eastAsia="en-US"/>
              </w:rPr>
              <w:t>396</w:t>
            </w:r>
          </w:p>
        </w:tc>
        <w:tc>
          <w:tcPr>
            <w:tcW w:w="1021" w:type="pct"/>
            <w:tcBorders>
              <w:top w:val="nil"/>
              <w:right w:val="nil"/>
            </w:tcBorders>
            <w:shd w:val="clear" w:color="auto" w:fill="auto"/>
            <w:noWrap/>
            <w:vAlign w:val="bottom"/>
          </w:tcPr>
          <w:p w14:paraId="5C827249" w14:textId="77777777" w:rsidR="00FC360C" w:rsidRPr="004A64B0" w:rsidRDefault="00FC360C" w:rsidP="004A64B0">
            <w:pPr>
              <w:spacing w:line="240" w:lineRule="auto"/>
              <w:rPr>
                <w:rFonts w:cs="Arial"/>
                <w:sz w:val="20"/>
                <w:lang w:eastAsia="en-US"/>
              </w:rPr>
            </w:pPr>
            <w:r w:rsidRPr="004A64B0">
              <w:rPr>
                <w:rFonts w:cs="Arial"/>
                <w:sz w:val="20"/>
                <w:lang w:eastAsia="en-US"/>
              </w:rPr>
              <w:t>7</w:t>
            </w:r>
          </w:p>
        </w:tc>
      </w:tr>
      <w:tr w:rsidR="00FC360C" w:rsidRPr="00D06837" w14:paraId="67464319" w14:textId="77777777" w:rsidTr="004A64B0">
        <w:trPr>
          <w:trHeight w:val="255"/>
          <w:jc w:val="center"/>
        </w:trPr>
        <w:tc>
          <w:tcPr>
            <w:tcW w:w="1010" w:type="pct"/>
            <w:tcBorders>
              <w:top w:val="nil"/>
            </w:tcBorders>
            <w:shd w:val="clear" w:color="auto" w:fill="auto"/>
            <w:noWrap/>
            <w:vAlign w:val="bottom"/>
          </w:tcPr>
          <w:p w14:paraId="7CFF54AC" w14:textId="77777777" w:rsidR="00FC360C" w:rsidRPr="004A64B0" w:rsidRDefault="00FC360C" w:rsidP="004A64B0">
            <w:pPr>
              <w:spacing w:line="240" w:lineRule="auto"/>
              <w:rPr>
                <w:rFonts w:cs="Arial"/>
                <w:sz w:val="20"/>
                <w:lang w:eastAsia="en-US"/>
              </w:rPr>
            </w:pPr>
            <w:r w:rsidRPr="004A64B0">
              <w:rPr>
                <w:rFonts w:cs="Arial"/>
                <w:sz w:val="20"/>
                <w:lang w:eastAsia="en-US"/>
              </w:rPr>
              <w:t>CB183</w:t>
            </w:r>
          </w:p>
        </w:tc>
        <w:tc>
          <w:tcPr>
            <w:tcW w:w="594" w:type="pct"/>
            <w:tcBorders>
              <w:top w:val="nil"/>
            </w:tcBorders>
            <w:shd w:val="clear" w:color="auto" w:fill="auto"/>
            <w:noWrap/>
            <w:vAlign w:val="bottom"/>
          </w:tcPr>
          <w:p w14:paraId="6A60413E"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396</w:t>
            </w:r>
          </w:p>
        </w:tc>
        <w:tc>
          <w:tcPr>
            <w:tcW w:w="594" w:type="pct"/>
            <w:tcBorders>
              <w:top w:val="nil"/>
            </w:tcBorders>
            <w:shd w:val="clear" w:color="auto" w:fill="auto"/>
            <w:noWrap/>
            <w:vAlign w:val="bottom"/>
          </w:tcPr>
          <w:p w14:paraId="09B3E3FC" w14:textId="77777777" w:rsidR="00FC360C" w:rsidRPr="004A64B0" w:rsidRDefault="00FC360C" w:rsidP="004A64B0">
            <w:pPr>
              <w:spacing w:line="240" w:lineRule="auto"/>
              <w:rPr>
                <w:rFonts w:cs="Arial"/>
                <w:sz w:val="20"/>
                <w:lang w:eastAsia="en-US"/>
              </w:rPr>
            </w:pPr>
            <w:r w:rsidRPr="004A64B0">
              <w:rPr>
                <w:rFonts w:cs="Arial"/>
                <w:sz w:val="20"/>
                <w:lang w:eastAsia="en-US"/>
              </w:rPr>
              <w:t>45.264</w:t>
            </w:r>
          </w:p>
        </w:tc>
        <w:tc>
          <w:tcPr>
            <w:tcW w:w="903" w:type="pct"/>
            <w:tcBorders>
              <w:top w:val="nil"/>
            </w:tcBorders>
            <w:shd w:val="clear" w:color="auto" w:fill="auto"/>
            <w:noWrap/>
            <w:vAlign w:val="bottom"/>
          </w:tcPr>
          <w:p w14:paraId="553DE2B5" w14:textId="77777777" w:rsidR="00FC360C" w:rsidRPr="004A64B0" w:rsidRDefault="00FC360C" w:rsidP="004A64B0">
            <w:pPr>
              <w:spacing w:line="240" w:lineRule="auto"/>
              <w:rPr>
                <w:rFonts w:cs="Arial"/>
                <w:sz w:val="20"/>
                <w:lang w:eastAsia="en-US"/>
              </w:rPr>
            </w:pPr>
            <w:r w:rsidRPr="004A64B0">
              <w:rPr>
                <w:rFonts w:cs="Arial"/>
                <w:sz w:val="20"/>
                <w:lang w:eastAsia="en-US"/>
              </w:rPr>
              <w:t>394</w:t>
            </w:r>
          </w:p>
        </w:tc>
        <w:tc>
          <w:tcPr>
            <w:tcW w:w="877" w:type="pct"/>
            <w:tcBorders>
              <w:top w:val="nil"/>
            </w:tcBorders>
            <w:shd w:val="clear" w:color="auto" w:fill="auto"/>
            <w:noWrap/>
            <w:vAlign w:val="bottom"/>
          </w:tcPr>
          <w:p w14:paraId="422F2161" w14:textId="77777777" w:rsidR="00FC360C" w:rsidRPr="004A64B0" w:rsidRDefault="00FC360C" w:rsidP="004A64B0">
            <w:pPr>
              <w:spacing w:line="240" w:lineRule="auto"/>
              <w:rPr>
                <w:rFonts w:cs="Arial"/>
                <w:sz w:val="20"/>
                <w:lang w:eastAsia="en-US"/>
              </w:rPr>
            </w:pPr>
            <w:r w:rsidRPr="004A64B0">
              <w:rPr>
                <w:rFonts w:cs="Arial"/>
                <w:sz w:val="20"/>
                <w:lang w:eastAsia="en-US"/>
              </w:rPr>
              <w:t>396</w:t>
            </w:r>
          </w:p>
        </w:tc>
        <w:tc>
          <w:tcPr>
            <w:tcW w:w="1021" w:type="pct"/>
            <w:tcBorders>
              <w:top w:val="nil"/>
              <w:right w:val="nil"/>
            </w:tcBorders>
            <w:shd w:val="clear" w:color="auto" w:fill="auto"/>
            <w:noWrap/>
            <w:vAlign w:val="bottom"/>
          </w:tcPr>
          <w:p w14:paraId="25206819" w14:textId="77777777" w:rsidR="00FC360C" w:rsidRPr="004A64B0" w:rsidRDefault="00FC360C" w:rsidP="004A64B0">
            <w:pPr>
              <w:spacing w:line="240" w:lineRule="auto"/>
              <w:rPr>
                <w:rFonts w:cs="Arial"/>
                <w:sz w:val="20"/>
                <w:lang w:eastAsia="en-US"/>
              </w:rPr>
            </w:pPr>
            <w:r w:rsidRPr="004A64B0">
              <w:rPr>
                <w:rFonts w:cs="Arial"/>
                <w:sz w:val="20"/>
                <w:lang w:eastAsia="en-US"/>
              </w:rPr>
              <w:t>7</w:t>
            </w:r>
          </w:p>
        </w:tc>
      </w:tr>
      <w:tr w:rsidR="00FC360C" w:rsidRPr="00D06837" w14:paraId="1A401D5F" w14:textId="77777777" w:rsidTr="004A64B0">
        <w:trPr>
          <w:trHeight w:val="255"/>
          <w:jc w:val="center"/>
        </w:trPr>
        <w:tc>
          <w:tcPr>
            <w:tcW w:w="1010" w:type="pct"/>
            <w:tcBorders>
              <w:top w:val="nil"/>
            </w:tcBorders>
            <w:shd w:val="clear" w:color="auto" w:fill="auto"/>
            <w:noWrap/>
            <w:vAlign w:val="bottom"/>
          </w:tcPr>
          <w:p w14:paraId="0D8902E2" w14:textId="77777777" w:rsidR="00FC360C" w:rsidRPr="004A64B0" w:rsidRDefault="00FC360C" w:rsidP="004A64B0">
            <w:pPr>
              <w:spacing w:line="240" w:lineRule="auto"/>
              <w:rPr>
                <w:rFonts w:cs="Arial"/>
                <w:sz w:val="20"/>
                <w:lang w:eastAsia="en-US"/>
              </w:rPr>
            </w:pPr>
            <w:r w:rsidRPr="004A64B0">
              <w:rPr>
                <w:rFonts w:cs="Arial"/>
                <w:sz w:val="20"/>
                <w:lang w:eastAsia="en-US"/>
              </w:rPr>
              <w:t>CB180</w:t>
            </w:r>
          </w:p>
        </w:tc>
        <w:tc>
          <w:tcPr>
            <w:tcW w:w="594" w:type="pct"/>
            <w:tcBorders>
              <w:top w:val="nil"/>
            </w:tcBorders>
            <w:shd w:val="clear" w:color="auto" w:fill="auto"/>
            <w:noWrap/>
            <w:vAlign w:val="bottom"/>
          </w:tcPr>
          <w:p w14:paraId="5C4041AF"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396</w:t>
            </w:r>
          </w:p>
        </w:tc>
        <w:tc>
          <w:tcPr>
            <w:tcW w:w="594" w:type="pct"/>
            <w:tcBorders>
              <w:top w:val="nil"/>
            </w:tcBorders>
            <w:shd w:val="clear" w:color="auto" w:fill="auto"/>
            <w:noWrap/>
            <w:vAlign w:val="bottom"/>
          </w:tcPr>
          <w:p w14:paraId="2824CF83" w14:textId="77777777" w:rsidR="00FC360C" w:rsidRPr="004A64B0" w:rsidRDefault="00FC360C" w:rsidP="004A64B0">
            <w:pPr>
              <w:spacing w:line="240" w:lineRule="auto"/>
              <w:rPr>
                <w:rFonts w:cs="Arial"/>
                <w:sz w:val="20"/>
                <w:lang w:eastAsia="en-US"/>
              </w:rPr>
            </w:pPr>
            <w:r w:rsidRPr="004A64B0">
              <w:rPr>
                <w:rFonts w:cs="Arial"/>
                <w:sz w:val="20"/>
                <w:lang w:eastAsia="en-US"/>
              </w:rPr>
              <w:t>48.846</w:t>
            </w:r>
          </w:p>
        </w:tc>
        <w:tc>
          <w:tcPr>
            <w:tcW w:w="903" w:type="pct"/>
            <w:tcBorders>
              <w:top w:val="nil"/>
            </w:tcBorders>
            <w:shd w:val="clear" w:color="auto" w:fill="auto"/>
            <w:noWrap/>
            <w:vAlign w:val="bottom"/>
          </w:tcPr>
          <w:p w14:paraId="27398E83" w14:textId="77777777" w:rsidR="00FC360C" w:rsidRPr="004A64B0" w:rsidRDefault="00FC360C" w:rsidP="004A64B0">
            <w:pPr>
              <w:spacing w:line="240" w:lineRule="auto"/>
              <w:rPr>
                <w:rFonts w:cs="Arial"/>
                <w:sz w:val="20"/>
                <w:lang w:eastAsia="en-US"/>
              </w:rPr>
            </w:pPr>
            <w:r w:rsidRPr="004A64B0">
              <w:rPr>
                <w:rFonts w:cs="Arial"/>
                <w:sz w:val="20"/>
                <w:lang w:eastAsia="en-US"/>
              </w:rPr>
              <w:t>394</w:t>
            </w:r>
          </w:p>
        </w:tc>
        <w:tc>
          <w:tcPr>
            <w:tcW w:w="877" w:type="pct"/>
            <w:tcBorders>
              <w:top w:val="nil"/>
            </w:tcBorders>
            <w:shd w:val="clear" w:color="auto" w:fill="auto"/>
            <w:noWrap/>
            <w:vAlign w:val="bottom"/>
          </w:tcPr>
          <w:p w14:paraId="661CFAB9" w14:textId="77777777" w:rsidR="00FC360C" w:rsidRPr="004A64B0" w:rsidRDefault="00FC360C" w:rsidP="004A64B0">
            <w:pPr>
              <w:spacing w:line="240" w:lineRule="auto"/>
              <w:rPr>
                <w:rFonts w:cs="Arial"/>
                <w:sz w:val="20"/>
                <w:lang w:eastAsia="en-US"/>
              </w:rPr>
            </w:pPr>
            <w:r w:rsidRPr="004A64B0">
              <w:rPr>
                <w:rFonts w:cs="Arial"/>
                <w:sz w:val="20"/>
                <w:lang w:eastAsia="en-US"/>
              </w:rPr>
              <w:t>396</w:t>
            </w:r>
          </w:p>
        </w:tc>
        <w:tc>
          <w:tcPr>
            <w:tcW w:w="1021" w:type="pct"/>
            <w:tcBorders>
              <w:top w:val="nil"/>
              <w:right w:val="nil"/>
            </w:tcBorders>
            <w:shd w:val="clear" w:color="auto" w:fill="auto"/>
            <w:noWrap/>
            <w:vAlign w:val="bottom"/>
          </w:tcPr>
          <w:p w14:paraId="00CB81D3" w14:textId="77777777" w:rsidR="00FC360C" w:rsidRPr="004A64B0" w:rsidRDefault="00FC360C" w:rsidP="004A64B0">
            <w:pPr>
              <w:spacing w:line="240" w:lineRule="auto"/>
              <w:rPr>
                <w:rFonts w:cs="Arial"/>
                <w:sz w:val="20"/>
                <w:lang w:eastAsia="en-US"/>
              </w:rPr>
            </w:pPr>
            <w:r w:rsidRPr="004A64B0">
              <w:rPr>
                <w:rFonts w:cs="Arial"/>
                <w:sz w:val="20"/>
                <w:lang w:eastAsia="en-US"/>
              </w:rPr>
              <w:t>7</w:t>
            </w:r>
          </w:p>
        </w:tc>
      </w:tr>
      <w:tr w:rsidR="00FC360C" w:rsidRPr="00D06837" w14:paraId="5DEA0C87" w14:textId="77777777" w:rsidTr="004A64B0">
        <w:trPr>
          <w:trHeight w:val="255"/>
          <w:jc w:val="center"/>
        </w:trPr>
        <w:tc>
          <w:tcPr>
            <w:tcW w:w="1010" w:type="pct"/>
            <w:tcBorders>
              <w:top w:val="nil"/>
            </w:tcBorders>
            <w:shd w:val="clear" w:color="auto" w:fill="auto"/>
            <w:noWrap/>
            <w:vAlign w:val="bottom"/>
          </w:tcPr>
          <w:p w14:paraId="28B39550" w14:textId="77777777" w:rsidR="00FC360C" w:rsidRPr="004A64B0" w:rsidRDefault="00FC360C" w:rsidP="004A64B0">
            <w:pPr>
              <w:spacing w:line="240" w:lineRule="auto"/>
              <w:rPr>
                <w:rFonts w:cs="Arial"/>
                <w:sz w:val="20"/>
                <w:lang w:eastAsia="en-US"/>
              </w:rPr>
            </w:pPr>
            <w:r w:rsidRPr="004A64B0">
              <w:rPr>
                <w:rFonts w:cs="Arial"/>
                <w:sz w:val="20"/>
                <w:lang w:eastAsia="en-US"/>
              </w:rPr>
              <w:t>CB170</w:t>
            </w:r>
          </w:p>
        </w:tc>
        <w:tc>
          <w:tcPr>
            <w:tcW w:w="594" w:type="pct"/>
            <w:tcBorders>
              <w:top w:val="nil"/>
            </w:tcBorders>
            <w:shd w:val="clear" w:color="auto" w:fill="auto"/>
            <w:noWrap/>
            <w:vAlign w:val="bottom"/>
          </w:tcPr>
          <w:p w14:paraId="0C73EE34"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396</w:t>
            </w:r>
          </w:p>
        </w:tc>
        <w:tc>
          <w:tcPr>
            <w:tcW w:w="594" w:type="pct"/>
            <w:tcBorders>
              <w:top w:val="nil"/>
            </w:tcBorders>
            <w:shd w:val="clear" w:color="auto" w:fill="auto"/>
            <w:noWrap/>
            <w:vAlign w:val="bottom"/>
          </w:tcPr>
          <w:p w14:paraId="5685EB56" w14:textId="77777777" w:rsidR="00FC360C" w:rsidRPr="004A64B0" w:rsidRDefault="00FC360C" w:rsidP="004A64B0">
            <w:pPr>
              <w:spacing w:line="240" w:lineRule="auto"/>
              <w:rPr>
                <w:rFonts w:cs="Arial"/>
                <w:sz w:val="20"/>
                <w:lang w:eastAsia="en-US"/>
              </w:rPr>
            </w:pPr>
            <w:r w:rsidRPr="004A64B0">
              <w:rPr>
                <w:rFonts w:cs="Arial"/>
                <w:sz w:val="20"/>
                <w:lang w:eastAsia="en-US"/>
              </w:rPr>
              <w:t>50.684</w:t>
            </w:r>
          </w:p>
        </w:tc>
        <w:tc>
          <w:tcPr>
            <w:tcW w:w="903" w:type="pct"/>
            <w:tcBorders>
              <w:top w:val="nil"/>
            </w:tcBorders>
            <w:shd w:val="clear" w:color="auto" w:fill="auto"/>
            <w:noWrap/>
            <w:vAlign w:val="bottom"/>
          </w:tcPr>
          <w:p w14:paraId="6AA22B67" w14:textId="77777777" w:rsidR="00FC360C" w:rsidRPr="004A64B0" w:rsidRDefault="00FC360C" w:rsidP="004A64B0">
            <w:pPr>
              <w:spacing w:line="240" w:lineRule="auto"/>
              <w:rPr>
                <w:rFonts w:cs="Arial"/>
                <w:sz w:val="20"/>
                <w:lang w:eastAsia="en-US"/>
              </w:rPr>
            </w:pPr>
            <w:r w:rsidRPr="004A64B0">
              <w:rPr>
                <w:rFonts w:cs="Arial"/>
                <w:sz w:val="20"/>
                <w:lang w:eastAsia="en-US"/>
              </w:rPr>
              <w:t>394</w:t>
            </w:r>
          </w:p>
        </w:tc>
        <w:tc>
          <w:tcPr>
            <w:tcW w:w="877" w:type="pct"/>
            <w:tcBorders>
              <w:top w:val="nil"/>
            </w:tcBorders>
            <w:shd w:val="clear" w:color="auto" w:fill="auto"/>
            <w:noWrap/>
            <w:vAlign w:val="bottom"/>
          </w:tcPr>
          <w:p w14:paraId="6A67F8D0" w14:textId="77777777" w:rsidR="00FC360C" w:rsidRPr="004A64B0" w:rsidRDefault="00FC360C" w:rsidP="004A64B0">
            <w:pPr>
              <w:spacing w:line="240" w:lineRule="auto"/>
              <w:rPr>
                <w:rFonts w:cs="Arial"/>
                <w:sz w:val="20"/>
                <w:lang w:eastAsia="en-US"/>
              </w:rPr>
            </w:pPr>
            <w:r w:rsidRPr="004A64B0">
              <w:rPr>
                <w:rFonts w:cs="Arial"/>
                <w:sz w:val="20"/>
                <w:lang w:eastAsia="en-US"/>
              </w:rPr>
              <w:t>396</w:t>
            </w:r>
          </w:p>
        </w:tc>
        <w:tc>
          <w:tcPr>
            <w:tcW w:w="1021" w:type="pct"/>
            <w:tcBorders>
              <w:top w:val="nil"/>
              <w:right w:val="nil"/>
            </w:tcBorders>
            <w:shd w:val="clear" w:color="auto" w:fill="auto"/>
            <w:noWrap/>
            <w:vAlign w:val="bottom"/>
          </w:tcPr>
          <w:p w14:paraId="31C14112" w14:textId="77777777" w:rsidR="00FC360C" w:rsidRPr="004A64B0" w:rsidRDefault="00FC360C" w:rsidP="004A64B0">
            <w:pPr>
              <w:spacing w:line="240" w:lineRule="auto"/>
              <w:rPr>
                <w:rFonts w:cs="Arial"/>
                <w:sz w:val="20"/>
                <w:lang w:eastAsia="en-US"/>
              </w:rPr>
            </w:pPr>
            <w:r w:rsidRPr="004A64B0">
              <w:rPr>
                <w:rFonts w:cs="Arial"/>
                <w:sz w:val="20"/>
                <w:lang w:eastAsia="en-US"/>
              </w:rPr>
              <w:t>7</w:t>
            </w:r>
          </w:p>
        </w:tc>
      </w:tr>
      <w:tr w:rsidR="00FC360C" w:rsidRPr="00D06837" w14:paraId="27DA51D7" w14:textId="77777777" w:rsidTr="004A64B0">
        <w:trPr>
          <w:trHeight w:val="255"/>
          <w:jc w:val="center"/>
        </w:trPr>
        <w:tc>
          <w:tcPr>
            <w:tcW w:w="1010" w:type="pct"/>
            <w:tcBorders>
              <w:top w:val="nil"/>
            </w:tcBorders>
            <w:shd w:val="clear" w:color="auto" w:fill="auto"/>
            <w:noWrap/>
            <w:vAlign w:val="bottom"/>
          </w:tcPr>
          <w:p w14:paraId="76EF91B3" w14:textId="77777777" w:rsidR="00FC360C" w:rsidRPr="004A64B0" w:rsidRDefault="00FC360C" w:rsidP="004A64B0">
            <w:pPr>
              <w:spacing w:line="240" w:lineRule="auto"/>
              <w:rPr>
                <w:rFonts w:cs="Arial"/>
                <w:b/>
                <w:i/>
                <w:sz w:val="20"/>
                <w:lang w:eastAsia="en-US"/>
              </w:rPr>
            </w:pPr>
            <w:r w:rsidRPr="004A64B0">
              <w:rPr>
                <w:rFonts w:cs="Arial"/>
                <w:b/>
                <w:i/>
                <w:sz w:val="20"/>
                <w:vertAlign w:val="superscript"/>
                <w:lang w:eastAsia="en-US"/>
              </w:rPr>
              <w:t>13</w:t>
            </w:r>
            <w:r w:rsidRPr="004A64B0">
              <w:rPr>
                <w:rFonts w:cs="Arial"/>
                <w:b/>
                <w:i/>
                <w:sz w:val="20"/>
                <w:lang w:eastAsia="en-US"/>
              </w:rPr>
              <w:t>C-CB189</w:t>
            </w:r>
          </w:p>
        </w:tc>
        <w:tc>
          <w:tcPr>
            <w:tcW w:w="594" w:type="pct"/>
            <w:tcBorders>
              <w:top w:val="nil"/>
            </w:tcBorders>
            <w:shd w:val="clear" w:color="auto" w:fill="auto"/>
            <w:noWrap/>
            <w:vAlign w:val="bottom"/>
          </w:tcPr>
          <w:p w14:paraId="5FB56721"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406</w:t>
            </w:r>
          </w:p>
        </w:tc>
        <w:tc>
          <w:tcPr>
            <w:tcW w:w="594" w:type="pct"/>
            <w:tcBorders>
              <w:top w:val="nil"/>
            </w:tcBorders>
            <w:shd w:val="clear" w:color="auto" w:fill="auto"/>
            <w:noWrap/>
            <w:vAlign w:val="bottom"/>
          </w:tcPr>
          <w:p w14:paraId="4D42346E" w14:textId="77777777" w:rsidR="00FC360C" w:rsidRPr="004A64B0" w:rsidRDefault="00FC360C" w:rsidP="004A64B0">
            <w:pPr>
              <w:spacing w:line="240" w:lineRule="auto"/>
              <w:rPr>
                <w:rFonts w:cs="Arial"/>
                <w:sz w:val="20"/>
                <w:lang w:eastAsia="en-US"/>
              </w:rPr>
            </w:pPr>
            <w:r w:rsidRPr="004A64B0">
              <w:rPr>
                <w:rFonts w:cs="Arial"/>
                <w:sz w:val="20"/>
                <w:lang w:eastAsia="en-US"/>
              </w:rPr>
              <w:t>53.182</w:t>
            </w:r>
          </w:p>
        </w:tc>
        <w:tc>
          <w:tcPr>
            <w:tcW w:w="903" w:type="pct"/>
            <w:tcBorders>
              <w:top w:val="nil"/>
            </w:tcBorders>
            <w:shd w:val="clear" w:color="auto" w:fill="auto"/>
            <w:noWrap/>
            <w:vAlign w:val="bottom"/>
          </w:tcPr>
          <w:p w14:paraId="7FE238D3" w14:textId="77777777" w:rsidR="00FC360C" w:rsidRPr="004A64B0" w:rsidRDefault="00FC360C" w:rsidP="004A64B0">
            <w:pPr>
              <w:spacing w:line="240" w:lineRule="auto"/>
              <w:rPr>
                <w:rFonts w:cs="Arial"/>
                <w:sz w:val="20"/>
                <w:lang w:eastAsia="en-US"/>
              </w:rPr>
            </w:pPr>
            <w:r w:rsidRPr="004A64B0">
              <w:rPr>
                <w:rFonts w:cs="Arial"/>
                <w:sz w:val="20"/>
                <w:lang w:eastAsia="en-US"/>
              </w:rPr>
              <w:t>406</w:t>
            </w:r>
          </w:p>
        </w:tc>
        <w:tc>
          <w:tcPr>
            <w:tcW w:w="877" w:type="pct"/>
            <w:tcBorders>
              <w:top w:val="nil"/>
            </w:tcBorders>
            <w:shd w:val="clear" w:color="auto" w:fill="auto"/>
            <w:noWrap/>
            <w:vAlign w:val="bottom"/>
          </w:tcPr>
          <w:p w14:paraId="24AAE0D4" w14:textId="77777777" w:rsidR="00FC360C" w:rsidRPr="004A64B0" w:rsidRDefault="00FC360C" w:rsidP="004A64B0">
            <w:pPr>
              <w:spacing w:line="240" w:lineRule="auto"/>
              <w:rPr>
                <w:rFonts w:cs="Arial"/>
                <w:sz w:val="20"/>
                <w:lang w:eastAsia="en-US"/>
              </w:rPr>
            </w:pPr>
            <w:r w:rsidRPr="004A64B0">
              <w:rPr>
                <w:rFonts w:cs="Arial"/>
                <w:sz w:val="20"/>
                <w:lang w:eastAsia="en-US"/>
              </w:rPr>
              <w:t>408</w:t>
            </w:r>
          </w:p>
        </w:tc>
        <w:tc>
          <w:tcPr>
            <w:tcW w:w="1021" w:type="pct"/>
            <w:tcBorders>
              <w:top w:val="nil"/>
              <w:right w:val="nil"/>
            </w:tcBorders>
            <w:shd w:val="clear" w:color="auto" w:fill="auto"/>
            <w:noWrap/>
            <w:vAlign w:val="bottom"/>
          </w:tcPr>
          <w:p w14:paraId="4A7FE754" w14:textId="77777777" w:rsidR="00FC360C" w:rsidRPr="004A64B0" w:rsidRDefault="00FC360C" w:rsidP="004A64B0">
            <w:pPr>
              <w:spacing w:line="240" w:lineRule="auto"/>
              <w:rPr>
                <w:rFonts w:cs="Arial"/>
                <w:sz w:val="20"/>
                <w:lang w:eastAsia="en-US"/>
              </w:rPr>
            </w:pPr>
            <w:r w:rsidRPr="004A64B0">
              <w:rPr>
                <w:rFonts w:cs="Arial"/>
                <w:sz w:val="20"/>
                <w:lang w:eastAsia="en-US"/>
              </w:rPr>
              <w:t>7</w:t>
            </w:r>
          </w:p>
        </w:tc>
      </w:tr>
      <w:tr w:rsidR="00FC360C" w:rsidRPr="00D06837" w14:paraId="1205A661" w14:textId="77777777" w:rsidTr="004A64B0">
        <w:trPr>
          <w:trHeight w:val="255"/>
          <w:jc w:val="center"/>
        </w:trPr>
        <w:tc>
          <w:tcPr>
            <w:tcW w:w="1010" w:type="pct"/>
            <w:tcBorders>
              <w:top w:val="nil"/>
            </w:tcBorders>
            <w:shd w:val="clear" w:color="auto" w:fill="auto"/>
            <w:noWrap/>
            <w:vAlign w:val="bottom"/>
          </w:tcPr>
          <w:p w14:paraId="7D827427" w14:textId="77777777" w:rsidR="00FC360C" w:rsidRPr="004A64B0" w:rsidRDefault="00FC360C" w:rsidP="004A64B0">
            <w:pPr>
              <w:spacing w:line="240" w:lineRule="auto"/>
              <w:rPr>
                <w:rFonts w:cs="Arial"/>
                <w:sz w:val="20"/>
                <w:lang w:eastAsia="en-US"/>
              </w:rPr>
            </w:pPr>
            <w:r w:rsidRPr="004A64B0">
              <w:rPr>
                <w:rFonts w:cs="Arial"/>
                <w:sz w:val="20"/>
                <w:lang w:eastAsia="en-US"/>
              </w:rPr>
              <w:t>CB189*</w:t>
            </w:r>
          </w:p>
        </w:tc>
        <w:tc>
          <w:tcPr>
            <w:tcW w:w="594" w:type="pct"/>
            <w:tcBorders>
              <w:top w:val="nil"/>
            </w:tcBorders>
            <w:shd w:val="clear" w:color="auto" w:fill="auto"/>
            <w:noWrap/>
            <w:vAlign w:val="bottom"/>
          </w:tcPr>
          <w:p w14:paraId="10AEEE36"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396</w:t>
            </w:r>
          </w:p>
        </w:tc>
        <w:tc>
          <w:tcPr>
            <w:tcW w:w="594" w:type="pct"/>
            <w:tcBorders>
              <w:top w:val="nil"/>
            </w:tcBorders>
            <w:shd w:val="clear" w:color="auto" w:fill="auto"/>
            <w:noWrap/>
            <w:vAlign w:val="bottom"/>
          </w:tcPr>
          <w:p w14:paraId="21F552C7" w14:textId="77777777" w:rsidR="00FC360C" w:rsidRPr="004A64B0" w:rsidRDefault="00FC360C" w:rsidP="004A64B0">
            <w:pPr>
              <w:spacing w:line="240" w:lineRule="auto"/>
              <w:rPr>
                <w:rFonts w:cs="Arial"/>
                <w:sz w:val="20"/>
                <w:lang w:eastAsia="en-US"/>
              </w:rPr>
            </w:pPr>
            <w:r w:rsidRPr="004A64B0">
              <w:rPr>
                <w:rFonts w:cs="Arial"/>
                <w:sz w:val="20"/>
                <w:lang w:eastAsia="en-US"/>
              </w:rPr>
              <w:t>53.196</w:t>
            </w:r>
          </w:p>
        </w:tc>
        <w:tc>
          <w:tcPr>
            <w:tcW w:w="903" w:type="pct"/>
            <w:tcBorders>
              <w:top w:val="nil"/>
            </w:tcBorders>
            <w:shd w:val="clear" w:color="auto" w:fill="auto"/>
            <w:noWrap/>
            <w:vAlign w:val="bottom"/>
          </w:tcPr>
          <w:p w14:paraId="5B7568DE" w14:textId="77777777" w:rsidR="00FC360C" w:rsidRPr="004A64B0" w:rsidRDefault="00FC360C" w:rsidP="004A64B0">
            <w:pPr>
              <w:spacing w:line="240" w:lineRule="auto"/>
              <w:rPr>
                <w:rFonts w:cs="Arial"/>
                <w:sz w:val="20"/>
                <w:lang w:eastAsia="en-US"/>
              </w:rPr>
            </w:pPr>
            <w:r w:rsidRPr="004A64B0">
              <w:rPr>
                <w:rFonts w:cs="Arial"/>
                <w:sz w:val="20"/>
                <w:lang w:eastAsia="en-US"/>
              </w:rPr>
              <w:t>394</w:t>
            </w:r>
          </w:p>
        </w:tc>
        <w:tc>
          <w:tcPr>
            <w:tcW w:w="877" w:type="pct"/>
            <w:tcBorders>
              <w:top w:val="nil"/>
            </w:tcBorders>
            <w:shd w:val="clear" w:color="auto" w:fill="auto"/>
            <w:noWrap/>
            <w:vAlign w:val="bottom"/>
          </w:tcPr>
          <w:p w14:paraId="4244FEEA" w14:textId="77777777" w:rsidR="00FC360C" w:rsidRPr="004A64B0" w:rsidRDefault="00FC360C" w:rsidP="004A64B0">
            <w:pPr>
              <w:spacing w:line="240" w:lineRule="auto"/>
              <w:rPr>
                <w:rFonts w:cs="Arial"/>
                <w:sz w:val="20"/>
                <w:lang w:eastAsia="en-US"/>
              </w:rPr>
            </w:pPr>
            <w:r w:rsidRPr="004A64B0">
              <w:rPr>
                <w:rFonts w:cs="Arial"/>
                <w:sz w:val="20"/>
                <w:lang w:eastAsia="en-US"/>
              </w:rPr>
              <w:t>396</w:t>
            </w:r>
          </w:p>
        </w:tc>
        <w:tc>
          <w:tcPr>
            <w:tcW w:w="1021" w:type="pct"/>
            <w:tcBorders>
              <w:top w:val="nil"/>
              <w:right w:val="nil"/>
            </w:tcBorders>
            <w:shd w:val="clear" w:color="auto" w:fill="auto"/>
            <w:noWrap/>
            <w:vAlign w:val="bottom"/>
          </w:tcPr>
          <w:p w14:paraId="6BF430EB" w14:textId="77777777" w:rsidR="00FC360C" w:rsidRPr="004A64B0" w:rsidRDefault="00FC360C" w:rsidP="004A64B0">
            <w:pPr>
              <w:spacing w:line="240" w:lineRule="auto"/>
              <w:rPr>
                <w:rFonts w:cs="Arial"/>
                <w:sz w:val="20"/>
                <w:lang w:eastAsia="en-US"/>
              </w:rPr>
            </w:pPr>
            <w:r w:rsidRPr="004A64B0">
              <w:rPr>
                <w:rFonts w:cs="Arial"/>
                <w:sz w:val="20"/>
                <w:lang w:eastAsia="en-US"/>
              </w:rPr>
              <w:t>7</w:t>
            </w:r>
          </w:p>
        </w:tc>
      </w:tr>
      <w:tr w:rsidR="00FC360C" w:rsidRPr="00D06837" w14:paraId="3EF8E996" w14:textId="77777777" w:rsidTr="004A64B0">
        <w:trPr>
          <w:trHeight w:val="255"/>
          <w:jc w:val="center"/>
        </w:trPr>
        <w:tc>
          <w:tcPr>
            <w:tcW w:w="1010" w:type="pct"/>
            <w:tcBorders>
              <w:top w:val="nil"/>
            </w:tcBorders>
            <w:shd w:val="clear" w:color="auto" w:fill="auto"/>
            <w:noWrap/>
            <w:vAlign w:val="bottom"/>
          </w:tcPr>
          <w:p w14:paraId="7DCC8637" w14:textId="77777777" w:rsidR="00FC360C" w:rsidRPr="004A64B0" w:rsidRDefault="00FC360C" w:rsidP="004A64B0">
            <w:pPr>
              <w:spacing w:line="240" w:lineRule="auto"/>
              <w:rPr>
                <w:rFonts w:cs="Arial"/>
                <w:b/>
                <w:bCs/>
                <w:i/>
                <w:iCs/>
                <w:sz w:val="20"/>
                <w:lang w:eastAsia="en-US"/>
              </w:rPr>
            </w:pPr>
            <w:r w:rsidRPr="004A64B0">
              <w:rPr>
                <w:rFonts w:cs="Arial"/>
                <w:b/>
                <w:bCs/>
                <w:i/>
                <w:iCs/>
                <w:sz w:val="20"/>
                <w:vertAlign w:val="superscript"/>
                <w:lang w:eastAsia="en-US"/>
              </w:rPr>
              <w:t>13</w:t>
            </w:r>
            <w:r w:rsidRPr="004A64B0">
              <w:rPr>
                <w:rFonts w:cs="Arial"/>
                <w:b/>
                <w:bCs/>
                <w:i/>
                <w:iCs/>
                <w:sz w:val="20"/>
                <w:lang w:eastAsia="en-US"/>
              </w:rPr>
              <w:t>C - CB194</w:t>
            </w:r>
          </w:p>
        </w:tc>
        <w:tc>
          <w:tcPr>
            <w:tcW w:w="594" w:type="pct"/>
            <w:tcBorders>
              <w:top w:val="nil"/>
            </w:tcBorders>
            <w:shd w:val="clear" w:color="auto" w:fill="auto"/>
            <w:noWrap/>
            <w:vAlign w:val="bottom"/>
          </w:tcPr>
          <w:p w14:paraId="2A45E7EA"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442</w:t>
            </w:r>
          </w:p>
        </w:tc>
        <w:tc>
          <w:tcPr>
            <w:tcW w:w="594" w:type="pct"/>
            <w:tcBorders>
              <w:top w:val="nil"/>
            </w:tcBorders>
            <w:shd w:val="clear" w:color="auto" w:fill="auto"/>
            <w:noWrap/>
            <w:vAlign w:val="bottom"/>
          </w:tcPr>
          <w:p w14:paraId="56DEC044" w14:textId="77777777" w:rsidR="00FC360C" w:rsidRPr="004A64B0" w:rsidRDefault="00FC360C" w:rsidP="004A64B0">
            <w:pPr>
              <w:spacing w:line="240" w:lineRule="auto"/>
              <w:rPr>
                <w:rFonts w:cs="Arial"/>
                <w:sz w:val="20"/>
                <w:lang w:eastAsia="en-US"/>
              </w:rPr>
            </w:pPr>
            <w:r w:rsidRPr="004A64B0">
              <w:rPr>
                <w:rFonts w:cs="Arial"/>
                <w:sz w:val="20"/>
                <w:lang w:eastAsia="en-US"/>
              </w:rPr>
              <w:t>57.504</w:t>
            </w:r>
          </w:p>
        </w:tc>
        <w:tc>
          <w:tcPr>
            <w:tcW w:w="903" w:type="pct"/>
            <w:tcBorders>
              <w:top w:val="nil"/>
            </w:tcBorders>
            <w:shd w:val="clear" w:color="auto" w:fill="auto"/>
            <w:noWrap/>
            <w:vAlign w:val="bottom"/>
          </w:tcPr>
          <w:p w14:paraId="3A82DCC0" w14:textId="77777777" w:rsidR="00FC360C" w:rsidRPr="004A64B0" w:rsidRDefault="00FC360C" w:rsidP="004A64B0">
            <w:pPr>
              <w:spacing w:line="240" w:lineRule="auto"/>
              <w:rPr>
                <w:rFonts w:cs="Arial"/>
                <w:sz w:val="20"/>
                <w:lang w:eastAsia="en-US"/>
              </w:rPr>
            </w:pPr>
            <w:r w:rsidRPr="004A64B0">
              <w:rPr>
                <w:rFonts w:cs="Arial"/>
                <w:sz w:val="20"/>
                <w:lang w:eastAsia="en-US"/>
              </w:rPr>
              <w:t>442</w:t>
            </w:r>
          </w:p>
        </w:tc>
        <w:tc>
          <w:tcPr>
            <w:tcW w:w="877" w:type="pct"/>
            <w:tcBorders>
              <w:top w:val="nil"/>
            </w:tcBorders>
            <w:shd w:val="clear" w:color="auto" w:fill="auto"/>
            <w:noWrap/>
            <w:vAlign w:val="bottom"/>
          </w:tcPr>
          <w:p w14:paraId="495B88BE" w14:textId="77777777" w:rsidR="00FC360C" w:rsidRPr="004A64B0" w:rsidRDefault="00FC360C" w:rsidP="004A64B0">
            <w:pPr>
              <w:spacing w:line="240" w:lineRule="auto"/>
              <w:rPr>
                <w:rFonts w:cs="Arial"/>
                <w:sz w:val="20"/>
                <w:lang w:eastAsia="en-US"/>
              </w:rPr>
            </w:pPr>
            <w:r w:rsidRPr="004A64B0">
              <w:rPr>
                <w:rFonts w:cs="Arial"/>
                <w:sz w:val="20"/>
                <w:lang w:eastAsia="en-US"/>
              </w:rPr>
              <w:t>440</w:t>
            </w:r>
          </w:p>
        </w:tc>
        <w:tc>
          <w:tcPr>
            <w:tcW w:w="1021" w:type="pct"/>
            <w:tcBorders>
              <w:top w:val="nil"/>
              <w:right w:val="nil"/>
            </w:tcBorders>
            <w:shd w:val="clear" w:color="auto" w:fill="auto"/>
            <w:noWrap/>
            <w:vAlign w:val="bottom"/>
          </w:tcPr>
          <w:p w14:paraId="5799B671" w14:textId="77777777" w:rsidR="00FC360C" w:rsidRPr="004A64B0" w:rsidRDefault="00FC360C" w:rsidP="004A64B0">
            <w:pPr>
              <w:spacing w:line="240" w:lineRule="auto"/>
              <w:rPr>
                <w:rFonts w:cs="Arial"/>
                <w:sz w:val="20"/>
                <w:lang w:eastAsia="en-US"/>
              </w:rPr>
            </w:pPr>
            <w:r w:rsidRPr="004A64B0">
              <w:rPr>
                <w:rFonts w:cs="Arial"/>
                <w:sz w:val="20"/>
                <w:lang w:eastAsia="en-US"/>
              </w:rPr>
              <w:t>8</w:t>
            </w:r>
          </w:p>
        </w:tc>
      </w:tr>
      <w:tr w:rsidR="00FC360C" w:rsidRPr="00D06837" w14:paraId="5E70A2B5" w14:textId="77777777" w:rsidTr="004A64B0">
        <w:trPr>
          <w:trHeight w:val="255"/>
          <w:jc w:val="center"/>
        </w:trPr>
        <w:tc>
          <w:tcPr>
            <w:tcW w:w="1010" w:type="pct"/>
            <w:tcBorders>
              <w:top w:val="nil"/>
            </w:tcBorders>
            <w:shd w:val="clear" w:color="auto" w:fill="auto"/>
            <w:noWrap/>
            <w:vAlign w:val="bottom"/>
          </w:tcPr>
          <w:p w14:paraId="6E2605D7" w14:textId="77777777" w:rsidR="00FC360C" w:rsidRPr="004A64B0" w:rsidRDefault="00FC360C" w:rsidP="004A64B0">
            <w:pPr>
              <w:spacing w:line="240" w:lineRule="auto"/>
              <w:rPr>
                <w:rFonts w:cs="Arial"/>
                <w:sz w:val="20"/>
                <w:lang w:eastAsia="en-US"/>
              </w:rPr>
            </w:pPr>
            <w:r w:rsidRPr="004A64B0">
              <w:rPr>
                <w:rFonts w:cs="Arial"/>
                <w:sz w:val="20"/>
                <w:lang w:eastAsia="en-US"/>
              </w:rPr>
              <w:t>CB198</w:t>
            </w:r>
          </w:p>
        </w:tc>
        <w:tc>
          <w:tcPr>
            <w:tcW w:w="594" w:type="pct"/>
            <w:tcBorders>
              <w:top w:val="nil"/>
            </w:tcBorders>
            <w:shd w:val="clear" w:color="auto" w:fill="auto"/>
            <w:noWrap/>
            <w:vAlign w:val="bottom"/>
          </w:tcPr>
          <w:p w14:paraId="43BB0DF4"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430</w:t>
            </w:r>
          </w:p>
        </w:tc>
        <w:tc>
          <w:tcPr>
            <w:tcW w:w="594" w:type="pct"/>
            <w:tcBorders>
              <w:top w:val="nil"/>
            </w:tcBorders>
            <w:shd w:val="clear" w:color="auto" w:fill="auto"/>
            <w:noWrap/>
            <w:vAlign w:val="bottom"/>
          </w:tcPr>
          <w:p w14:paraId="7A13256D" w14:textId="77777777" w:rsidR="00FC360C" w:rsidRPr="004A64B0" w:rsidRDefault="00FC360C" w:rsidP="004A64B0">
            <w:pPr>
              <w:spacing w:line="240" w:lineRule="auto"/>
              <w:rPr>
                <w:rFonts w:cs="Arial"/>
                <w:sz w:val="20"/>
                <w:lang w:eastAsia="en-US"/>
              </w:rPr>
            </w:pPr>
            <w:r w:rsidRPr="004A64B0">
              <w:rPr>
                <w:rFonts w:cs="Arial"/>
                <w:sz w:val="20"/>
                <w:lang w:eastAsia="en-US"/>
              </w:rPr>
              <w:t>50.347</w:t>
            </w:r>
          </w:p>
        </w:tc>
        <w:tc>
          <w:tcPr>
            <w:tcW w:w="903" w:type="pct"/>
            <w:tcBorders>
              <w:top w:val="nil"/>
            </w:tcBorders>
            <w:shd w:val="clear" w:color="auto" w:fill="auto"/>
            <w:noWrap/>
            <w:vAlign w:val="bottom"/>
          </w:tcPr>
          <w:p w14:paraId="4B8FB3FE" w14:textId="77777777" w:rsidR="00FC360C" w:rsidRPr="004A64B0" w:rsidRDefault="00FC360C" w:rsidP="004A64B0">
            <w:pPr>
              <w:spacing w:line="240" w:lineRule="auto"/>
              <w:rPr>
                <w:rFonts w:cs="Arial"/>
                <w:sz w:val="20"/>
                <w:lang w:eastAsia="en-US"/>
              </w:rPr>
            </w:pPr>
            <w:r w:rsidRPr="004A64B0">
              <w:rPr>
                <w:rFonts w:cs="Arial"/>
                <w:sz w:val="20"/>
                <w:lang w:eastAsia="en-US"/>
              </w:rPr>
              <w:t>430</w:t>
            </w:r>
          </w:p>
        </w:tc>
        <w:tc>
          <w:tcPr>
            <w:tcW w:w="877" w:type="pct"/>
            <w:tcBorders>
              <w:top w:val="nil"/>
            </w:tcBorders>
            <w:shd w:val="clear" w:color="auto" w:fill="auto"/>
            <w:noWrap/>
            <w:vAlign w:val="bottom"/>
          </w:tcPr>
          <w:p w14:paraId="62F8F89A" w14:textId="77777777" w:rsidR="00FC360C" w:rsidRPr="004A64B0" w:rsidRDefault="00FC360C" w:rsidP="004A64B0">
            <w:pPr>
              <w:spacing w:line="240" w:lineRule="auto"/>
              <w:rPr>
                <w:rFonts w:cs="Arial"/>
                <w:sz w:val="20"/>
                <w:lang w:eastAsia="en-US"/>
              </w:rPr>
            </w:pPr>
            <w:r w:rsidRPr="004A64B0">
              <w:rPr>
                <w:rFonts w:cs="Arial"/>
                <w:sz w:val="20"/>
                <w:lang w:eastAsia="en-US"/>
              </w:rPr>
              <w:t>428</w:t>
            </w:r>
          </w:p>
        </w:tc>
        <w:tc>
          <w:tcPr>
            <w:tcW w:w="1021" w:type="pct"/>
            <w:tcBorders>
              <w:top w:val="nil"/>
              <w:right w:val="nil"/>
            </w:tcBorders>
            <w:shd w:val="clear" w:color="auto" w:fill="auto"/>
            <w:noWrap/>
            <w:vAlign w:val="bottom"/>
          </w:tcPr>
          <w:p w14:paraId="04662A47" w14:textId="77777777" w:rsidR="00FC360C" w:rsidRPr="004A64B0" w:rsidRDefault="00FC360C" w:rsidP="004A64B0">
            <w:pPr>
              <w:spacing w:line="240" w:lineRule="auto"/>
              <w:rPr>
                <w:rFonts w:cs="Arial"/>
                <w:sz w:val="20"/>
                <w:lang w:eastAsia="en-US"/>
              </w:rPr>
            </w:pPr>
            <w:r w:rsidRPr="004A64B0">
              <w:rPr>
                <w:rFonts w:cs="Arial"/>
                <w:sz w:val="20"/>
                <w:lang w:eastAsia="en-US"/>
              </w:rPr>
              <w:t>8</w:t>
            </w:r>
          </w:p>
        </w:tc>
      </w:tr>
      <w:tr w:rsidR="00FC360C" w:rsidRPr="00D06837" w14:paraId="79B02760" w14:textId="77777777" w:rsidTr="004A64B0">
        <w:trPr>
          <w:trHeight w:val="255"/>
          <w:jc w:val="center"/>
        </w:trPr>
        <w:tc>
          <w:tcPr>
            <w:tcW w:w="1010" w:type="pct"/>
            <w:tcBorders>
              <w:top w:val="nil"/>
              <w:bottom w:val="single" w:sz="8" w:space="0" w:color="auto"/>
            </w:tcBorders>
            <w:shd w:val="clear" w:color="auto" w:fill="auto"/>
            <w:noWrap/>
            <w:vAlign w:val="bottom"/>
          </w:tcPr>
          <w:p w14:paraId="221EED72" w14:textId="77777777" w:rsidR="00FC360C" w:rsidRPr="004A64B0" w:rsidRDefault="00FC360C" w:rsidP="004A64B0">
            <w:pPr>
              <w:spacing w:line="240" w:lineRule="auto"/>
              <w:rPr>
                <w:rFonts w:cs="Arial"/>
                <w:sz w:val="20"/>
                <w:lang w:eastAsia="en-US"/>
              </w:rPr>
            </w:pPr>
            <w:r w:rsidRPr="004A64B0">
              <w:rPr>
                <w:rFonts w:cs="Arial"/>
                <w:sz w:val="20"/>
                <w:lang w:eastAsia="en-US"/>
              </w:rPr>
              <w:t>CB194</w:t>
            </w:r>
          </w:p>
        </w:tc>
        <w:tc>
          <w:tcPr>
            <w:tcW w:w="594" w:type="pct"/>
            <w:tcBorders>
              <w:top w:val="nil"/>
              <w:bottom w:val="single" w:sz="8" w:space="0" w:color="auto"/>
            </w:tcBorders>
            <w:shd w:val="clear" w:color="auto" w:fill="auto"/>
            <w:noWrap/>
            <w:vAlign w:val="bottom"/>
          </w:tcPr>
          <w:p w14:paraId="1787F347"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430</w:t>
            </w:r>
          </w:p>
        </w:tc>
        <w:tc>
          <w:tcPr>
            <w:tcW w:w="594" w:type="pct"/>
            <w:tcBorders>
              <w:top w:val="nil"/>
              <w:bottom w:val="single" w:sz="8" w:space="0" w:color="auto"/>
            </w:tcBorders>
            <w:shd w:val="clear" w:color="auto" w:fill="auto"/>
            <w:noWrap/>
            <w:vAlign w:val="bottom"/>
          </w:tcPr>
          <w:p w14:paraId="558C9B7F" w14:textId="77777777" w:rsidR="00FC360C" w:rsidRPr="004A64B0" w:rsidRDefault="00FC360C" w:rsidP="004A64B0">
            <w:pPr>
              <w:spacing w:line="240" w:lineRule="auto"/>
              <w:rPr>
                <w:rFonts w:cs="Arial"/>
                <w:sz w:val="20"/>
                <w:lang w:eastAsia="en-US"/>
              </w:rPr>
            </w:pPr>
            <w:r w:rsidRPr="004A64B0">
              <w:rPr>
                <w:rFonts w:cs="Arial"/>
                <w:sz w:val="20"/>
                <w:lang w:eastAsia="en-US"/>
              </w:rPr>
              <w:t>57.514</w:t>
            </w:r>
          </w:p>
        </w:tc>
        <w:tc>
          <w:tcPr>
            <w:tcW w:w="903" w:type="pct"/>
            <w:tcBorders>
              <w:top w:val="nil"/>
              <w:bottom w:val="single" w:sz="8" w:space="0" w:color="auto"/>
            </w:tcBorders>
            <w:shd w:val="clear" w:color="auto" w:fill="auto"/>
            <w:noWrap/>
            <w:vAlign w:val="bottom"/>
          </w:tcPr>
          <w:p w14:paraId="0E363387" w14:textId="77777777" w:rsidR="00FC360C" w:rsidRPr="004A64B0" w:rsidRDefault="00FC360C" w:rsidP="004A64B0">
            <w:pPr>
              <w:spacing w:line="240" w:lineRule="auto"/>
              <w:rPr>
                <w:rFonts w:cs="Arial"/>
                <w:sz w:val="20"/>
                <w:lang w:eastAsia="en-US"/>
              </w:rPr>
            </w:pPr>
            <w:r w:rsidRPr="004A64B0">
              <w:rPr>
                <w:rFonts w:cs="Arial"/>
                <w:sz w:val="20"/>
                <w:lang w:eastAsia="en-US"/>
              </w:rPr>
              <w:t>430</w:t>
            </w:r>
          </w:p>
        </w:tc>
        <w:tc>
          <w:tcPr>
            <w:tcW w:w="877" w:type="pct"/>
            <w:tcBorders>
              <w:top w:val="nil"/>
              <w:bottom w:val="single" w:sz="8" w:space="0" w:color="auto"/>
            </w:tcBorders>
            <w:shd w:val="clear" w:color="auto" w:fill="auto"/>
            <w:noWrap/>
            <w:vAlign w:val="bottom"/>
          </w:tcPr>
          <w:p w14:paraId="50637418" w14:textId="77777777" w:rsidR="00FC360C" w:rsidRPr="004A64B0" w:rsidRDefault="00FC360C" w:rsidP="004A64B0">
            <w:pPr>
              <w:spacing w:line="240" w:lineRule="auto"/>
              <w:rPr>
                <w:rFonts w:cs="Arial"/>
                <w:sz w:val="20"/>
                <w:lang w:eastAsia="en-US"/>
              </w:rPr>
            </w:pPr>
            <w:r w:rsidRPr="004A64B0">
              <w:rPr>
                <w:rFonts w:cs="Arial"/>
                <w:sz w:val="20"/>
                <w:lang w:eastAsia="en-US"/>
              </w:rPr>
              <w:t>428</w:t>
            </w:r>
          </w:p>
        </w:tc>
        <w:tc>
          <w:tcPr>
            <w:tcW w:w="1021" w:type="pct"/>
            <w:tcBorders>
              <w:top w:val="nil"/>
              <w:bottom w:val="single" w:sz="8" w:space="0" w:color="auto"/>
              <w:right w:val="nil"/>
            </w:tcBorders>
            <w:shd w:val="clear" w:color="auto" w:fill="auto"/>
            <w:noWrap/>
            <w:vAlign w:val="bottom"/>
          </w:tcPr>
          <w:p w14:paraId="1269A373" w14:textId="77777777" w:rsidR="00FC360C" w:rsidRPr="004A64B0" w:rsidRDefault="00FC360C" w:rsidP="004A64B0">
            <w:pPr>
              <w:spacing w:line="240" w:lineRule="auto"/>
              <w:rPr>
                <w:rFonts w:cs="Arial"/>
                <w:sz w:val="20"/>
                <w:lang w:eastAsia="en-US"/>
              </w:rPr>
            </w:pPr>
            <w:r w:rsidRPr="004A64B0">
              <w:rPr>
                <w:rFonts w:cs="Arial"/>
                <w:sz w:val="20"/>
                <w:lang w:eastAsia="en-US"/>
              </w:rPr>
              <w:t>8</w:t>
            </w:r>
          </w:p>
        </w:tc>
      </w:tr>
      <w:tr w:rsidR="00FC360C" w:rsidRPr="00D06837" w14:paraId="32FFC758" w14:textId="77777777" w:rsidTr="004A64B0">
        <w:trPr>
          <w:trHeight w:val="255"/>
          <w:jc w:val="center"/>
        </w:trPr>
        <w:tc>
          <w:tcPr>
            <w:tcW w:w="5000" w:type="pct"/>
            <w:gridSpan w:val="6"/>
            <w:tcBorders>
              <w:top w:val="single" w:sz="8" w:space="0" w:color="auto"/>
            </w:tcBorders>
            <w:shd w:val="clear" w:color="auto" w:fill="auto"/>
            <w:noWrap/>
            <w:vAlign w:val="bottom"/>
          </w:tcPr>
          <w:p w14:paraId="75E37B58" w14:textId="77777777" w:rsidR="00FC360C" w:rsidRPr="004A64B0" w:rsidRDefault="00FC360C" w:rsidP="004A64B0">
            <w:pPr>
              <w:spacing w:line="240" w:lineRule="auto"/>
              <w:rPr>
                <w:rFonts w:cs="Arial"/>
                <w:sz w:val="20"/>
                <w:lang w:eastAsia="en-US"/>
              </w:rPr>
            </w:pPr>
            <w:r w:rsidRPr="004A64B0">
              <w:rPr>
                <w:rFonts w:cs="Arial"/>
                <w:sz w:val="20"/>
                <w:lang w:eastAsia="en-US"/>
              </w:rPr>
              <w:t>*mono-</w:t>
            </w:r>
            <w:r w:rsidRPr="004A64B0">
              <w:rPr>
                <w:rFonts w:cs="Arial"/>
                <w:i/>
                <w:sz w:val="20"/>
                <w:lang w:eastAsia="en-US"/>
              </w:rPr>
              <w:t>ortho</w:t>
            </w:r>
            <w:r w:rsidRPr="004A64B0">
              <w:rPr>
                <w:rFonts w:cs="Arial"/>
                <w:sz w:val="20"/>
                <w:lang w:eastAsia="en-US"/>
              </w:rPr>
              <w:t xml:space="preserve"> CBs</w:t>
            </w:r>
          </w:p>
        </w:tc>
      </w:tr>
    </w:tbl>
    <w:p w14:paraId="198F55DC" w14:textId="77777777" w:rsidR="00FC360C" w:rsidRPr="00D06837" w:rsidRDefault="00FC360C" w:rsidP="00D06837">
      <w:pPr>
        <w:rPr>
          <w:szCs w:val="22"/>
          <w:lang w:eastAsia="en-US"/>
        </w:rPr>
      </w:pPr>
    </w:p>
    <w:p w14:paraId="2ADD9910" w14:textId="77777777" w:rsidR="00FC360C" w:rsidRPr="00D06837" w:rsidRDefault="00FC360C" w:rsidP="00D06837">
      <w:pPr>
        <w:rPr>
          <w:rFonts w:cs="Arial"/>
          <w:szCs w:val="22"/>
          <w:lang w:eastAsia="en-US"/>
        </w:rPr>
      </w:pPr>
      <w:r w:rsidRPr="00D06837">
        <w:rPr>
          <w:szCs w:val="22"/>
          <w:lang w:eastAsia="en-US"/>
        </w:rPr>
        <w:br w:type="page"/>
      </w:r>
      <w:r w:rsidRPr="00D06837">
        <w:rPr>
          <w:rFonts w:cs="Arial"/>
          <w:b/>
          <w:szCs w:val="22"/>
          <w:lang w:eastAsia="en-US"/>
        </w:rPr>
        <w:t>Table 2</w:t>
      </w:r>
      <w:r w:rsidR="004A64B0">
        <w:rPr>
          <w:rFonts w:cs="Arial"/>
          <w:szCs w:val="22"/>
          <w:lang w:eastAsia="en-US"/>
        </w:rPr>
        <w:t>:</w:t>
      </w:r>
      <w:r w:rsidRPr="00D06837">
        <w:rPr>
          <w:rFonts w:cs="Arial"/>
          <w:szCs w:val="22"/>
          <w:lang w:eastAsia="en-US"/>
        </w:rPr>
        <w:tab/>
        <w:t>Possible target and qualifier ions for non</w:t>
      </w:r>
      <w:r w:rsidRPr="00D06837">
        <w:rPr>
          <w:rFonts w:cs="Arial"/>
          <w:i/>
          <w:szCs w:val="22"/>
          <w:lang w:eastAsia="en-US"/>
        </w:rPr>
        <w:t>-ortho</w:t>
      </w:r>
      <w:r w:rsidRPr="00D06837">
        <w:rPr>
          <w:rFonts w:cs="Arial"/>
          <w:szCs w:val="22"/>
          <w:lang w:eastAsia="en-US"/>
        </w:rPr>
        <w:t xml:space="preserve"> CBs, including labelled internal standards</w:t>
      </w:r>
    </w:p>
    <w:tbl>
      <w:tblPr>
        <w:tblW w:w="5000" w:type="pct"/>
        <w:jc w:val="center"/>
        <w:tblLook w:val="0000" w:firstRow="0" w:lastRow="0" w:firstColumn="0" w:lastColumn="0" w:noHBand="0" w:noVBand="0"/>
      </w:tblPr>
      <w:tblGrid>
        <w:gridCol w:w="1394"/>
        <w:gridCol w:w="2245"/>
        <w:gridCol w:w="2072"/>
        <w:gridCol w:w="2072"/>
        <w:gridCol w:w="2072"/>
      </w:tblGrid>
      <w:tr w:rsidR="00FC360C" w:rsidRPr="00D06837" w14:paraId="57397862" w14:textId="77777777" w:rsidTr="004A64B0">
        <w:trPr>
          <w:trHeight w:val="300"/>
          <w:jc w:val="center"/>
        </w:trPr>
        <w:tc>
          <w:tcPr>
            <w:tcW w:w="707" w:type="pct"/>
            <w:tcBorders>
              <w:top w:val="single" w:sz="8" w:space="0" w:color="auto"/>
              <w:bottom w:val="single" w:sz="8" w:space="0" w:color="auto"/>
            </w:tcBorders>
            <w:shd w:val="clear" w:color="auto" w:fill="auto"/>
            <w:vAlign w:val="bottom"/>
          </w:tcPr>
          <w:p w14:paraId="1245C0E0"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CB</w:t>
            </w:r>
          </w:p>
        </w:tc>
        <w:tc>
          <w:tcPr>
            <w:tcW w:w="1139" w:type="pct"/>
            <w:tcBorders>
              <w:top w:val="single" w:sz="8" w:space="0" w:color="auto"/>
              <w:bottom w:val="single" w:sz="8" w:space="0" w:color="auto"/>
            </w:tcBorders>
            <w:shd w:val="clear" w:color="auto" w:fill="auto"/>
            <w:vAlign w:val="bottom"/>
          </w:tcPr>
          <w:p w14:paraId="1904FE7C"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Target ion (</w:t>
            </w:r>
            <w:r w:rsidRPr="004A64B0">
              <w:rPr>
                <w:rFonts w:cs="Arial"/>
                <w:b/>
                <w:bCs/>
                <w:i/>
                <w:iCs/>
                <w:sz w:val="20"/>
                <w:lang w:eastAsia="en-US"/>
              </w:rPr>
              <w:t>m/z)</w:t>
            </w:r>
          </w:p>
        </w:tc>
        <w:tc>
          <w:tcPr>
            <w:tcW w:w="1051" w:type="pct"/>
            <w:tcBorders>
              <w:top w:val="single" w:sz="8" w:space="0" w:color="auto"/>
              <w:bottom w:val="single" w:sz="8" w:space="0" w:color="auto"/>
            </w:tcBorders>
            <w:shd w:val="clear" w:color="auto" w:fill="auto"/>
            <w:vAlign w:val="bottom"/>
          </w:tcPr>
          <w:p w14:paraId="6FA39BDB"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Qualifier (</w:t>
            </w:r>
            <w:r w:rsidRPr="004A64B0">
              <w:rPr>
                <w:rFonts w:cs="Arial"/>
                <w:b/>
                <w:bCs/>
                <w:i/>
                <w:sz w:val="20"/>
                <w:lang w:eastAsia="en-US"/>
              </w:rPr>
              <w:t>m/z</w:t>
            </w:r>
            <w:r w:rsidRPr="004A64B0">
              <w:rPr>
                <w:rFonts w:cs="Arial"/>
                <w:b/>
                <w:bCs/>
                <w:sz w:val="20"/>
                <w:lang w:eastAsia="en-US"/>
              </w:rPr>
              <w:t>)</w:t>
            </w:r>
          </w:p>
        </w:tc>
        <w:tc>
          <w:tcPr>
            <w:tcW w:w="1051" w:type="pct"/>
            <w:tcBorders>
              <w:top w:val="single" w:sz="8" w:space="0" w:color="auto"/>
              <w:bottom w:val="single" w:sz="8" w:space="0" w:color="auto"/>
            </w:tcBorders>
            <w:shd w:val="clear" w:color="auto" w:fill="auto"/>
            <w:vAlign w:val="bottom"/>
          </w:tcPr>
          <w:p w14:paraId="729F2554"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Qualifier (</w:t>
            </w:r>
            <w:r w:rsidRPr="004A64B0">
              <w:rPr>
                <w:rFonts w:cs="Arial"/>
                <w:b/>
                <w:bCs/>
                <w:i/>
                <w:sz w:val="20"/>
                <w:lang w:eastAsia="en-US"/>
              </w:rPr>
              <w:t>m/z</w:t>
            </w:r>
            <w:r w:rsidRPr="004A64B0">
              <w:rPr>
                <w:rFonts w:cs="Arial"/>
                <w:b/>
                <w:bCs/>
                <w:sz w:val="20"/>
                <w:lang w:eastAsia="en-US"/>
              </w:rPr>
              <w:t>)</w:t>
            </w:r>
          </w:p>
        </w:tc>
        <w:tc>
          <w:tcPr>
            <w:tcW w:w="1051" w:type="pct"/>
            <w:tcBorders>
              <w:top w:val="single" w:sz="8" w:space="0" w:color="auto"/>
              <w:bottom w:val="single" w:sz="8" w:space="0" w:color="auto"/>
            </w:tcBorders>
            <w:shd w:val="clear" w:color="auto" w:fill="auto"/>
            <w:vAlign w:val="bottom"/>
          </w:tcPr>
          <w:p w14:paraId="5E68029F" w14:textId="77777777" w:rsidR="00FC360C" w:rsidRPr="004A64B0" w:rsidRDefault="00FC360C" w:rsidP="004A64B0">
            <w:pPr>
              <w:spacing w:line="240" w:lineRule="auto"/>
              <w:rPr>
                <w:rFonts w:cs="Arial"/>
                <w:b/>
                <w:bCs/>
                <w:sz w:val="20"/>
                <w:lang w:eastAsia="en-US"/>
              </w:rPr>
            </w:pPr>
            <w:r w:rsidRPr="004A64B0">
              <w:rPr>
                <w:rFonts w:cs="Arial"/>
                <w:b/>
                <w:bCs/>
                <w:sz w:val="20"/>
                <w:lang w:eastAsia="en-US"/>
              </w:rPr>
              <w:t>Qualifier (</w:t>
            </w:r>
            <w:r w:rsidRPr="004A64B0">
              <w:rPr>
                <w:rFonts w:cs="Arial"/>
                <w:b/>
                <w:bCs/>
                <w:i/>
                <w:sz w:val="20"/>
                <w:lang w:eastAsia="en-US"/>
              </w:rPr>
              <w:t>m/z</w:t>
            </w:r>
            <w:r w:rsidRPr="004A64B0">
              <w:rPr>
                <w:rFonts w:cs="Arial"/>
                <w:b/>
                <w:bCs/>
                <w:sz w:val="20"/>
                <w:lang w:eastAsia="en-US"/>
              </w:rPr>
              <w:t>)</w:t>
            </w:r>
          </w:p>
        </w:tc>
      </w:tr>
      <w:tr w:rsidR="00FC360C" w:rsidRPr="00D06837" w14:paraId="11C56909" w14:textId="77777777" w:rsidTr="004A64B0">
        <w:trPr>
          <w:trHeight w:val="345"/>
          <w:jc w:val="center"/>
        </w:trPr>
        <w:tc>
          <w:tcPr>
            <w:tcW w:w="707" w:type="pct"/>
            <w:tcBorders>
              <w:top w:val="single" w:sz="8" w:space="0" w:color="auto"/>
            </w:tcBorders>
            <w:shd w:val="clear" w:color="auto" w:fill="auto"/>
            <w:vAlign w:val="bottom"/>
          </w:tcPr>
          <w:p w14:paraId="52CC33A6" w14:textId="77777777" w:rsidR="00FC360C" w:rsidRPr="004A64B0" w:rsidRDefault="00FC360C" w:rsidP="004A64B0">
            <w:pPr>
              <w:spacing w:line="240" w:lineRule="auto"/>
              <w:rPr>
                <w:rFonts w:cs="Arial"/>
                <w:sz w:val="20"/>
                <w:lang w:eastAsia="en-US"/>
              </w:rPr>
            </w:pPr>
            <w:r w:rsidRPr="004A64B0">
              <w:rPr>
                <w:rFonts w:cs="Arial"/>
                <w:sz w:val="20"/>
                <w:vertAlign w:val="superscript"/>
                <w:lang w:eastAsia="en-US"/>
              </w:rPr>
              <w:t>13</w:t>
            </w:r>
            <w:r w:rsidRPr="004A64B0">
              <w:rPr>
                <w:rFonts w:cs="Arial"/>
                <w:sz w:val="20"/>
                <w:lang w:eastAsia="en-US"/>
              </w:rPr>
              <w:t>CB81</w:t>
            </w:r>
          </w:p>
        </w:tc>
        <w:tc>
          <w:tcPr>
            <w:tcW w:w="1139" w:type="pct"/>
            <w:tcBorders>
              <w:top w:val="single" w:sz="8" w:space="0" w:color="auto"/>
            </w:tcBorders>
            <w:shd w:val="clear" w:color="auto" w:fill="auto"/>
            <w:vAlign w:val="bottom"/>
          </w:tcPr>
          <w:p w14:paraId="7EE63E4B" w14:textId="77777777" w:rsidR="00FC360C" w:rsidRPr="004A64B0" w:rsidRDefault="00FC360C" w:rsidP="004A64B0">
            <w:pPr>
              <w:spacing w:line="240" w:lineRule="auto"/>
              <w:rPr>
                <w:rFonts w:cs="Arial"/>
                <w:sz w:val="20"/>
                <w:lang w:eastAsia="en-US"/>
              </w:rPr>
            </w:pPr>
            <w:r w:rsidRPr="004A64B0">
              <w:rPr>
                <w:rFonts w:cs="Arial"/>
                <w:sz w:val="20"/>
                <w:lang w:eastAsia="en-US"/>
              </w:rPr>
              <w:t>304</w:t>
            </w:r>
          </w:p>
        </w:tc>
        <w:tc>
          <w:tcPr>
            <w:tcW w:w="1051" w:type="pct"/>
            <w:tcBorders>
              <w:top w:val="single" w:sz="8" w:space="0" w:color="auto"/>
            </w:tcBorders>
            <w:shd w:val="clear" w:color="auto" w:fill="auto"/>
            <w:vAlign w:val="bottom"/>
          </w:tcPr>
          <w:p w14:paraId="61F0BF07" w14:textId="77777777" w:rsidR="00FC360C" w:rsidRPr="004A64B0" w:rsidRDefault="00FC360C" w:rsidP="004A64B0">
            <w:pPr>
              <w:spacing w:line="240" w:lineRule="auto"/>
              <w:rPr>
                <w:rFonts w:cs="Arial"/>
                <w:sz w:val="20"/>
                <w:lang w:eastAsia="en-US"/>
              </w:rPr>
            </w:pPr>
            <w:r w:rsidRPr="004A64B0">
              <w:rPr>
                <w:rFonts w:cs="Arial"/>
                <w:sz w:val="20"/>
                <w:lang w:eastAsia="en-US"/>
              </w:rPr>
              <w:t>302</w:t>
            </w:r>
          </w:p>
        </w:tc>
        <w:tc>
          <w:tcPr>
            <w:tcW w:w="1051" w:type="pct"/>
            <w:tcBorders>
              <w:top w:val="single" w:sz="8" w:space="0" w:color="auto"/>
            </w:tcBorders>
            <w:shd w:val="clear" w:color="auto" w:fill="auto"/>
            <w:vAlign w:val="bottom"/>
          </w:tcPr>
          <w:p w14:paraId="6BDD4C14" w14:textId="77777777" w:rsidR="00FC360C" w:rsidRPr="004A64B0" w:rsidRDefault="00FC360C" w:rsidP="004A64B0">
            <w:pPr>
              <w:spacing w:line="240" w:lineRule="auto"/>
              <w:rPr>
                <w:rFonts w:cs="Arial"/>
                <w:sz w:val="20"/>
                <w:lang w:eastAsia="en-US"/>
              </w:rPr>
            </w:pPr>
            <w:r w:rsidRPr="004A64B0">
              <w:rPr>
                <w:rFonts w:cs="Arial"/>
                <w:sz w:val="20"/>
                <w:lang w:eastAsia="en-US"/>
              </w:rPr>
              <w:t>NA</w:t>
            </w:r>
          </w:p>
        </w:tc>
        <w:tc>
          <w:tcPr>
            <w:tcW w:w="1051" w:type="pct"/>
            <w:tcBorders>
              <w:top w:val="single" w:sz="8" w:space="0" w:color="auto"/>
            </w:tcBorders>
            <w:shd w:val="clear" w:color="auto" w:fill="auto"/>
            <w:vAlign w:val="bottom"/>
          </w:tcPr>
          <w:p w14:paraId="23BC819F" w14:textId="77777777" w:rsidR="00FC360C" w:rsidRPr="004A64B0" w:rsidRDefault="00FC360C" w:rsidP="004A64B0">
            <w:pPr>
              <w:spacing w:line="240" w:lineRule="auto"/>
              <w:rPr>
                <w:rFonts w:cs="Arial"/>
                <w:sz w:val="20"/>
                <w:lang w:eastAsia="en-US"/>
              </w:rPr>
            </w:pPr>
            <w:r w:rsidRPr="004A64B0">
              <w:rPr>
                <w:rFonts w:cs="Arial"/>
                <w:sz w:val="20"/>
                <w:lang w:eastAsia="en-US"/>
              </w:rPr>
              <w:t>NA</w:t>
            </w:r>
          </w:p>
        </w:tc>
      </w:tr>
      <w:tr w:rsidR="00FC360C" w:rsidRPr="00D06837" w14:paraId="3E6C6C17" w14:textId="77777777" w:rsidTr="004A64B0">
        <w:trPr>
          <w:trHeight w:val="300"/>
          <w:jc w:val="center"/>
        </w:trPr>
        <w:tc>
          <w:tcPr>
            <w:tcW w:w="707" w:type="pct"/>
            <w:shd w:val="clear" w:color="auto" w:fill="auto"/>
            <w:vAlign w:val="bottom"/>
          </w:tcPr>
          <w:p w14:paraId="5D5B418E" w14:textId="77777777" w:rsidR="00FC360C" w:rsidRPr="004A64B0" w:rsidRDefault="00FC360C" w:rsidP="004A64B0">
            <w:pPr>
              <w:spacing w:line="240" w:lineRule="auto"/>
              <w:rPr>
                <w:rFonts w:cs="Arial"/>
                <w:sz w:val="20"/>
                <w:lang w:eastAsia="en-US"/>
              </w:rPr>
            </w:pPr>
            <w:r w:rsidRPr="004A64B0">
              <w:rPr>
                <w:rFonts w:cs="Arial"/>
                <w:sz w:val="20"/>
                <w:lang w:eastAsia="en-US"/>
              </w:rPr>
              <w:t>CB81</w:t>
            </w:r>
          </w:p>
        </w:tc>
        <w:tc>
          <w:tcPr>
            <w:tcW w:w="1139" w:type="pct"/>
            <w:shd w:val="clear" w:color="auto" w:fill="auto"/>
            <w:vAlign w:val="bottom"/>
          </w:tcPr>
          <w:p w14:paraId="10EEC2C6" w14:textId="77777777" w:rsidR="00FC360C" w:rsidRPr="004A64B0" w:rsidRDefault="00FC360C" w:rsidP="004A64B0">
            <w:pPr>
              <w:spacing w:line="240" w:lineRule="auto"/>
              <w:rPr>
                <w:rFonts w:cs="Arial"/>
                <w:sz w:val="20"/>
                <w:lang w:eastAsia="en-US"/>
              </w:rPr>
            </w:pPr>
            <w:r w:rsidRPr="004A64B0">
              <w:rPr>
                <w:rFonts w:cs="Arial"/>
                <w:sz w:val="20"/>
                <w:lang w:eastAsia="en-US"/>
              </w:rPr>
              <w:t>292</w:t>
            </w:r>
          </w:p>
        </w:tc>
        <w:tc>
          <w:tcPr>
            <w:tcW w:w="1051" w:type="pct"/>
            <w:shd w:val="clear" w:color="auto" w:fill="auto"/>
            <w:vAlign w:val="bottom"/>
          </w:tcPr>
          <w:p w14:paraId="32B2E5C5" w14:textId="77777777" w:rsidR="00FC360C" w:rsidRPr="004A64B0" w:rsidRDefault="00FC360C" w:rsidP="004A64B0">
            <w:pPr>
              <w:spacing w:line="240" w:lineRule="auto"/>
              <w:rPr>
                <w:rFonts w:cs="Arial"/>
                <w:sz w:val="20"/>
                <w:lang w:eastAsia="en-US"/>
              </w:rPr>
            </w:pPr>
            <w:r w:rsidRPr="004A64B0">
              <w:rPr>
                <w:rFonts w:cs="Arial"/>
                <w:sz w:val="20"/>
                <w:lang w:eastAsia="en-US"/>
              </w:rPr>
              <w:t>290</w:t>
            </w:r>
          </w:p>
        </w:tc>
        <w:tc>
          <w:tcPr>
            <w:tcW w:w="1051" w:type="pct"/>
            <w:shd w:val="clear" w:color="auto" w:fill="auto"/>
            <w:vAlign w:val="bottom"/>
          </w:tcPr>
          <w:p w14:paraId="1425871E" w14:textId="77777777" w:rsidR="00FC360C" w:rsidRPr="004A64B0" w:rsidRDefault="00FC360C" w:rsidP="004A64B0">
            <w:pPr>
              <w:spacing w:line="240" w:lineRule="auto"/>
              <w:rPr>
                <w:rFonts w:cs="Arial"/>
                <w:sz w:val="20"/>
                <w:lang w:eastAsia="en-US"/>
              </w:rPr>
            </w:pPr>
            <w:r w:rsidRPr="004A64B0">
              <w:rPr>
                <w:rFonts w:cs="Arial"/>
                <w:sz w:val="20"/>
                <w:lang w:eastAsia="en-US"/>
              </w:rPr>
              <w:t>220</w:t>
            </w:r>
          </w:p>
        </w:tc>
        <w:tc>
          <w:tcPr>
            <w:tcW w:w="1051" w:type="pct"/>
            <w:shd w:val="clear" w:color="auto" w:fill="auto"/>
            <w:vAlign w:val="bottom"/>
          </w:tcPr>
          <w:p w14:paraId="7EBD477C" w14:textId="77777777" w:rsidR="00FC360C" w:rsidRPr="004A64B0" w:rsidRDefault="00FC360C" w:rsidP="004A64B0">
            <w:pPr>
              <w:spacing w:line="240" w:lineRule="auto"/>
              <w:rPr>
                <w:rFonts w:cs="Arial"/>
                <w:sz w:val="20"/>
                <w:lang w:eastAsia="en-US"/>
              </w:rPr>
            </w:pPr>
            <w:r w:rsidRPr="004A64B0">
              <w:rPr>
                <w:rFonts w:cs="Arial"/>
                <w:sz w:val="20"/>
                <w:lang w:eastAsia="en-US"/>
              </w:rPr>
              <w:t>222</w:t>
            </w:r>
          </w:p>
        </w:tc>
      </w:tr>
      <w:tr w:rsidR="00FC360C" w:rsidRPr="00D06837" w14:paraId="0157B3DA" w14:textId="77777777" w:rsidTr="004A64B0">
        <w:trPr>
          <w:trHeight w:val="345"/>
          <w:jc w:val="center"/>
        </w:trPr>
        <w:tc>
          <w:tcPr>
            <w:tcW w:w="707" w:type="pct"/>
            <w:shd w:val="clear" w:color="auto" w:fill="auto"/>
            <w:vAlign w:val="bottom"/>
          </w:tcPr>
          <w:p w14:paraId="607B7490" w14:textId="77777777" w:rsidR="00FC360C" w:rsidRPr="004A64B0" w:rsidRDefault="00FC360C" w:rsidP="004A64B0">
            <w:pPr>
              <w:spacing w:line="240" w:lineRule="auto"/>
              <w:rPr>
                <w:rFonts w:cs="Arial"/>
                <w:sz w:val="20"/>
                <w:lang w:eastAsia="en-US"/>
              </w:rPr>
            </w:pPr>
            <w:r w:rsidRPr="004A64B0">
              <w:rPr>
                <w:rFonts w:cs="Arial"/>
                <w:sz w:val="20"/>
                <w:vertAlign w:val="superscript"/>
                <w:lang w:eastAsia="en-US"/>
              </w:rPr>
              <w:t>13</w:t>
            </w:r>
            <w:r w:rsidRPr="004A64B0">
              <w:rPr>
                <w:rFonts w:cs="Arial"/>
                <w:sz w:val="20"/>
                <w:lang w:eastAsia="en-US"/>
              </w:rPr>
              <w:t>CB77</w:t>
            </w:r>
          </w:p>
        </w:tc>
        <w:tc>
          <w:tcPr>
            <w:tcW w:w="1139" w:type="pct"/>
            <w:shd w:val="clear" w:color="auto" w:fill="auto"/>
            <w:vAlign w:val="bottom"/>
          </w:tcPr>
          <w:p w14:paraId="7B3399B7" w14:textId="77777777" w:rsidR="00FC360C" w:rsidRPr="004A64B0" w:rsidRDefault="00FC360C" w:rsidP="004A64B0">
            <w:pPr>
              <w:spacing w:line="240" w:lineRule="auto"/>
              <w:rPr>
                <w:rFonts w:cs="Arial"/>
                <w:sz w:val="20"/>
                <w:lang w:eastAsia="en-US"/>
              </w:rPr>
            </w:pPr>
            <w:r w:rsidRPr="004A64B0">
              <w:rPr>
                <w:rFonts w:cs="Arial"/>
                <w:sz w:val="20"/>
                <w:lang w:eastAsia="en-US"/>
              </w:rPr>
              <w:t>304</w:t>
            </w:r>
          </w:p>
        </w:tc>
        <w:tc>
          <w:tcPr>
            <w:tcW w:w="1051" w:type="pct"/>
            <w:shd w:val="clear" w:color="auto" w:fill="auto"/>
            <w:vAlign w:val="bottom"/>
          </w:tcPr>
          <w:p w14:paraId="059D06C8" w14:textId="77777777" w:rsidR="00FC360C" w:rsidRPr="004A64B0" w:rsidRDefault="00FC360C" w:rsidP="004A64B0">
            <w:pPr>
              <w:spacing w:line="240" w:lineRule="auto"/>
              <w:rPr>
                <w:rFonts w:cs="Arial"/>
                <w:sz w:val="20"/>
                <w:lang w:eastAsia="en-US"/>
              </w:rPr>
            </w:pPr>
            <w:r w:rsidRPr="004A64B0">
              <w:rPr>
                <w:rFonts w:cs="Arial"/>
                <w:sz w:val="20"/>
                <w:lang w:eastAsia="en-US"/>
              </w:rPr>
              <w:t>302</w:t>
            </w:r>
          </w:p>
        </w:tc>
        <w:tc>
          <w:tcPr>
            <w:tcW w:w="1051" w:type="pct"/>
            <w:shd w:val="clear" w:color="auto" w:fill="auto"/>
            <w:vAlign w:val="bottom"/>
          </w:tcPr>
          <w:p w14:paraId="7419DF86" w14:textId="77777777" w:rsidR="00FC360C" w:rsidRPr="004A64B0" w:rsidRDefault="00FC360C" w:rsidP="004A64B0">
            <w:pPr>
              <w:spacing w:line="240" w:lineRule="auto"/>
              <w:rPr>
                <w:rFonts w:cs="Arial"/>
                <w:sz w:val="20"/>
                <w:lang w:eastAsia="en-US"/>
              </w:rPr>
            </w:pPr>
            <w:r w:rsidRPr="004A64B0">
              <w:rPr>
                <w:rFonts w:cs="Arial"/>
                <w:sz w:val="20"/>
                <w:lang w:eastAsia="en-US"/>
              </w:rPr>
              <w:t>NA</w:t>
            </w:r>
          </w:p>
        </w:tc>
        <w:tc>
          <w:tcPr>
            <w:tcW w:w="1051" w:type="pct"/>
            <w:shd w:val="clear" w:color="auto" w:fill="auto"/>
            <w:vAlign w:val="bottom"/>
          </w:tcPr>
          <w:p w14:paraId="1FA112B7" w14:textId="77777777" w:rsidR="00FC360C" w:rsidRPr="004A64B0" w:rsidRDefault="00FC360C" w:rsidP="004A64B0">
            <w:pPr>
              <w:spacing w:line="240" w:lineRule="auto"/>
              <w:rPr>
                <w:rFonts w:cs="Arial"/>
                <w:sz w:val="20"/>
                <w:lang w:eastAsia="en-US"/>
              </w:rPr>
            </w:pPr>
            <w:r w:rsidRPr="004A64B0">
              <w:rPr>
                <w:rFonts w:cs="Arial"/>
                <w:sz w:val="20"/>
                <w:lang w:eastAsia="en-US"/>
              </w:rPr>
              <w:t>NA</w:t>
            </w:r>
          </w:p>
        </w:tc>
      </w:tr>
      <w:tr w:rsidR="00FC360C" w:rsidRPr="00D06837" w14:paraId="40B7DCAF" w14:textId="77777777" w:rsidTr="004A64B0">
        <w:trPr>
          <w:trHeight w:val="300"/>
          <w:jc w:val="center"/>
        </w:trPr>
        <w:tc>
          <w:tcPr>
            <w:tcW w:w="707" w:type="pct"/>
            <w:shd w:val="clear" w:color="auto" w:fill="auto"/>
            <w:vAlign w:val="bottom"/>
          </w:tcPr>
          <w:p w14:paraId="1C9B5C9B" w14:textId="77777777" w:rsidR="00FC360C" w:rsidRPr="004A64B0" w:rsidRDefault="00FC360C" w:rsidP="004A64B0">
            <w:pPr>
              <w:spacing w:line="240" w:lineRule="auto"/>
              <w:rPr>
                <w:rFonts w:cs="Arial"/>
                <w:sz w:val="20"/>
                <w:lang w:eastAsia="en-US"/>
              </w:rPr>
            </w:pPr>
            <w:r w:rsidRPr="004A64B0">
              <w:rPr>
                <w:rFonts w:cs="Arial"/>
                <w:sz w:val="20"/>
                <w:lang w:eastAsia="en-US"/>
              </w:rPr>
              <w:t>CB77</w:t>
            </w:r>
          </w:p>
        </w:tc>
        <w:tc>
          <w:tcPr>
            <w:tcW w:w="1139" w:type="pct"/>
            <w:shd w:val="clear" w:color="auto" w:fill="auto"/>
            <w:vAlign w:val="bottom"/>
          </w:tcPr>
          <w:p w14:paraId="0F3C78CF" w14:textId="77777777" w:rsidR="00FC360C" w:rsidRPr="004A64B0" w:rsidRDefault="00FC360C" w:rsidP="004A64B0">
            <w:pPr>
              <w:spacing w:line="240" w:lineRule="auto"/>
              <w:rPr>
                <w:rFonts w:cs="Arial"/>
                <w:sz w:val="20"/>
                <w:lang w:eastAsia="en-US"/>
              </w:rPr>
            </w:pPr>
            <w:r w:rsidRPr="004A64B0">
              <w:rPr>
                <w:rFonts w:cs="Arial"/>
                <w:sz w:val="20"/>
                <w:lang w:eastAsia="en-US"/>
              </w:rPr>
              <w:t>292</w:t>
            </w:r>
          </w:p>
        </w:tc>
        <w:tc>
          <w:tcPr>
            <w:tcW w:w="1051" w:type="pct"/>
            <w:shd w:val="clear" w:color="auto" w:fill="auto"/>
            <w:vAlign w:val="bottom"/>
          </w:tcPr>
          <w:p w14:paraId="1DF35BA8" w14:textId="77777777" w:rsidR="00FC360C" w:rsidRPr="004A64B0" w:rsidRDefault="00FC360C" w:rsidP="004A64B0">
            <w:pPr>
              <w:spacing w:line="240" w:lineRule="auto"/>
              <w:rPr>
                <w:rFonts w:cs="Arial"/>
                <w:sz w:val="20"/>
                <w:lang w:eastAsia="en-US"/>
              </w:rPr>
            </w:pPr>
            <w:r w:rsidRPr="004A64B0">
              <w:rPr>
                <w:rFonts w:cs="Arial"/>
                <w:sz w:val="20"/>
                <w:lang w:eastAsia="en-US"/>
              </w:rPr>
              <w:t>290</w:t>
            </w:r>
          </w:p>
        </w:tc>
        <w:tc>
          <w:tcPr>
            <w:tcW w:w="1051" w:type="pct"/>
            <w:shd w:val="clear" w:color="auto" w:fill="auto"/>
            <w:vAlign w:val="bottom"/>
          </w:tcPr>
          <w:p w14:paraId="1C0FEB93" w14:textId="77777777" w:rsidR="00FC360C" w:rsidRPr="004A64B0" w:rsidRDefault="00FC360C" w:rsidP="004A64B0">
            <w:pPr>
              <w:spacing w:line="240" w:lineRule="auto"/>
              <w:rPr>
                <w:rFonts w:cs="Arial"/>
                <w:sz w:val="20"/>
                <w:lang w:eastAsia="en-US"/>
              </w:rPr>
            </w:pPr>
            <w:r w:rsidRPr="004A64B0">
              <w:rPr>
                <w:rFonts w:cs="Arial"/>
                <w:sz w:val="20"/>
                <w:lang w:eastAsia="en-US"/>
              </w:rPr>
              <w:t>220</w:t>
            </w:r>
          </w:p>
        </w:tc>
        <w:tc>
          <w:tcPr>
            <w:tcW w:w="1051" w:type="pct"/>
            <w:shd w:val="clear" w:color="auto" w:fill="auto"/>
            <w:vAlign w:val="bottom"/>
          </w:tcPr>
          <w:p w14:paraId="29CD36B1" w14:textId="77777777" w:rsidR="00FC360C" w:rsidRPr="004A64B0" w:rsidRDefault="00FC360C" w:rsidP="004A64B0">
            <w:pPr>
              <w:spacing w:line="240" w:lineRule="auto"/>
              <w:rPr>
                <w:rFonts w:cs="Arial"/>
                <w:sz w:val="20"/>
                <w:lang w:eastAsia="en-US"/>
              </w:rPr>
            </w:pPr>
            <w:r w:rsidRPr="004A64B0">
              <w:rPr>
                <w:rFonts w:cs="Arial"/>
                <w:sz w:val="20"/>
                <w:lang w:eastAsia="en-US"/>
              </w:rPr>
              <w:t>222</w:t>
            </w:r>
          </w:p>
        </w:tc>
      </w:tr>
      <w:tr w:rsidR="00FC360C" w:rsidRPr="00D06837" w14:paraId="7443D2F2" w14:textId="77777777" w:rsidTr="004A64B0">
        <w:trPr>
          <w:trHeight w:val="345"/>
          <w:jc w:val="center"/>
        </w:trPr>
        <w:tc>
          <w:tcPr>
            <w:tcW w:w="707" w:type="pct"/>
            <w:shd w:val="clear" w:color="auto" w:fill="auto"/>
            <w:vAlign w:val="bottom"/>
          </w:tcPr>
          <w:p w14:paraId="689A067E" w14:textId="77777777" w:rsidR="00FC360C" w:rsidRPr="004A64B0" w:rsidRDefault="00FC360C" w:rsidP="004A64B0">
            <w:pPr>
              <w:spacing w:line="240" w:lineRule="auto"/>
              <w:rPr>
                <w:rFonts w:cs="Arial"/>
                <w:sz w:val="20"/>
                <w:lang w:eastAsia="en-US"/>
              </w:rPr>
            </w:pPr>
            <w:r w:rsidRPr="004A64B0">
              <w:rPr>
                <w:rFonts w:cs="Arial"/>
                <w:sz w:val="20"/>
                <w:vertAlign w:val="superscript"/>
                <w:lang w:eastAsia="en-US"/>
              </w:rPr>
              <w:t>13</w:t>
            </w:r>
            <w:r w:rsidRPr="004A64B0">
              <w:rPr>
                <w:rFonts w:cs="Arial"/>
                <w:sz w:val="20"/>
                <w:lang w:eastAsia="en-US"/>
              </w:rPr>
              <w:t>CB126</w:t>
            </w:r>
          </w:p>
        </w:tc>
        <w:tc>
          <w:tcPr>
            <w:tcW w:w="1139" w:type="pct"/>
            <w:shd w:val="clear" w:color="auto" w:fill="auto"/>
            <w:vAlign w:val="bottom"/>
          </w:tcPr>
          <w:p w14:paraId="77F7FAEB" w14:textId="77777777" w:rsidR="00FC360C" w:rsidRPr="004A64B0" w:rsidRDefault="00FC360C" w:rsidP="004A64B0">
            <w:pPr>
              <w:spacing w:line="240" w:lineRule="auto"/>
              <w:rPr>
                <w:rFonts w:cs="Arial"/>
                <w:sz w:val="20"/>
                <w:lang w:eastAsia="en-US"/>
              </w:rPr>
            </w:pPr>
            <w:r w:rsidRPr="004A64B0">
              <w:rPr>
                <w:rFonts w:cs="Arial"/>
                <w:sz w:val="20"/>
                <w:lang w:eastAsia="en-US"/>
              </w:rPr>
              <w:t>338</w:t>
            </w:r>
          </w:p>
        </w:tc>
        <w:tc>
          <w:tcPr>
            <w:tcW w:w="1051" w:type="pct"/>
            <w:shd w:val="clear" w:color="auto" w:fill="auto"/>
            <w:vAlign w:val="bottom"/>
          </w:tcPr>
          <w:p w14:paraId="7F61FFD4" w14:textId="77777777" w:rsidR="00FC360C" w:rsidRPr="004A64B0" w:rsidRDefault="00FC360C" w:rsidP="004A64B0">
            <w:pPr>
              <w:spacing w:line="240" w:lineRule="auto"/>
              <w:rPr>
                <w:rFonts w:cs="Arial"/>
                <w:sz w:val="20"/>
                <w:lang w:eastAsia="en-US"/>
              </w:rPr>
            </w:pPr>
            <w:r w:rsidRPr="004A64B0">
              <w:rPr>
                <w:rFonts w:cs="Arial"/>
                <w:sz w:val="20"/>
                <w:lang w:eastAsia="en-US"/>
              </w:rPr>
              <w:t>340</w:t>
            </w:r>
          </w:p>
        </w:tc>
        <w:tc>
          <w:tcPr>
            <w:tcW w:w="1051" w:type="pct"/>
            <w:shd w:val="clear" w:color="auto" w:fill="auto"/>
            <w:vAlign w:val="bottom"/>
          </w:tcPr>
          <w:p w14:paraId="6DA06EF6" w14:textId="77777777" w:rsidR="00FC360C" w:rsidRPr="004A64B0" w:rsidRDefault="00FC360C" w:rsidP="004A64B0">
            <w:pPr>
              <w:spacing w:line="240" w:lineRule="auto"/>
              <w:rPr>
                <w:rFonts w:cs="Arial"/>
                <w:sz w:val="20"/>
                <w:lang w:eastAsia="en-US"/>
              </w:rPr>
            </w:pPr>
            <w:r w:rsidRPr="004A64B0">
              <w:rPr>
                <w:rFonts w:cs="Arial"/>
                <w:sz w:val="20"/>
                <w:lang w:eastAsia="en-US"/>
              </w:rPr>
              <w:t>NA</w:t>
            </w:r>
          </w:p>
        </w:tc>
        <w:tc>
          <w:tcPr>
            <w:tcW w:w="1051" w:type="pct"/>
            <w:shd w:val="clear" w:color="auto" w:fill="auto"/>
            <w:vAlign w:val="bottom"/>
          </w:tcPr>
          <w:p w14:paraId="3ECDB274" w14:textId="77777777" w:rsidR="00FC360C" w:rsidRPr="004A64B0" w:rsidRDefault="00FC360C" w:rsidP="004A64B0">
            <w:pPr>
              <w:spacing w:line="240" w:lineRule="auto"/>
              <w:rPr>
                <w:rFonts w:cs="Arial"/>
                <w:sz w:val="20"/>
                <w:lang w:eastAsia="en-US"/>
              </w:rPr>
            </w:pPr>
            <w:r w:rsidRPr="004A64B0">
              <w:rPr>
                <w:rFonts w:cs="Arial"/>
                <w:sz w:val="20"/>
                <w:lang w:eastAsia="en-US"/>
              </w:rPr>
              <w:t>NA</w:t>
            </w:r>
          </w:p>
        </w:tc>
      </w:tr>
      <w:tr w:rsidR="00FC360C" w:rsidRPr="00D06837" w14:paraId="1220C687" w14:textId="77777777" w:rsidTr="004A64B0">
        <w:trPr>
          <w:trHeight w:val="300"/>
          <w:jc w:val="center"/>
        </w:trPr>
        <w:tc>
          <w:tcPr>
            <w:tcW w:w="707" w:type="pct"/>
            <w:shd w:val="clear" w:color="auto" w:fill="auto"/>
            <w:vAlign w:val="bottom"/>
          </w:tcPr>
          <w:p w14:paraId="690080B4" w14:textId="77777777" w:rsidR="00FC360C" w:rsidRPr="004A64B0" w:rsidRDefault="00FC360C" w:rsidP="004A64B0">
            <w:pPr>
              <w:spacing w:line="240" w:lineRule="auto"/>
              <w:rPr>
                <w:rFonts w:cs="Arial"/>
                <w:sz w:val="20"/>
                <w:lang w:eastAsia="en-US"/>
              </w:rPr>
            </w:pPr>
            <w:r w:rsidRPr="004A64B0">
              <w:rPr>
                <w:rFonts w:cs="Arial"/>
                <w:sz w:val="20"/>
                <w:lang w:eastAsia="en-US"/>
              </w:rPr>
              <w:t>CB126</w:t>
            </w:r>
          </w:p>
        </w:tc>
        <w:tc>
          <w:tcPr>
            <w:tcW w:w="1139" w:type="pct"/>
            <w:shd w:val="clear" w:color="auto" w:fill="auto"/>
            <w:vAlign w:val="bottom"/>
          </w:tcPr>
          <w:p w14:paraId="53565DB8" w14:textId="77777777" w:rsidR="00FC360C" w:rsidRPr="004A64B0" w:rsidRDefault="00FC360C" w:rsidP="004A64B0">
            <w:pPr>
              <w:spacing w:line="240" w:lineRule="auto"/>
              <w:rPr>
                <w:rFonts w:cs="Arial"/>
                <w:sz w:val="20"/>
                <w:lang w:eastAsia="en-US"/>
              </w:rPr>
            </w:pPr>
            <w:r w:rsidRPr="004A64B0">
              <w:rPr>
                <w:rFonts w:cs="Arial"/>
                <w:sz w:val="20"/>
                <w:lang w:eastAsia="en-US"/>
              </w:rPr>
              <w:t>326</w:t>
            </w:r>
          </w:p>
        </w:tc>
        <w:tc>
          <w:tcPr>
            <w:tcW w:w="1051" w:type="pct"/>
            <w:shd w:val="clear" w:color="auto" w:fill="auto"/>
            <w:vAlign w:val="bottom"/>
          </w:tcPr>
          <w:p w14:paraId="33563E00" w14:textId="77777777" w:rsidR="00FC360C" w:rsidRPr="004A64B0" w:rsidRDefault="00FC360C" w:rsidP="004A64B0">
            <w:pPr>
              <w:spacing w:line="240" w:lineRule="auto"/>
              <w:rPr>
                <w:rFonts w:cs="Arial"/>
                <w:sz w:val="20"/>
                <w:lang w:eastAsia="en-US"/>
              </w:rPr>
            </w:pPr>
            <w:r w:rsidRPr="004A64B0">
              <w:rPr>
                <w:rFonts w:cs="Arial"/>
                <w:sz w:val="20"/>
                <w:lang w:eastAsia="en-US"/>
              </w:rPr>
              <w:t>328</w:t>
            </w:r>
          </w:p>
        </w:tc>
        <w:tc>
          <w:tcPr>
            <w:tcW w:w="1051" w:type="pct"/>
            <w:shd w:val="clear" w:color="auto" w:fill="auto"/>
            <w:vAlign w:val="bottom"/>
          </w:tcPr>
          <w:p w14:paraId="0E955DE5" w14:textId="77777777" w:rsidR="00FC360C" w:rsidRPr="004A64B0" w:rsidRDefault="00FC360C" w:rsidP="004A64B0">
            <w:pPr>
              <w:spacing w:line="240" w:lineRule="auto"/>
              <w:rPr>
                <w:rFonts w:cs="Arial"/>
                <w:sz w:val="20"/>
                <w:lang w:eastAsia="en-US"/>
              </w:rPr>
            </w:pPr>
            <w:r w:rsidRPr="004A64B0">
              <w:rPr>
                <w:rFonts w:cs="Arial"/>
                <w:sz w:val="20"/>
                <w:lang w:eastAsia="en-US"/>
              </w:rPr>
              <w:t>254</w:t>
            </w:r>
          </w:p>
        </w:tc>
        <w:tc>
          <w:tcPr>
            <w:tcW w:w="1051" w:type="pct"/>
            <w:shd w:val="clear" w:color="auto" w:fill="auto"/>
            <w:vAlign w:val="bottom"/>
          </w:tcPr>
          <w:p w14:paraId="133FD025" w14:textId="77777777" w:rsidR="00FC360C" w:rsidRPr="004A64B0" w:rsidRDefault="00FC360C" w:rsidP="004A64B0">
            <w:pPr>
              <w:spacing w:line="240" w:lineRule="auto"/>
              <w:rPr>
                <w:rFonts w:cs="Arial"/>
                <w:sz w:val="20"/>
                <w:lang w:eastAsia="en-US"/>
              </w:rPr>
            </w:pPr>
            <w:r w:rsidRPr="004A64B0">
              <w:rPr>
                <w:rFonts w:cs="Arial"/>
                <w:sz w:val="20"/>
                <w:lang w:eastAsia="en-US"/>
              </w:rPr>
              <w:t>256</w:t>
            </w:r>
          </w:p>
        </w:tc>
      </w:tr>
      <w:tr w:rsidR="00FC360C" w:rsidRPr="00D06837" w14:paraId="042BFBC5" w14:textId="77777777" w:rsidTr="004A64B0">
        <w:trPr>
          <w:trHeight w:val="345"/>
          <w:jc w:val="center"/>
        </w:trPr>
        <w:tc>
          <w:tcPr>
            <w:tcW w:w="707" w:type="pct"/>
            <w:shd w:val="clear" w:color="auto" w:fill="auto"/>
            <w:vAlign w:val="bottom"/>
          </w:tcPr>
          <w:p w14:paraId="0E6CED88" w14:textId="77777777" w:rsidR="00FC360C" w:rsidRPr="004A64B0" w:rsidRDefault="00FC360C" w:rsidP="004A64B0">
            <w:pPr>
              <w:spacing w:line="240" w:lineRule="auto"/>
              <w:rPr>
                <w:rFonts w:cs="Arial"/>
                <w:sz w:val="20"/>
                <w:lang w:eastAsia="en-US"/>
              </w:rPr>
            </w:pPr>
            <w:r w:rsidRPr="004A64B0">
              <w:rPr>
                <w:rFonts w:cs="Arial"/>
                <w:sz w:val="20"/>
                <w:vertAlign w:val="superscript"/>
                <w:lang w:eastAsia="en-US"/>
              </w:rPr>
              <w:t>13</w:t>
            </w:r>
            <w:r w:rsidRPr="004A64B0">
              <w:rPr>
                <w:rFonts w:cs="Arial"/>
                <w:sz w:val="20"/>
                <w:lang w:eastAsia="en-US"/>
              </w:rPr>
              <w:t>CB169</w:t>
            </w:r>
          </w:p>
        </w:tc>
        <w:tc>
          <w:tcPr>
            <w:tcW w:w="1139" w:type="pct"/>
            <w:shd w:val="clear" w:color="auto" w:fill="auto"/>
            <w:vAlign w:val="bottom"/>
          </w:tcPr>
          <w:p w14:paraId="03E12EA3" w14:textId="77777777" w:rsidR="00FC360C" w:rsidRPr="004A64B0" w:rsidRDefault="00FC360C" w:rsidP="004A64B0">
            <w:pPr>
              <w:spacing w:line="240" w:lineRule="auto"/>
              <w:rPr>
                <w:rFonts w:cs="Arial"/>
                <w:sz w:val="20"/>
                <w:lang w:eastAsia="en-US"/>
              </w:rPr>
            </w:pPr>
            <w:r w:rsidRPr="004A64B0">
              <w:rPr>
                <w:rFonts w:cs="Arial"/>
                <w:sz w:val="20"/>
                <w:lang w:eastAsia="en-US"/>
              </w:rPr>
              <w:t>372</w:t>
            </w:r>
          </w:p>
        </w:tc>
        <w:tc>
          <w:tcPr>
            <w:tcW w:w="1051" w:type="pct"/>
            <w:shd w:val="clear" w:color="auto" w:fill="auto"/>
            <w:vAlign w:val="bottom"/>
          </w:tcPr>
          <w:p w14:paraId="70C6C77A" w14:textId="77777777" w:rsidR="00FC360C" w:rsidRPr="004A64B0" w:rsidRDefault="00FC360C" w:rsidP="004A64B0">
            <w:pPr>
              <w:spacing w:line="240" w:lineRule="auto"/>
              <w:rPr>
                <w:rFonts w:cs="Arial"/>
                <w:sz w:val="20"/>
                <w:lang w:eastAsia="en-US"/>
              </w:rPr>
            </w:pPr>
            <w:r w:rsidRPr="004A64B0">
              <w:rPr>
                <w:rFonts w:cs="Arial"/>
                <w:sz w:val="20"/>
                <w:lang w:eastAsia="en-US"/>
              </w:rPr>
              <w:t>374</w:t>
            </w:r>
          </w:p>
        </w:tc>
        <w:tc>
          <w:tcPr>
            <w:tcW w:w="1051" w:type="pct"/>
            <w:shd w:val="clear" w:color="auto" w:fill="auto"/>
            <w:vAlign w:val="bottom"/>
          </w:tcPr>
          <w:p w14:paraId="14DF903B" w14:textId="77777777" w:rsidR="00FC360C" w:rsidRPr="004A64B0" w:rsidRDefault="00FC360C" w:rsidP="004A64B0">
            <w:pPr>
              <w:spacing w:line="240" w:lineRule="auto"/>
              <w:rPr>
                <w:rFonts w:cs="Arial"/>
                <w:sz w:val="20"/>
                <w:lang w:eastAsia="en-US"/>
              </w:rPr>
            </w:pPr>
            <w:r w:rsidRPr="004A64B0">
              <w:rPr>
                <w:rFonts w:cs="Arial"/>
                <w:sz w:val="20"/>
                <w:lang w:eastAsia="en-US"/>
              </w:rPr>
              <w:t>NA</w:t>
            </w:r>
          </w:p>
        </w:tc>
        <w:tc>
          <w:tcPr>
            <w:tcW w:w="1051" w:type="pct"/>
            <w:shd w:val="clear" w:color="auto" w:fill="auto"/>
            <w:vAlign w:val="bottom"/>
          </w:tcPr>
          <w:p w14:paraId="5FACD31D" w14:textId="77777777" w:rsidR="00FC360C" w:rsidRPr="004A64B0" w:rsidRDefault="00FC360C" w:rsidP="004A64B0">
            <w:pPr>
              <w:spacing w:line="240" w:lineRule="auto"/>
              <w:rPr>
                <w:rFonts w:cs="Arial"/>
                <w:sz w:val="20"/>
                <w:lang w:eastAsia="en-US"/>
              </w:rPr>
            </w:pPr>
            <w:r w:rsidRPr="004A64B0">
              <w:rPr>
                <w:rFonts w:cs="Arial"/>
                <w:sz w:val="20"/>
                <w:lang w:eastAsia="en-US"/>
              </w:rPr>
              <w:t>NA</w:t>
            </w:r>
          </w:p>
        </w:tc>
      </w:tr>
      <w:tr w:rsidR="00FC360C" w:rsidRPr="00D06837" w14:paraId="51CDC997" w14:textId="77777777" w:rsidTr="004A64B0">
        <w:trPr>
          <w:trHeight w:val="300"/>
          <w:jc w:val="center"/>
        </w:trPr>
        <w:tc>
          <w:tcPr>
            <w:tcW w:w="707" w:type="pct"/>
            <w:tcBorders>
              <w:bottom w:val="single" w:sz="8" w:space="0" w:color="auto"/>
            </w:tcBorders>
            <w:shd w:val="clear" w:color="auto" w:fill="auto"/>
            <w:vAlign w:val="bottom"/>
          </w:tcPr>
          <w:p w14:paraId="26666E30" w14:textId="77777777" w:rsidR="00FC360C" w:rsidRPr="004A64B0" w:rsidRDefault="00FC360C" w:rsidP="004A64B0">
            <w:pPr>
              <w:spacing w:line="240" w:lineRule="auto"/>
              <w:rPr>
                <w:rFonts w:cs="Arial"/>
                <w:sz w:val="20"/>
                <w:lang w:eastAsia="en-US"/>
              </w:rPr>
            </w:pPr>
            <w:r w:rsidRPr="004A64B0">
              <w:rPr>
                <w:rFonts w:cs="Arial"/>
                <w:sz w:val="20"/>
                <w:lang w:eastAsia="en-US"/>
              </w:rPr>
              <w:t>CB169</w:t>
            </w:r>
          </w:p>
        </w:tc>
        <w:tc>
          <w:tcPr>
            <w:tcW w:w="1139" w:type="pct"/>
            <w:tcBorders>
              <w:bottom w:val="single" w:sz="8" w:space="0" w:color="auto"/>
            </w:tcBorders>
            <w:shd w:val="clear" w:color="auto" w:fill="auto"/>
            <w:vAlign w:val="bottom"/>
          </w:tcPr>
          <w:p w14:paraId="429DF510" w14:textId="77777777" w:rsidR="00FC360C" w:rsidRPr="004A64B0" w:rsidRDefault="00FC360C" w:rsidP="004A64B0">
            <w:pPr>
              <w:spacing w:line="240" w:lineRule="auto"/>
              <w:rPr>
                <w:rFonts w:cs="Arial"/>
                <w:sz w:val="20"/>
                <w:lang w:eastAsia="en-US"/>
              </w:rPr>
            </w:pPr>
            <w:r w:rsidRPr="004A64B0">
              <w:rPr>
                <w:rFonts w:cs="Arial"/>
                <w:sz w:val="20"/>
                <w:lang w:eastAsia="en-US"/>
              </w:rPr>
              <w:t>360</w:t>
            </w:r>
          </w:p>
        </w:tc>
        <w:tc>
          <w:tcPr>
            <w:tcW w:w="1051" w:type="pct"/>
            <w:tcBorders>
              <w:bottom w:val="single" w:sz="8" w:space="0" w:color="auto"/>
            </w:tcBorders>
            <w:shd w:val="clear" w:color="auto" w:fill="auto"/>
            <w:vAlign w:val="bottom"/>
          </w:tcPr>
          <w:p w14:paraId="40CF478C" w14:textId="77777777" w:rsidR="00FC360C" w:rsidRPr="004A64B0" w:rsidRDefault="00FC360C" w:rsidP="004A64B0">
            <w:pPr>
              <w:spacing w:line="240" w:lineRule="auto"/>
              <w:rPr>
                <w:rFonts w:cs="Arial"/>
                <w:sz w:val="20"/>
                <w:lang w:eastAsia="en-US"/>
              </w:rPr>
            </w:pPr>
            <w:r w:rsidRPr="004A64B0">
              <w:rPr>
                <w:rFonts w:cs="Arial"/>
                <w:sz w:val="20"/>
                <w:lang w:eastAsia="en-US"/>
              </w:rPr>
              <w:t>362</w:t>
            </w:r>
          </w:p>
        </w:tc>
        <w:tc>
          <w:tcPr>
            <w:tcW w:w="1051" w:type="pct"/>
            <w:tcBorders>
              <w:bottom w:val="single" w:sz="8" w:space="0" w:color="auto"/>
            </w:tcBorders>
            <w:shd w:val="clear" w:color="auto" w:fill="auto"/>
            <w:vAlign w:val="bottom"/>
          </w:tcPr>
          <w:p w14:paraId="6AF88C71" w14:textId="77777777" w:rsidR="00FC360C" w:rsidRPr="004A64B0" w:rsidRDefault="00FC360C" w:rsidP="004A64B0">
            <w:pPr>
              <w:spacing w:line="240" w:lineRule="auto"/>
              <w:rPr>
                <w:rFonts w:cs="Arial"/>
                <w:sz w:val="20"/>
                <w:lang w:eastAsia="en-US"/>
              </w:rPr>
            </w:pPr>
            <w:r w:rsidRPr="004A64B0">
              <w:rPr>
                <w:rFonts w:cs="Arial"/>
                <w:sz w:val="20"/>
                <w:lang w:eastAsia="en-US"/>
              </w:rPr>
              <w:t>218</w:t>
            </w:r>
          </w:p>
        </w:tc>
        <w:tc>
          <w:tcPr>
            <w:tcW w:w="1051" w:type="pct"/>
            <w:tcBorders>
              <w:bottom w:val="single" w:sz="8" w:space="0" w:color="auto"/>
            </w:tcBorders>
            <w:shd w:val="clear" w:color="auto" w:fill="auto"/>
            <w:vAlign w:val="bottom"/>
          </w:tcPr>
          <w:p w14:paraId="5C30A8EF" w14:textId="77777777" w:rsidR="00FC360C" w:rsidRPr="004A64B0" w:rsidRDefault="00FC360C" w:rsidP="004A64B0">
            <w:pPr>
              <w:spacing w:line="240" w:lineRule="auto"/>
              <w:rPr>
                <w:rFonts w:cs="Arial"/>
                <w:sz w:val="20"/>
                <w:lang w:eastAsia="en-US"/>
              </w:rPr>
            </w:pPr>
            <w:r w:rsidRPr="004A64B0">
              <w:rPr>
                <w:rFonts w:cs="Arial"/>
                <w:sz w:val="20"/>
                <w:lang w:eastAsia="en-US"/>
              </w:rPr>
              <w:t>220</w:t>
            </w:r>
          </w:p>
        </w:tc>
      </w:tr>
    </w:tbl>
    <w:p w14:paraId="5EBB8DDB" w14:textId="77777777" w:rsidR="00FC360C" w:rsidRPr="00D06837" w:rsidRDefault="00FC360C" w:rsidP="004A64B0">
      <w:pPr>
        <w:pStyle w:val="Heading3"/>
        <w:rPr>
          <w:lang w:eastAsia="en-US"/>
        </w:rPr>
      </w:pPr>
      <w:bookmarkStart w:id="326" w:name="_Toc511217604"/>
      <w:r w:rsidRPr="00D06837">
        <w:rPr>
          <w:lang w:eastAsia="en-US"/>
        </w:rPr>
        <w:t>2.9.5</w:t>
      </w:r>
      <w:r w:rsidRPr="00D06837">
        <w:rPr>
          <w:lang w:eastAsia="en-US"/>
        </w:rPr>
        <w:tab/>
        <w:t>Separation, identification and quantification</w:t>
      </w:r>
      <w:bookmarkEnd w:id="326"/>
    </w:p>
    <w:p w14:paraId="5C3DE8E4" w14:textId="77777777" w:rsidR="00FC360C" w:rsidRPr="00D06837" w:rsidRDefault="00FC360C" w:rsidP="00D06837">
      <w:pPr>
        <w:rPr>
          <w:szCs w:val="22"/>
          <w:lang w:eastAsia="en-US"/>
        </w:rPr>
      </w:pPr>
      <w:r w:rsidRPr="00D06837">
        <w:rPr>
          <w:szCs w:val="22"/>
          <w:lang w:eastAsia="en-US"/>
        </w:rPr>
        <w:t xml:space="preserve">When using GC-ECD and, to a certain extent, GC-MS, two columns with stationary phases of different polarity should be used, as column-specific co-elution of the target CBs with other CBs or other organochlorine compounds can occur on a single column. Using columns of differing </w:t>
      </w:r>
      <w:r w:rsidR="006F0A4B" w:rsidRPr="00D06837">
        <w:rPr>
          <w:szCs w:val="22"/>
          <w:lang w:eastAsia="en-US"/>
        </w:rPr>
        <w:t>selectivity’s</w:t>
      </w:r>
      <w:r w:rsidRPr="00D06837">
        <w:rPr>
          <w:szCs w:val="22"/>
          <w:lang w:eastAsia="en-US"/>
        </w:rPr>
        <w:t xml:space="preserve"> can resolve these co-elution problems.</w:t>
      </w:r>
      <w:r w:rsidR="00B33CCD">
        <w:rPr>
          <w:szCs w:val="22"/>
          <w:lang w:eastAsia="en-US"/>
        </w:rPr>
        <w:t xml:space="preserve"> </w:t>
      </w:r>
      <w:r w:rsidRPr="00D06837">
        <w:rPr>
          <w:szCs w:val="22"/>
          <w:lang w:eastAsia="en-US"/>
        </w:rPr>
        <w:t>The temperature programme used must be optimised for each column to achieve sufficient separation of the CB congeners to be determined. An isothermal period in the programme around 200-220°C of approximately 30 minutes is recommended. Care should be taken that CBs of interest do not coelute with other CB congeners (for example CB28 and CB31). When using GC-ECD, compounds are identified by their retention time in relation to the standard solutions under the same conditions. Therefore GC conditions should be constant. Shifts in retention times should be checked for different areas of the chromatogram by identifying characteristic, unmistakable peaks (</w:t>
      </w:r>
      <w:r w:rsidRPr="00D06837">
        <w:rPr>
          <w:i/>
          <w:szCs w:val="22"/>
          <w:lang w:eastAsia="en-US"/>
        </w:rPr>
        <w:t>e.g.</w:t>
      </w:r>
      <w:r w:rsidRPr="00D06837">
        <w:rPr>
          <w:szCs w:val="22"/>
          <w:lang w:eastAsia="en-US"/>
        </w:rPr>
        <w:t xml:space="preserve"> originating from the internal standard or higher concentrated CBs such as CB153 and CB138. Using a GC-MS system, the molecular mass or characteristic mass fragments or the ratio of two ion masses can be used to confirm the identity of resolved CBs. Since calibration curves for most CBs are usually non-linear when using GC-ECD, but should be linear when using GC-MS, a multilevel calibration of at least five concentrations is recommended. The calibration curve must be controlled and the best fit must be applied over the relevant concentration range. One should strive to work within the linear range of the detector. Analysis of the calibration solutions should be carried out in a mode encompassing the concentrations of the sample solutions (or alternatively by injecting matrix-containing sample solutions and matrix-free standard solutions distributed regularly over the series). When the chromatogram is processed with the help of automated integrators, the baseline may not always be set unambiguously and always needs to be inspected visually. When using GC-ECD, peak height is preferable to peak area for quantification purposes. From the two columns of different polarity the more reliable result (in terms of absence of co-elutions) should be reported.</w:t>
      </w:r>
    </w:p>
    <w:p w14:paraId="4E1C66F7" w14:textId="0EC40D58" w:rsidR="00FC360C" w:rsidRPr="00D06837" w:rsidRDefault="00FC360C" w:rsidP="00D06837">
      <w:pPr>
        <w:rPr>
          <w:szCs w:val="22"/>
          <w:lang w:eastAsia="en-US"/>
        </w:rPr>
      </w:pPr>
      <w:r w:rsidRPr="00D06837">
        <w:rPr>
          <w:szCs w:val="22"/>
          <w:lang w:eastAsia="en-US"/>
        </w:rPr>
        <w:t>Recent years have witnessed the emergence of so-called comprehensive two-dimensional gas chromatography (GC x GC) – a technique that can be used to considerably improve analyte/matrix as well as analyte/analyte separation. Briefly, a non-polar x (semi-)polar column combination is used, with a conven</w:t>
      </w:r>
      <w:r w:rsidR="00AA7C8C">
        <w:rPr>
          <w:szCs w:val="22"/>
          <w:lang w:eastAsia="en-US"/>
        </w:rPr>
        <w:t>tional 25–</w:t>
      </w:r>
      <w:r w:rsidRPr="00D06837">
        <w:rPr>
          <w:szCs w:val="22"/>
          <w:lang w:eastAsia="en-US"/>
        </w:rPr>
        <w:t xml:space="preserve">30 m long first-dimension, and a short, 0.5-1 m long, second-dimension column. The columns are connected via an interface called a modulator. The latter device serves to trap, and focus, each subsequent small effluent fraction from the first-dimension column and, then, to launch it into the second column. The main advantages of the comprehensive approach are that the entire sample (and not one or a few heart-cuts, as in conventional multidimensional GC (Dallüge </w:t>
      </w:r>
      <w:r w:rsidRPr="00D06837">
        <w:rPr>
          <w:i/>
          <w:szCs w:val="22"/>
          <w:lang w:eastAsia="en-US"/>
        </w:rPr>
        <w:t>et al</w:t>
      </w:r>
      <w:r w:rsidRPr="00D06837">
        <w:rPr>
          <w:szCs w:val="22"/>
          <w:lang w:eastAsia="en-US"/>
        </w:rPr>
        <w:t xml:space="preserve">., 2003) is subjected to a completely different separation, that the two-dimensional separation does not take any more time than the first-dimension run, and that the re-focusing in the modulator helps to increase analyte detectability. The most interesting additional benefit for CBs is, that structurally related as CB congeners show up as so-called ordered structures in the two-dimensional GC x GC plane. The very rapid second-dimension separation requires the use of detectors with sufficiently high data acquisition rates. Initially, only flame ionisation detectors could meet this requirement. However, today there is also a micro-ECD on the market that is widely used for GC x GC-µECD of halogenated compound classes. Even more importantly, analyte identification can be performed by using a time-of-flight mass spectrometer (Dallüge </w:t>
      </w:r>
      <w:r w:rsidRPr="00D06837">
        <w:rPr>
          <w:i/>
          <w:szCs w:val="22"/>
          <w:lang w:eastAsia="en-US"/>
        </w:rPr>
        <w:t>et al</w:t>
      </w:r>
      <w:r w:rsidRPr="00D06837">
        <w:rPr>
          <w:szCs w:val="22"/>
          <w:lang w:eastAsia="en-US"/>
        </w:rPr>
        <w:t xml:space="preserve">., 2002) or </w:t>
      </w:r>
      <w:r w:rsidR="00AA7C8C">
        <w:rPr>
          <w:szCs w:val="22"/>
          <w:lang w:eastAsia="en-US"/>
        </w:rPr>
        <w:t>–</w:t>
      </w:r>
      <w:r w:rsidRPr="00D06837">
        <w:rPr>
          <w:szCs w:val="22"/>
          <w:lang w:eastAsia="en-US"/>
        </w:rPr>
        <w:t xml:space="preserve"> with a modest loss of performance, but at a much lower price </w:t>
      </w:r>
      <w:r w:rsidR="00AA7C8C">
        <w:rPr>
          <w:szCs w:val="22"/>
          <w:lang w:eastAsia="en-US"/>
        </w:rPr>
        <w:t>–</w:t>
      </w:r>
      <w:r w:rsidRPr="00D06837">
        <w:rPr>
          <w:szCs w:val="22"/>
          <w:lang w:eastAsia="en-US"/>
        </w:rPr>
        <w:t xml:space="preserve"> one of the very recently introduced rapid-scanning quadrupole mass spectrometers (Korytar </w:t>
      </w:r>
      <w:r w:rsidRPr="00D06837">
        <w:rPr>
          <w:i/>
          <w:szCs w:val="22"/>
          <w:lang w:eastAsia="en-US"/>
        </w:rPr>
        <w:t>et al</w:t>
      </w:r>
      <w:r w:rsidRPr="00D06837">
        <w:rPr>
          <w:szCs w:val="22"/>
          <w:lang w:eastAsia="en-US"/>
        </w:rPr>
        <w:t xml:space="preserve">., 2005; Adahchour </w:t>
      </w:r>
      <w:r w:rsidRPr="00D06837">
        <w:rPr>
          <w:i/>
          <w:szCs w:val="22"/>
          <w:lang w:eastAsia="en-US"/>
        </w:rPr>
        <w:t>et al</w:t>
      </w:r>
      <w:r w:rsidRPr="00D06837">
        <w:rPr>
          <w:szCs w:val="22"/>
          <w:lang w:eastAsia="en-US"/>
        </w:rPr>
        <w:t>., 2005). So far, the use of GC x GC has been limited to qualitative applications and still seems inappropriate for routine quantification of analytes.</w:t>
      </w:r>
    </w:p>
    <w:p w14:paraId="32A70067" w14:textId="77777777" w:rsidR="00FC360C" w:rsidRPr="00D06837" w:rsidRDefault="00FC360C" w:rsidP="004A64B0">
      <w:pPr>
        <w:pStyle w:val="Heading1"/>
      </w:pPr>
      <w:bookmarkStart w:id="327" w:name="_Toc511217605"/>
      <w:r w:rsidRPr="00D06837">
        <w:t>3</w:t>
      </w:r>
      <w:r w:rsidRPr="00D06837">
        <w:tab/>
        <w:t>Quality assurance</w:t>
      </w:r>
      <w:bookmarkEnd w:id="327"/>
    </w:p>
    <w:p w14:paraId="4BC72DC2" w14:textId="77777777" w:rsidR="00FC360C" w:rsidRPr="00D06837" w:rsidRDefault="00FC360C" w:rsidP="00D06837">
      <w:pPr>
        <w:rPr>
          <w:szCs w:val="22"/>
          <w:lang w:eastAsia="en-US"/>
        </w:rPr>
      </w:pPr>
      <w:r w:rsidRPr="00D06837">
        <w:rPr>
          <w:szCs w:val="22"/>
          <w:lang w:eastAsia="en-US"/>
        </w:rPr>
        <w:t xml:space="preserve">Planners of monitoring programmes must decide on the accuracy, precision, repeatability, and limits of detection and determination which they consider acceptable. References of relevance to QA procedures include HELCOM, 1988; QUASIMEME 1992; Wells </w:t>
      </w:r>
      <w:r w:rsidRPr="00D06837">
        <w:rPr>
          <w:i/>
          <w:szCs w:val="22"/>
          <w:lang w:eastAsia="en-US"/>
        </w:rPr>
        <w:t>et al</w:t>
      </w:r>
      <w:r w:rsidRPr="00D06837">
        <w:rPr>
          <w:szCs w:val="22"/>
          <w:lang w:eastAsia="en-US"/>
        </w:rPr>
        <w:t xml:space="preserve">., 1992; Oehlenschläger, 1994; Smedes </w:t>
      </w:r>
      <w:r w:rsidRPr="00D06837">
        <w:rPr>
          <w:i/>
          <w:szCs w:val="22"/>
          <w:lang w:eastAsia="en-US"/>
        </w:rPr>
        <w:t>et al.</w:t>
      </w:r>
      <w:r w:rsidRPr="00D06837">
        <w:rPr>
          <w:szCs w:val="22"/>
          <w:lang w:eastAsia="en-US"/>
        </w:rPr>
        <w:t>, 1994 and ICES, 1996.</w:t>
      </w:r>
    </w:p>
    <w:p w14:paraId="33334A1D" w14:textId="77777777" w:rsidR="00FC360C" w:rsidRPr="00D06837" w:rsidRDefault="00FC360C" w:rsidP="004A64B0">
      <w:pPr>
        <w:pStyle w:val="Heading2"/>
      </w:pPr>
      <w:bookmarkStart w:id="328" w:name="_Toc511217606"/>
      <w:r w:rsidRPr="00D06837">
        <w:t>3.1</w:t>
      </w:r>
      <w:r w:rsidRPr="00D06837">
        <w:tab/>
        <w:t>System performance</w:t>
      </w:r>
      <w:bookmarkEnd w:id="328"/>
    </w:p>
    <w:p w14:paraId="51AEFDD2" w14:textId="77777777" w:rsidR="00FC360C" w:rsidRPr="00D06837" w:rsidRDefault="00FC360C" w:rsidP="00D06837">
      <w:pPr>
        <w:rPr>
          <w:szCs w:val="22"/>
          <w:lang w:eastAsia="en-US"/>
        </w:rPr>
      </w:pPr>
      <w:r w:rsidRPr="00D06837">
        <w:rPr>
          <w:szCs w:val="22"/>
          <w:lang w:eastAsia="en-US"/>
        </w:rPr>
        <w:t>The performance of the GC system should be monitored by regularly checking the resolution of two closely eluting CBs. A decrease in resolution points to deteriorating GC conditions. The signal-to-noise ratio yields information on the condition of the detector. A dirty ECD detector or MS ion source can be recognised by the presence of an elevated background signal together with a reduced signal-to-noise ratio. Chromatograms should be inspected visually by a trained operator.</w:t>
      </w:r>
    </w:p>
    <w:p w14:paraId="414C3F79" w14:textId="77777777" w:rsidR="00FC360C" w:rsidRPr="00D06837" w:rsidRDefault="00FC360C" w:rsidP="004A64B0">
      <w:pPr>
        <w:pStyle w:val="Heading2"/>
      </w:pPr>
      <w:bookmarkStart w:id="329" w:name="_Toc511217607"/>
      <w:r w:rsidRPr="00D06837">
        <w:t>3.2</w:t>
      </w:r>
      <w:r w:rsidRPr="00D06837">
        <w:tab/>
        <w:t>Recovery</w:t>
      </w:r>
      <w:bookmarkEnd w:id="329"/>
    </w:p>
    <w:p w14:paraId="252BEB29" w14:textId="77777777" w:rsidR="00FC360C" w:rsidRPr="00D06837" w:rsidRDefault="00FC360C" w:rsidP="00D06837">
      <w:pPr>
        <w:rPr>
          <w:szCs w:val="22"/>
          <w:lang w:eastAsia="en-US"/>
        </w:rPr>
      </w:pPr>
      <w:r w:rsidRPr="00D06837">
        <w:rPr>
          <w:szCs w:val="22"/>
          <w:lang w:eastAsia="en-US"/>
        </w:rPr>
        <w:t>The recovery should be checked and reported. One method is to add an internal (recovery) standard to each sample immediately before extraction and a second (quantification) standard immediately prior to injection. If smaller losses occur in extraction or clean-up, or solutions are concentrated by uncontrolled evaporation of solvents (</w:t>
      </w:r>
      <w:r w:rsidRPr="00D06837">
        <w:rPr>
          <w:i/>
          <w:szCs w:val="22"/>
          <w:lang w:eastAsia="en-US"/>
        </w:rPr>
        <w:t>e.g.</w:t>
      </w:r>
      <w:r w:rsidRPr="00D06837">
        <w:rPr>
          <w:szCs w:val="22"/>
          <w:lang w:eastAsia="en-US"/>
        </w:rPr>
        <w:t xml:space="preserve"> because vials are not perfectly capped), such losses can be compensated for by normalisation. If major losses are recognised and the reasons are unknown, the results should not be reported, as recoveries are likely to be irreproducible. A control for the recovery standard is recommended by adding the calibration solution to a real sample. Recoveries should be between 70 and 120%, if </w:t>
      </w:r>
      <w:proofErr w:type="gramStart"/>
      <w:r w:rsidRPr="00D06837">
        <w:rPr>
          <w:szCs w:val="22"/>
          <w:lang w:eastAsia="en-US"/>
        </w:rPr>
        <w:t>not,</w:t>
      </w:r>
      <w:proofErr w:type="gramEnd"/>
      <w:r w:rsidRPr="00D06837">
        <w:rPr>
          <w:szCs w:val="22"/>
          <w:lang w:eastAsia="en-US"/>
        </w:rPr>
        <w:t xml:space="preserve"> analysis of samples should be repeated.</w:t>
      </w:r>
    </w:p>
    <w:p w14:paraId="20E95472" w14:textId="77777777" w:rsidR="00FC360C" w:rsidRPr="00D06837" w:rsidRDefault="00FC360C" w:rsidP="004A64B0">
      <w:pPr>
        <w:pStyle w:val="Heading2"/>
      </w:pPr>
      <w:bookmarkStart w:id="330" w:name="_Toc511217608"/>
      <w:r w:rsidRPr="00D06837">
        <w:t>3.3</w:t>
      </w:r>
      <w:r w:rsidRPr="00D06837">
        <w:tab/>
        <w:t>Blanks</w:t>
      </w:r>
      <w:bookmarkEnd w:id="330"/>
    </w:p>
    <w:p w14:paraId="32595702" w14:textId="77777777" w:rsidR="00FC360C" w:rsidRPr="00D06837" w:rsidRDefault="00FC360C" w:rsidP="00D06837">
      <w:pPr>
        <w:rPr>
          <w:szCs w:val="22"/>
          <w:lang w:eastAsia="en-US"/>
        </w:rPr>
      </w:pPr>
      <w:r w:rsidRPr="00D06837">
        <w:rPr>
          <w:szCs w:val="22"/>
          <w:lang w:eastAsia="en-US"/>
        </w:rPr>
        <w:t xml:space="preserve">A procedural blank should be measured for each sample series and should be prepared simultaneously using the same chemicals and solvents as for the samples. Its purpose is to indicate sample contamination by interfering compounds, which will lead to errors in quantification. Even if an internal standard has been added to the blank at the beginning of the procedure, a quantification of peaks in the blank and subtraction from the values obtained for the determinands must not be performed, as the added internal standard cannot be adsorbed by a matrix. An alternative may be using </w:t>
      </w:r>
      <w:proofErr w:type="gramStart"/>
      <w:r w:rsidRPr="00D06837">
        <w:rPr>
          <w:szCs w:val="22"/>
          <w:lang w:eastAsia="en-US"/>
        </w:rPr>
        <w:t>a CB</w:t>
      </w:r>
      <w:proofErr w:type="gramEnd"/>
      <w:r w:rsidRPr="00D06837">
        <w:rPr>
          <w:szCs w:val="22"/>
          <w:lang w:eastAsia="en-US"/>
        </w:rPr>
        <w:t>-free oil as a matrix blank.</w:t>
      </w:r>
    </w:p>
    <w:p w14:paraId="286BA70B" w14:textId="77777777" w:rsidR="00FC360C" w:rsidRPr="00D06837" w:rsidRDefault="00FC360C" w:rsidP="004A64B0">
      <w:pPr>
        <w:pStyle w:val="Heading2"/>
      </w:pPr>
      <w:bookmarkStart w:id="331" w:name="_Toc511217609"/>
      <w:r w:rsidRPr="00D06837">
        <w:t>3.4</w:t>
      </w:r>
      <w:r w:rsidRPr="00D06837">
        <w:tab/>
        <w:t>Accuracy and precision</w:t>
      </w:r>
      <w:bookmarkEnd w:id="331"/>
    </w:p>
    <w:p w14:paraId="44F41721" w14:textId="77777777" w:rsidR="00FC360C" w:rsidRPr="00D06837" w:rsidRDefault="00FC360C" w:rsidP="00D06837">
      <w:pPr>
        <w:rPr>
          <w:szCs w:val="22"/>
          <w:lang w:eastAsia="en-US"/>
        </w:rPr>
      </w:pPr>
      <w:r w:rsidRPr="00D06837">
        <w:rPr>
          <w:szCs w:val="22"/>
          <w:lang w:eastAsia="en-US"/>
        </w:rPr>
        <w:t>Analysis of a Laboratory Reference Material (LRM) should be included, at least one sample within each batch of samples. The LRM must be homogeneous, well characterised for the determinands in question and stability tests must have shown that it produces consistent results over time. The LRM should be of the same type of matrix (</w:t>
      </w:r>
      <w:r w:rsidRPr="00D06837">
        <w:rPr>
          <w:i/>
          <w:szCs w:val="22"/>
          <w:lang w:eastAsia="en-US"/>
        </w:rPr>
        <w:t>e.g.</w:t>
      </w:r>
      <w:r w:rsidRPr="00D06837">
        <w:rPr>
          <w:szCs w:val="22"/>
          <w:lang w:eastAsia="en-US"/>
        </w:rPr>
        <w:t xml:space="preserve"> liver, muscle tissue, fat or lean fish) as the samples, and the determinant concentrations should occur in a comparable range to those of the samples. If the range of determinant concentrations in the sample is large (greater than a factor of 5) it is preferable to include two reference materials within each batch of analyses to cover the lower and upper concentrations. It is good practice to run duplicate analyses of a reference material to check within-batch analytical variability. A quality control chart should be recorded for a selected set of CBs. When introducing a new LRM or when it is suspected from the control chart that there is a systematic error possibly due to an alteration of the material, a relevant Certified Reference Material (CRM) of a similar matrix to the material analysed should be used to check the LRM. Additionally a duplicate of at least one sample should be run with every batch of samples. Each laboratory should participate in interlaboratory comparison studies and proficiency testing schemes on a regular basis, preferably at an international level.</w:t>
      </w:r>
    </w:p>
    <w:p w14:paraId="6328276D" w14:textId="77777777" w:rsidR="00FC360C" w:rsidRPr="00D06837" w:rsidRDefault="00FC360C" w:rsidP="004A64B0">
      <w:pPr>
        <w:pStyle w:val="Heading2"/>
      </w:pPr>
      <w:bookmarkStart w:id="332" w:name="_Toc511217610"/>
      <w:r w:rsidRPr="00D06837">
        <w:t>3.5</w:t>
      </w:r>
      <w:r w:rsidRPr="00D06837">
        <w:tab/>
        <w:t>Data collection and reporting</w:t>
      </w:r>
      <w:bookmarkEnd w:id="332"/>
    </w:p>
    <w:p w14:paraId="167D63A8" w14:textId="77777777" w:rsidR="00FC360C" w:rsidRPr="00D06837" w:rsidRDefault="00FC360C" w:rsidP="00D06837">
      <w:pPr>
        <w:rPr>
          <w:szCs w:val="22"/>
          <w:lang w:eastAsia="en-US"/>
        </w:rPr>
      </w:pPr>
      <w:r w:rsidRPr="00D06837">
        <w:rPr>
          <w:szCs w:val="22"/>
          <w:lang w:eastAsia="en-US"/>
        </w:rPr>
        <w:t>The calculation of results and the reporting of data can represent major sources of error. Control procedures should be established in order to ensure that data are correct and to obviate transcription errors. Data stored on databases should be checked and validated, and checks are also necessary when data are transferred between databases. If possible data should be reported in accordance with the latest ICES reporting formats.</w:t>
      </w:r>
    </w:p>
    <w:p w14:paraId="6364DC73" w14:textId="77777777" w:rsidR="00FC360C" w:rsidRPr="00D06837" w:rsidRDefault="00FC360C" w:rsidP="004A64B0">
      <w:pPr>
        <w:pStyle w:val="Heading1"/>
      </w:pPr>
      <w:bookmarkStart w:id="333" w:name="_Toc511217611"/>
      <w:r w:rsidRPr="00D06837">
        <w:t>4.</w:t>
      </w:r>
      <w:r w:rsidRPr="00D06837">
        <w:tab/>
        <w:t>References</w:t>
      </w:r>
      <w:bookmarkEnd w:id="333"/>
    </w:p>
    <w:p w14:paraId="2F6A1F5D" w14:textId="538AD56A" w:rsidR="00FC360C" w:rsidRPr="00D06837" w:rsidRDefault="00FC360C" w:rsidP="004A64B0">
      <w:pPr>
        <w:rPr>
          <w:rFonts w:cs="Arial"/>
          <w:szCs w:val="22"/>
          <w:lang w:eastAsia="en-US"/>
        </w:rPr>
      </w:pPr>
      <w:proofErr w:type="gramStart"/>
      <w:r w:rsidRPr="00D06837">
        <w:rPr>
          <w:rFonts w:cs="Arial"/>
          <w:szCs w:val="22"/>
          <w:lang w:eastAsia="en-US"/>
        </w:rPr>
        <w:t>Adahchour, M., Brandt, M., Baier, H-U., Vreuls, R.J.J., Max Batenburg, A.and Brinkman, U.A.Th.</w:t>
      </w:r>
      <w:proofErr w:type="gramEnd"/>
      <w:r w:rsidRPr="00D06837">
        <w:rPr>
          <w:rFonts w:cs="Arial"/>
          <w:szCs w:val="22"/>
          <w:lang w:eastAsia="en-US"/>
        </w:rPr>
        <w:t xml:space="preserve"> 2005. Comprehensive two-dimensional gas chr</w:t>
      </w:r>
      <w:r w:rsidR="00AA7C8C">
        <w:rPr>
          <w:rFonts w:cs="Arial"/>
          <w:szCs w:val="22"/>
          <w:lang w:eastAsia="en-US"/>
        </w:rPr>
        <w:t>omatography coupled to a rapid-</w:t>
      </w:r>
      <w:r w:rsidRPr="00D06837">
        <w:rPr>
          <w:rFonts w:cs="Arial"/>
          <w:szCs w:val="22"/>
          <w:lang w:eastAsia="en-US"/>
        </w:rPr>
        <w:t>scanning quadrupole mass spectrometer: principles and applications J. Chromatogr. A1067: 245-254.</w:t>
      </w:r>
    </w:p>
    <w:p w14:paraId="154208BB" w14:textId="77777777" w:rsidR="00FC360C" w:rsidRPr="00D06837" w:rsidRDefault="00FC360C" w:rsidP="004A64B0">
      <w:pPr>
        <w:rPr>
          <w:rFonts w:cs="Arial"/>
          <w:szCs w:val="22"/>
          <w:lang w:eastAsia="en-US"/>
        </w:rPr>
      </w:pPr>
      <w:r w:rsidRPr="00D06837">
        <w:rPr>
          <w:rFonts w:cs="Arial"/>
          <w:szCs w:val="22"/>
          <w:lang w:eastAsia="en-US"/>
        </w:rPr>
        <w:t xml:space="preserve">Becker, P.H., 1989. </w:t>
      </w:r>
      <w:proofErr w:type="gramStart"/>
      <w:r w:rsidRPr="00D06837">
        <w:rPr>
          <w:rFonts w:cs="Arial"/>
          <w:szCs w:val="22"/>
          <w:lang w:eastAsia="en-US"/>
        </w:rPr>
        <w:t>Seabirds as monitor organisms of contaminants along the German North Sea Coast.</w:t>
      </w:r>
      <w:proofErr w:type="gramEnd"/>
      <w:r w:rsidRPr="00D06837">
        <w:rPr>
          <w:rFonts w:cs="Arial"/>
          <w:szCs w:val="22"/>
          <w:lang w:eastAsia="en-US"/>
        </w:rPr>
        <w:t xml:space="preserve"> Helgoländer Meeresunters. 43: 395-403.</w:t>
      </w:r>
    </w:p>
    <w:p w14:paraId="2155AE86" w14:textId="77777777" w:rsidR="00FC360C" w:rsidRPr="00D06837" w:rsidRDefault="00FC360C" w:rsidP="004A64B0">
      <w:pPr>
        <w:rPr>
          <w:rFonts w:cs="Arial"/>
          <w:szCs w:val="22"/>
          <w:lang w:eastAsia="en-US"/>
        </w:rPr>
      </w:pPr>
      <w:r w:rsidRPr="00D06837">
        <w:rPr>
          <w:rFonts w:cs="Arial"/>
          <w:szCs w:val="22"/>
          <w:lang w:eastAsia="en-US"/>
        </w:rPr>
        <w:t>Becker, P.H., 1991. Population and contamination studies in coastal birds: The Common Tern</w:t>
      </w:r>
      <w:r w:rsidRPr="00D06837">
        <w:rPr>
          <w:rFonts w:cs="Arial"/>
          <w:i/>
          <w:szCs w:val="22"/>
          <w:lang w:eastAsia="en-US"/>
        </w:rPr>
        <w:t xml:space="preserve"> Sterna hirundo</w:t>
      </w:r>
      <w:r w:rsidRPr="00D06837">
        <w:rPr>
          <w:rFonts w:cs="Arial"/>
          <w:szCs w:val="22"/>
          <w:lang w:eastAsia="en-US"/>
        </w:rPr>
        <w:t xml:space="preserve">. In: Perrins, C.M., Lebreton, J.D. and Hirons, G.J.M. (Editors): Bird population studies: relevance to conservation and management. </w:t>
      </w:r>
      <w:proofErr w:type="gramStart"/>
      <w:r w:rsidRPr="00D06837">
        <w:rPr>
          <w:rFonts w:cs="Arial"/>
          <w:szCs w:val="22"/>
          <w:lang w:eastAsia="en-US"/>
        </w:rPr>
        <w:t>Oxford Univ. Press.</w:t>
      </w:r>
      <w:proofErr w:type="gramEnd"/>
      <w:r w:rsidRPr="00D06837">
        <w:rPr>
          <w:rFonts w:cs="Arial"/>
          <w:szCs w:val="22"/>
          <w:lang w:eastAsia="en-US"/>
        </w:rPr>
        <w:t xml:space="preserve"> Oxford: 433</w:t>
      </w:r>
      <w:r w:rsidRPr="00D06837">
        <w:rPr>
          <w:rFonts w:cs="Arial"/>
          <w:szCs w:val="22"/>
          <w:lang w:eastAsia="en-US"/>
        </w:rPr>
        <w:noBreakHyphen/>
        <w:t>460.</w:t>
      </w:r>
    </w:p>
    <w:p w14:paraId="6F15142F" w14:textId="77777777" w:rsidR="00FC360C" w:rsidRPr="00D06837" w:rsidRDefault="00FC360C" w:rsidP="004A64B0">
      <w:pPr>
        <w:rPr>
          <w:rFonts w:cs="Arial"/>
          <w:szCs w:val="22"/>
          <w:lang w:eastAsia="en-US"/>
        </w:rPr>
      </w:pPr>
      <w:r w:rsidRPr="00D06837">
        <w:rPr>
          <w:rFonts w:cs="Arial"/>
          <w:szCs w:val="22"/>
          <w:lang w:eastAsia="en-US"/>
        </w:rPr>
        <w:t xml:space="preserve">Becker, P.H., Koepff, C., Heidmann, W.A. and Büthe, A., 1991. </w:t>
      </w:r>
      <w:proofErr w:type="gramStart"/>
      <w:r w:rsidRPr="00D06837">
        <w:rPr>
          <w:rFonts w:cs="Arial"/>
          <w:szCs w:val="22"/>
          <w:lang w:eastAsia="en-US"/>
        </w:rPr>
        <w:t>Schadstoffmonitoring mit seevögeln.</w:t>
      </w:r>
      <w:proofErr w:type="gramEnd"/>
      <w:r w:rsidRPr="00D06837">
        <w:rPr>
          <w:rFonts w:cs="Arial"/>
          <w:szCs w:val="22"/>
          <w:lang w:eastAsia="en-US"/>
        </w:rPr>
        <w:t xml:space="preserve"> Forschungsbericht UBA-FB 91-081, TEXTE 2/92, Umweltbundesamt, Berlin: 260.</w:t>
      </w:r>
    </w:p>
    <w:p w14:paraId="16B4302F" w14:textId="77777777" w:rsidR="00FC360C" w:rsidRPr="00D06837" w:rsidRDefault="00FC360C" w:rsidP="004A64B0">
      <w:pPr>
        <w:rPr>
          <w:rFonts w:cs="Arial"/>
          <w:szCs w:val="22"/>
          <w:lang w:eastAsia="en-US"/>
        </w:rPr>
      </w:pPr>
      <w:proofErr w:type="gramStart"/>
      <w:r w:rsidRPr="00D06837">
        <w:rPr>
          <w:rFonts w:cs="Arial"/>
          <w:szCs w:val="22"/>
          <w:lang w:eastAsia="en-US"/>
        </w:rPr>
        <w:t>Becker, P.H., Heidmann, W.A., Büthe, A., Frank, D. and Koepff, 1992.</w:t>
      </w:r>
      <w:proofErr w:type="gramEnd"/>
      <w:r w:rsidRPr="00D06837">
        <w:rPr>
          <w:rFonts w:cs="Arial"/>
          <w:szCs w:val="22"/>
          <w:lang w:eastAsia="en-US"/>
        </w:rPr>
        <w:t xml:space="preserve"> Umweltchemikalien in eiern von brutvögeln der deutschen Nordseeküste: Trends 1981-1990. J. Orn. 133: 109-124.</w:t>
      </w:r>
    </w:p>
    <w:p w14:paraId="19A93E23" w14:textId="77777777" w:rsidR="00FC360C" w:rsidRPr="00D06837" w:rsidRDefault="00FC360C" w:rsidP="004A64B0">
      <w:pPr>
        <w:rPr>
          <w:rFonts w:cs="Arial"/>
          <w:szCs w:val="22"/>
          <w:lang w:eastAsia="en-US"/>
        </w:rPr>
      </w:pPr>
      <w:proofErr w:type="gramStart"/>
      <w:r w:rsidRPr="00D06837">
        <w:rPr>
          <w:rFonts w:cs="Arial"/>
          <w:szCs w:val="22"/>
          <w:lang w:eastAsia="en-US"/>
        </w:rPr>
        <w:t>Bignert A., Göthberg, A., Jensen, S., Litzén, K., Odsjö, T., Olsson, M. and Reuthergårdh, L., 1993.</w:t>
      </w:r>
      <w:proofErr w:type="gramEnd"/>
      <w:r w:rsidRPr="00D06837">
        <w:rPr>
          <w:rFonts w:cs="Arial"/>
          <w:szCs w:val="22"/>
          <w:lang w:eastAsia="en-US"/>
        </w:rPr>
        <w:t xml:space="preserve"> The need for adequate biological sampling in ecotoxicological investigations: a retrospective study of twenty years pollution monitoring. Sci. Tot. Environ. 128 121-139.</w:t>
      </w:r>
    </w:p>
    <w:p w14:paraId="0CC18E00" w14:textId="665BCE3A" w:rsidR="00FC360C" w:rsidRPr="00D06837" w:rsidRDefault="00FC360C" w:rsidP="004A64B0">
      <w:pPr>
        <w:rPr>
          <w:rFonts w:cs="Arial"/>
          <w:szCs w:val="22"/>
          <w:lang w:eastAsia="en-US"/>
        </w:rPr>
      </w:pPr>
      <w:proofErr w:type="gramStart"/>
      <w:r w:rsidRPr="00D06837">
        <w:rPr>
          <w:rFonts w:cs="Arial"/>
          <w:szCs w:val="22"/>
          <w:lang w:eastAsia="en-US"/>
        </w:rPr>
        <w:t>Bignert, A., Olsson, M., de Wit, C., Litzén, K., Rappe, C. and Reuthergårdh, L., 1994.</w:t>
      </w:r>
      <w:proofErr w:type="gramEnd"/>
      <w:r w:rsidRPr="00D06837">
        <w:rPr>
          <w:rFonts w:cs="Arial"/>
          <w:szCs w:val="22"/>
          <w:lang w:eastAsia="en-US"/>
        </w:rPr>
        <w:t xml:space="preserve"> Biological variation </w:t>
      </w:r>
      <w:r w:rsidR="00AA7C8C">
        <w:rPr>
          <w:rFonts w:cs="Arial"/>
          <w:szCs w:val="22"/>
          <w:lang w:eastAsia="en-US"/>
        </w:rPr>
        <w:t>–</w:t>
      </w:r>
      <w:r w:rsidRPr="00D06837">
        <w:rPr>
          <w:rFonts w:cs="Arial"/>
          <w:szCs w:val="22"/>
          <w:lang w:eastAsia="en-US"/>
        </w:rPr>
        <w:t xml:space="preserve"> an important factor to consider in ecotoxicological studies based on environmental samples. Fresenius J. Anal. Chem. 348 76-85.</w:t>
      </w:r>
    </w:p>
    <w:p w14:paraId="78713BD6" w14:textId="77777777" w:rsidR="00FC360C" w:rsidRPr="00D06837" w:rsidRDefault="00FC360C" w:rsidP="004A64B0">
      <w:pPr>
        <w:rPr>
          <w:rFonts w:cs="Arial"/>
          <w:szCs w:val="22"/>
          <w:lang w:eastAsia="en-US"/>
        </w:rPr>
      </w:pPr>
      <w:proofErr w:type="gramStart"/>
      <w:r w:rsidRPr="00D06837">
        <w:rPr>
          <w:rFonts w:cs="Arial"/>
          <w:szCs w:val="22"/>
          <w:lang w:eastAsia="en-US"/>
        </w:rPr>
        <w:t>Bignert, A., Litzen, K., Odsjö, T., Olsson, M., Persson, W. and Reutergårdh, L., 1995.</w:t>
      </w:r>
      <w:proofErr w:type="gramEnd"/>
      <w:r w:rsidRPr="00D06837">
        <w:rPr>
          <w:rFonts w:cs="Arial"/>
          <w:szCs w:val="22"/>
          <w:lang w:eastAsia="en-US"/>
        </w:rPr>
        <w:t xml:space="preserve"> Time</w:t>
      </w:r>
      <w:r w:rsidRPr="00D06837">
        <w:rPr>
          <w:rFonts w:cs="Arial"/>
          <w:szCs w:val="22"/>
          <w:lang w:eastAsia="en-US"/>
        </w:rPr>
        <w:noBreakHyphen/>
        <w:t>related influence the concentrations of DDTs, PCBs and shell parameters in eggs of Baltic Guillemot (</w:t>
      </w:r>
      <w:r w:rsidRPr="00D06837">
        <w:rPr>
          <w:rFonts w:cs="Arial"/>
          <w:i/>
          <w:szCs w:val="22"/>
          <w:lang w:eastAsia="en-US"/>
        </w:rPr>
        <w:t>Uria aalge</w:t>
      </w:r>
      <w:r w:rsidRPr="00D06837">
        <w:rPr>
          <w:rFonts w:cs="Arial"/>
          <w:szCs w:val="22"/>
          <w:lang w:eastAsia="en-US"/>
        </w:rPr>
        <w:t>), 1861</w:t>
      </w:r>
      <w:r w:rsidRPr="00D06837">
        <w:rPr>
          <w:rFonts w:cs="Arial"/>
          <w:szCs w:val="22"/>
          <w:lang w:eastAsia="en-US"/>
        </w:rPr>
        <w:noBreakHyphen/>
        <w:t xml:space="preserve">1989. Environ. </w:t>
      </w:r>
      <w:proofErr w:type="gramStart"/>
      <w:r w:rsidRPr="00D06837">
        <w:rPr>
          <w:rFonts w:cs="Arial"/>
          <w:szCs w:val="22"/>
          <w:lang w:eastAsia="en-US"/>
        </w:rPr>
        <w:t>Pollut.</w:t>
      </w:r>
      <w:proofErr w:type="gramEnd"/>
      <w:r w:rsidRPr="00D06837">
        <w:rPr>
          <w:rFonts w:cs="Arial"/>
          <w:szCs w:val="22"/>
          <w:lang w:eastAsia="en-US"/>
        </w:rPr>
        <w:t xml:space="preserve"> 89: 27</w:t>
      </w:r>
      <w:r w:rsidRPr="00D06837">
        <w:rPr>
          <w:rFonts w:cs="Arial"/>
          <w:szCs w:val="22"/>
          <w:lang w:eastAsia="en-US"/>
        </w:rPr>
        <w:noBreakHyphen/>
        <w:t>36.</w:t>
      </w:r>
    </w:p>
    <w:p w14:paraId="2B117688" w14:textId="77777777" w:rsidR="00FC360C" w:rsidRPr="00D06837" w:rsidRDefault="00FC360C" w:rsidP="004A64B0">
      <w:pPr>
        <w:rPr>
          <w:rFonts w:cs="Arial"/>
          <w:szCs w:val="22"/>
          <w:lang w:eastAsia="en-US"/>
        </w:rPr>
      </w:pPr>
      <w:proofErr w:type="gramStart"/>
      <w:r w:rsidRPr="00D06837">
        <w:rPr>
          <w:rFonts w:cs="Arial"/>
          <w:szCs w:val="22"/>
          <w:lang w:eastAsia="en-US"/>
        </w:rPr>
        <w:t>Bligh, E.G. and Dyer, W.J., 1959.</w:t>
      </w:r>
      <w:proofErr w:type="gramEnd"/>
      <w:r w:rsidRPr="00D06837">
        <w:rPr>
          <w:rFonts w:cs="Arial"/>
          <w:szCs w:val="22"/>
          <w:lang w:eastAsia="en-US"/>
        </w:rPr>
        <w:t xml:space="preserve"> </w:t>
      </w:r>
      <w:proofErr w:type="gramStart"/>
      <w:r w:rsidRPr="00D06837">
        <w:rPr>
          <w:rFonts w:cs="Arial"/>
          <w:szCs w:val="22"/>
          <w:lang w:eastAsia="en-US"/>
        </w:rPr>
        <w:t>A rapid method of total lipid extraction and purification.</w:t>
      </w:r>
      <w:proofErr w:type="gramEnd"/>
      <w:r w:rsidRPr="00D06837">
        <w:rPr>
          <w:rFonts w:cs="Arial"/>
          <w:szCs w:val="22"/>
          <w:lang w:eastAsia="en-US"/>
        </w:rPr>
        <w:t xml:space="preserve"> </w:t>
      </w:r>
      <w:proofErr w:type="gramStart"/>
      <w:r w:rsidRPr="00D06837">
        <w:rPr>
          <w:rFonts w:cs="Arial"/>
          <w:szCs w:val="22"/>
          <w:lang w:eastAsia="en-US"/>
        </w:rPr>
        <w:t>Can. J. Biochem.</w:t>
      </w:r>
      <w:proofErr w:type="gramEnd"/>
      <w:r w:rsidRPr="00D06837">
        <w:rPr>
          <w:rFonts w:cs="Arial"/>
          <w:szCs w:val="22"/>
          <w:lang w:eastAsia="en-US"/>
        </w:rPr>
        <w:t xml:space="preserve"> Physiol. 37: 911-917.</w:t>
      </w:r>
    </w:p>
    <w:p w14:paraId="57FD0790" w14:textId="77777777" w:rsidR="00FC360C" w:rsidRPr="00D06837" w:rsidRDefault="00FC360C" w:rsidP="004A64B0">
      <w:pPr>
        <w:rPr>
          <w:rFonts w:cs="Arial"/>
          <w:b/>
          <w:szCs w:val="22"/>
          <w:lang w:eastAsia="en-US"/>
        </w:rPr>
      </w:pPr>
      <w:proofErr w:type="gramStart"/>
      <w:r w:rsidRPr="00D06837">
        <w:rPr>
          <w:rFonts w:cs="Arial"/>
          <w:szCs w:val="22"/>
          <w:lang w:eastAsia="en-US"/>
        </w:rPr>
        <w:t>de</w:t>
      </w:r>
      <w:proofErr w:type="gramEnd"/>
      <w:r w:rsidRPr="00D06837">
        <w:rPr>
          <w:rFonts w:cs="Arial"/>
          <w:szCs w:val="22"/>
          <w:lang w:eastAsia="en-US"/>
        </w:rPr>
        <w:t xml:space="preserve"> Boer, J. and Wells, D.E., 1996.</w:t>
      </w:r>
      <w:r w:rsidR="00B33CCD">
        <w:rPr>
          <w:rFonts w:cs="Arial"/>
          <w:szCs w:val="22"/>
          <w:lang w:eastAsia="en-US"/>
        </w:rPr>
        <w:t xml:space="preserve"> </w:t>
      </w:r>
      <w:r w:rsidRPr="00D06837">
        <w:rPr>
          <w:rFonts w:cs="Arial"/>
          <w:szCs w:val="22"/>
          <w:lang w:eastAsia="en-US"/>
        </w:rPr>
        <w:t>The 1994 QUASIMEME laboratory performance studies: chlorobiphenyls and organochlorine pesticides in fish and sediment.</w:t>
      </w:r>
      <w:r w:rsidR="00B33CCD">
        <w:rPr>
          <w:rFonts w:cs="Arial"/>
          <w:szCs w:val="22"/>
          <w:lang w:eastAsia="en-US"/>
        </w:rPr>
        <w:t xml:space="preserve"> </w:t>
      </w:r>
      <w:r w:rsidRPr="00D06837">
        <w:rPr>
          <w:rFonts w:cs="Arial"/>
          <w:szCs w:val="22"/>
          <w:lang w:eastAsia="en-US"/>
        </w:rPr>
        <w:t>Mar. Pollut. Bull. 32: 654-666.</w:t>
      </w:r>
    </w:p>
    <w:p w14:paraId="2117F615" w14:textId="77777777" w:rsidR="00FC360C" w:rsidRPr="00D06837" w:rsidRDefault="00FC360C" w:rsidP="004A64B0">
      <w:pPr>
        <w:rPr>
          <w:rFonts w:cs="Arial"/>
          <w:szCs w:val="22"/>
          <w:lang w:eastAsia="en-US"/>
        </w:rPr>
      </w:pPr>
      <w:r w:rsidRPr="00D06837">
        <w:rPr>
          <w:rFonts w:cs="Arial"/>
          <w:szCs w:val="22"/>
          <w:lang w:eastAsia="en-US"/>
        </w:rPr>
        <w:t>Dallüge, J., Beens, J. and Brinkman, U.A.Th. 2003 Comprehensive two-dimensional gas chromatography: a powerful and versatile analytical tool J. Chromatogr., 1000: 69-108.</w:t>
      </w:r>
    </w:p>
    <w:p w14:paraId="2F484425" w14:textId="77777777" w:rsidR="00FC360C" w:rsidRPr="00D06837" w:rsidRDefault="00FC360C" w:rsidP="004A64B0">
      <w:pPr>
        <w:rPr>
          <w:rFonts w:cs="Arial"/>
          <w:szCs w:val="22"/>
          <w:lang w:eastAsia="en-US"/>
        </w:rPr>
      </w:pPr>
      <w:r w:rsidRPr="00D06837">
        <w:rPr>
          <w:rFonts w:cs="Arial"/>
          <w:szCs w:val="22"/>
          <w:lang w:eastAsia="en-US"/>
        </w:rPr>
        <w:t xml:space="preserve">Dallüge, J., Vreuls, R.J.J., </w:t>
      </w:r>
      <w:proofErr w:type="gramStart"/>
      <w:r w:rsidRPr="00D06837">
        <w:rPr>
          <w:rFonts w:cs="Arial"/>
          <w:szCs w:val="22"/>
          <w:lang w:eastAsia="en-US"/>
        </w:rPr>
        <w:t>Beens ,J</w:t>
      </w:r>
      <w:proofErr w:type="gramEnd"/>
      <w:r w:rsidRPr="00D06837">
        <w:rPr>
          <w:rFonts w:cs="Arial"/>
          <w:szCs w:val="22"/>
          <w:lang w:eastAsia="en-US"/>
        </w:rPr>
        <w:t>. and Brinkman, U.A.Th. 2002 Optimization and characterization of comprehensive two-dimensional gas chromatography with time-of-flight mass spectrometric detection (GC×GC-TOF MS) J. Sep. Sci., 25: 201-214.</w:t>
      </w:r>
    </w:p>
    <w:p w14:paraId="026B01FB" w14:textId="77777777" w:rsidR="00FC360C" w:rsidRPr="00D06837" w:rsidRDefault="00FC360C" w:rsidP="004A64B0">
      <w:pPr>
        <w:rPr>
          <w:rFonts w:cs="Arial"/>
          <w:szCs w:val="22"/>
          <w:lang w:eastAsia="en-US"/>
        </w:rPr>
      </w:pPr>
      <w:r w:rsidRPr="00D06837">
        <w:rPr>
          <w:rFonts w:cs="Arial"/>
          <w:szCs w:val="22"/>
          <w:lang w:eastAsia="en-US"/>
        </w:rPr>
        <w:t xml:space="preserve">Gilbert, R.O., 1987. </w:t>
      </w:r>
      <w:proofErr w:type="gramStart"/>
      <w:r w:rsidRPr="00D06837">
        <w:rPr>
          <w:rFonts w:cs="Arial"/>
          <w:szCs w:val="22"/>
          <w:lang w:eastAsia="en-US"/>
        </w:rPr>
        <w:t>Statistical Methods for Environmental Pollution Monitoring.</w:t>
      </w:r>
      <w:proofErr w:type="gramEnd"/>
      <w:r w:rsidRPr="00D06837">
        <w:rPr>
          <w:rFonts w:cs="Arial"/>
          <w:szCs w:val="22"/>
          <w:lang w:eastAsia="en-US"/>
        </w:rPr>
        <w:t xml:space="preserve"> Van Nostrand Reinhold, New York.</w:t>
      </w:r>
    </w:p>
    <w:p w14:paraId="5E37B90C" w14:textId="77777777" w:rsidR="00FC360C" w:rsidRPr="00D06837" w:rsidRDefault="00FC360C" w:rsidP="004A64B0">
      <w:pPr>
        <w:rPr>
          <w:rFonts w:cs="Arial"/>
          <w:szCs w:val="22"/>
          <w:lang w:eastAsia="en-US"/>
        </w:rPr>
      </w:pPr>
      <w:proofErr w:type="gramStart"/>
      <w:r w:rsidRPr="00D06837">
        <w:rPr>
          <w:rFonts w:cs="Arial"/>
          <w:szCs w:val="22"/>
          <w:lang w:eastAsia="en-US"/>
        </w:rPr>
        <w:t>Gilbertson, M., Elliott, J.E. and Peakall, D.B., 1987.</w:t>
      </w:r>
      <w:proofErr w:type="gramEnd"/>
      <w:r w:rsidRPr="00D06837">
        <w:rPr>
          <w:rFonts w:cs="Arial"/>
          <w:szCs w:val="22"/>
          <w:lang w:eastAsia="en-US"/>
        </w:rPr>
        <w:t xml:space="preserve"> </w:t>
      </w:r>
      <w:proofErr w:type="gramStart"/>
      <w:r w:rsidRPr="00D06837">
        <w:rPr>
          <w:rFonts w:cs="Arial"/>
          <w:szCs w:val="22"/>
          <w:lang w:eastAsia="en-US"/>
        </w:rPr>
        <w:t>Seabirds as indicators of marine pollution.</w:t>
      </w:r>
      <w:proofErr w:type="gramEnd"/>
      <w:r w:rsidRPr="00D06837">
        <w:rPr>
          <w:rFonts w:cs="Arial"/>
          <w:szCs w:val="22"/>
          <w:lang w:eastAsia="en-US"/>
        </w:rPr>
        <w:t xml:space="preserve"> In: Diamond, A.W. and Filion, F.L. (Editors): The value of birds. ICBP Technical Publication 6: 231-248.</w:t>
      </w:r>
    </w:p>
    <w:p w14:paraId="1AC2EA6A" w14:textId="1DF29A54" w:rsidR="00FC360C" w:rsidRPr="00D06837" w:rsidRDefault="00FC360C" w:rsidP="004A64B0">
      <w:pPr>
        <w:rPr>
          <w:rFonts w:cs="Arial"/>
          <w:szCs w:val="22"/>
          <w:lang w:eastAsia="en-US"/>
        </w:rPr>
      </w:pPr>
      <w:r w:rsidRPr="00D06837">
        <w:rPr>
          <w:rFonts w:cs="Arial"/>
          <w:szCs w:val="22"/>
          <w:lang w:eastAsia="en-US"/>
        </w:rPr>
        <w:t xml:space="preserve">Hanson, S. W. F. and Olley, J. 1963. </w:t>
      </w:r>
      <w:proofErr w:type="gramStart"/>
      <w:r w:rsidRPr="00D06837">
        <w:rPr>
          <w:rFonts w:cs="Arial"/>
          <w:szCs w:val="22"/>
          <w:lang w:eastAsia="en-US"/>
        </w:rPr>
        <w:t>Application of the Bligh and Dyer method of lipid extraction to tissue ho</w:t>
      </w:r>
      <w:r w:rsidR="00AA7C8C">
        <w:rPr>
          <w:rFonts w:cs="Arial"/>
          <w:szCs w:val="22"/>
          <w:lang w:eastAsia="en-US"/>
        </w:rPr>
        <w:t>mogenates.</w:t>
      </w:r>
      <w:proofErr w:type="gramEnd"/>
      <w:r w:rsidR="00AA7C8C">
        <w:rPr>
          <w:rFonts w:cs="Arial"/>
          <w:szCs w:val="22"/>
          <w:lang w:eastAsia="en-US"/>
        </w:rPr>
        <w:t xml:space="preserve"> </w:t>
      </w:r>
      <w:proofErr w:type="gramStart"/>
      <w:r w:rsidR="00AA7C8C">
        <w:rPr>
          <w:rFonts w:cs="Arial"/>
          <w:szCs w:val="22"/>
          <w:lang w:eastAsia="en-US"/>
        </w:rPr>
        <w:t>Biochem.</w:t>
      </w:r>
      <w:proofErr w:type="gramEnd"/>
      <w:r w:rsidR="00AA7C8C">
        <w:rPr>
          <w:rFonts w:cs="Arial"/>
          <w:szCs w:val="22"/>
          <w:lang w:eastAsia="en-US"/>
        </w:rPr>
        <w:t xml:space="preserve"> J., 89: 101–1</w:t>
      </w:r>
      <w:r w:rsidRPr="00D06837">
        <w:rPr>
          <w:rFonts w:cs="Arial"/>
          <w:szCs w:val="22"/>
          <w:lang w:eastAsia="en-US"/>
        </w:rPr>
        <w:t>02.</w:t>
      </w:r>
    </w:p>
    <w:p w14:paraId="42A7A1F3" w14:textId="77777777" w:rsidR="00FC360C" w:rsidRPr="00D06837" w:rsidRDefault="00FC360C" w:rsidP="004A64B0">
      <w:pPr>
        <w:rPr>
          <w:rFonts w:cs="Arial"/>
          <w:szCs w:val="22"/>
          <w:lang w:eastAsia="en-US"/>
        </w:rPr>
      </w:pPr>
      <w:proofErr w:type="gramStart"/>
      <w:r w:rsidRPr="00D06837">
        <w:rPr>
          <w:rFonts w:cs="Arial"/>
          <w:szCs w:val="22"/>
          <w:lang w:eastAsia="en-US"/>
        </w:rPr>
        <w:t>HELCOM, 1988.</w:t>
      </w:r>
      <w:proofErr w:type="gramEnd"/>
      <w:r w:rsidRPr="00D06837">
        <w:rPr>
          <w:rFonts w:cs="Arial"/>
          <w:szCs w:val="22"/>
          <w:lang w:eastAsia="en-US"/>
        </w:rPr>
        <w:t xml:space="preserve"> </w:t>
      </w:r>
      <w:proofErr w:type="gramStart"/>
      <w:r w:rsidRPr="00D06837">
        <w:rPr>
          <w:rFonts w:cs="Arial"/>
          <w:szCs w:val="22"/>
          <w:lang w:eastAsia="en-US"/>
        </w:rPr>
        <w:t>Guidelines for the Baltic Monitoring Programme for the Third Stage (1988).</w:t>
      </w:r>
      <w:proofErr w:type="gramEnd"/>
      <w:r w:rsidRPr="00D06837">
        <w:rPr>
          <w:rFonts w:cs="Arial"/>
          <w:szCs w:val="22"/>
          <w:lang w:eastAsia="en-US"/>
        </w:rPr>
        <w:t xml:space="preserve"> Part C: Contents from Balt. Sea Environ. Proc. No. 27 C, HELCOM, Helsinki.</w:t>
      </w:r>
    </w:p>
    <w:p w14:paraId="33FCBF05" w14:textId="77777777" w:rsidR="00FC360C" w:rsidRPr="00D06837" w:rsidRDefault="00FC360C" w:rsidP="004A64B0">
      <w:pPr>
        <w:rPr>
          <w:rFonts w:cs="Arial"/>
          <w:szCs w:val="22"/>
          <w:lang w:eastAsia="en-US"/>
        </w:rPr>
      </w:pPr>
      <w:proofErr w:type="gramStart"/>
      <w:r w:rsidRPr="00D06837">
        <w:rPr>
          <w:rFonts w:cs="Arial"/>
          <w:szCs w:val="22"/>
          <w:lang w:eastAsia="en-US"/>
        </w:rPr>
        <w:t>ICES, 1996.</w:t>
      </w:r>
      <w:proofErr w:type="gramEnd"/>
      <w:r w:rsidRPr="00D06837">
        <w:rPr>
          <w:rFonts w:cs="Arial"/>
          <w:szCs w:val="22"/>
          <w:lang w:eastAsia="en-US"/>
        </w:rPr>
        <w:t xml:space="preserve"> </w:t>
      </w:r>
      <w:proofErr w:type="gramStart"/>
      <w:r w:rsidRPr="00D06837">
        <w:rPr>
          <w:rFonts w:cs="Arial"/>
          <w:szCs w:val="22"/>
          <w:lang w:eastAsia="en-US"/>
        </w:rPr>
        <w:t>Guidelines on Quality Assurance of Chemical Measurements in the Baltic Sea.</w:t>
      </w:r>
      <w:proofErr w:type="gramEnd"/>
      <w:r w:rsidRPr="00D06837">
        <w:rPr>
          <w:rFonts w:cs="Arial"/>
          <w:szCs w:val="22"/>
          <w:lang w:eastAsia="en-US"/>
        </w:rPr>
        <w:t xml:space="preserve"> </w:t>
      </w:r>
      <w:proofErr w:type="gramStart"/>
      <w:r w:rsidRPr="00D06837">
        <w:rPr>
          <w:rFonts w:cs="Arial"/>
          <w:szCs w:val="22"/>
          <w:lang w:eastAsia="en-US"/>
        </w:rPr>
        <w:t>In Report of the ICES/HELCOM Steering Group on Quality Assurance of Chemical Measurements in the Baltic Sea, pp. 10-28.</w:t>
      </w:r>
      <w:proofErr w:type="gramEnd"/>
      <w:r w:rsidRPr="00D06837">
        <w:rPr>
          <w:rFonts w:cs="Arial"/>
          <w:szCs w:val="22"/>
          <w:lang w:eastAsia="en-US"/>
        </w:rPr>
        <w:t xml:space="preserve"> </w:t>
      </w:r>
      <w:proofErr w:type="gramStart"/>
      <w:r w:rsidRPr="00D06837">
        <w:rPr>
          <w:rFonts w:cs="Arial"/>
          <w:szCs w:val="22"/>
          <w:lang w:eastAsia="en-US"/>
        </w:rPr>
        <w:t>ICES C.M. 1996/E: 4.</w:t>
      </w:r>
      <w:proofErr w:type="gramEnd"/>
    </w:p>
    <w:p w14:paraId="0238F132" w14:textId="77777777" w:rsidR="00FC360C" w:rsidRPr="00D06837" w:rsidRDefault="00FC360C" w:rsidP="004A64B0">
      <w:pPr>
        <w:rPr>
          <w:rFonts w:cs="Arial"/>
          <w:szCs w:val="22"/>
          <w:lang w:eastAsia="en-US"/>
        </w:rPr>
      </w:pPr>
      <w:r w:rsidRPr="00D06837">
        <w:rPr>
          <w:rFonts w:cs="Arial"/>
          <w:szCs w:val="22"/>
          <w:lang w:eastAsia="en-US"/>
        </w:rPr>
        <w:t xml:space="preserve">Iyengar, G., 1976. </w:t>
      </w:r>
      <w:proofErr w:type="gramStart"/>
      <w:r w:rsidRPr="00D06837">
        <w:rPr>
          <w:rFonts w:cs="Arial"/>
          <w:szCs w:val="22"/>
          <w:lang w:eastAsia="en-US"/>
        </w:rPr>
        <w:t>Homogenised sampling of bone and other biological materials.</w:t>
      </w:r>
      <w:proofErr w:type="gramEnd"/>
      <w:r w:rsidRPr="00D06837">
        <w:rPr>
          <w:rFonts w:cs="Arial"/>
          <w:szCs w:val="22"/>
          <w:lang w:eastAsia="en-US"/>
        </w:rPr>
        <w:t xml:space="preserve"> </w:t>
      </w:r>
      <w:proofErr w:type="gramStart"/>
      <w:r w:rsidRPr="00D06837">
        <w:rPr>
          <w:rFonts w:cs="Arial"/>
          <w:szCs w:val="22"/>
          <w:lang w:eastAsia="en-US"/>
        </w:rPr>
        <w:t>Radiochem.</w:t>
      </w:r>
      <w:proofErr w:type="gramEnd"/>
      <w:r w:rsidRPr="00D06837">
        <w:rPr>
          <w:rFonts w:cs="Arial"/>
          <w:szCs w:val="22"/>
          <w:lang w:eastAsia="en-US"/>
        </w:rPr>
        <w:t xml:space="preserve"> </w:t>
      </w:r>
      <w:proofErr w:type="gramStart"/>
      <w:r w:rsidRPr="00D06837">
        <w:rPr>
          <w:rFonts w:cs="Arial"/>
          <w:szCs w:val="22"/>
          <w:lang w:eastAsia="en-US"/>
        </w:rPr>
        <w:t>Radioanal.</w:t>
      </w:r>
      <w:proofErr w:type="gramEnd"/>
      <w:r w:rsidRPr="00D06837">
        <w:rPr>
          <w:rFonts w:cs="Arial"/>
          <w:szCs w:val="22"/>
          <w:lang w:eastAsia="en-US"/>
        </w:rPr>
        <w:t xml:space="preserve"> </w:t>
      </w:r>
      <w:proofErr w:type="gramStart"/>
      <w:r w:rsidRPr="00D06837">
        <w:rPr>
          <w:rFonts w:cs="Arial"/>
          <w:szCs w:val="22"/>
          <w:lang w:eastAsia="en-US"/>
        </w:rPr>
        <w:t>Letters 24:</w:t>
      </w:r>
      <w:r w:rsidRPr="00D06837">
        <w:rPr>
          <w:rFonts w:cs="Arial"/>
          <w:b/>
          <w:szCs w:val="22"/>
          <w:lang w:eastAsia="en-US"/>
        </w:rPr>
        <w:t xml:space="preserve"> </w:t>
      </w:r>
      <w:r w:rsidRPr="00D06837">
        <w:rPr>
          <w:rFonts w:cs="Arial"/>
          <w:szCs w:val="22"/>
          <w:lang w:eastAsia="en-US"/>
        </w:rPr>
        <w:t>35.</w:t>
      </w:r>
      <w:proofErr w:type="gramEnd"/>
    </w:p>
    <w:p w14:paraId="5D89BE7D" w14:textId="77777777" w:rsidR="00FC360C" w:rsidRPr="00D06837" w:rsidRDefault="00FC360C" w:rsidP="004A64B0">
      <w:pPr>
        <w:rPr>
          <w:rFonts w:cs="Arial"/>
          <w:szCs w:val="22"/>
          <w:lang w:eastAsia="en-US"/>
        </w:rPr>
      </w:pPr>
      <w:r w:rsidRPr="00D06837">
        <w:rPr>
          <w:rFonts w:cs="Arial"/>
          <w:szCs w:val="22"/>
          <w:lang w:eastAsia="en-US"/>
        </w:rPr>
        <w:t>Iyengar, G.V. and Kasperek, K., 1977. Application of the brittle fracture technique (BFT) to homogenise biological samples and some observations regarding the distribution behaviour of trace elements at different concentration levels in a biological matrix. J. Radioanal. Chem. 39: 301</w:t>
      </w:r>
      <w:r w:rsidRPr="00D06837">
        <w:rPr>
          <w:rFonts w:cs="Arial"/>
          <w:caps/>
          <w:smallCaps/>
          <w:szCs w:val="22"/>
          <w:lang w:eastAsia="en-US"/>
        </w:rPr>
        <w:t>-316</w:t>
      </w:r>
      <w:r w:rsidRPr="00D06837">
        <w:rPr>
          <w:rFonts w:cs="Arial"/>
          <w:b/>
          <w:caps/>
          <w:smallCaps/>
          <w:szCs w:val="22"/>
          <w:lang w:eastAsia="en-US"/>
        </w:rPr>
        <w:t>.</w:t>
      </w:r>
    </w:p>
    <w:p w14:paraId="085DAB84" w14:textId="77777777" w:rsidR="00FC360C" w:rsidRPr="00D06837" w:rsidRDefault="00FC360C" w:rsidP="004A64B0">
      <w:pPr>
        <w:rPr>
          <w:rFonts w:cs="Arial"/>
          <w:szCs w:val="22"/>
          <w:lang w:eastAsia="en-US"/>
        </w:rPr>
      </w:pPr>
      <w:proofErr w:type="gramStart"/>
      <w:r w:rsidRPr="00D06837">
        <w:rPr>
          <w:rFonts w:cs="Arial"/>
          <w:szCs w:val="22"/>
          <w:lang w:eastAsia="en-US"/>
        </w:rPr>
        <w:t>Klussmann, U., Strupp, D. and Ebing, W., 1985.</w:t>
      </w:r>
      <w:proofErr w:type="gramEnd"/>
      <w:r w:rsidRPr="00D06837">
        <w:rPr>
          <w:rFonts w:cs="Arial"/>
          <w:szCs w:val="22"/>
          <w:lang w:eastAsia="en-US"/>
        </w:rPr>
        <w:t xml:space="preserve"> </w:t>
      </w:r>
      <w:proofErr w:type="gramStart"/>
      <w:r w:rsidRPr="00D06837">
        <w:rPr>
          <w:rFonts w:cs="Arial"/>
          <w:szCs w:val="22"/>
          <w:lang w:eastAsia="en-US"/>
        </w:rPr>
        <w:t>Entwicklung einer apparatur zur homogenisierung von tiefgekühlten pflanzenproben.</w:t>
      </w:r>
      <w:proofErr w:type="gramEnd"/>
      <w:r w:rsidRPr="00D06837">
        <w:rPr>
          <w:rFonts w:cs="Arial"/>
          <w:szCs w:val="22"/>
          <w:lang w:eastAsia="en-US"/>
        </w:rPr>
        <w:t xml:space="preserve"> Fresenius Z. Anal. Chem. 322: 456.</w:t>
      </w:r>
    </w:p>
    <w:p w14:paraId="0C8992DD" w14:textId="77777777" w:rsidR="00FC360C" w:rsidRPr="00D06837" w:rsidRDefault="00FC360C" w:rsidP="004A64B0">
      <w:pPr>
        <w:rPr>
          <w:rFonts w:cs="Arial"/>
          <w:szCs w:val="22"/>
          <w:lang w:eastAsia="en-US"/>
        </w:rPr>
      </w:pPr>
      <w:r w:rsidRPr="00D06837">
        <w:rPr>
          <w:rFonts w:cs="Arial"/>
          <w:szCs w:val="22"/>
          <w:lang w:eastAsia="en-US"/>
        </w:rPr>
        <w:t xml:space="preserve">Korytar, P., Parera, J., Leonards, P.E.G., de Boer, J. and Brinkman, U.ATh. </w:t>
      </w:r>
      <w:proofErr w:type="gramStart"/>
      <w:r w:rsidRPr="00D06837">
        <w:rPr>
          <w:rFonts w:cs="Arial"/>
          <w:szCs w:val="22"/>
          <w:lang w:eastAsia="en-US"/>
        </w:rPr>
        <w:t>2005 Quadrupole mass spectrometer operating in the electron-capture negative ion mode as detector for comprehensive two-dimensional gas chromatographyJ.</w:t>
      </w:r>
      <w:proofErr w:type="gramEnd"/>
      <w:r w:rsidRPr="00D06837">
        <w:rPr>
          <w:rFonts w:cs="Arial"/>
          <w:szCs w:val="22"/>
          <w:lang w:eastAsia="en-US"/>
        </w:rPr>
        <w:t xml:space="preserve"> </w:t>
      </w:r>
      <w:proofErr w:type="gramStart"/>
      <w:r w:rsidRPr="00D06837">
        <w:rPr>
          <w:rFonts w:cs="Arial"/>
          <w:szCs w:val="22"/>
          <w:lang w:eastAsia="en-US"/>
        </w:rPr>
        <w:t>Chromatogr.</w:t>
      </w:r>
      <w:proofErr w:type="gramEnd"/>
      <w:r w:rsidRPr="00D06837">
        <w:rPr>
          <w:rFonts w:cs="Arial"/>
          <w:szCs w:val="22"/>
          <w:lang w:eastAsia="en-US"/>
        </w:rPr>
        <w:t xml:space="preserve"> A 1067: 255-264</w:t>
      </w:r>
    </w:p>
    <w:p w14:paraId="14D3ECB3" w14:textId="77777777" w:rsidR="00FC360C" w:rsidRPr="00D06837" w:rsidRDefault="00FC360C" w:rsidP="004A64B0">
      <w:pPr>
        <w:rPr>
          <w:rFonts w:cs="Arial"/>
          <w:szCs w:val="22"/>
          <w:lang w:eastAsia="en-US"/>
        </w:rPr>
      </w:pPr>
      <w:proofErr w:type="gramStart"/>
      <w:r w:rsidRPr="00D06837">
        <w:rPr>
          <w:rFonts w:cs="Arial"/>
          <w:szCs w:val="22"/>
          <w:lang w:eastAsia="en-US"/>
        </w:rPr>
        <w:t>Larsen, B., Cont, M., Montanarella, L. and Platzner N., 1995.</w:t>
      </w:r>
      <w:proofErr w:type="gramEnd"/>
      <w:r w:rsidRPr="00D06837">
        <w:rPr>
          <w:rFonts w:cs="Arial"/>
          <w:szCs w:val="22"/>
          <w:lang w:eastAsia="en-US"/>
        </w:rPr>
        <w:t xml:space="preserve"> </w:t>
      </w:r>
      <w:proofErr w:type="gramStart"/>
      <w:r w:rsidRPr="00D06837">
        <w:rPr>
          <w:rFonts w:cs="Arial"/>
          <w:szCs w:val="22"/>
          <w:lang w:eastAsia="en-US"/>
        </w:rPr>
        <w:t>Enhanced selectivity in the analysis of chlorobiphenyls on a carborane phenylmethylsiloxane copolymer gas chromatography phase (HT-8) J. Chromatogr.</w:t>
      </w:r>
      <w:proofErr w:type="gramEnd"/>
      <w:r w:rsidRPr="00D06837">
        <w:rPr>
          <w:rFonts w:cs="Arial"/>
          <w:szCs w:val="22"/>
          <w:lang w:eastAsia="en-US"/>
        </w:rPr>
        <w:t xml:space="preserve"> A 708:115-129.</w:t>
      </w:r>
    </w:p>
    <w:p w14:paraId="212C3C49" w14:textId="77777777" w:rsidR="00FC360C" w:rsidRPr="00D06837" w:rsidRDefault="00FC360C" w:rsidP="004A64B0">
      <w:pPr>
        <w:rPr>
          <w:rFonts w:cs="Arial"/>
          <w:szCs w:val="22"/>
          <w:lang w:eastAsia="en-US"/>
        </w:rPr>
      </w:pPr>
      <w:r w:rsidRPr="00D06837">
        <w:rPr>
          <w:rFonts w:cs="Arial"/>
          <w:szCs w:val="22"/>
          <w:lang w:eastAsia="en-US"/>
        </w:rPr>
        <w:t xml:space="preserve">Nicholson, M.D. and Fryer, R.J., 1996. Contaminants in marine organisms: Pooling strategies for monitoring mean concentrations. Tech. Mar. Environ. </w:t>
      </w:r>
      <w:proofErr w:type="gramStart"/>
      <w:r w:rsidRPr="00D06837">
        <w:rPr>
          <w:rFonts w:cs="Arial"/>
          <w:szCs w:val="22"/>
          <w:lang w:eastAsia="en-US"/>
        </w:rPr>
        <w:t>Sci., No. 18.</w:t>
      </w:r>
      <w:proofErr w:type="gramEnd"/>
      <w:r w:rsidRPr="00D06837">
        <w:rPr>
          <w:rFonts w:cs="Arial"/>
          <w:szCs w:val="22"/>
          <w:lang w:eastAsia="en-US"/>
        </w:rPr>
        <w:t xml:space="preserve"> </w:t>
      </w:r>
      <w:proofErr w:type="gramStart"/>
      <w:r w:rsidRPr="00D06837">
        <w:rPr>
          <w:rFonts w:cs="Arial"/>
          <w:szCs w:val="22"/>
          <w:lang w:eastAsia="en-US"/>
        </w:rPr>
        <w:t>ICES.</w:t>
      </w:r>
      <w:proofErr w:type="gramEnd"/>
      <w:r w:rsidRPr="00D06837">
        <w:rPr>
          <w:rFonts w:cs="Arial"/>
          <w:szCs w:val="22"/>
          <w:lang w:eastAsia="en-US"/>
        </w:rPr>
        <w:t xml:space="preserve"> </w:t>
      </w:r>
      <w:proofErr w:type="gramStart"/>
      <w:r w:rsidRPr="00D06837">
        <w:rPr>
          <w:rFonts w:cs="Arial"/>
          <w:szCs w:val="22"/>
          <w:lang w:eastAsia="en-US"/>
        </w:rPr>
        <w:t>Copenhagen, 30.</w:t>
      </w:r>
      <w:proofErr w:type="gramEnd"/>
    </w:p>
    <w:p w14:paraId="39118B45" w14:textId="77777777" w:rsidR="00FC360C" w:rsidRPr="00D06837" w:rsidRDefault="00FC360C" w:rsidP="004A64B0">
      <w:pPr>
        <w:rPr>
          <w:rFonts w:cs="Arial"/>
          <w:szCs w:val="22"/>
          <w:lang w:eastAsia="en-US"/>
        </w:rPr>
      </w:pPr>
      <w:r w:rsidRPr="00D06837">
        <w:rPr>
          <w:rFonts w:cs="Arial"/>
          <w:szCs w:val="22"/>
          <w:lang w:eastAsia="en-US"/>
        </w:rPr>
        <w:t xml:space="preserve">Nicholson, M.D., Fryer, R.J. and Larsen, J.R., 1997. </w:t>
      </w:r>
      <w:proofErr w:type="gramStart"/>
      <w:r w:rsidRPr="00D06837">
        <w:rPr>
          <w:rFonts w:cs="Arial"/>
          <w:szCs w:val="22"/>
          <w:lang w:eastAsia="en-US"/>
        </w:rPr>
        <w:t>A robust method for analysing contaminant trend monitoring data.</w:t>
      </w:r>
      <w:proofErr w:type="gramEnd"/>
      <w:r w:rsidRPr="00D06837">
        <w:rPr>
          <w:rFonts w:cs="Arial"/>
          <w:szCs w:val="22"/>
          <w:lang w:eastAsia="en-US"/>
        </w:rPr>
        <w:t xml:space="preserve"> </w:t>
      </w:r>
      <w:proofErr w:type="gramStart"/>
      <w:r w:rsidRPr="00D06837">
        <w:rPr>
          <w:rFonts w:cs="Arial"/>
          <w:szCs w:val="22"/>
          <w:lang w:eastAsia="en-US"/>
        </w:rPr>
        <w:t>ICES Techniques in Marine Environmental Sciences, No. 20.</w:t>
      </w:r>
      <w:proofErr w:type="gramEnd"/>
      <w:r w:rsidRPr="00D06837">
        <w:rPr>
          <w:rFonts w:cs="Arial"/>
          <w:szCs w:val="22"/>
          <w:lang w:eastAsia="en-US"/>
        </w:rPr>
        <w:t xml:space="preserve"> 12.</w:t>
      </w:r>
    </w:p>
    <w:p w14:paraId="7118AC3B" w14:textId="77777777" w:rsidR="00FC360C" w:rsidRPr="00D06837" w:rsidRDefault="00FC360C" w:rsidP="004A64B0">
      <w:pPr>
        <w:rPr>
          <w:rFonts w:cs="Arial"/>
          <w:szCs w:val="22"/>
          <w:lang w:eastAsia="en-US"/>
        </w:rPr>
      </w:pPr>
      <w:r w:rsidRPr="00D06837">
        <w:rPr>
          <w:rFonts w:cs="Arial"/>
          <w:szCs w:val="22"/>
          <w:lang w:eastAsia="en-US"/>
        </w:rPr>
        <w:t>Oehlenschläger, J., 1994: Quality assurance during sampling on board. In: Topping, G. and Harms, U. (Editors): ICES/HELCOM Workshop on Quality Assurance of Chemical Analytical Procedures for the Baltic Monitoring Programme, 5-8 Oct. 1993, Hamburg, Germany. HELCOM, Balt. Sea Environ. Proc. No. 58, 82-84.</w:t>
      </w:r>
    </w:p>
    <w:p w14:paraId="5A944F4A" w14:textId="77777777" w:rsidR="00FC360C" w:rsidRPr="00D06837" w:rsidRDefault="00FC360C" w:rsidP="004A64B0">
      <w:pPr>
        <w:rPr>
          <w:rFonts w:cs="Arial"/>
          <w:szCs w:val="22"/>
          <w:lang w:eastAsia="en-US"/>
        </w:rPr>
      </w:pPr>
      <w:proofErr w:type="gramStart"/>
      <w:r w:rsidRPr="00D06837">
        <w:rPr>
          <w:rFonts w:cs="Arial"/>
          <w:szCs w:val="22"/>
          <w:lang w:eastAsia="en-US"/>
        </w:rPr>
        <w:t>QUASIMEME, 1992.</w:t>
      </w:r>
      <w:proofErr w:type="gramEnd"/>
      <w:r w:rsidRPr="00D06837">
        <w:rPr>
          <w:rFonts w:cs="Arial"/>
          <w:szCs w:val="22"/>
          <w:lang w:eastAsia="en-US"/>
        </w:rPr>
        <w:t xml:space="preserve"> </w:t>
      </w:r>
      <w:proofErr w:type="gramStart"/>
      <w:r w:rsidRPr="00D06837">
        <w:rPr>
          <w:rFonts w:cs="Arial"/>
          <w:szCs w:val="22"/>
          <w:lang w:eastAsia="en-US"/>
        </w:rPr>
        <w:t>Guidelines on Quality Assurance for Marine Measurements.</w:t>
      </w:r>
      <w:proofErr w:type="gramEnd"/>
      <w:r w:rsidRPr="00D06837">
        <w:rPr>
          <w:rFonts w:cs="Arial"/>
          <w:szCs w:val="22"/>
          <w:lang w:eastAsia="en-US"/>
        </w:rPr>
        <w:t xml:space="preserve"> </w:t>
      </w:r>
      <w:proofErr w:type="gramStart"/>
      <w:r w:rsidRPr="00D06837">
        <w:rPr>
          <w:rFonts w:cs="Arial"/>
          <w:szCs w:val="22"/>
          <w:lang w:eastAsia="en-US"/>
        </w:rPr>
        <w:t>Prepared by Topping, G., Wells, D.E. and Griepink, B. SOAFD Marine Laboratory, Aberdeen, Scotland.</w:t>
      </w:r>
      <w:proofErr w:type="gramEnd"/>
    </w:p>
    <w:p w14:paraId="06B2AD77" w14:textId="77777777" w:rsidR="00FC360C" w:rsidRPr="00D06837" w:rsidRDefault="00FC360C" w:rsidP="004A64B0">
      <w:pPr>
        <w:rPr>
          <w:rFonts w:cs="Arial"/>
          <w:szCs w:val="22"/>
          <w:lang w:eastAsia="en-US"/>
        </w:rPr>
      </w:pPr>
      <w:proofErr w:type="gramStart"/>
      <w:r w:rsidRPr="00D06837">
        <w:rPr>
          <w:rFonts w:cs="Arial"/>
          <w:szCs w:val="22"/>
          <w:lang w:eastAsia="en-US"/>
        </w:rPr>
        <w:t>QUASIMEME, 1994.</w:t>
      </w:r>
      <w:proofErr w:type="gramEnd"/>
      <w:r w:rsidRPr="00D06837">
        <w:rPr>
          <w:rFonts w:cs="Arial"/>
          <w:szCs w:val="22"/>
          <w:lang w:eastAsia="en-US"/>
        </w:rPr>
        <w:t xml:space="preserve"> Report on the Proceedings of a Workshop on: The Measurement of Lipids as a Co-factor for organic contaminants in Biota. Dublin, 13-16 October 1994.</w:t>
      </w:r>
      <w:r w:rsidRPr="00D06837">
        <w:rPr>
          <w:rFonts w:cs="Arial"/>
          <w:b/>
          <w:szCs w:val="22"/>
          <w:lang w:eastAsia="en-US"/>
        </w:rPr>
        <w:t xml:space="preserve"> </w:t>
      </w:r>
      <w:r w:rsidRPr="00D06837">
        <w:rPr>
          <w:rFonts w:cs="Arial"/>
          <w:szCs w:val="22"/>
          <w:lang w:eastAsia="en-US"/>
        </w:rPr>
        <w:t>Prepared by Bailey, S. and Wells, D.E., SOAFD Marine Laboratory, Aberdeen, Scotland.</w:t>
      </w:r>
    </w:p>
    <w:p w14:paraId="0FB57112" w14:textId="77777777" w:rsidR="00FC360C" w:rsidRPr="00D06837" w:rsidRDefault="00FC360C" w:rsidP="004A64B0">
      <w:pPr>
        <w:rPr>
          <w:rFonts w:cs="Arial"/>
          <w:szCs w:val="22"/>
          <w:lang w:eastAsia="en-US"/>
        </w:rPr>
      </w:pPr>
      <w:proofErr w:type="gramStart"/>
      <w:r w:rsidRPr="00D06837">
        <w:rPr>
          <w:rFonts w:cs="Arial"/>
          <w:szCs w:val="22"/>
          <w:lang w:eastAsia="en-US"/>
        </w:rPr>
        <w:t>QUASIMEME, 2007.</w:t>
      </w:r>
      <w:proofErr w:type="gramEnd"/>
      <w:r w:rsidR="00B33CCD">
        <w:rPr>
          <w:rFonts w:cs="Arial"/>
          <w:szCs w:val="22"/>
          <w:lang w:eastAsia="en-US"/>
        </w:rPr>
        <w:t xml:space="preserve"> </w:t>
      </w:r>
      <w:r w:rsidRPr="00D06837">
        <w:rPr>
          <w:rFonts w:cs="Arial"/>
          <w:szCs w:val="22"/>
          <w:lang w:eastAsia="en-US"/>
        </w:rPr>
        <w:t>QUASIMEME Workshop on the Analysis of Brominated Flame Retardants, VU University, Institute for Environmental Studies, Amsterdam, the Netherlands, 23 – 24 April 2007.</w:t>
      </w:r>
    </w:p>
    <w:p w14:paraId="3EBF73EA" w14:textId="77777777" w:rsidR="00FC360C" w:rsidRPr="00D06837" w:rsidRDefault="00FC360C" w:rsidP="004A64B0">
      <w:pPr>
        <w:rPr>
          <w:rFonts w:cs="Arial"/>
          <w:szCs w:val="22"/>
          <w:lang w:eastAsia="en-US"/>
        </w:rPr>
      </w:pPr>
      <w:proofErr w:type="gramStart"/>
      <w:r w:rsidRPr="00D06837">
        <w:rPr>
          <w:rFonts w:cs="Arial"/>
          <w:szCs w:val="22"/>
          <w:lang w:eastAsia="en-US"/>
        </w:rPr>
        <w:t>Ramos, L., Kristenson, E. M. and Brinkman, U. A. Th., 2002.</w:t>
      </w:r>
      <w:proofErr w:type="gramEnd"/>
      <w:r w:rsidR="00B33CCD">
        <w:rPr>
          <w:rFonts w:cs="Arial"/>
          <w:szCs w:val="22"/>
          <w:lang w:eastAsia="en-US"/>
        </w:rPr>
        <w:t xml:space="preserve"> </w:t>
      </w:r>
      <w:proofErr w:type="gramStart"/>
      <w:r w:rsidRPr="00D06837">
        <w:rPr>
          <w:rFonts w:cs="Arial"/>
          <w:szCs w:val="22"/>
          <w:lang w:eastAsia="en-US"/>
        </w:rPr>
        <w:t>Current use of pressurised liquid extraction and subcritical water extraction in environmental analysis.</w:t>
      </w:r>
      <w:proofErr w:type="gramEnd"/>
      <w:r w:rsidR="00B33CCD">
        <w:rPr>
          <w:rFonts w:cs="Arial"/>
          <w:szCs w:val="22"/>
          <w:lang w:eastAsia="en-US"/>
        </w:rPr>
        <w:t xml:space="preserve"> </w:t>
      </w:r>
      <w:r w:rsidRPr="00D06837">
        <w:rPr>
          <w:rFonts w:cs="Arial"/>
          <w:szCs w:val="22"/>
          <w:lang w:eastAsia="en-US"/>
        </w:rPr>
        <w:t>J. Chromatogr. A, 975: 3-29.</w:t>
      </w:r>
    </w:p>
    <w:p w14:paraId="51CEB093" w14:textId="77777777" w:rsidR="00FC360C" w:rsidRPr="00D06837" w:rsidRDefault="00FC360C" w:rsidP="004A64B0">
      <w:pPr>
        <w:rPr>
          <w:rFonts w:cs="Arial"/>
          <w:szCs w:val="22"/>
          <w:lang w:eastAsia="en-US"/>
        </w:rPr>
      </w:pPr>
      <w:proofErr w:type="gramStart"/>
      <w:r w:rsidRPr="00D06837">
        <w:rPr>
          <w:rFonts w:cs="Arial"/>
          <w:szCs w:val="22"/>
          <w:lang w:eastAsia="en-US"/>
        </w:rPr>
        <w:t>Roose, P. and Brinkman, U. A. Th., 2005.</w:t>
      </w:r>
      <w:proofErr w:type="gramEnd"/>
      <w:r w:rsidRPr="00D06837">
        <w:rPr>
          <w:rFonts w:cs="Arial"/>
          <w:szCs w:val="22"/>
          <w:lang w:eastAsia="en-US"/>
        </w:rPr>
        <w:t xml:space="preserve"> Monitoring organic microcontaminants in the marine environment: principles, programmes and progress TrAC, 24: 897-926</w:t>
      </w:r>
    </w:p>
    <w:p w14:paraId="0158C5B5" w14:textId="77777777" w:rsidR="00FC360C" w:rsidRPr="00D06837" w:rsidRDefault="00FC360C" w:rsidP="004A64B0">
      <w:pPr>
        <w:rPr>
          <w:rFonts w:cs="Arial"/>
          <w:szCs w:val="22"/>
          <w:lang w:eastAsia="en-US"/>
        </w:rPr>
      </w:pPr>
      <w:proofErr w:type="gramStart"/>
      <w:r w:rsidRPr="00D06837">
        <w:rPr>
          <w:rFonts w:cs="Arial"/>
          <w:szCs w:val="22"/>
          <w:lang w:eastAsia="en-US"/>
        </w:rPr>
        <w:t>Roose, P., Haarich, M., Nixon, E. and Abarnou, A., 1996.</w:t>
      </w:r>
      <w:proofErr w:type="gramEnd"/>
      <w:r w:rsidRPr="00D06837">
        <w:rPr>
          <w:rFonts w:cs="Arial"/>
          <w:szCs w:val="22"/>
          <w:lang w:eastAsia="en-US"/>
        </w:rPr>
        <w:t xml:space="preserve"> </w:t>
      </w:r>
      <w:proofErr w:type="gramStart"/>
      <w:r w:rsidRPr="00D06837">
        <w:rPr>
          <w:rFonts w:cs="Arial"/>
          <w:szCs w:val="22"/>
          <w:lang w:eastAsia="en-US"/>
        </w:rPr>
        <w:t>Lipids as a co-factor.</w:t>
      </w:r>
      <w:proofErr w:type="gramEnd"/>
      <w:r w:rsidRPr="00D06837">
        <w:rPr>
          <w:rFonts w:cs="Arial"/>
          <w:szCs w:val="22"/>
          <w:lang w:eastAsia="en-US"/>
        </w:rPr>
        <w:t xml:space="preserve"> ICES CM 1996/Env: 2 Ref. E: 22-25.</w:t>
      </w:r>
    </w:p>
    <w:p w14:paraId="45A55D1D" w14:textId="4552256C" w:rsidR="00FC360C" w:rsidRPr="00D06837" w:rsidRDefault="00FC360C" w:rsidP="004A64B0">
      <w:pPr>
        <w:rPr>
          <w:rFonts w:cs="Arial"/>
          <w:szCs w:val="22"/>
          <w:lang w:eastAsia="en-US"/>
        </w:rPr>
      </w:pPr>
      <w:r w:rsidRPr="00D06837">
        <w:rPr>
          <w:rFonts w:cs="Arial"/>
          <w:szCs w:val="22"/>
          <w:lang w:eastAsia="en-US"/>
        </w:rPr>
        <w:t>Smedes, F. 1999.</w:t>
      </w:r>
      <w:r w:rsidR="00B33CCD">
        <w:rPr>
          <w:rFonts w:cs="Arial"/>
          <w:szCs w:val="22"/>
          <w:lang w:eastAsia="en-US"/>
        </w:rPr>
        <w:t xml:space="preserve"> </w:t>
      </w:r>
      <w:proofErr w:type="gramStart"/>
      <w:r w:rsidRPr="00D06837">
        <w:rPr>
          <w:rFonts w:cs="Arial"/>
          <w:szCs w:val="22"/>
          <w:lang w:eastAsia="en-US"/>
        </w:rPr>
        <w:t>Determination of total lipid using non-chlorinated solvents.</w:t>
      </w:r>
      <w:proofErr w:type="gramEnd"/>
      <w:r w:rsidR="00B33CCD">
        <w:rPr>
          <w:rFonts w:cs="Arial"/>
          <w:szCs w:val="22"/>
          <w:lang w:eastAsia="en-US"/>
        </w:rPr>
        <w:t xml:space="preserve"> </w:t>
      </w:r>
      <w:r w:rsidR="00AA7C8C">
        <w:rPr>
          <w:rFonts w:cs="Arial"/>
          <w:szCs w:val="22"/>
          <w:lang w:eastAsia="en-US"/>
        </w:rPr>
        <w:t>Analyst, 124: 1711-</w:t>
      </w:r>
      <w:r w:rsidRPr="00D06837">
        <w:rPr>
          <w:rFonts w:cs="Arial"/>
          <w:szCs w:val="22"/>
          <w:lang w:eastAsia="en-US"/>
        </w:rPr>
        <w:t>1718.</w:t>
      </w:r>
    </w:p>
    <w:p w14:paraId="73F1E964" w14:textId="77777777" w:rsidR="00FC360C" w:rsidRPr="00D06837" w:rsidRDefault="00FC360C" w:rsidP="004A64B0">
      <w:pPr>
        <w:rPr>
          <w:rFonts w:cs="Arial"/>
          <w:szCs w:val="22"/>
          <w:lang w:eastAsia="en-US"/>
        </w:rPr>
      </w:pPr>
      <w:proofErr w:type="gramStart"/>
      <w:r w:rsidRPr="00D06837">
        <w:rPr>
          <w:rFonts w:cs="Arial"/>
          <w:szCs w:val="22"/>
          <w:lang w:eastAsia="en-US"/>
        </w:rPr>
        <w:t>Smedes, F. and de Boer, J., 1994.</w:t>
      </w:r>
      <w:proofErr w:type="gramEnd"/>
      <w:r w:rsidRPr="00D06837">
        <w:rPr>
          <w:rFonts w:cs="Arial"/>
          <w:szCs w:val="22"/>
          <w:lang w:eastAsia="en-US"/>
        </w:rPr>
        <w:t xml:space="preserve"> </w:t>
      </w:r>
      <w:proofErr w:type="gramStart"/>
      <w:r w:rsidRPr="00D06837">
        <w:rPr>
          <w:rFonts w:cs="Arial"/>
          <w:szCs w:val="22"/>
          <w:lang w:eastAsia="en-US"/>
        </w:rPr>
        <w:t>Guidelines for the determination of chlorobiphenyls in sediments.</w:t>
      </w:r>
      <w:proofErr w:type="gramEnd"/>
      <w:r w:rsidRPr="00D06837">
        <w:rPr>
          <w:rFonts w:cs="Arial"/>
          <w:szCs w:val="22"/>
          <w:lang w:eastAsia="en-US"/>
        </w:rPr>
        <w:t xml:space="preserve"> Quimica Analytica 13: 100-108.</w:t>
      </w:r>
    </w:p>
    <w:p w14:paraId="22938E0D" w14:textId="36DEDDCA" w:rsidR="00FC360C" w:rsidRPr="00D06837" w:rsidRDefault="00FC360C" w:rsidP="004A64B0">
      <w:pPr>
        <w:rPr>
          <w:rFonts w:cs="Arial"/>
          <w:szCs w:val="22"/>
          <w:lang w:eastAsia="en-US"/>
        </w:rPr>
      </w:pPr>
      <w:r w:rsidRPr="00D06837">
        <w:rPr>
          <w:rFonts w:cs="Arial"/>
          <w:szCs w:val="22"/>
          <w:lang w:eastAsia="en-US"/>
        </w:rPr>
        <w:t>Sporring, S., Wiberg, K., Bjorklund, E. and Haglund, P. 2003. Combined extraction/clean-up strategies for fast determination of PCDD/Fs and WHO PCBs in food and feed samples using accelerated solvent extraction</w:t>
      </w:r>
      <w:r w:rsidR="00AA7C8C">
        <w:rPr>
          <w:rFonts w:cs="Arial"/>
          <w:szCs w:val="22"/>
          <w:lang w:eastAsia="en-US"/>
        </w:rPr>
        <w:t>, Organohalogen Compounds, 60-</w:t>
      </w:r>
      <w:r w:rsidRPr="00D06837">
        <w:rPr>
          <w:rFonts w:cs="Arial"/>
          <w:szCs w:val="22"/>
          <w:lang w:eastAsia="en-US"/>
        </w:rPr>
        <w:t xml:space="preserve">65, Dioxin 2003, Boston.Tema Nord, 1995. </w:t>
      </w:r>
      <w:proofErr w:type="gramStart"/>
      <w:r w:rsidRPr="00D06837">
        <w:rPr>
          <w:rFonts w:cs="Arial"/>
          <w:szCs w:val="22"/>
          <w:lang w:eastAsia="en-US"/>
        </w:rPr>
        <w:t>Manual for Nordic Environment Specimen Banking.</w:t>
      </w:r>
      <w:proofErr w:type="gramEnd"/>
    </w:p>
    <w:p w14:paraId="11BD51C8" w14:textId="77777777" w:rsidR="00FC360C" w:rsidRPr="00D06837" w:rsidRDefault="00FC360C" w:rsidP="004A64B0">
      <w:pPr>
        <w:rPr>
          <w:rFonts w:cs="Arial"/>
          <w:szCs w:val="22"/>
          <w:lang w:eastAsia="en-US"/>
        </w:rPr>
      </w:pPr>
      <w:r w:rsidRPr="00D06837">
        <w:rPr>
          <w:rFonts w:cs="Arial"/>
          <w:szCs w:val="22"/>
          <w:lang w:eastAsia="en-US"/>
        </w:rPr>
        <w:t xml:space="preserve">Walker, C.H., 1992. </w:t>
      </w:r>
      <w:proofErr w:type="gramStart"/>
      <w:r w:rsidRPr="00D06837">
        <w:rPr>
          <w:rFonts w:cs="Arial"/>
          <w:szCs w:val="22"/>
          <w:lang w:eastAsia="en-US"/>
        </w:rPr>
        <w:t>The exotoxicology of persistent pollutants in marine fish-eating birds.</w:t>
      </w:r>
      <w:proofErr w:type="gramEnd"/>
      <w:r w:rsidRPr="00D06837">
        <w:rPr>
          <w:rFonts w:cs="Arial"/>
          <w:szCs w:val="22"/>
          <w:lang w:eastAsia="en-US"/>
        </w:rPr>
        <w:t xml:space="preserve"> In: Walker, C.H. and Livingstone, D.R. (Editors): Persistent pollutants in marine ecosystems: 211</w:t>
      </w:r>
      <w:r w:rsidRPr="00D06837">
        <w:rPr>
          <w:rFonts w:cs="Arial"/>
          <w:szCs w:val="22"/>
          <w:lang w:eastAsia="en-US"/>
        </w:rPr>
        <w:noBreakHyphen/>
        <w:t>232, Pergamon Press, Oxford, New York, Seoul, Tokyo.</w:t>
      </w:r>
    </w:p>
    <w:p w14:paraId="26F71CF5" w14:textId="77777777" w:rsidR="00FC360C" w:rsidRPr="00D06837" w:rsidRDefault="00FC360C" w:rsidP="004A64B0">
      <w:pPr>
        <w:rPr>
          <w:szCs w:val="22"/>
          <w:lang w:eastAsia="en-US"/>
        </w:rPr>
      </w:pPr>
      <w:r w:rsidRPr="00D06837">
        <w:rPr>
          <w:rFonts w:cs="Arial"/>
          <w:szCs w:val="22"/>
          <w:lang w:eastAsia="en-US"/>
        </w:rPr>
        <w:t xml:space="preserve">Wells, D.E., Maier, E.A. and Griepink, B., 1992. </w:t>
      </w:r>
      <w:proofErr w:type="gramStart"/>
      <w:r w:rsidRPr="00D06837">
        <w:rPr>
          <w:rFonts w:cs="Arial"/>
          <w:szCs w:val="22"/>
          <w:lang w:eastAsia="en-US"/>
        </w:rPr>
        <w:t>Calibrants and calibration for chlorobiphenyl analysis.</w:t>
      </w:r>
      <w:proofErr w:type="gramEnd"/>
      <w:r w:rsidRPr="00D06837">
        <w:rPr>
          <w:rFonts w:cs="Arial"/>
          <w:szCs w:val="22"/>
          <w:lang w:eastAsia="en-US"/>
        </w:rPr>
        <w:t xml:space="preserve"> </w:t>
      </w:r>
      <w:proofErr w:type="gramStart"/>
      <w:r w:rsidRPr="00D06837">
        <w:rPr>
          <w:rFonts w:cs="Arial"/>
          <w:szCs w:val="22"/>
          <w:lang w:eastAsia="en-US"/>
        </w:rPr>
        <w:t>Intern.</w:t>
      </w:r>
      <w:proofErr w:type="gramEnd"/>
      <w:r w:rsidRPr="00D06837">
        <w:rPr>
          <w:rFonts w:cs="Arial"/>
          <w:szCs w:val="22"/>
          <w:lang w:eastAsia="en-US"/>
        </w:rPr>
        <w:t xml:space="preserve"> Environ. </w:t>
      </w:r>
      <w:proofErr w:type="gramStart"/>
      <w:r w:rsidRPr="00D06837">
        <w:rPr>
          <w:rFonts w:cs="Arial"/>
          <w:szCs w:val="22"/>
          <w:lang w:eastAsia="en-US"/>
        </w:rPr>
        <w:t>Anal.</w:t>
      </w:r>
      <w:proofErr w:type="gramEnd"/>
      <w:r w:rsidRPr="00D06837">
        <w:rPr>
          <w:rFonts w:cs="Arial"/>
          <w:szCs w:val="22"/>
          <w:lang w:eastAsia="en-US"/>
        </w:rPr>
        <w:t xml:space="preserve"> Chem. 46, 255-264.</w:t>
      </w:r>
    </w:p>
    <w:p w14:paraId="711E986D" w14:textId="77777777" w:rsidR="00FC360C" w:rsidRPr="00F63BAF" w:rsidRDefault="00FC360C" w:rsidP="00FC360C">
      <w:pPr>
        <w:spacing w:line="240" w:lineRule="auto"/>
        <w:rPr>
          <w:szCs w:val="22"/>
          <w:lang w:eastAsia="en-US"/>
        </w:rPr>
      </w:pPr>
    </w:p>
    <w:p w14:paraId="3DCA7AFE" w14:textId="77777777" w:rsidR="00FC360C" w:rsidRPr="00F63BAF" w:rsidRDefault="00FC360C" w:rsidP="004A64B0">
      <w:pPr>
        <w:pStyle w:val="Title"/>
      </w:pPr>
      <w:r w:rsidRPr="00F63BAF">
        <w:br w:type="page"/>
      </w:r>
      <w:bookmarkStart w:id="334" w:name="_Toc511217612"/>
      <w:bookmarkEnd w:id="309"/>
      <w:r w:rsidRPr="00F63BAF">
        <w:t>Technical Annex 9: Analysis of dioxins, furans and dioxin-like PCBs in biota (revised in 2010/2011)</w:t>
      </w:r>
      <w:bookmarkEnd w:id="334"/>
    </w:p>
    <w:p w14:paraId="1BDD439C" w14:textId="77777777" w:rsidR="00FC360C" w:rsidRPr="004A64B0" w:rsidRDefault="004A64B0" w:rsidP="004A64B0">
      <w:pPr>
        <w:pStyle w:val="Heading1"/>
      </w:pPr>
      <w:bookmarkStart w:id="335" w:name="_Toc511217613"/>
      <w:r>
        <w:t>1.</w:t>
      </w:r>
      <w:r>
        <w:tab/>
      </w:r>
      <w:r w:rsidR="00FC360C" w:rsidRPr="004A64B0">
        <w:t>Introduction</w:t>
      </w:r>
      <w:bookmarkEnd w:id="335"/>
    </w:p>
    <w:p w14:paraId="12776947" w14:textId="61214A43" w:rsidR="00FC360C" w:rsidRPr="004A64B0" w:rsidRDefault="00FC360C" w:rsidP="004A64B0">
      <w:pPr>
        <w:rPr>
          <w:rFonts w:asciiTheme="minorHAnsi" w:hAnsiTheme="minorHAnsi"/>
          <w:szCs w:val="22"/>
        </w:rPr>
      </w:pPr>
      <w:r w:rsidRPr="004A64B0">
        <w:rPr>
          <w:rFonts w:asciiTheme="minorHAnsi" w:hAnsiTheme="minorHAnsi"/>
          <w:szCs w:val="22"/>
        </w:rPr>
        <w:t xml:space="preserve">Polychlorinated dibenzo-p-dioxins and polychlorinated dibenzofurans (dioxins/furans </w:t>
      </w:r>
      <w:r w:rsidR="00AA7C8C">
        <w:rPr>
          <w:rFonts w:asciiTheme="minorHAnsi" w:hAnsiTheme="minorHAnsi"/>
          <w:szCs w:val="22"/>
        </w:rPr>
        <w:t>–</w:t>
      </w:r>
      <w:r w:rsidRPr="004A64B0">
        <w:rPr>
          <w:rFonts w:asciiTheme="minorHAnsi" w:hAnsiTheme="minorHAnsi"/>
          <w:szCs w:val="22"/>
        </w:rPr>
        <w:t xml:space="preserve"> PCDD/Fs) are ubiquitous in the environment, primarily as unintentional by-products of combustion and industrial processes. They enter the aquatic environment via several routes, including atmospheric deposition. As they are strongly hydrophobic compounds, sediments are the eventual sink in the aquatic environment, providing a source of potential exposure to aquatic organisms (Hurst et al., 2004). Generally highly resistant to metabolism, PCDD/Fs bioaccumulate and biomagnify and have reached high concentrations in e.g. fish from the Baltic Sea, which resulted in recommendations to restrict the use of those fish for human consumption (Verta et al., 2007). This guideline only addresses the 17 tetra- through octa-chlorinated 2,3,7,8-substituted PCDD/F congeners, and the non- and mono-ortho substituted polychlorinated biphenyls (PCBs), which are able to exhibit similar effects as the 2,3,7,8-substituted dioxins and furans. The general chemical structures of PCDD/Fs and PCBs are given in Figure 1. </w:t>
      </w:r>
    </w:p>
    <w:p w14:paraId="0A0E85B7" w14:textId="77777777" w:rsidR="00FC360C" w:rsidRPr="004A64B0" w:rsidRDefault="00FC360C" w:rsidP="004A64B0">
      <w:pPr>
        <w:rPr>
          <w:rFonts w:asciiTheme="minorHAnsi" w:hAnsiTheme="minorHAnsi"/>
          <w:szCs w:val="22"/>
        </w:rPr>
      </w:pPr>
      <w:r w:rsidRPr="004A64B0">
        <w:rPr>
          <w:rFonts w:asciiTheme="minorHAnsi" w:hAnsiTheme="minorHAnsi"/>
          <w:szCs w:val="22"/>
        </w:rPr>
        <w:t>In this guideline, the term “dioxin-like PCBs” (dl-PCBs) is used for the non-ortho and mono-ortho PCB congeners listed in Table 1. The coplanar structure of non-ortho substituted PCB congeners allows a configuration similar to that of PCDD/Fs. Mono-ortho substituted PCBs may take a steric position close to coplanarity and are consequently less toxic than non-ortho PCBs. Nevertheless, they have been considered due to their relatively high concentrations compared to those of non-ortho PCBs or PCDD/Fs (Daelemans et al., 1992). The exposure to dl-PCBs is mainly via the food-chain, as the compounds are highly lipophilic and bioaccumulate and biomagnify in lipid-rich tissue (e.g. Dyke et al., 2003).</w:t>
      </w:r>
    </w:p>
    <w:p w14:paraId="6A2C6471" w14:textId="77777777" w:rsidR="00FC360C" w:rsidRPr="004A64B0" w:rsidRDefault="00FC360C" w:rsidP="004A64B0">
      <w:pPr>
        <w:rPr>
          <w:rFonts w:asciiTheme="minorHAnsi" w:hAnsiTheme="minorHAnsi"/>
          <w:szCs w:val="22"/>
        </w:rPr>
      </w:pPr>
      <w:r w:rsidRPr="004A64B0">
        <w:rPr>
          <w:rFonts w:asciiTheme="minorHAnsi" w:hAnsiTheme="minorHAnsi"/>
          <w:szCs w:val="22"/>
        </w:rPr>
        <w:t>PCDD/Fs and dl-PCBs have been shown to produce various toxic responses, including immunotoxicity, developmental and reproductive effects and carcinogenesis (OSPAR, 2005). The initial mechanism of toxicity is via the aryl hydrocarbon receptor (AhR), leading to changes in gene expression, cell growth and cell differentiation (Nebert et al., 1993; Hurst et al., 2004). Due to their persistence, high toxicity, bioaccumulation potential and ability for long-range transport, they are controlled under the Stockholm Convention for Persistent Organic Pollutants (POPs). Their spatial and temporal monitoring in the aquatic environment is important to evaluate the risk to wildlife and human health (Hurst et al., 2004). Due to the low concentrations at which adverse effects can be observed, the analytical methodology for the analysis of PCDD/Fs and dl-PCBs differs from those for other organochlorine compounds, as described in this guideline.</w:t>
      </w:r>
    </w:p>
    <w:p w14:paraId="44162E46" w14:textId="77777777" w:rsidR="00FC360C" w:rsidRPr="004A64B0" w:rsidRDefault="00FC360C" w:rsidP="004A64B0">
      <w:pPr>
        <w:rPr>
          <w:rFonts w:asciiTheme="minorHAnsi" w:hAnsiTheme="minorHAnsi"/>
          <w:szCs w:val="22"/>
        </w:rPr>
      </w:pPr>
      <w:r w:rsidRPr="004A64B0">
        <w:rPr>
          <w:rFonts w:asciiTheme="minorHAnsi" w:hAnsiTheme="minorHAnsi"/>
          <w:szCs w:val="22"/>
        </w:rPr>
        <w:br w:type="page"/>
      </w:r>
    </w:p>
    <w:p w14:paraId="21FA0A80" w14:textId="77777777" w:rsidR="00FC360C" w:rsidRPr="004A64B0" w:rsidRDefault="00FC360C" w:rsidP="004A64B0">
      <w:pPr>
        <w:rPr>
          <w:rFonts w:asciiTheme="minorHAnsi" w:hAnsiTheme="minorHAnsi"/>
          <w:szCs w:val="22"/>
        </w:rPr>
      </w:pPr>
      <w:r w:rsidRPr="004A64B0">
        <w:rPr>
          <w:rFonts w:asciiTheme="minorHAnsi" w:hAnsiTheme="minorHAnsi"/>
          <w:noProof/>
          <w:szCs w:val="22"/>
        </w:rPr>
        <w:drawing>
          <wp:inline distT="0" distB="0" distL="0" distR="0" wp14:anchorId="0CA9DA7A" wp14:editId="6B2F2434">
            <wp:extent cx="6047105" cy="13112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47105" cy="1311275"/>
                    </a:xfrm>
                    <a:prstGeom prst="rect">
                      <a:avLst/>
                    </a:prstGeom>
                    <a:noFill/>
                    <a:ln>
                      <a:noFill/>
                    </a:ln>
                  </pic:spPr>
                </pic:pic>
              </a:graphicData>
            </a:graphic>
          </wp:inline>
        </w:drawing>
      </w:r>
    </w:p>
    <w:p w14:paraId="10718687" w14:textId="77777777" w:rsidR="00FC360C" w:rsidRPr="004A64B0" w:rsidRDefault="00FC360C" w:rsidP="004A64B0">
      <w:pPr>
        <w:rPr>
          <w:rFonts w:asciiTheme="minorHAnsi" w:hAnsiTheme="minorHAnsi"/>
          <w:szCs w:val="22"/>
        </w:rPr>
      </w:pPr>
    </w:p>
    <w:p w14:paraId="6E429B18" w14:textId="77777777" w:rsidR="00FC360C" w:rsidRPr="004A64B0" w:rsidRDefault="00FC360C" w:rsidP="004A64B0">
      <w:pPr>
        <w:rPr>
          <w:rFonts w:asciiTheme="minorHAnsi" w:hAnsiTheme="minorHAnsi"/>
          <w:szCs w:val="22"/>
        </w:rPr>
      </w:pPr>
      <w:r w:rsidRPr="004A64B0">
        <w:rPr>
          <w:rFonts w:asciiTheme="minorHAnsi" w:hAnsiTheme="minorHAnsi"/>
          <w:szCs w:val="22"/>
        </w:rPr>
        <w:t>Figure 1: General formula of PCDDs, PCDFs and PCBs. The possible number of chlorine atoms results in 75 PCDD congeners, 135 PCDF congeners (x=1–4, y=0–4), and 209 PCB congeners (x=1–5, y=0–5).</w:t>
      </w:r>
    </w:p>
    <w:p w14:paraId="0C44CE73" w14:textId="77777777" w:rsidR="00FC360C" w:rsidRPr="004A64B0" w:rsidRDefault="00FC360C" w:rsidP="004A64B0">
      <w:pPr>
        <w:pStyle w:val="Heading1"/>
      </w:pPr>
      <w:bookmarkStart w:id="336" w:name="_Toc511217614"/>
      <w:r w:rsidRPr="004A64B0">
        <w:t>2.</w:t>
      </w:r>
      <w:r w:rsidRPr="004A64B0">
        <w:tab/>
        <w:t>Analytes and Toxicity Equivalent Factors (TEFs)</w:t>
      </w:r>
      <w:bookmarkEnd w:id="336"/>
    </w:p>
    <w:p w14:paraId="46B0C674" w14:textId="77777777" w:rsidR="00FC360C" w:rsidRPr="004A64B0" w:rsidRDefault="00FC360C" w:rsidP="004A64B0">
      <w:pPr>
        <w:rPr>
          <w:rFonts w:asciiTheme="minorHAnsi" w:hAnsiTheme="minorHAnsi"/>
          <w:szCs w:val="22"/>
        </w:rPr>
      </w:pPr>
      <w:r w:rsidRPr="004A64B0">
        <w:rPr>
          <w:rFonts w:asciiTheme="minorHAnsi" w:hAnsiTheme="minorHAnsi"/>
          <w:szCs w:val="22"/>
        </w:rPr>
        <w:t>Environmental monitoring should include the 17 tetra- through octa-chlorinated 2</w:t>
      </w:r>
      <w:proofErr w:type="gramStart"/>
      <w:r w:rsidRPr="004A64B0">
        <w:rPr>
          <w:rFonts w:asciiTheme="minorHAnsi" w:hAnsiTheme="minorHAnsi"/>
          <w:szCs w:val="22"/>
        </w:rPr>
        <w:t>,3</w:t>
      </w:r>
      <w:proofErr w:type="gramEnd"/>
      <w:r w:rsidRPr="004A64B0">
        <w:rPr>
          <w:rFonts w:asciiTheme="minorHAnsi" w:hAnsiTheme="minorHAnsi"/>
          <w:szCs w:val="22"/>
        </w:rPr>
        <w:t xml:space="preserve">, 7,8-substituted PCDD/Fs and the dl-PCBs listed in Table 1. </w:t>
      </w:r>
    </w:p>
    <w:p w14:paraId="06BA1E38" w14:textId="77777777" w:rsidR="00FC360C" w:rsidRPr="004A64B0" w:rsidRDefault="00FC360C" w:rsidP="004A64B0">
      <w:pPr>
        <w:rPr>
          <w:rFonts w:asciiTheme="minorHAnsi" w:hAnsiTheme="minorHAnsi"/>
          <w:szCs w:val="22"/>
        </w:rPr>
      </w:pPr>
      <w:r w:rsidRPr="004A64B0">
        <w:rPr>
          <w:rFonts w:asciiTheme="minorHAnsi" w:hAnsiTheme="minorHAnsi"/>
          <w:szCs w:val="22"/>
        </w:rPr>
        <w:t>In the context of food and feed analysis and compliance checks with maximum residue limits, the concept of TCDD (2,3,7,8-tetrachlorodibenzo-p-dioxin) Toxicity Equivalency Factors (TEFs) is commonly used, to account for mixtures of several PCDD/Fs and other compounds with dioxin-like activity usually present in these samples. Each congener has been assigned a TEF relative to that of the most toxic dioxin congener, 2</w:t>
      </w:r>
      <w:proofErr w:type="gramStart"/>
      <w:r w:rsidRPr="004A64B0">
        <w:rPr>
          <w:rFonts w:asciiTheme="minorHAnsi" w:hAnsiTheme="minorHAnsi"/>
          <w:szCs w:val="22"/>
        </w:rPr>
        <w:t>,3,7,8</w:t>
      </w:r>
      <w:proofErr w:type="gramEnd"/>
      <w:r w:rsidRPr="004A64B0">
        <w:rPr>
          <w:rFonts w:asciiTheme="minorHAnsi" w:hAnsiTheme="minorHAnsi"/>
          <w:szCs w:val="22"/>
        </w:rPr>
        <w:t xml:space="preserve">-TCDD, that was given a TEF of 1.0. The concentrations of the individual congeners are multiplied with their respective TEFs, and the sum of this gives the total concentration of dioxin-like compounds, expressed in TCDD Equivalents (TEQs). Thus, concentrations of mixtures can be expressed in terms of their dioxin-like activity in TEQs, relative to the most potent 2,3,7,8-TCDD. Two parallel TEF systems are currently in use: TEFs established by the World Health Organization (WHO-TEF/TEQ) and TEFs developed by NATO/CCMS (International TEFs or I-TEFs/TEQ). The use of I-TEFs, however, is decreasing. </w:t>
      </w:r>
      <w:proofErr w:type="gramStart"/>
      <w:r w:rsidRPr="004A64B0">
        <w:rPr>
          <w:rFonts w:asciiTheme="minorHAnsi" w:hAnsiTheme="minorHAnsi"/>
          <w:szCs w:val="22"/>
        </w:rPr>
        <w:t>The WHO</w:t>
      </w:r>
      <w:proofErr w:type="gramEnd"/>
      <w:r w:rsidRPr="004A64B0">
        <w:rPr>
          <w:rFonts w:asciiTheme="minorHAnsi" w:hAnsiTheme="minorHAnsi"/>
          <w:szCs w:val="22"/>
        </w:rPr>
        <w:t xml:space="preserve">-TEF-system is reviewed every five years, and Table 1 presents the most recent values, as of 2006 (Van den Berg et al., 2006). </w:t>
      </w:r>
    </w:p>
    <w:p w14:paraId="2D260829" w14:textId="77777777" w:rsidR="00FC360C" w:rsidRPr="004A64B0" w:rsidRDefault="00FC360C" w:rsidP="004A64B0">
      <w:pPr>
        <w:rPr>
          <w:rFonts w:asciiTheme="minorHAnsi" w:hAnsiTheme="minorHAnsi"/>
          <w:szCs w:val="22"/>
        </w:rPr>
      </w:pPr>
      <w:r w:rsidRPr="004A64B0">
        <w:rPr>
          <w:rFonts w:asciiTheme="minorHAnsi" w:hAnsiTheme="minorHAnsi"/>
          <w:szCs w:val="22"/>
        </w:rPr>
        <w:t xml:space="preserve">According to OSPAR (2005), the scientific relevance of using TEQs to express results is greater for human exposure than for evaluation of pollution sources and emissions, for which information on congener patterns can be of more importance. Furthermore, the system assumes additive effects of the individual congeners, while both synergistic and antagonistic effects have also been reported (OSPAR, 2005). It is therefore recommended for environmental monitoring to report concentrations of individual PCDD/Fs and dl-PCB congeners in biota as absolute concentrations, i.e. pg/g wet weight (ww), with additional information on dry matter and lipid content (see chapter “Data reporting”). The TEF concept can be applied in a subsequent risk assessment, if appropriate. </w:t>
      </w:r>
    </w:p>
    <w:p w14:paraId="2713E11E" w14:textId="77777777" w:rsidR="00FC360C" w:rsidRPr="004A64B0" w:rsidRDefault="00FC360C" w:rsidP="004A64B0">
      <w:pPr>
        <w:rPr>
          <w:rFonts w:asciiTheme="minorHAnsi" w:hAnsiTheme="minorHAnsi"/>
          <w:szCs w:val="22"/>
        </w:rPr>
      </w:pPr>
      <w:r w:rsidRPr="004A64B0">
        <w:rPr>
          <w:rFonts w:asciiTheme="minorHAnsi" w:hAnsiTheme="minorHAnsi"/>
          <w:szCs w:val="22"/>
        </w:rPr>
        <w:t>As part of the TEQ approach, there are different ways of handling results below limits of quantification (LoQ):</w:t>
      </w:r>
    </w:p>
    <w:p w14:paraId="40AFF5AB" w14:textId="77777777" w:rsidR="00FC360C" w:rsidRPr="004A64B0" w:rsidRDefault="00FC360C" w:rsidP="004A64B0">
      <w:pPr>
        <w:rPr>
          <w:rFonts w:asciiTheme="minorHAnsi" w:hAnsiTheme="minorHAnsi"/>
          <w:szCs w:val="22"/>
        </w:rPr>
      </w:pPr>
      <w:r w:rsidRPr="004A64B0">
        <w:rPr>
          <w:rFonts w:asciiTheme="minorHAnsi" w:hAnsiTheme="minorHAnsi"/>
          <w:szCs w:val="22"/>
        </w:rPr>
        <w:t>The concept of upper bound requires using the limit of quantification for the contribution of each non-quantified congener to the TEQ.</w:t>
      </w:r>
    </w:p>
    <w:p w14:paraId="39707CAF" w14:textId="77777777" w:rsidR="00FC360C" w:rsidRPr="004A64B0" w:rsidRDefault="00FC360C" w:rsidP="004A64B0">
      <w:pPr>
        <w:rPr>
          <w:rFonts w:asciiTheme="minorHAnsi" w:hAnsiTheme="minorHAnsi"/>
          <w:szCs w:val="22"/>
        </w:rPr>
      </w:pPr>
      <w:r w:rsidRPr="004A64B0">
        <w:rPr>
          <w:rFonts w:asciiTheme="minorHAnsi" w:hAnsiTheme="minorHAnsi"/>
          <w:szCs w:val="22"/>
        </w:rPr>
        <w:t>The concept of lower bound requires using zero for the contribution of each non-quantified congener to the TEQ.</w:t>
      </w:r>
    </w:p>
    <w:p w14:paraId="2B6C1E11" w14:textId="77777777" w:rsidR="00FC360C" w:rsidRPr="004A64B0" w:rsidRDefault="00FC360C" w:rsidP="004A64B0">
      <w:pPr>
        <w:rPr>
          <w:rFonts w:asciiTheme="minorHAnsi" w:hAnsiTheme="minorHAnsi"/>
          <w:szCs w:val="22"/>
        </w:rPr>
      </w:pPr>
      <w:r w:rsidRPr="004A64B0">
        <w:rPr>
          <w:rFonts w:asciiTheme="minorHAnsi" w:hAnsiTheme="minorHAnsi"/>
          <w:szCs w:val="22"/>
        </w:rPr>
        <w:t>The concept of medium bound requires using half of the limit of quantification calculating the contribution of each non-quantified congener to the TEQ.</w:t>
      </w:r>
    </w:p>
    <w:p w14:paraId="6DCA3981" w14:textId="77777777" w:rsidR="00FC360C" w:rsidRPr="004A64B0" w:rsidRDefault="00FC360C" w:rsidP="004A64B0">
      <w:pPr>
        <w:rPr>
          <w:rFonts w:asciiTheme="minorHAnsi" w:hAnsiTheme="minorHAnsi"/>
          <w:szCs w:val="22"/>
        </w:rPr>
      </w:pPr>
    </w:p>
    <w:p w14:paraId="020D0713" w14:textId="77777777" w:rsidR="00FC360C" w:rsidRPr="004A64B0" w:rsidRDefault="00FC360C" w:rsidP="004A64B0">
      <w:pPr>
        <w:rPr>
          <w:rFonts w:asciiTheme="minorHAnsi" w:hAnsiTheme="minorHAnsi"/>
          <w:szCs w:val="22"/>
        </w:rPr>
      </w:pPr>
      <w:r w:rsidRPr="004A64B0">
        <w:rPr>
          <w:rFonts w:asciiTheme="minorHAnsi" w:hAnsiTheme="minorHAnsi"/>
          <w:szCs w:val="22"/>
        </w:rPr>
        <w:t>As mentioned above, results of environmental monitoring should preferably be reported for individual congeners, in absolute concentrations. However, OSPAR (2005) mentioned the ongoing food analysis programmes which might be complementary to environmental monitoring. In this context, information on the handling of concentrations below LoQ will be important. Thus, results expressed as TEQ values should be reported as both upper bound and lower bound values (at least, indication of which calculation mode was used should be given). COMMISSION DIRECTIVE 2002/69/EC specifies that, for samples containing 1 pg WHO TEQ/g fat, the difference between upper bound and lower bound level should not exceed 20%. For lower contamination levels, this difference may be in the range of 25 to 40%.</w:t>
      </w:r>
    </w:p>
    <w:p w14:paraId="48D50518" w14:textId="77777777" w:rsidR="00FC360C" w:rsidRPr="004A64B0" w:rsidRDefault="00FC360C" w:rsidP="004A64B0">
      <w:pPr>
        <w:rPr>
          <w:rFonts w:asciiTheme="minorHAnsi" w:hAnsiTheme="minorHAnsi"/>
          <w:szCs w:val="22"/>
        </w:rPr>
      </w:pPr>
      <w:proofErr w:type="gramStart"/>
      <w:r w:rsidRPr="004A64B0">
        <w:rPr>
          <w:rFonts w:asciiTheme="minorHAnsi" w:hAnsiTheme="minorHAnsi"/>
          <w:b/>
          <w:szCs w:val="22"/>
        </w:rPr>
        <w:t>Table 1</w:t>
      </w:r>
      <w:r w:rsidR="004A64B0">
        <w:rPr>
          <w:rFonts w:asciiTheme="minorHAnsi" w:hAnsiTheme="minorHAnsi"/>
          <w:szCs w:val="22"/>
        </w:rPr>
        <w:t>:</w:t>
      </w:r>
      <w:r w:rsidRPr="004A64B0">
        <w:rPr>
          <w:rFonts w:asciiTheme="minorHAnsi" w:hAnsiTheme="minorHAnsi"/>
          <w:b/>
          <w:szCs w:val="22"/>
        </w:rPr>
        <w:tab/>
      </w:r>
      <w:r w:rsidRPr="004A64B0">
        <w:rPr>
          <w:rFonts w:asciiTheme="minorHAnsi" w:hAnsiTheme="minorHAnsi"/>
          <w:szCs w:val="22"/>
        </w:rPr>
        <w:t>Chlorinated dibenzo-p-dioxins (CDDs), chlorinated dibenzofurans (CDFs) and dl-PCBs with their Toxicity Equivalent Factors (TEFs) according to the systems developed by the World Health Organization (WHO2005-TEF, Van den Berg et al., 2006) and NATO/CCMS (I-TEF).</w:t>
      </w:r>
      <w:proofErr w:type="gramEnd"/>
    </w:p>
    <w:p w14:paraId="2F315578" w14:textId="77777777" w:rsidR="00FC360C" w:rsidRPr="004A64B0" w:rsidRDefault="00FC360C" w:rsidP="004A64B0">
      <w:pPr>
        <w:rPr>
          <w:rFonts w:asciiTheme="minorHAnsi" w:hAnsiTheme="minorHAnsi"/>
          <w:szCs w:val="22"/>
        </w:rPr>
      </w:pPr>
    </w:p>
    <w:tbl>
      <w:tblPr>
        <w:tblW w:w="6019" w:type="dxa"/>
        <w:jc w:val="center"/>
        <w:tblCellMar>
          <w:left w:w="70" w:type="dxa"/>
          <w:right w:w="70" w:type="dxa"/>
        </w:tblCellMar>
        <w:tblLook w:val="0000" w:firstRow="0" w:lastRow="0" w:firstColumn="0" w:lastColumn="0" w:noHBand="0" w:noVBand="0"/>
      </w:tblPr>
      <w:tblGrid>
        <w:gridCol w:w="1720"/>
        <w:gridCol w:w="1419"/>
        <w:gridCol w:w="960"/>
        <w:gridCol w:w="960"/>
        <w:gridCol w:w="960"/>
      </w:tblGrid>
      <w:tr w:rsidR="00FC360C" w:rsidRPr="004A64B0" w14:paraId="7363260D" w14:textId="77777777" w:rsidTr="002F237A">
        <w:trPr>
          <w:trHeight w:val="270"/>
          <w:jc w:val="center"/>
        </w:trPr>
        <w:tc>
          <w:tcPr>
            <w:tcW w:w="1720" w:type="dxa"/>
            <w:tcBorders>
              <w:top w:val="single" w:sz="8" w:space="0" w:color="auto"/>
              <w:left w:val="single" w:sz="8" w:space="0" w:color="auto"/>
              <w:bottom w:val="single" w:sz="8" w:space="0" w:color="auto"/>
              <w:right w:val="nil"/>
            </w:tcBorders>
            <w:noWrap/>
            <w:vAlign w:val="bottom"/>
          </w:tcPr>
          <w:p w14:paraId="12A8AEB8" w14:textId="77777777" w:rsidR="00FC360C" w:rsidRPr="004A64B0" w:rsidRDefault="00FC360C" w:rsidP="004A64B0">
            <w:pPr>
              <w:spacing w:line="240" w:lineRule="auto"/>
              <w:rPr>
                <w:rFonts w:cs="Arial"/>
                <w:sz w:val="20"/>
              </w:rPr>
            </w:pPr>
            <w:r w:rsidRPr="004A64B0">
              <w:rPr>
                <w:rFonts w:cs="Arial"/>
                <w:sz w:val="20"/>
              </w:rPr>
              <w:t>Homologue group</w:t>
            </w:r>
          </w:p>
        </w:tc>
        <w:tc>
          <w:tcPr>
            <w:tcW w:w="1419" w:type="dxa"/>
            <w:tcBorders>
              <w:top w:val="single" w:sz="8" w:space="0" w:color="auto"/>
              <w:left w:val="nil"/>
              <w:bottom w:val="single" w:sz="8" w:space="0" w:color="auto"/>
              <w:right w:val="nil"/>
            </w:tcBorders>
            <w:noWrap/>
            <w:vAlign w:val="bottom"/>
          </w:tcPr>
          <w:p w14:paraId="6C437F50" w14:textId="77777777" w:rsidR="00FC360C" w:rsidRPr="004A64B0" w:rsidRDefault="00FC360C" w:rsidP="004A64B0">
            <w:pPr>
              <w:spacing w:line="240" w:lineRule="auto"/>
              <w:rPr>
                <w:rFonts w:cs="Arial"/>
                <w:sz w:val="20"/>
              </w:rPr>
            </w:pPr>
            <w:r w:rsidRPr="004A64B0">
              <w:rPr>
                <w:rFonts w:cs="Arial"/>
                <w:sz w:val="20"/>
              </w:rPr>
              <w:t>Congener</w:t>
            </w:r>
          </w:p>
        </w:tc>
        <w:tc>
          <w:tcPr>
            <w:tcW w:w="960" w:type="dxa"/>
            <w:tcBorders>
              <w:top w:val="single" w:sz="8" w:space="0" w:color="auto"/>
              <w:left w:val="nil"/>
              <w:bottom w:val="single" w:sz="8" w:space="0" w:color="auto"/>
              <w:right w:val="nil"/>
            </w:tcBorders>
            <w:noWrap/>
            <w:vAlign w:val="bottom"/>
          </w:tcPr>
          <w:p w14:paraId="74782249" w14:textId="77777777" w:rsidR="00FC360C" w:rsidRPr="004A64B0" w:rsidRDefault="00FC360C" w:rsidP="004A64B0">
            <w:pPr>
              <w:spacing w:line="240" w:lineRule="auto"/>
              <w:jc w:val="center"/>
              <w:rPr>
                <w:rFonts w:cs="Arial"/>
                <w:sz w:val="20"/>
              </w:rPr>
            </w:pPr>
            <w:r w:rsidRPr="004A64B0">
              <w:rPr>
                <w:rFonts w:cs="Arial"/>
                <w:sz w:val="20"/>
              </w:rPr>
              <w:t>I-TEF</w:t>
            </w:r>
          </w:p>
        </w:tc>
        <w:tc>
          <w:tcPr>
            <w:tcW w:w="960" w:type="dxa"/>
            <w:tcBorders>
              <w:top w:val="single" w:sz="8" w:space="0" w:color="auto"/>
              <w:left w:val="nil"/>
              <w:bottom w:val="single" w:sz="8" w:space="0" w:color="auto"/>
              <w:right w:val="nil"/>
            </w:tcBorders>
            <w:noWrap/>
            <w:vAlign w:val="bottom"/>
          </w:tcPr>
          <w:p w14:paraId="3FC83F09" w14:textId="77777777" w:rsidR="00FC360C" w:rsidRPr="004A64B0" w:rsidRDefault="00FC360C" w:rsidP="004A64B0">
            <w:pPr>
              <w:spacing w:line="240" w:lineRule="auto"/>
              <w:jc w:val="center"/>
              <w:rPr>
                <w:rFonts w:cs="Arial"/>
                <w:sz w:val="20"/>
              </w:rPr>
            </w:pPr>
            <w:r w:rsidRPr="004A64B0">
              <w:rPr>
                <w:rFonts w:cs="Arial"/>
                <w:sz w:val="20"/>
              </w:rPr>
              <w:t>WHO</w:t>
            </w:r>
            <w:r w:rsidRPr="004A64B0">
              <w:rPr>
                <w:rFonts w:cs="Arial"/>
                <w:sz w:val="20"/>
                <w:vertAlign w:val="subscript"/>
              </w:rPr>
              <w:t>2005</w:t>
            </w:r>
            <w:r w:rsidRPr="004A64B0">
              <w:rPr>
                <w:rFonts w:cs="Arial"/>
                <w:sz w:val="20"/>
              </w:rPr>
              <w:t>-TEF</w:t>
            </w:r>
          </w:p>
        </w:tc>
        <w:tc>
          <w:tcPr>
            <w:tcW w:w="960" w:type="dxa"/>
            <w:tcBorders>
              <w:top w:val="single" w:sz="8" w:space="0" w:color="auto"/>
              <w:left w:val="nil"/>
              <w:bottom w:val="single" w:sz="8" w:space="0" w:color="auto"/>
              <w:right w:val="single" w:sz="8" w:space="0" w:color="auto"/>
            </w:tcBorders>
            <w:noWrap/>
            <w:vAlign w:val="bottom"/>
          </w:tcPr>
          <w:p w14:paraId="00270122" w14:textId="77777777" w:rsidR="00FC360C" w:rsidRPr="004A64B0" w:rsidRDefault="00FC360C" w:rsidP="004A64B0">
            <w:pPr>
              <w:spacing w:line="240" w:lineRule="auto"/>
              <w:jc w:val="center"/>
              <w:rPr>
                <w:rFonts w:cs="Arial"/>
                <w:sz w:val="20"/>
              </w:rPr>
            </w:pPr>
            <w:r w:rsidRPr="004A64B0">
              <w:rPr>
                <w:rFonts w:cs="Arial"/>
                <w:sz w:val="20"/>
              </w:rPr>
              <w:t>IUPAC no.</w:t>
            </w:r>
          </w:p>
        </w:tc>
      </w:tr>
      <w:tr w:rsidR="00FC360C" w:rsidRPr="004A64B0" w14:paraId="4DD2DFD5" w14:textId="77777777" w:rsidTr="002F237A">
        <w:trPr>
          <w:trHeight w:val="255"/>
          <w:jc w:val="center"/>
        </w:trPr>
        <w:tc>
          <w:tcPr>
            <w:tcW w:w="6019" w:type="dxa"/>
            <w:gridSpan w:val="5"/>
            <w:tcBorders>
              <w:top w:val="single" w:sz="8" w:space="0" w:color="auto"/>
              <w:left w:val="single" w:sz="8" w:space="0" w:color="auto"/>
              <w:bottom w:val="single" w:sz="4" w:space="0" w:color="auto"/>
              <w:right w:val="single" w:sz="8" w:space="0" w:color="000000"/>
            </w:tcBorders>
            <w:noWrap/>
            <w:vAlign w:val="bottom"/>
          </w:tcPr>
          <w:p w14:paraId="3DB7C379" w14:textId="77777777" w:rsidR="00FC360C" w:rsidRPr="004A64B0" w:rsidRDefault="00FC360C" w:rsidP="004A64B0">
            <w:pPr>
              <w:spacing w:line="240" w:lineRule="auto"/>
              <w:jc w:val="center"/>
              <w:rPr>
                <w:rFonts w:cs="Arial"/>
                <w:sz w:val="20"/>
              </w:rPr>
            </w:pPr>
            <w:r w:rsidRPr="004A64B0">
              <w:rPr>
                <w:rFonts w:cs="Arial"/>
                <w:sz w:val="20"/>
              </w:rPr>
              <w:t>PCDDs</w:t>
            </w:r>
          </w:p>
        </w:tc>
      </w:tr>
      <w:tr w:rsidR="00FC360C" w:rsidRPr="004A64B0" w14:paraId="4CC5F90B" w14:textId="77777777" w:rsidTr="002F237A">
        <w:trPr>
          <w:trHeight w:val="255"/>
          <w:jc w:val="center"/>
        </w:trPr>
        <w:tc>
          <w:tcPr>
            <w:tcW w:w="1720" w:type="dxa"/>
            <w:tcBorders>
              <w:top w:val="nil"/>
              <w:left w:val="single" w:sz="8" w:space="0" w:color="auto"/>
              <w:bottom w:val="nil"/>
              <w:right w:val="nil"/>
            </w:tcBorders>
            <w:noWrap/>
            <w:vAlign w:val="bottom"/>
          </w:tcPr>
          <w:p w14:paraId="2DE1D748" w14:textId="77777777" w:rsidR="00FC360C" w:rsidRPr="004A64B0" w:rsidRDefault="00FC360C" w:rsidP="004A64B0">
            <w:pPr>
              <w:spacing w:line="240" w:lineRule="auto"/>
              <w:rPr>
                <w:rFonts w:cs="Arial"/>
                <w:sz w:val="20"/>
              </w:rPr>
            </w:pPr>
            <w:r w:rsidRPr="004A64B0">
              <w:rPr>
                <w:rFonts w:cs="Arial"/>
                <w:sz w:val="20"/>
              </w:rPr>
              <w:t>TCDD</w:t>
            </w:r>
          </w:p>
        </w:tc>
        <w:tc>
          <w:tcPr>
            <w:tcW w:w="1419" w:type="dxa"/>
            <w:tcBorders>
              <w:top w:val="nil"/>
              <w:left w:val="nil"/>
              <w:bottom w:val="nil"/>
              <w:right w:val="nil"/>
            </w:tcBorders>
            <w:noWrap/>
            <w:vAlign w:val="bottom"/>
          </w:tcPr>
          <w:p w14:paraId="4C0CA405" w14:textId="77777777" w:rsidR="00FC360C" w:rsidRPr="004A64B0" w:rsidRDefault="00FC360C" w:rsidP="004A64B0">
            <w:pPr>
              <w:spacing w:line="240" w:lineRule="auto"/>
              <w:rPr>
                <w:rFonts w:cs="Arial"/>
                <w:sz w:val="20"/>
              </w:rPr>
            </w:pPr>
            <w:r w:rsidRPr="004A64B0">
              <w:rPr>
                <w:rFonts w:cs="Arial"/>
                <w:sz w:val="20"/>
              </w:rPr>
              <w:t>2,3,7,8</w:t>
            </w:r>
          </w:p>
        </w:tc>
        <w:tc>
          <w:tcPr>
            <w:tcW w:w="960" w:type="dxa"/>
            <w:tcBorders>
              <w:top w:val="nil"/>
              <w:left w:val="nil"/>
              <w:bottom w:val="nil"/>
              <w:right w:val="nil"/>
            </w:tcBorders>
            <w:noWrap/>
            <w:vAlign w:val="bottom"/>
          </w:tcPr>
          <w:p w14:paraId="1BFD3CDE" w14:textId="77777777" w:rsidR="00FC360C" w:rsidRPr="004A64B0" w:rsidRDefault="00FC360C" w:rsidP="004A64B0">
            <w:pPr>
              <w:spacing w:line="240" w:lineRule="auto"/>
              <w:jc w:val="center"/>
              <w:rPr>
                <w:rFonts w:cs="Arial"/>
                <w:sz w:val="20"/>
              </w:rPr>
            </w:pPr>
            <w:r w:rsidRPr="004A64B0">
              <w:rPr>
                <w:rFonts w:cs="Arial"/>
                <w:sz w:val="20"/>
              </w:rPr>
              <w:t>1</w:t>
            </w:r>
          </w:p>
        </w:tc>
        <w:tc>
          <w:tcPr>
            <w:tcW w:w="960" w:type="dxa"/>
            <w:tcBorders>
              <w:top w:val="nil"/>
              <w:left w:val="nil"/>
              <w:bottom w:val="nil"/>
              <w:right w:val="nil"/>
            </w:tcBorders>
            <w:noWrap/>
            <w:vAlign w:val="bottom"/>
          </w:tcPr>
          <w:p w14:paraId="5D14DD73" w14:textId="77777777" w:rsidR="00FC360C" w:rsidRPr="004A64B0" w:rsidRDefault="00FC360C" w:rsidP="004A64B0">
            <w:pPr>
              <w:spacing w:line="240" w:lineRule="auto"/>
              <w:jc w:val="center"/>
              <w:rPr>
                <w:rFonts w:cs="Arial"/>
                <w:sz w:val="20"/>
              </w:rPr>
            </w:pPr>
            <w:r w:rsidRPr="004A64B0">
              <w:rPr>
                <w:rFonts w:cs="Arial"/>
                <w:sz w:val="20"/>
              </w:rPr>
              <w:t>1</w:t>
            </w:r>
          </w:p>
        </w:tc>
        <w:tc>
          <w:tcPr>
            <w:tcW w:w="960" w:type="dxa"/>
            <w:tcBorders>
              <w:top w:val="nil"/>
              <w:left w:val="nil"/>
              <w:bottom w:val="nil"/>
              <w:right w:val="single" w:sz="8" w:space="0" w:color="auto"/>
            </w:tcBorders>
            <w:noWrap/>
            <w:vAlign w:val="bottom"/>
          </w:tcPr>
          <w:p w14:paraId="04806597" w14:textId="77777777" w:rsidR="00FC360C" w:rsidRPr="004A64B0" w:rsidRDefault="00FC360C" w:rsidP="004A64B0">
            <w:pPr>
              <w:spacing w:line="240" w:lineRule="auto"/>
              <w:rPr>
                <w:rFonts w:cs="Arial"/>
                <w:sz w:val="20"/>
              </w:rPr>
            </w:pPr>
            <w:r w:rsidRPr="004A64B0">
              <w:rPr>
                <w:rFonts w:cs="Arial"/>
                <w:sz w:val="20"/>
              </w:rPr>
              <w:t> </w:t>
            </w:r>
          </w:p>
        </w:tc>
      </w:tr>
      <w:tr w:rsidR="00FC360C" w:rsidRPr="004A64B0" w14:paraId="375C8437" w14:textId="77777777" w:rsidTr="002F237A">
        <w:trPr>
          <w:trHeight w:val="255"/>
          <w:jc w:val="center"/>
        </w:trPr>
        <w:tc>
          <w:tcPr>
            <w:tcW w:w="1720" w:type="dxa"/>
            <w:tcBorders>
              <w:top w:val="nil"/>
              <w:left w:val="single" w:sz="8" w:space="0" w:color="auto"/>
              <w:bottom w:val="nil"/>
              <w:right w:val="nil"/>
            </w:tcBorders>
            <w:noWrap/>
            <w:vAlign w:val="bottom"/>
          </w:tcPr>
          <w:p w14:paraId="61EFF4C2" w14:textId="77777777" w:rsidR="00FC360C" w:rsidRPr="004A64B0" w:rsidRDefault="00FC360C" w:rsidP="004A64B0">
            <w:pPr>
              <w:spacing w:line="240" w:lineRule="auto"/>
              <w:rPr>
                <w:rFonts w:cs="Arial"/>
                <w:sz w:val="20"/>
              </w:rPr>
            </w:pPr>
            <w:r w:rsidRPr="004A64B0">
              <w:rPr>
                <w:rFonts w:cs="Arial"/>
                <w:sz w:val="20"/>
              </w:rPr>
              <w:t>PeCDD</w:t>
            </w:r>
          </w:p>
        </w:tc>
        <w:tc>
          <w:tcPr>
            <w:tcW w:w="1419" w:type="dxa"/>
            <w:tcBorders>
              <w:top w:val="nil"/>
              <w:left w:val="nil"/>
              <w:bottom w:val="nil"/>
              <w:right w:val="nil"/>
            </w:tcBorders>
            <w:noWrap/>
            <w:vAlign w:val="bottom"/>
          </w:tcPr>
          <w:p w14:paraId="4D8DA78B" w14:textId="77777777" w:rsidR="00FC360C" w:rsidRPr="004A64B0" w:rsidRDefault="00FC360C" w:rsidP="004A64B0">
            <w:pPr>
              <w:spacing w:line="240" w:lineRule="auto"/>
              <w:rPr>
                <w:rFonts w:cs="Arial"/>
                <w:sz w:val="20"/>
              </w:rPr>
            </w:pPr>
            <w:r w:rsidRPr="004A64B0">
              <w:rPr>
                <w:rFonts w:cs="Arial"/>
                <w:sz w:val="20"/>
              </w:rPr>
              <w:t>1,2,3,7,8</w:t>
            </w:r>
          </w:p>
        </w:tc>
        <w:tc>
          <w:tcPr>
            <w:tcW w:w="960" w:type="dxa"/>
            <w:tcBorders>
              <w:top w:val="nil"/>
              <w:left w:val="nil"/>
              <w:bottom w:val="nil"/>
              <w:right w:val="nil"/>
            </w:tcBorders>
            <w:noWrap/>
            <w:vAlign w:val="bottom"/>
          </w:tcPr>
          <w:p w14:paraId="4E615D02" w14:textId="77777777" w:rsidR="00FC360C" w:rsidRPr="004A64B0" w:rsidRDefault="00FC360C" w:rsidP="004A64B0">
            <w:pPr>
              <w:spacing w:line="240" w:lineRule="auto"/>
              <w:jc w:val="center"/>
              <w:rPr>
                <w:rFonts w:cs="Arial"/>
                <w:sz w:val="20"/>
              </w:rPr>
            </w:pPr>
            <w:r w:rsidRPr="004A64B0">
              <w:rPr>
                <w:rFonts w:cs="Arial"/>
                <w:sz w:val="20"/>
              </w:rPr>
              <w:t>0.5</w:t>
            </w:r>
          </w:p>
        </w:tc>
        <w:tc>
          <w:tcPr>
            <w:tcW w:w="960" w:type="dxa"/>
            <w:tcBorders>
              <w:top w:val="nil"/>
              <w:left w:val="nil"/>
              <w:bottom w:val="nil"/>
              <w:right w:val="nil"/>
            </w:tcBorders>
            <w:noWrap/>
            <w:vAlign w:val="bottom"/>
          </w:tcPr>
          <w:p w14:paraId="0839E395" w14:textId="77777777" w:rsidR="00FC360C" w:rsidRPr="004A64B0" w:rsidRDefault="00FC360C" w:rsidP="004A64B0">
            <w:pPr>
              <w:spacing w:line="240" w:lineRule="auto"/>
              <w:jc w:val="center"/>
              <w:rPr>
                <w:rFonts w:cs="Arial"/>
                <w:sz w:val="20"/>
              </w:rPr>
            </w:pPr>
            <w:r w:rsidRPr="004A64B0">
              <w:rPr>
                <w:rFonts w:cs="Arial"/>
                <w:sz w:val="20"/>
              </w:rPr>
              <w:t>1</w:t>
            </w:r>
          </w:p>
        </w:tc>
        <w:tc>
          <w:tcPr>
            <w:tcW w:w="960" w:type="dxa"/>
            <w:tcBorders>
              <w:top w:val="nil"/>
              <w:left w:val="nil"/>
              <w:bottom w:val="nil"/>
              <w:right w:val="single" w:sz="8" w:space="0" w:color="auto"/>
            </w:tcBorders>
            <w:noWrap/>
            <w:vAlign w:val="bottom"/>
          </w:tcPr>
          <w:p w14:paraId="2FDC740B" w14:textId="77777777" w:rsidR="00FC360C" w:rsidRPr="004A64B0" w:rsidRDefault="00FC360C" w:rsidP="004A64B0">
            <w:pPr>
              <w:spacing w:line="240" w:lineRule="auto"/>
              <w:rPr>
                <w:rFonts w:cs="Arial"/>
                <w:sz w:val="20"/>
              </w:rPr>
            </w:pPr>
            <w:r w:rsidRPr="004A64B0">
              <w:rPr>
                <w:rFonts w:cs="Arial"/>
                <w:sz w:val="20"/>
              </w:rPr>
              <w:t> </w:t>
            </w:r>
          </w:p>
        </w:tc>
      </w:tr>
      <w:tr w:rsidR="00FC360C" w:rsidRPr="004A64B0" w14:paraId="1E4836E9" w14:textId="77777777" w:rsidTr="002F237A">
        <w:trPr>
          <w:trHeight w:val="255"/>
          <w:jc w:val="center"/>
        </w:trPr>
        <w:tc>
          <w:tcPr>
            <w:tcW w:w="1720" w:type="dxa"/>
            <w:tcBorders>
              <w:top w:val="nil"/>
              <w:left w:val="single" w:sz="8" w:space="0" w:color="auto"/>
              <w:bottom w:val="nil"/>
              <w:right w:val="nil"/>
            </w:tcBorders>
            <w:noWrap/>
            <w:vAlign w:val="bottom"/>
          </w:tcPr>
          <w:p w14:paraId="734910FD" w14:textId="77777777" w:rsidR="00FC360C" w:rsidRPr="004A64B0" w:rsidRDefault="00FC360C" w:rsidP="004A64B0">
            <w:pPr>
              <w:spacing w:line="240" w:lineRule="auto"/>
              <w:rPr>
                <w:rFonts w:cs="Arial"/>
                <w:sz w:val="20"/>
              </w:rPr>
            </w:pPr>
            <w:r w:rsidRPr="004A64B0">
              <w:rPr>
                <w:rFonts w:cs="Arial"/>
                <w:sz w:val="20"/>
              </w:rPr>
              <w:t>HxCDD</w:t>
            </w:r>
          </w:p>
        </w:tc>
        <w:tc>
          <w:tcPr>
            <w:tcW w:w="1419" w:type="dxa"/>
            <w:tcBorders>
              <w:top w:val="nil"/>
              <w:left w:val="nil"/>
              <w:bottom w:val="nil"/>
              <w:right w:val="nil"/>
            </w:tcBorders>
            <w:noWrap/>
            <w:vAlign w:val="bottom"/>
          </w:tcPr>
          <w:p w14:paraId="551DA009" w14:textId="77777777" w:rsidR="00FC360C" w:rsidRPr="004A64B0" w:rsidRDefault="00FC360C" w:rsidP="004A64B0">
            <w:pPr>
              <w:spacing w:line="240" w:lineRule="auto"/>
              <w:rPr>
                <w:rFonts w:cs="Arial"/>
                <w:sz w:val="20"/>
              </w:rPr>
            </w:pPr>
            <w:r w:rsidRPr="004A64B0">
              <w:rPr>
                <w:rFonts w:cs="Arial"/>
                <w:sz w:val="20"/>
              </w:rPr>
              <w:t>1,2,3,4,7,8</w:t>
            </w:r>
          </w:p>
        </w:tc>
        <w:tc>
          <w:tcPr>
            <w:tcW w:w="960" w:type="dxa"/>
            <w:tcBorders>
              <w:top w:val="nil"/>
              <w:left w:val="nil"/>
              <w:bottom w:val="nil"/>
              <w:right w:val="nil"/>
            </w:tcBorders>
            <w:noWrap/>
            <w:vAlign w:val="bottom"/>
          </w:tcPr>
          <w:p w14:paraId="6C916949" w14:textId="77777777" w:rsidR="00FC360C" w:rsidRPr="004A64B0" w:rsidRDefault="00FC360C" w:rsidP="004A64B0">
            <w:pPr>
              <w:spacing w:line="240" w:lineRule="auto"/>
              <w:jc w:val="center"/>
              <w:rPr>
                <w:rFonts w:cs="Arial"/>
                <w:sz w:val="20"/>
              </w:rPr>
            </w:pPr>
            <w:r w:rsidRPr="004A64B0">
              <w:rPr>
                <w:rFonts w:cs="Arial"/>
                <w:sz w:val="20"/>
              </w:rPr>
              <w:t>0.1</w:t>
            </w:r>
          </w:p>
        </w:tc>
        <w:tc>
          <w:tcPr>
            <w:tcW w:w="960" w:type="dxa"/>
            <w:tcBorders>
              <w:top w:val="nil"/>
              <w:left w:val="nil"/>
              <w:bottom w:val="nil"/>
              <w:right w:val="nil"/>
            </w:tcBorders>
            <w:noWrap/>
            <w:vAlign w:val="bottom"/>
          </w:tcPr>
          <w:p w14:paraId="21810491" w14:textId="77777777" w:rsidR="00FC360C" w:rsidRPr="004A64B0" w:rsidRDefault="00FC360C" w:rsidP="004A64B0">
            <w:pPr>
              <w:spacing w:line="240" w:lineRule="auto"/>
              <w:jc w:val="center"/>
              <w:rPr>
                <w:rFonts w:cs="Arial"/>
                <w:sz w:val="20"/>
              </w:rPr>
            </w:pPr>
            <w:r w:rsidRPr="004A64B0">
              <w:rPr>
                <w:rFonts w:cs="Arial"/>
                <w:sz w:val="20"/>
              </w:rPr>
              <w:t>0.1</w:t>
            </w:r>
          </w:p>
        </w:tc>
        <w:tc>
          <w:tcPr>
            <w:tcW w:w="960" w:type="dxa"/>
            <w:tcBorders>
              <w:top w:val="nil"/>
              <w:left w:val="nil"/>
              <w:bottom w:val="nil"/>
              <w:right w:val="single" w:sz="8" w:space="0" w:color="auto"/>
            </w:tcBorders>
            <w:noWrap/>
            <w:vAlign w:val="bottom"/>
          </w:tcPr>
          <w:p w14:paraId="6D98E9A4" w14:textId="77777777" w:rsidR="00FC360C" w:rsidRPr="004A64B0" w:rsidRDefault="00FC360C" w:rsidP="004A64B0">
            <w:pPr>
              <w:spacing w:line="240" w:lineRule="auto"/>
              <w:rPr>
                <w:rFonts w:cs="Arial"/>
                <w:sz w:val="20"/>
              </w:rPr>
            </w:pPr>
            <w:r w:rsidRPr="004A64B0">
              <w:rPr>
                <w:rFonts w:cs="Arial"/>
                <w:sz w:val="20"/>
              </w:rPr>
              <w:t> </w:t>
            </w:r>
          </w:p>
        </w:tc>
      </w:tr>
      <w:tr w:rsidR="00FC360C" w:rsidRPr="004A64B0" w14:paraId="28F73F9F" w14:textId="77777777" w:rsidTr="002F237A">
        <w:trPr>
          <w:trHeight w:val="255"/>
          <w:jc w:val="center"/>
        </w:trPr>
        <w:tc>
          <w:tcPr>
            <w:tcW w:w="1720" w:type="dxa"/>
            <w:tcBorders>
              <w:top w:val="nil"/>
              <w:left w:val="single" w:sz="8" w:space="0" w:color="auto"/>
              <w:bottom w:val="nil"/>
              <w:right w:val="nil"/>
            </w:tcBorders>
            <w:noWrap/>
            <w:vAlign w:val="bottom"/>
          </w:tcPr>
          <w:p w14:paraId="536F45B6" w14:textId="77777777" w:rsidR="00FC360C" w:rsidRPr="004A64B0" w:rsidRDefault="00FC360C" w:rsidP="004A64B0">
            <w:pPr>
              <w:spacing w:line="240" w:lineRule="auto"/>
              <w:rPr>
                <w:rFonts w:cs="Arial"/>
                <w:sz w:val="20"/>
              </w:rPr>
            </w:pPr>
            <w:r w:rsidRPr="004A64B0">
              <w:rPr>
                <w:rFonts w:cs="Arial"/>
                <w:sz w:val="20"/>
              </w:rPr>
              <w:t> </w:t>
            </w:r>
          </w:p>
        </w:tc>
        <w:tc>
          <w:tcPr>
            <w:tcW w:w="1419" w:type="dxa"/>
            <w:tcBorders>
              <w:top w:val="nil"/>
              <w:left w:val="nil"/>
              <w:bottom w:val="nil"/>
              <w:right w:val="nil"/>
            </w:tcBorders>
            <w:noWrap/>
            <w:vAlign w:val="bottom"/>
          </w:tcPr>
          <w:p w14:paraId="6ED23261" w14:textId="77777777" w:rsidR="00FC360C" w:rsidRPr="004A64B0" w:rsidRDefault="00FC360C" w:rsidP="004A64B0">
            <w:pPr>
              <w:spacing w:line="240" w:lineRule="auto"/>
              <w:rPr>
                <w:rFonts w:cs="Arial"/>
                <w:sz w:val="20"/>
              </w:rPr>
            </w:pPr>
            <w:r w:rsidRPr="004A64B0">
              <w:rPr>
                <w:rFonts w:cs="Arial"/>
                <w:sz w:val="20"/>
              </w:rPr>
              <w:t>1,2,3,6,7,8</w:t>
            </w:r>
          </w:p>
        </w:tc>
        <w:tc>
          <w:tcPr>
            <w:tcW w:w="960" w:type="dxa"/>
            <w:tcBorders>
              <w:top w:val="nil"/>
              <w:left w:val="nil"/>
              <w:bottom w:val="nil"/>
              <w:right w:val="nil"/>
            </w:tcBorders>
            <w:noWrap/>
            <w:vAlign w:val="bottom"/>
          </w:tcPr>
          <w:p w14:paraId="10E39639" w14:textId="77777777" w:rsidR="00FC360C" w:rsidRPr="004A64B0" w:rsidRDefault="00FC360C" w:rsidP="004A64B0">
            <w:pPr>
              <w:spacing w:line="240" w:lineRule="auto"/>
              <w:jc w:val="center"/>
              <w:rPr>
                <w:rFonts w:cs="Arial"/>
                <w:sz w:val="20"/>
              </w:rPr>
            </w:pPr>
            <w:r w:rsidRPr="004A64B0">
              <w:rPr>
                <w:rFonts w:cs="Arial"/>
                <w:sz w:val="20"/>
              </w:rPr>
              <w:t>0.1</w:t>
            </w:r>
          </w:p>
        </w:tc>
        <w:tc>
          <w:tcPr>
            <w:tcW w:w="960" w:type="dxa"/>
            <w:tcBorders>
              <w:top w:val="nil"/>
              <w:left w:val="nil"/>
              <w:bottom w:val="nil"/>
              <w:right w:val="nil"/>
            </w:tcBorders>
            <w:noWrap/>
            <w:vAlign w:val="bottom"/>
          </w:tcPr>
          <w:p w14:paraId="0606BA3D" w14:textId="77777777" w:rsidR="00FC360C" w:rsidRPr="004A64B0" w:rsidRDefault="00FC360C" w:rsidP="004A64B0">
            <w:pPr>
              <w:spacing w:line="240" w:lineRule="auto"/>
              <w:jc w:val="center"/>
              <w:rPr>
                <w:rFonts w:cs="Arial"/>
                <w:sz w:val="20"/>
              </w:rPr>
            </w:pPr>
            <w:r w:rsidRPr="004A64B0">
              <w:rPr>
                <w:rFonts w:cs="Arial"/>
                <w:sz w:val="20"/>
              </w:rPr>
              <w:t>0.1</w:t>
            </w:r>
          </w:p>
        </w:tc>
        <w:tc>
          <w:tcPr>
            <w:tcW w:w="960" w:type="dxa"/>
            <w:tcBorders>
              <w:top w:val="nil"/>
              <w:left w:val="nil"/>
              <w:bottom w:val="nil"/>
              <w:right w:val="single" w:sz="8" w:space="0" w:color="auto"/>
            </w:tcBorders>
            <w:noWrap/>
            <w:vAlign w:val="bottom"/>
          </w:tcPr>
          <w:p w14:paraId="4B236C1C" w14:textId="77777777" w:rsidR="00FC360C" w:rsidRPr="004A64B0" w:rsidRDefault="00FC360C" w:rsidP="004A64B0">
            <w:pPr>
              <w:spacing w:line="240" w:lineRule="auto"/>
              <w:rPr>
                <w:rFonts w:cs="Arial"/>
                <w:sz w:val="20"/>
              </w:rPr>
            </w:pPr>
            <w:r w:rsidRPr="004A64B0">
              <w:rPr>
                <w:rFonts w:cs="Arial"/>
                <w:sz w:val="20"/>
              </w:rPr>
              <w:t> </w:t>
            </w:r>
          </w:p>
        </w:tc>
      </w:tr>
      <w:tr w:rsidR="00FC360C" w:rsidRPr="004A64B0" w14:paraId="0AF66F65" w14:textId="77777777" w:rsidTr="002F237A">
        <w:trPr>
          <w:trHeight w:val="255"/>
          <w:jc w:val="center"/>
        </w:trPr>
        <w:tc>
          <w:tcPr>
            <w:tcW w:w="1720" w:type="dxa"/>
            <w:tcBorders>
              <w:top w:val="nil"/>
              <w:left w:val="single" w:sz="8" w:space="0" w:color="auto"/>
              <w:bottom w:val="nil"/>
              <w:right w:val="nil"/>
            </w:tcBorders>
            <w:noWrap/>
            <w:vAlign w:val="bottom"/>
          </w:tcPr>
          <w:p w14:paraId="30507B3F" w14:textId="77777777" w:rsidR="00FC360C" w:rsidRPr="004A64B0" w:rsidRDefault="00FC360C" w:rsidP="004A64B0">
            <w:pPr>
              <w:spacing w:line="240" w:lineRule="auto"/>
              <w:rPr>
                <w:rFonts w:cs="Arial"/>
                <w:sz w:val="20"/>
              </w:rPr>
            </w:pPr>
            <w:r w:rsidRPr="004A64B0">
              <w:rPr>
                <w:rFonts w:cs="Arial"/>
                <w:sz w:val="20"/>
              </w:rPr>
              <w:t> </w:t>
            </w:r>
          </w:p>
        </w:tc>
        <w:tc>
          <w:tcPr>
            <w:tcW w:w="1419" w:type="dxa"/>
            <w:tcBorders>
              <w:top w:val="nil"/>
              <w:left w:val="nil"/>
              <w:bottom w:val="nil"/>
              <w:right w:val="nil"/>
            </w:tcBorders>
            <w:noWrap/>
            <w:vAlign w:val="bottom"/>
          </w:tcPr>
          <w:p w14:paraId="1A94FA7A" w14:textId="77777777" w:rsidR="00FC360C" w:rsidRPr="004A64B0" w:rsidRDefault="00FC360C" w:rsidP="004A64B0">
            <w:pPr>
              <w:spacing w:line="240" w:lineRule="auto"/>
              <w:rPr>
                <w:rFonts w:cs="Arial"/>
                <w:sz w:val="20"/>
              </w:rPr>
            </w:pPr>
            <w:r w:rsidRPr="004A64B0">
              <w:rPr>
                <w:rFonts w:cs="Arial"/>
                <w:sz w:val="20"/>
              </w:rPr>
              <w:t>1,2,3,7,8,9</w:t>
            </w:r>
          </w:p>
        </w:tc>
        <w:tc>
          <w:tcPr>
            <w:tcW w:w="960" w:type="dxa"/>
            <w:tcBorders>
              <w:top w:val="nil"/>
              <w:left w:val="nil"/>
              <w:bottom w:val="nil"/>
              <w:right w:val="nil"/>
            </w:tcBorders>
            <w:noWrap/>
            <w:vAlign w:val="bottom"/>
          </w:tcPr>
          <w:p w14:paraId="6059E4F2" w14:textId="77777777" w:rsidR="00FC360C" w:rsidRPr="004A64B0" w:rsidRDefault="00FC360C" w:rsidP="004A64B0">
            <w:pPr>
              <w:spacing w:line="240" w:lineRule="auto"/>
              <w:jc w:val="center"/>
              <w:rPr>
                <w:rFonts w:cs="Arial"/>
                <w:sz w:val="20"/>
              </w:rPr>
            </w:pPr>
            <w:r w:rsidRPr="004A64B0">
              <w:rPr>
                <w:rFonts w:cs="Arial"/>
                <w:sz w:val="20"/>
              </w:rPr>
              <w:t>0.1</w:t>
            </w:r>
          </w:p>
        </w:tc>
        <w:tc>
          <w:tcPr>
            <w:tcW w:w="960" w:type="dxa"/>
            <w:tcBorders>
              <w:top w:val="nil"/>
              <w:left w:val="nil"/>
              <w:bottom w:val="nil"/>
              <w:right w:val="nil"/>
            </w:tcBorders>
            <w:noWrap/>
            <w:vAlign w:val="bottom"/>
          </w:tcPr>
          <w:p w14:paraId="73B114D1" w14:textId="77777777" w:rsidR="00FC360C" w:rsidRPr="004A64B0" w:rsidRDefault="00FC360C" w:rsidP="004A64B0">
            <w:pPr>
              <w:spacing w:line="240" w:lineRule="auto"/>
              <w:jc w:val="center"/>
              <w:rPr>
                <w:rFonts w:cs="Arial"/>
                <w:sz w:val="20"/>
              </w:rPr>
            </w:pPr>
            <w:r w:rsidRPr="004A64B0">
              <w:rPr>
                <w:rFonts w:cs="Arial"/>
                <w:sz w:val="20"/>
              </w:rPr>
              <w:t>0.1</w:t>
            </w:r>
          </w:p>
        </w:tc>
        <w:tc>
          <w:tcPr>
            <w:tcW w:w="960" w:type="dxa"/>
            <w:tcBorders>
              <w:top w:val="nil"/>
              <w:left w:val="nil"/>
              <w:bottom w:val="nil"/>
              <w:right w:val="single" w:sz="8" w:space="0" w:color="auto"/>
            </w:tcBorders>
            <w:noWrap/>
            <w:vAlign w:val="bottom"/>
          </w:tcPr>
          <w:p w14:paraId="6B788E42" w14:textId="77777777" w:rsidR="00FC360C" w:rsidRPr="004A64B0" w:rsidRDefault="00FC360C" w:rsidP="004A64B0">
            <w:pPr>
              <w:spacing w:line="240" w:lineRule="auto"/>
              <w:rPr>
                <w:rFonts w:cs="Arial"/>
                <w:sz w:val="20"/>
              </w:rPr>
            </w:pPr>
            <w:r w:rsidRPr="004A64B0">
              <w:rPr>
                <w:rFonts w:cs="Arial"/>
                <w:sz w:val="20"/>
              </w:rPr>
              <w:t> </w:t>
            </w:r>
          </w:p>
        </w:tc>
      </w:tr>
      <w:tr w:rsidR="00FC360C" w:rsidRPr="004A64B0" w14:paraId="1E10ED4C" w14:textId="77777777" w:rsidTr="002F237A">
        <w:trPr>
          <w:trHeight w:val="255"/>
          <w:jc w:val="center"/>
        </w:trPr>
        <w:tc>
          <w:tcPr>
            <w:tcW w:w="1720" w:type="dxa"/>
            <w:tcBorders>
              <w:top w:val="nil"/>
              <w:left w:val="single" w:sz="8" w:space="0" w:color="auto"/>
              <w:bottom w:val="nil"/>
              <w:right w:val="nil"/>
            </w:tcBorders>
            <w:noWrap/>
            <w:vAlign w:val="bottom"/>
          </w:tcPr>
          <w:p w14:paraId="2B1C1B15" w14:textId="77777777" w:rsidR="00FC360C" w:rsidRPr="004A64B0" w:rsidRDefault="00FC360C" w:rsidP="004A64B0">
            <w:pPr>
              <w:spacing w:line="240" w:lineRule="auto"/>
              <w:rPr>
                <w:rFonts w:cs="Arial"/>
                <w:sz w:val="20"/>
              </w:rPr>
            </w:pPr>
            <w:r w:rsidRPr="004A64B0">
              <w:rPr>
                <w:rFonts w:cs="Arial"/>
                <w:sz w:val="20"/>
              </w:rPr>
              <w:t>HpCDD</w:t>
            </w:r>
          </w:p>
        </w:tc>
        <w:tc>
          <w:tcPr>
            <w:tcW w:w="1419" w:type="dxa"/>
            <w:tcBorders>
              <w:top w:val="nil"/>
              <w:left w:val="nil"/>
              <w:bottom w:val="nil"/>
              <w:right w:val="nil"/>
            </w:tcBorders>
            <w:noWrap/>
            <w:vAlign w:val="bottom"/>
          </w:tcPr>
          <w:p w14:paraId="7047C09B" w14:textId="77777777" w:rsidR="00FC360C" w:rsidRPr="004A64B0" w:rsidRDefault="00FC360C" w:rsidP="004A64B0">
            <w:pPr>
              <w:spacing w:line="240" w:lineRule="auto"/>
              <w:rPr>
                <w:rFonts w:cs="Arial"/>
                <w:sz w:val="20"/>
              </w:rPr>
            </w:pPr>
            <w:r w:rsidRPr="004A64B0">
              <w:rPr>
                <w:rFonts w:cs="Arial"/>
                <w:sz w:val="20"/>
              </w:rPr>
              <w:t>1,2,3,4,6,7,8</w:t>
            </w:r>
          </w:p>
        </w:tc>
        <w:tc>
          <w:tcPr>
            <w:tcW w:w="960" w:type="dxa"/>
            <w:tcBorders>
              <w:top w:val="nil"/>
              <w:left w:val="nil"/>
              <w:bottom w:val="nil"/>
              <w:right w:val="nil"/>
            </w:tcBorders>
            <w:noWrap/>
            <w:vAlign w:val="bottom"/>
          </w:tcPr>
          <w:p w14:paraId="0BB4DB32" w14:textId="77777777" w:rsidR="00FC360C" w:rsidRPr="004A64B0" w:rsidRDefault="00FC360C" w:rsidP="004A64B0">
            <w:pPr>
              <w:spacing w:line="240" w:lineRule="auto"/>
              <w:jc w:val="center"/>
              <w:rPr>
                <w:rFonts w:cs="Arial"/>
                <w:sz w:val="20"/>
              </w:rPr>
            </w:pPr>
            <w:r w:rsidRPr="004A64B0">
              <w:rPr>
                <w:rFonts w:cs="Arial"/>
                <w:sz w:val="20"/>
              </w:rPr>
              <w:t>0.01</w:t>
            </w:r>
          </w:p>
        </w:tc>
        <w:tc>
          <w:tcPr>
            <w:tcW w:w="960" w:type="dxa"/>
            <w:tcBorders>
              <w:top w:val="nil"/>
              <w:left w:val="nil"/>
              <w:bottom w:val="nil"/>
              <w:right w:val="nil"/>
            </w:tcBorders>
            <w:noWrap/>
            <w:vAlign w:val="bottom"/>
          </w:tcPr>
          <w:p w14:paraId="3449BB65" w14:textId="77777777" w:rsidR="00FC360C" w:rsidRPr="004A64B0" w:rsidRDefault="00FC360C" w:rsidP="004A64B0">
            <w:pPr>
              <w:spacing w:line="240" w:lineRule="auto"/>
              <w:jc w:val="center"/>
              <w:rPr>
                <w:rFonts w:cs="Arial"/>
                <w:sz w:val="20"/>
              </w:rPr>
            </w:pPr>
            <w:r w:rsidRPr="004A64B0">
              <w:rPr>
                <w:rFonts w:cs="Arial"/>
                <w:sz w:val="20"/>
              </w:rPr>
              <w:t>0.01</w:t>
            </w:r>
          </w:p>
        </w:tc>
        <w:tc>
          <w:tcPr>
            <w:tcW w:w="960" w:type="dxa"/>
            <w:tcBorders>
              <w:top w:val="nil"/>
              <w:left w:val="nil"/>
              <w:bottom w:val="nil"/>
              <w:right w:val="single" w:sz="8" w:space="0" w:color="auto"/>
            </w:tcBorders>
            <w:noWrap/>
            <w:vAlign w:val="bottom"/>
          </w:tcPr>
          <w:p w14:paraId="0BA6EE4E" w14:textId="77777777" w:rsidR="00FC360C" w:rsidRPr="004A64B0" w:rsidRDefault="00FC360C" w:rsidP="004A64B0">
            <w:pPr>
              <w:spacing w:line="240" w:lineRule="auto"/>
              <w:rPr>
                <w:rFonts w:cs="Arial"/>
                <w:sz w:val="20"/>
              </w:rPr>
            </w:pPr>
            <w:r w:rsidRPr="004A64B0">
              <w:rPr>
                <w:rFonts w:cs="Arial"/>
                <w:sz w:val="20"/>
              </w:rPr>
              <w:t> </w:t>
            </w:r>
          </w:p>
        </w:tc>
      </w:tr>
      <w:tr w:rsidR="00FC360C" w:rsidRPr="004A64B0" w14:paraId="369475B8" w14:textId="77777777" w:rsidTr="002F237A">
        <w:trPr>
          <w:trHeight w:val="255"/>
          <w:jc w:val="center"/>
        </w:trPr>
        <w:tc>
          <w:tcPr>
            <w:tcW w:w="1720" w:type="dxa"/>
            <w:tcBorders>
              <w:top w:val="nil"/>
              <w:left w:val="single" w:sz="8" w:space="0" w:color="auto"/>
              <w:bottom w:val="single" w:sz="4" w:space="0" w:color="auto"/>
              <w:right w:val="nil"/>
            </w:tcBorders>
            <w:noWrap/>
            <w:vAlign w:val="bottom"/>
          </w:tcPr>
          <w:p w14:paraId="0A6C309D" w14:textId="77777777" w:rsidR="00FC360C" w:rsidRPr="004A64B0" w:rsidRDefault="00FC360C" w:rsidP="004A64B0">
            <w:pPr>
              <w:spacing w:line="240" w:lineRule="auto"/>
              <w:rPr>
                <w:rFonts w:cs="Arial"/>
                <w:sz w:val="20"/>
              </w:rPr>
            </w:pPr>
            <w:r w:rsidRPr="004A64B0">
              <w:rPr>
                <w:rFonts w:cs="Arial"/>
                <w:sz w:val="20"/>
              </w:rPr>
              <w:t>OCDD</w:t>
            </w:r>
          </w:p>
        </w:tc>
        <w:tc>
          <w:tcPr>
            <w:tcW w:w="1419" w:type="dxa"/>
            <w:tcBorders>
              <w:top w:val="nil"/>
              <w:left w:val="nil"/>
              <w:bottom w:val="single" w:sz="4" w:space="0" w:color="auto"/>
              <w:right w:val="nil"/>
            </w:tcBorders>
            <w:noWrap/>
            <w:vAlign w:val="bottom"/>
          </w:tcPr>
          <w:p w14:paraId="7391ACC2" w14:textId="77777777" w:rsidR="00FC360C" w:rsidRPr="004A64B0" w:rsidRDefault="00FC360C" w:rsidP="004A64B0">
            <w:pPr>
              <w:spacing w:line="240" w:lineRule="auto"/>
              <w:rPr>
                <w:rFonts w:cs="Arial"/>
                <w:sz w:val="20"/>
              </w:rPr>
            </w:pPr>
            <w:r w:rsidRPr="004A64B0">
              <w:rPr>
                <w:rFonts w:cs="Arial"/>
                <w:sz w:val="20"/>
              </w:rPr>
              <w:t>1,2,3,4,6,7,8,9</w:t>
            </w:r>
          </w:p>
        </w:tc>
        <w:tc>
          <w:tcPr>
            <w:tcW w:w="960" w:type="dxa"/>
            <w:tcBorders>
              <w:top w:val="nil"/>
              <w:left w:val="nil"/>
              <w:bottom w:val="single" w:sz="4" w:space="0" w:color="auto"/>
              <w:right w:val="nil"/>
            </w:tcBorders>
            <w:noWrap/>
            <w:vAlign w:val="bottom"/>
          </w:tcPr>
          <w:p w14:paraId="369D7162" w14:textId="77777777" w:rsidR="00FC360C" w:rsidRPr="004A64B0" w:rsidRDefault="00FC360C" w:rsidP="004A64B0">
            <w:pPr>
              <w:spacing w:line="240" w:lineRule="auto"/>
              <w:jc w:val="center"/>
              <w:rPr>
                <w:rFonts w:cs="Arial"/>
                <w:sz w:val="20"/>
              </w:rPr>
            </w:pPr>
            <w:r w:rsidRPr="004A64B0">
              <w:rPr>
                <w:rFonts w:cs="Arial"/>
                <w:sz w:val="20"/>
              </w:rPr>
              <w:t>0.001</w:t>
            </w:r>
          </w:p>
        </w:tc>
        <w:tc>
          <w:tcPr>
            <w:tcW w:w="960" w:type="dxa"/>
            <w:tcBorders>
              <w:top w:val="nil"/>
              <w:left w:val="nil"/>
              <w:bottom w:val="single" w:sz="4" w:space="0" w:color="auto"/>
              <w:right w:val="nil"/>
            </w:tcBorders>
            <w:noWrap/>
            <w:vAlign w:val="bottom"/>
          </w:tcPr>
          <w:p w14:paraId="51138D73" w14:textId="77777777" w:rsidR="00FC360C" w:rsidRPr="004A64B0" w:rsidRDefault="00FC360C" w:rsidP="004A64B0">
            <w:pPr>
              <w:spacing w:line="240" w:lineRule="auto"/>
              <w:jc w:val="center"/>
              <w:rPr>
                <w:rFonts w:cs="Arial"/>
                <w:sz w:val="20"/>
              </w:rPr>
            </w:pPr>
            <w:r w:rsidRPr="004A64B0">
              <w:rPr>
                <w:rFonts w:cs="Arial"/>
                <w:sz w:val="20"/>
              </w:rPr>
              <w:t>0.0003</w:t>
            </w:r>
          </w:p>
        </w:tc>
        <w:tc>
          <w:tcPr>
            <w:tcW w:w="960" w:type="dxa"/>
            <w:tcBorders>
              <w:top w:val="nil"/>
              <w:left w:val="nil"/>
              <w:bottom w:val="nil"/>
              <w:right w:val="single" w:sz="8" w:space="0" w:color="auto"/>
            </w:tcBorders>
            <w:noWrap/>
            <w:vAlign w:val="bottom"/>
          </w:tcPr>
          <w:p w14:paraId="76264E3D" w14:textId="77777777" w:rsidR="00FC360C" w:rsidRPr="004A64B0" w:rsidRDefault="00FC360C" w:rsidP="004A64B0">
            <w:pPr>
              <w:spacing w:line="240" w:lineRule="auto"/>
              <w:rPr>
                <w:rFonts w:cs="Arial"/>
                <w:sz w:val="20"/>
              </w:rPr>
            </w:pPr>
            <w:r w:rsidRPr="004A64B0">
              <w:rPr>
                <w:rFonts w:cs="Arial"/>
                <w:sz w:val="20"/>
              </w:rPr>
              <w:t> </w:t>
            </w:r>
          </w:p>
        </w:tc>
      </w:tr>
      <w:tr w:rsidR="00FC360C" w:rsidRPr="004A64B0" w14:paraId="3617838B" w14:textId="77777777" w:rsidTr="002F237A">
        <w:trPr>
          <w:trHeight w:val="255"/>
          <w:jc w:val="center"/>
        </w:trPr>
        <w:tc>
          <w:tcPr>
            <w:tcW w:w="6019" w:type="dxa"/>
            <w:gridSpan w:val="5"/>
            <w:tcBorders>
              <w:top w:val="single" w:sz="4" w:space="0" w:color="auto"/>
              <w:left w:val="single" w:sz="8" w:space="0" w:color="auto"/>
              <w:bottom w:val="single" w:sz="4" w:space="0" w:color="auto"/>
              <w:right w:val="single" w:sz="8" w:space="0" w:color="000000"/>
            </w:tcBorders>
            <w:noWrap/>
            <w:vAlign w:val="bottom"/>
          </w:tcPr>
          <w:p w14:paraId="7874DB8C" w14:textId="77777777" w:rsidR="00FC360C" w:rsidRPr="004A64B0" w:rsidRDefault="00FC360C" w:rsidP="004A64B0">
            <w:pPr>
              <w:spacing w:line="240" w:lineRule="auto"/>
              <w:jc w:val="center"/>
              <w:rPr>
                <w:rFonts w:cs="Arial"/>
                <w:sz w:val="20"/>
              </w:rPr>
            </w:pPr>
            <w:r w:rsidRPr="004A64B0">
              <w:rPr>
                <w:rFonts w:cs="Arial"/>
                <w:sz w:val="20"/>
              </w:rPr>
              <w:t>PCDFs</w:t>
            </w:r>
          </w:p>
        </w:tc>
      </w:tr>
      <w:tr w:rsidR="00FC360C" w:rsidRPr="004A64B0" w14:paraId="3A8F365F" w14:textId="77777777" w:rsidTr="002F237A">
        <w:trPr>
          <w:trHeight w:val="255"/>
          <w:jc w:val="center"/>
        </w:trPr>
        <w:tc>
          <w:tcPr>
            <w:tcW w:w="1720" w:type="dxa"/>
            <w:tcBorders>
              <w:top w:val="nil"/>
              <w:left w:val="single" w:sz="8" w:space="0" w:color="auto"/>
              <w:bottom w:val="nil"/>
              <w:right w:val="nil"/>
            </w:tcBorders>
            <w:noWrap/>
            <w:vAlign w:val="bottom"/>
          </w:tcPr>
          <w:p w14:paraId="3F1E44BC" w14:textId="77777777" w:rsidR="00FC360C" w:rsidRPr="004A64B0" w:rsidRDefault="00FC360C" w:rsidP="004A64B0">
            <w:pPr>
              <w:spacing w:line="240" w:lineRule="auto"/>
              <w:rPr>
                <w:rFonts w:cs="Arial"/>
                <w:sz w:val="20"/>
              </w:rPr>
            </w:pPr>
            <w:r w:rsidRPr="004A64B0">
              <w:rPr>
                <w:rFonts w:cs="Arial"/>
                <w:sz w:val="20"/>
              </w:rPr>
              <w:t>TCDF</w:t>
            </w:r>
          </w:p>
        </w:tc>
        <w:tc>
          <w:tcPr>
            <w:tcW w:w="1419" w:type="dxa"/>
            <w:tcBorders>
              <w:top w:val="nil"/>
              <w:left w:val="nil"/>
              <w:bottom w:val="nil"/>
              <w:right w:val="nil"/>
            </w:tcBorders>
            <w:noWrap/>
            <w:vAlign w:val="bottom"/>
          </w:tcPr>
          <w:p w14:paraId="073FC6F4" w14:textId="77777777" w:rsidR="00FC360C" w:rsidRPr="004A64B0" w:rsidRDefault="00FC360C" w:rsidP="004A64B0">
            <w:pPr>
              <w:spacing w:line="240" w:lineRule="auto"/>
              <w:rPr>
                <w:rFonts w:cs="Arial"/>
                <w:sz w:val="20"/>
              </w:rPr>
            </w:pPr>
            <w:r w:rsidRPr="004A64B0">
              <w:rPr>
                <w:rFonts w:cs="Arial"/>
                <w:sz w:val="20"/>
              </w:rPr>
              <w:t>2,3,7,8</w:t>
            </w:r>
          </w:p>
        </w:tc>
        <w:tc>
          <w:tcPr>
            <w:tcW w:w="960" w:type="dxa"/>
            <w:tcBorders>
              <w:top w:val="nil"/>
              <w:left w:val="nil"/>
              <w:bottom w:val="nil"/>
              <w:right w:val="nil"/>
            </w:tcBorders>
            <w:noWrap/>
            <w:vAlign w:val="bottom"/>
          </w:tcPr>
          <w:p w14:paraId="34C02C46" w14:textId="77777777" w:rsidR="00FC360C" w:rsidRPr="004A64B0" w:rsidRDefault="00FC360C" w:rsidP="004A64B0">
            <w:pPr>
              <w:spacing w:line="240" w:lineRule="auto"/>
              <w:jc w:val="center"/>
              <w:rPr>
                <w:rFonts w:cs="Arial"/>
                <w:sz w:val="20"/>
              </w:rPr>
            </w:pPr>
            <w:r w:rsidRPr="004A64B0">
              <w:rPr>
                <w:rFonts w:cs="Arial"/>
                <w:sz w:val="20"/>
              </w:rPr>
              <w:t>0.1</w:t>
            </w:r>
          </w:p>
        </w:tc>
        <w:tc>
          <w:tcPr>
            <w:tcW w:w="960" w:type="dxa"/>
            <w:tcBorders>
              <w:top w:val="nil"/>
              <w:left w:val="nil"/>
              <w:bottom w:val="nil"/>
              <w:right w:val="nil"/>
            </w:tcBorders>
            <w:noWrap/>
            <w:vAlign w:val="bottom"/>
          </w:tcPr>
          <w:p w14:paraId="4B6F44A8" w14:textId="77777777" w:rsidR="00FC360C" w:rsidRPr="004A64B0" w:rsidRDefault="00FC360C" w:rsidP="004A64B0">
            <w:pPr>
              <w:spacing w:line="240" w:lineRule="auto"/>
              <w:jc w:val="center"/>
              <w:rPr>
                <w:rFonts w:cs="Arial"/>
                <w:sz w:val="20"/>
              </w:rPr>
            </w:pPr>
            <w:r w:rsidRPr="004A64B0">
              <w:rPr>
                <w:rFonts w:cs="Arial"/>
                <w:sz w:val="20"/>
              </w:rPr>
              <w:t>0.1</w:t>
            </w:r>
          </w:p>
        </w:tc>
        <w:tc>
          <w:tcPr>
            <w:tcW w:w="960" w:type="dxa"/>
            <w:tcBorders>
              <w:top w:val="nil"/>
              <w:left w:val="nil"/>
              <w:bottom w:val="nil"/>
              <w:right w:val="single" w:sz="8" w:space="0" w:color="auto"/>
            </w:tcBorders>
            <w:noWrap/>
            <w:vAlign w:val="bottom"/>
          </w:tcPr>
          <w:p w14:paraId="06A9C8F6" w14:textId="77777777" w:rsidR="00FC360C" w:rsidRPr="004A64B0" w:rsidRDefault="00FC360C" w:rsidP="004A64B0">
            <w:pPr>
              <w:spacing w:line="240" w:lineRule="auto"/>
              <w:rPr>
                <w:rFonts w:cs="Arial"/>
                <w:sz w:val="20"/>
              </w:rPr>
            </w:pPr>
            <w:r w:rsidRPr="004A64B0">
              <w:rPr>
                <w:rFonts w:cs="Arial"/>
                <w:sz w:val="20"/>
              </w:rPr>
              <w:t> </w:t>
            </w:r>
          </w:p>
        </w:tc>
      </w:tr>
      <w:tr w:rsidR="00FC360C" w:rsidRPr="004A64B0" w14:paraId="7AD39A13" w14:textId="77777777" w:rsidTr="002F237A">
        <w:trPr>
          <w:trHeight w:val="255"/>
          <w:jc w:val="center"/>
        </w:trPr>
        <w:tc>
          <w:tcPr>
            <w:tcW w:w="1720" w:type="dxa"/>
            <w:tcBorders>
              <w:top w:val="nil"/>
              <w:left w:val="single" w:sz="8" w:space="0" w:color="auto"/>
              <w:bottom w:val="nil"/>
              <w:right w:val="nil"/>
            </w:tcBorders>
            <w:noWrap/>
            <w:vAlign w:val="bottom"/>
          </w:tcPr>
          <w:p w14:paraId="2325AC69" w14:textId="77777777" w:rsidR="00FC360C" w:rsidRPr="004A64B0" w:rsidRDefault="00FC360C" w:rsidP="004A64B0">
            <w:pPr>
              <w:spacing w:line="240" w:lineRule="auto"/>
              <w:rPr>
                <w:rFonts w:cs="Arial"/>
                <w:sz w:val="20"/>
              </w:rPr>
            </w:pPr>
            <w:r w:rsidRPr="004A64B0">
              <w:rPr>
                <w:rFonts w:cs="Arial"/>
                <w:sz w:val="20"/>
              </w:rPr>
              <w:t>PeCDF</w:t>
            </w:r>
          </w:p>
        </w:tc>
        <w:tc>
          <w:tcPr>
            <w:tcW w:w="1419" w:type="dxa"/>
            <w:tcBorders>
              <w:top w:val="nil"/>
              <w:left w:val="nil"/>
              <w:bottom w:val="nil"/>
              <w:right w:val="nil"/>
            </w:tcBorders>
            <w:noWrap/>
            <w:vAlign w:val="bottom"/>
          </w:tcPr>
          <w:p w14:paraId="77540013" w14:textId="77777777" w:rsidR="00FC360C" w:rsidRPr="004A64B0" w:rsidRDefault="00FC360C" w:rsidP="004A64B0">
            <w:pPr>
              <w:spacing w:line="240" w:lineRule="auto"/>
              <w:rPr>
                <w:rFonts w:cs="Arial"/>
                <w:sz w:val="20"/>
              </w:rPr>
            </w:pPr>
            <w:r w:rsidRPr="004A64B0">
              <w:rPr>
                <w:rFonts w:cs="Arial"/>
                <w:sz w:val="20"/>
              </w:rPr>
              <w:t>1,2,3,7,8</w:t>
            </w:r>
          </w:p>
        </w:tc>
        <w:tc>
          <w:tcPr>
            <w:tcW w:w="960" w:type="dxa"/>
            <w:tcBorders>
              <w:top w:val="nil"/>
              <w:left w:val="nil"/>
              <w:bottom w:val="nil"/>
              <w:right w:val="nil"/>
            </w:tcBorders>
            <w:noWrap/>
            <w:vAlign w:val="bottom"/>
          </w:tcPr>
          <w:p w14:paraId="6C93C120" w14:textId="77777777" w:rsidR="00FC360C" w:rsidRPr="004A64B0" w:rsidRDefault="00FC360C" w:rsidP="004A64B0">
            <w:pPr>
              <w:spacing w:line="240" w:lineRule="auto"/>
              <w:jc w:val="center"/>
              <w:rPr>
                <w:rFonts w:cs="Arial"/>
                <w:sz w:val="20"/>
              </w:rPr>
            </w:pPr>
            <w:r w:rsidRPr="004A64B0">
              <w:rPr>
                <w:rFonts w:cs="Arial"/>
                <w:sz w:val="20"/>
              </w:rPr>
              <w:t>0.05</w:t>
            </w:r>
          </w:p>
        </w:tc>
        <w:tc>
          <w:tcPr>
            <w:tcW w:w="960" w:type="dxa"/>
            <w:tcBorders>
              <w:top w:val="nil"/>
              <w:left w:val="nil"/>
              <w:bottom w:val="nil"/>
              <w:right w:val="nil"/>
            </w:tcBorders>
            <w:noWrap/>
            <w:vAlign w:val="bottom"/>
          </w:tcPr>
          <w:p w14:paraId="7B64DBF0" w14:textId="77777777" w:rsidR="00FC360C" w:rsidRPr="004A64B0" w:rsidRDefault="00FC360C" w:rsidP="004A64B0">
            <w:pPr>
              <w:spacing w:line="240" w:lineRule="auto"/>
              <w:jc w:val="center"/>
              <w:rPr>
                <w:rFonts w:cs="Arial"/>
                <w:sz w:val="20"/>
              </w:rPr>
            </w:pPr>
            <w:r w:rsidRPr="004A64B0">
              <w:rPr>
                <w:rFonts w:cs="Arial"/>
                <w:sz w:val="20"/>
              </w:rPr>
              <w:t>0.03</w:t>
            </w:r>
          </w:p>
        </w:tc>
        <w:tc>
          <w:tcPr>
            <w:tcW w:w="960" w:type="dxa"/>
            <w:tcBorders>
              <w:top w:val="nil"/>
              <w:left w:val="nil"/>
              <w:bottom w:val="nil"/>
              <w:right w:val="single" w:sz="8" w:space="0" w:color="auto"/>
            </w:tcBorders>
            <w:noWrap/>
            <w:vAlign w:val="bottom"/>
          </w:tcPr>
          <w:p w14:paraId="67567501" w14:textId="77777777" w:rsidR="00FC360C" w:rsidRPr="004A64B0" w:rsidRDefault="00FC360C" w:rsidP="004A64B0">
            <w:pPr>
              <w:spacing w:line="240" w:lineRule="auto"/>
              <w:rPr>
                <w:rFonts w:cs="Arial"/>
                <w:sz w:val="20"/>
              </w:rPr>
            </w:pPr>
            <w:r w:rsidRPr="004A64B0">
              <w:rPr>
                <w:rFonts w:cs="Arial"/>
                <w:sz w:val="20"/>
              </w:rPr>
              <w:t> </w:t>
            </w:r>
          </w:p>
        </w:tc>
      </w:tr>
      <w:tr w:rsidR="00FC360C" w:rsidRPr="004A64B0" w14:paraId="3FA3C857" w14:textId="77777777" w:rsidTr="002F237A">
        <w:trPr>
          <w:trHeight w:val="255"/>
          <w:jc w:val="center"/>
        </w:trPr>
        <w:tc>
          <w:tcPr>
            <w:tcW w:w="1720" w:type="dxa"/>
            <w:tcBorders>
              <w:top w:val="nil"/>
              <w:left w:val="single" w:sz="8" w:space="0" w:color="auto"/>
              <w:bottom w:val="nil"/>
              <w:right w:val="nil"/>
            </w:tcBorders>
            <w:noWrap/>
            <w:vAlign w:val="bottom"/>
          </w:tcPr>
          <w:p w14:paraId="22CACEA1" w14:textId="77777777" w:rsidR="00FC360C" w:rsidRPr="004A64B0" w:rsidRDefault="00FC360C" w:rsidP="004A64B0">
            <w:pPr>
              <w:spacing w:line="240" w:lineRule="auto"/>
              <w:rPr>
                <w:rFonts w:cs="Arial"/>
                <w:sz w:val="20"/>
              </w:rPr>
            </w:pPr>
            <w:r w:rsidRPr="004A64B0">
              <w:rPr>
                <w:rFonts w:cs="Arial"/>
                <w:sz w:val="20"/>
              </w:rPr>
              <w:t> </w:t>
            </w:r>
          </w:p>
        </w:tc>
        <w:tc>
          <w:tcPr>
            <w:tcW w:w="1419" w:type="dxa"/>
            <w:tcBorders>
              <w:top w:val="nil"/>
              <w:left w:val="nil"/>
              <w:bottom w:val="nil"/>
              <w:right w:val="nil"/>
            </w:tcBorders>
            <w:noWrap/>
            <w:vAlign w:val="bottom"/>
          </w:tcPr>
          <w:p w14:paraId="5965B68D" w14:textId="77777777" w:rsidR="00FC360C" w:rsidRPr="004A64B0" w:rsidRDefault="00FC360C" w:rsidP="004A64B0">
            <w:pPr>
              <w:spacing w:line="240" w:lineRule="auto"/>
              <w:rPr>
                <w:rFonts w:cs="Arial"/>
                <w:sz w:val="20"/>
              </w:rPr>
            </w:pPr>
            <w:r w:rsidRPr="004A64B0">
              <w:rPr>
                <w:rFonts w:cs="Arial"/>
                <w:sz w:val="20"/>
              </w:rPr>
              <w:t>2,3,4,7,8</w:t>
            </w:r>
          </w:p>
        </w:tc>
        <w:tc>
          <w:tcPr>
            <w:tcW w:w="960" w:type="dxa"/>
            <w:tcBorders>
              <w:top w:val="nil"/>
              <w:left w:val="nil"/>
              <w:bottom w:val="nil"/>
              <w:right w:val="nil"/>
            </w:tcBorders>
            <w:noWrap/>
            <w:vAlign w:val="bottom"/>
          </w:tcPr>
          <w:p w14:paraId="2E1924AD" w14:textId="77777777" w:rsidR="00FC360C" w:rsidRPr="004A64B0" w:rsidRDefault="00FC360C" w:rsidP="004A64B0">
            <w:pPr>
              <w:spacing w:line="240" w:lineRule="auto"/>
              <w:jc w:val="center"/>
              <w:rPr>
                <w:rFonts w:cs="Arial"/>
                <w:sz w:val="20"/>
              </w:rPr>
            </w:pPr>
            <w:r w:rsidRPr="004A64B0">
              <w:rPr>
                <w:rFonts w:cs="Arial"/>
                <w:sz w:val="20"/>
              </w:rPr>
              <w:t>0.5</w:t>
            </w:r>
          </w:p>
        </w:tc>
        <w:tc>
          <w:tcPr>
            <w:tcW w:w="960" w:type="dxa"/>
            <w:tcBorders>
              <w:top w:val="nil"/>
              <w:left w:val="nil"/>
              <w:bottom w:val="nil"/>
              <w:right w:val="nil"/>
            </w:tcBorders>
            <w:noWrap/>
            <w:vAlign w:val="bottom"/>
          </w:tcPr>
          <w:p w14:paraId="15A0D871" w14:textId="77777777" w:rsidR="00FC360C" w:rsidRPr="004A64B0" w:rsidRDefault="00FC360C" w:rsidP="004A64B0">
            <w:pPr>
              <w:spacing w:line="240" w:lineRule="auto"/>
              <w:jc w:val="center"/>
              <w:rPr>
                <w:rFonts w:cs="Arial"/>
                <w:sz w:val="20"/>
              </w:rPr>
            </w:pPr>
            <w:r w:rsidRPr="004A64B0">
              <w:rPr>
                <w:rFonts w:cs="Arial"/>
                <w:sz w:val="20"/>
              </w:rPr>
              <w:t>0.3</w:t>
            </w:r>
          </w:p>
        </w:tc>
        <w:tc>
          <w:tcPr>
            <w:tcW w:w="960" w:type="dxa"/>
            <w:tcBorders>
              <w:top w:val="nil"/>
              <w:left w:val="nil"/>
              <w:bottom w:val="nil"/>
              <w:right w:val="single" w:sz="8" w:space="0" w:color="auto"/>
            </w:tcBorders>
            <w:noWrap/>
            <w:vAlign w:val="bottom"/>
          </w:tcPr>
          <w:p w14:paraId="569C277D" w14:textId="77777777" w:rsidR="00FC360C" w:rsidRPr="004A64B0" w:rsidRDefault="00FC360C" w:rsidP="004A64B0">
            <w:pPr>
              <w:spacing w:line="240" w:lineRule="auto"/>
              <w:rPr>
                <w:rFonts w:cs="Arial"/>
                <w:sz w:val="20"/>
              </w:rPr>
            </w:pPr>
            <w:r w:rsidRPr="004A64B0">
              <w:rPr>
                <w:rFonts w:cs="Arial"/>
                <w:sz w:val="20"/>
              </w:rPr>
              <w:t> </w:t>
            </w:r>
          </w:p>
        </w:tc>
      </w:tr>
      <w:tr w:rsidR="00FC360C" w:rsidRPr="004A64B0" w14:paraId="3D05DF54" w14:textId="77777777" w:rsidTr="002F237A">
        <w:trPr>
          <w:trHeight w:val="255"/>
          <w:jc w:val="center"/>
        </w:trPr>
        <w:tc>
          <w:tcPr>
            <w:tcW w:w="1720" w:type="dxa"/>
            <w:tcBorders>
              <w:top w:val="nil"/>
              <w:left w:val="single" w:sz="8" w:space="0" w:color="auto"/>
              <w:bottom w:val="nil"/>
              <w:right w:val="nil"/>
            </w:tcBorders>
            <w:noWrap/>
            <w:vAlign w:val="bottom"/>
          </w:tcPr>
          <w:p w14:paraId="09499AF5" w14:textId="77777777" w:rsidR="00FC360C" w:rsidRPr="004A64B0" w:rsidRDefault="00FC360C" w:rsidP="004A64B0">
            <w:pPr>
              <w:spacing w:line="240" w:lineRule="auto"/>
              <w:rPr>
                <w:rFonts w:cs="Arial"/>
                <w:sz w:val="20"/>
              </w:rPr>
            </w:pPr>
            <w:r w:rsidRPr="004A64B0">
              <w:rPr>
                <w:rFonts w:cs="Arial"/>
                <w:sz w:val="20"/>
              </w:rPr>
              <w:t>HxCDF</w:t>
            </w:r>
          </w:p>
        </w:tc>
        <w:tc>
          <w:tcPr>
            <w:tcW w:w="1419" w:type="dxa"/>
            <w:tcBorders>
              <w:top w:val="nil"/>
              <w:left w:val="nil"/>
              <w:bottom w:val="nil"/>
              <w:right w:val="nil"/>
            </w:tcBorders>
            <w:noWrap/>
            <w:vAlign w:val="bottom"/>
          </w:tcPr>
          <w:p w14:paraId="67CA6B50" w14:textId="77777777" w:rsidR="00FC360C" w:rsidRPr="004A64B0" w:rsidRDefault="00FC360C" w:rsidP="004A64B0">
            <w:pPr>
              <w:spacing w:line="240" w:lineRule="auto"/>
              <w:rPr>
                <w:rFonts w:cs="Arial"/>
                <w:sz w:val="20"/>
              </w:rPr>
            </w:pPr>
            <w:r w:rsidRPr="004A64B0">
              <w:rPr>
                <w:rFonts w:cs="Arial"/>
                <w:sz w:val="20"/>
              </w:rPr>
              <w:t>1,2,3,4,7,8</w:t>
            </w:r>
          </w:p>
        </w:tc>
        <w:tc>
          <w:tcPr>
            <w:tcW w:w="960" w:type="dxa"/>
            <w:tcBorders>
              <w:top w:val="nil"/>
              <w:left w:val="nil"/>
              <w:bottom w:val="nil"/>
              <w:right w:val="nil"/>
            </w:tcBorders>
            <w:noWrap/>
            <w:vAlign w:val="bottom"/>
          </w:tcPr>
          <w:p w14:paraId="5B83D2BF" w14:textId="77777777" w:rsidR="00FC360C" w:rsidRPr="004A64B0" w:rsidRDefault="00FC360C" w:rsidP="004A64B0">
            <w:pPr>
              <w:spacing w:line="240" w:lineRule="auto"/>
              <w:jc w:val="center"/>
              <w:rPr>
                <w:rFonts w:cs="Arial"/>
                <w:sz w:val="20"/>
              </w:rPr>
            </w:pPr>
            <w:r w:rsidRPr="004A64B0">
              <w:rPr>
                <w:rFonts w:cs="Arial"/>
                <w:sz w:val="20"/>
              </w:rPr>
              <w:t>0.1</w:t>
            </w:r>
          </w:p>
        </w:tc>
        <w:tc>
          <w:tcPr>
            <w:tcW w:w="960" w:type="dxa"/>
            <w:tcBorders>
              <w:top w:val="nil"/>
              <w:left w:val="nil"/>
              <w:bottom w:val="nil"/>
              <w:right w:val="nil"/>
            </w:tcBorders>
            <w:noWrap/>
            <w:vAlign w:val="bottom"/>
          </w:tcPr>
          <w:p w14:paraId="6B38DECC" w14:textId="77777777" w:rsidR="00FC360C" w:rsidRPr="004A64B0" w:rsidRDefault="00FC360C" w:rsidP="004A64B0">
            <w:pPr>
              <w:spacing w:line="240" w:lineRule="auto"/>
              <w:jc w:val="center"/>
              <w:rPr>
                <w:rFonts w:cs="Arial"/>
                <w:sz w:val="20"/>
              </w:rPr>
            </w:pPr>
            <w:r w:rsidRPr="004A64B0">
              <w:rPr>
                <w:rFonts w:cs="Arial"/>
                <w:sz w:val="20"/>
              </w:rPr>
              <w:t>0.1</w:t>
            </w:r>
          </w:p>
        </w:tc>
        <w:tc>
          <w:tcPr>
            <w:tcW w:w="960" w:type="dxa"/>
            <w:tcBorders>
              <w:top w:val="nil"/>
              <w:left w:val="nil"/>
              <w:bottom w:val="nil"/>
              <w:right w:val="single" w:sz="8" w:space="0" w:color="auto"/>
            </w:tcBorders>
            <w:noWrap/>
            <w:vAlign w:val="bottom"/>
          </w:tcPr>
          <w:p w14:paraId="7FC82A26" w14:textId="77777777" w:rsidR="00FC360C" w:rsidRPr="004A64B0" w:rsidRDefault="00FC360C" w:rsidP="004A64B0">
            <w:pPr>
              <w:pStyle w:val="CommentText"/>
              <w:spacing w:line="240" w:lineRule="auto"/>
              <w:rPr>
                <w:rFonts w:cs="Arial"/>
              </w:rPr>
            </w:pPr>
            <w:r w:rsidRPr="004A64B0">
              <w:rPr>
                <w:rFonts w:cs="Arial"/>
              </w:rPr>
              <w:t> </w:t>
            </w:r>
          </w:p>
        </w:tc>
      </w:tr>
      <w:tr w:rsidR="00FC360C" w:rsidRPr="004A64B0" w14:paraId="6ABA94B7" w14:textId="77777777" w:rsidTr="002F237A">
        <w:trPr>
          <w:trHeight w:val="255"/>
          <w:jc w:val="center"/>
        </w:trPr>
        <w:tc>
          <w:tcPr>
            <w:tcW w:w="1720" w:type="dxa"/>
            <w:tcBorders>
              <w:top w:val="nil"/>
              <w:left w:val="single" w:sz="8" w:space="0" w:color="auto"/>
              <w:bottom w:val="nil"/>
              <w:right w:val="nil"/>
            </w:tcBorders>
            <w:noWrap/>
            <w:vAlign w:val="bottom"/>
          </w:tcPr>
          <w:p w14:paraId="2555662B" w14:textId="77777777" w:rsidR="00FC360C" w:rsidRPr="004A64B0" w:rsidRDefault="00FC360C" w:rsidP="004A64B0">
            <w:pPr>
              <w:spacing w:line="240" w:lineRule="auto"/>
              <w:rPr>
                <w:rFonts w:cs="Arial"/>
                <w:sz w:val="20"/>
              </w:rPr>
            </w:pPr>
            <w:r w:rsidRPr="004A64B0">
              <w:rPr>
                <w:rFonts w:cs="Arial"/>
                <w:sz w:val="20"/>
              </w:rPr>
              <w:t> </w:t>
            </w:r>
          </w:p>
        </w:tc>
        <w:tc>
          <w:tcPr>
            <w:tcW w:w="1419" w:type="dxa"/>
            <w:tcBorders>
              <w:top w:val="nil"/>
              <w:left w:val="nil"/>
              <w:bottom w:val="nil"/>
              <w:right w:val="nil"/>
            </w:tcBorders>
            <w:noWrap/>
            <w:vAlign w:val="bottom"/>
          </w:tcPr>
          <w:p w14:paraId="583D527E" w14:textId="77777777" w:rsidR="00FC360C" w:rsidRPr="004A64B0" w:rsidRDefault="00FC360C" w:rsidP="004A64B0">
            <w:pPr>
              <w:spacing w:line="240" w:lineRule="auto"/>
              <w:rPr>
                <w:rFonts w:cs="Arial"/>
                <w:sz w:val="20"/>
              </w:rPr>
            </w:pPr>
            <w:r w:rsidRPr="004A64B0">
              <w:rPr>
                <w:rFonts w:cs="Arial"/>
                <w:sz w:val="20"/>
              </w:rPr>
              <w:t>1,2,3,6,7,8</w:t>
            </w:r>
          </w:p>
        </w:tc>
        <w:tc>
          <w:tcPr>
            <w:tcW w:w="960" w:type="dxa"/>
            <w:tcBorders>
              <w:top w:val="nil"/>
              <w:left w:val="nil"/>
              <w:bottom w:val="nil"/>
              <w:right w:val="nil"/>
            </w:tcBorders>
            <w:noWrap/>
            <w:vAlign w:val="bottom"/>
          </w:tcPr>
          <w:p w14:paraId="43928191" w14:textId="77777777" w:rsidR="00FC360C" w:rsidRPr="004A64B0" w:rsidRDefault="00FC360C" w:rsidP="004A64B0">
            <w:pPr>
              <w:spacing w:line="240" w:lineRule="auto"/>
              <w:jc w:val="center"/>
              <w:rPr>
                <w:rFonts w:cs="Arial"/>
                <w:sz w:val="20"/>
              </w:rPr>
            </w:pPr>
            <w:r w:rsidRPr="004A64B0">
              <w:rPr>
                <w:rFonts w:cs="Arial"/>
                <w:sz w:val="20"/>
              </w:rPr>
              <w:t>0.1</w:t>
            </w:r>
          </w:p>
        </w:tc>
        <w:tc>
          <w:tcPr>
            <w:tcW w:w="960" w:type="dxa"/>
            <w:tcBorders>
              <w:top w:val="nil"/>
              <w:left w:val="nil"/>
              <w:bottom w:val="nil"/>
              <w:right w:val="nil"/>
            </w:tcBorders>
            <w:noWrap/>
            <w:vAlign w:val="bottom"/>
          </w:tcPr>
          <w:p w14:paraId="668170B0" w14:textId="77777777" w:rsidR="00FC360C" w:rsidRPr="004A64B0" w:rsidRDefault="00FC360C" w:rsidP="004A64B0">
            <w:pPr>
              <w:spacing w:line="240" w:lineRule="auto"/>
              <w:jc w:val="center"/>
              <w:rPr>
                <w:rFonts w:cs="Arial"/>
                <w:sz w:val="20"/>
              </w:rPr>
            </w:pPr>
            <w:r w:rsidRPr="004A64B0">
              <w:rPr>
                <w:rFonts w:cs="Arial"/>
                <w:sz w:val="20"/>
              </w:rPr>
              <w:t>0.1</w:t>
            </w:r>
          </w:p>
        </w:tc>
        <w:tc>
          <w:tcPr>
            <w:tcW w:w="960" w:type="dxa"/>
            <w:tcBorders>
              <w:top w:val="nil"/>
              <w:left w:val="nil"/>
              <w:bottom w:val="nil"/>
              <w:right w:val="single" w:sz="8" w:space="0" w:color="auto"/>
            </w:tcBorders>
            <w:noWrap/>
            <w:vAlign w:val="bottom"/>
          </w:tcPr>
          <w:p w14:paraId="0ECD080D" w14:textId="77777777" w:rsidR="00FC360C" w:rsidRPr="004A64B0" w:rsidRDefault="00FC360C" w:rsidP="004A64B0">
            <w:pPr>
              <w:pStyle w:val="CommentText"/>
              <w:spacing w:line="240" w:lineRule="auto"/>
              <w:rPr>
                <w:rFonts w:cs="Arial"/>
              </w:rPr>
            </w:pPr>
            <w:r w:rsidRPr="004A64B0">
              <w:rPr>
                <w:rFonts w:cs="Arial"/>
              </w:rPr>
              <w:t> </w:t>
            </w:r>
          </w:p>
        </w:tc>
      </w:tr>
      <w:tr w:rsidR="00FC360C" w:rsidRPr="004A64B0" w14:paraId="7267128D" w14:textId="77777777" w:rsidTr="002F237A">
        <w:trPr>
          <w:trHeight w:val="255"/>
          <w:jc w:val="center"/>
        </w:trPr>
        <w:tc>
          <w:tcPr>
            <w:tcW w:w="1720" w:type="dxa"/>
            <w:tcBorders>
              <w:top w:val="nil"/>
              <w:left w:val="single" w:sz="8" w:space="0" w:color="auto"/>
              <w:bottom w:val="nil"/>
              <w:right w:val="nil"/>
            </w:tcBorders>
            <w:noWrap/>
            <w:vAlign w:val="bottom"/>
          </w:tcPr>
          <w:p w14:paraId="12E820F3" w14:textId="77777777" w:rsidR="00FC360C" w:rsidRPr="004A64B0" w:rsidRDefault="00FC360C" w:rsidP="004A64B0">
            <w:pPr>
              <w:spacing w:line="240" w:lineRule="auto"/>
              <w:rPr>
                <w:rFonts w:cs="Arial"/>
                <w:sz w:val="20"/>
              </w:rPr>
            </w:pPr>
            <w:r w:rsidRPr="004A64B0">
              <w:rPr>
                <w:rFonts w:cs="Arial"/>
                <w:sz w:val="20"/>
              </w:rPr>
              <w:t> </w:t>
            </w:r>
          </w:p>
        </w:tc>
        <w:tc>
          <w:tcPr>
            <w:tcW w:w="1419" w:type="dxa"/>
            <w:tcBorders>
              <w:top w:val="nil"/>
              <w:left w:val="nil"/>
              <w:bottom w:val="nil"/>
              <w:right w:val="nil"/>
            </w:tcBorders>
            <w:noWrap/>
            <w:vAlign w:val="bottom"/>
          </w:tcPr>
          <w:p w14:paraId="6E44D667" w14:textId="77777777" w:rsidR="00FC360C" w:rsidRPr="004A64B0" w:rsidRDefault="00FC360C" w:rsidP="004A64B0">
            <w:pPr>
              <w:spacing w:line="240" w:lineRule="auto"/>
              <w:rPr>
                <w:rFonts w:cs="Arial"/>
                <w:sz w:val="20"/>
              </w:rPr>
            </w:pPr>
            <w:r w:rsidRPr="004A64B0">
              <w:rPr>
                <w:rFonts w:cs="Arial"/>
                <w:sz w:val="20"/>
              </w:rPr>
              <w:t>1,2,3,7,8,9</w:t>
            </w:r>
          </w:p>
        </w:tc>
        <w:tc>
          <w:tcPr>
            <w:tcW w:w="960" w:type="dxa"/>
            <w:tcBorders>
              <w:top w:val="nil"/>
              <w:left w:val="nil"/>
              <w:bottom w:val="nil"/>
              <w:right w:val="nil"/>
            </w:tcBorders>
            <w:noWrap/>
            <w:vAlign w:val="bottom"/>
          </w:tcPr>
          <w:p w14:paraId="61E21C3C" w14:textId="77777777" w:rsidR="00FC360C" w:rsidRPr="004A64B0" w:rsidRDefault="00FC360C" w:rsidP="004A64B0">
            <w:pPr>
              <w:spacing w:line="240" w:lineRule="auto"/>
              <w:jc w:val="center"/>
              <w:rPr>
                <w:rFonts w:cs="Arial"/>
                <w:sz w:val="20"/>
              </w:rPr>
            </w:pPr>
            <w:r w:rsidRPr="004A64B0">
              <w:rPr>
                <w:rFonts w:cs="Arial"/>
                <w:sz w:val="20"/>
              </w:rPr>
              <w:t>0.1</w:t>
            </w:r>
          </w:p>
        </w:tc>
        <w:tc>
          <w:tcPr>
            <w:tcW w:w="960" w:type="dxa"/>
            <w:tcBorders>
              <w:top w:val="nil"/>
              <w:left w:val="nil"/>
              <w:bottom w:val="nil"/>
              <w:right w:val="nil"/>
            </w:tcBorders>
            <w:noWrap/>
            <w:vAlign w:val="bottom"/>
          </w:tcPr>
          <w:p w14:paraId="3A621C83" w14:textId="77777777" w:rsidR="00FC360C" w:rsidRPr="004A64B0" w:rsidRDefault="00FC360C" w:rsidP="004A64B0">
            <w:pPr>
              <w:spacing w:line="240" w:lineRule="auto"/>
              <w:jc w:val="center"/>
              <w:rPr>
                <w:rFonts w:cs="Arial"/>
                <w:sz w:val="20"/>
              </w:rPr>
            </w:pPr>
            <w:r w:rsidRPr="004A64B0">
              <w:rPr>
                <w:rFonts w:cs="Arial"/>
                <w:sz w:val="20"/>
              </w:rPr>
              <w:t>0.1</w:t>
            </w:r>
          </w:p>
        </w:tc>
        <w:tc>
          <w:tcPr>
            <w:tcW w:w="960" w:type="dxa"/>
            <w:tcBorders>
              <w:top w:val="nil"/>
              <w:left w:val="nil"/>
              <w:bottom w:val="nil"/>
              <w:right w:val="single" w:sz="8" w:space="0" w:color="auto"/>
            </w:tcBorders>
            <w:noWrap/>
            <w:vAlign w:val="bottom"/>
          </w:tcPr>
          <w:p w14:paraId="60ECAAF3" w14:textId="77777777" w:rsidR="00FC360C" w:rsidRPr="004A64B0" w:rsidRDefault="00FC360C" w:rsidP="004A64B0">
            <w:pPr>
              <w:spacing w:line="240" w:lineRule="auto"/>
              <w:rPr>
                <w:rFonts w:cs="Arial"/>
                <w:sz w:val="20"/>
              </w:rPr>
            </w:pPr>
            <w:r w:rsidRPr="004A64B0">
              <w:rPr>
                <w:rFonts w:cs="Arial"/>
                <w:sz w:val="20"/>
              </w:rPr>
              <w:t> </w:t>
            </w:r>
          </w:p>
        </w:tc>
      </w:tr>
      <w:tr w:rsidR="00FC360C" w:rsidRPr="004A64B0" w14:paraId="7531EB04" w14:textId="77777777" w:rsidTr="002F237A">
        <w:trPr>
          <w:trHeight w:val="255"/>
          <w:jc w:val="center"/>
        </w:trPr>
        <w:tc>
          <w:tcPr>
            <w:tcW w:w="1720" w:type="dxa"/>
            <w:tcBorders>
              <w:top w:val="nil"/>
              <w:left w:val="single" w:sz="8" w:space="0" w:color="auto"/>
              <w:bottom w:val="nil"/>
              <w:right w:val="nil"/>
            </w:tcBorders>
            <w:noWrap/>
            <w:vAlign w:val="bottom"/>
          </w:tcPr>
          <w:p w14:paraId="773FA919" w14:textId="77777777" w:rsidR="00FC360C" w:rsidRPr="004A64B0" w:rsidRDefault="00FC360C" w:rsidP="004A64B0">
            <w:pPr>
              <w:spacing w:line="240" w:lineRule="auto"/>
              <w:rPr>
                <w:rFonts w:cs="Arial"/>
                <w:sz w:val="20"/>
              </w:rPr>
            </w:pPr>
            <w:r w:rsidRPr="004A64B0">
              <w:rPr>
                <w:rFonts w:cs="Arial"/>
                <w:sz w:val="20"/>
              </w:rPr>
              <w:t> </w:t>
            </w:r>
          </w:p>
        </w:tc>
        <w:tc>
          <w:tcPr>
            <w:tcW w:w="1419" w:type="dxa"/>
            <w:tcBorders>
              <w:top w:val="nil"/>
              <w:left w:val="nil"/>
              <w:bottom w:val="nil"/>
              <w:right w:val="nil"/>
            </w:tcBorders>
            <w:noWrap/>
            <w:vAlign w:val="bottom"/>
          </w:tcPr>
          <w:p w14:paraId="60472A47" w14:textId="77777777" w:rsidR="00FC360C" w:rsidRPr="004A64B0" w:rsidRDefault="00FC360C" w:rsidP="004A64B0">
            <w:pPr>
              <w:spacing w:line="240" w:lineRule="auto"/>
              <w:rPr>
                <w:rFonts w:cs="Arial"/>
                <w:sz w:val="20"/>
              </w:rPr>
            </w:pPr>
            <w:r w:rsidRPr="004A64B0">
              <w:rPr>
                <w:rFonts w:cs="Arial"/>
                <w:sz w:val="20"/>
              </w:rPr>
              <w:t>2,3,4,6,7,8</w:t>
            </w:r>
          </w:p>
        </w:tc>
        <w:tc>
          <w:tcPr>
            <w:tcW w:w="960" w:type="dxa"/>
            <w:tcBorders>
              <w:top w:val="nil"/>
              <w:left w:val="nil"/>
              <w:bottom w:val="nil"/>
              <w:right w:val="nil"/>
            </w:tcBorders>
            <w:noWrap/>
            <w:vAlign w:val="bottom"/>
          </w:tcPr>
          <w:p w14:paraId="252DCBEC" w14:textId="77777777" w:rsidR="00FC360C" w:rsidRPr="004A64B0" w:rsidRDefault="00FC360C" w:rsidP="004A64B0">
            <w:pPr>
              <w:spacing w:line="240" w:lineRule="auto"/>
              <w:jc w:val="center"/>
              <w:rPr>
                <w:rFonts w:cs="Arial"/>
                <w:sz w:val="20"/>
              </w:rPr>
            </w:pPr>
            <w:r w:rsidRPr="004A64B0">
              <w:rPr>
                <w:rFonts w:cs="Arial"/>
                <w:sz w:val="20"/>
              </w:rPr>
              <w:t>0.1</w:t>
            </w:r>
          </w:p>
        </w:tc>
        <w:tc>
          <w:tcPr>
            <w:tcW w:w="960" w:type="dxa"/>
            <w:tcBorders>
              <w:top w:val="nil"/>
              <w:left w:val="nil"/>
              <w:bottom w:val="nil"/>
              <w:right w:val="nil"/>
            </w:tcBorders>
            <w:noWrap/>
            <w:vAlign w:val="bottom"/>
          </w:tcPr>
          <w:p w14:paraId="68F4E650" w14:textId="77777777" w:rsidR="00FC360C" w:rsidRPr="004A64B0" w:rsidRDefault="00FC360C" w:rsidP="004A64B0">
            <w:pPr>
              <w:spacing w:line="240" w:lineRule="auto"/>
              <w:jc w:val="center"/>
              <w:rPr>
                <w:rFonts w:cs="Arial"/>
                <w:sz w:val="20"/>
              </w:rPr>
            </w:pPr>
            <w:r w:rsidRPr="004A64B0">
              <w:rPr>
                <w:rFonts w:cs="Arial"/>
                <w:sz w:val="20"/>
              </w:rPr>
              <w:t>0.1</w:t>
            </w:r>
          </w:p>
        </w:tc>
        <w:tc>
          <w:tcPr>
            <w:tcW w:w="960" w:type="dxa"/>
            <w:tcBorders>
              <w:top w:val="nil"/>
              <w:left w:val="nil"/>
              <w:bottom w:val="nil"/>
              <w:right w:val="single" w:sz="8" w:space="0" w:color="auto"/>
            </w:tcBorders>
            <w:noWrap/>
            <w:vAlign w:val="bottom"/>
          </w:tcPr>
          <w:p w14:paraId="16347324" w14:textId="77777777" w:rsidR="00FC360C" w:rsidRPr="004A64B0" w:rsidRDefault="00FC360C" w:rsidP="004A64B0">
            <w:pPr>
              <w:spacing w:line="240" w:lineRule="auto"/>
              <w:rPr>
                <w:rFonts w:cs="Arial"/>
                <w:sz w:val="20"/>
              </w:rPr>
            </w:pPr>
            <w:r w:rsidRPr="004A64B0">
              <w:rPr>
                <w:rFonts w:cs="Arial"/>
                <w:sz w:val="20"/>
              </w:rPr>
              <w:t> </w:t>
            </w:r>
          </w:p>
        </w:tc>
      </w:tr>
      <w:tr w:rsidR="00FC360C" w:rsidRPr="004A64B0" w14:paraId="0625CBFD" w14:textId="77777777" w:rsidTr="002F237A">
        <w:trPr>
          <w:trHeight w:val="255"/>
          <w:jc w:val="center"/>
        </w:trPr>
        <w:tc>
          <w:tcPr>
            <w:tcW w:w="1720" w:type="dxa"/>
            <w:tcBorders>
              <w:top w:val="nil"/>
              <w:left w:val="single" w:sz="8" w:space="0" w:color="auto"/>
              <w:bottom w:val="nil"/>
              <w:right w:val="nil"/>
            </w:tcBorders>
            <w:noWrap/>
            <w:vAlign w:val="bottom"/>
          </w:tcPr>
          <w:p w14:paraId="1711E879" w14:textId="77777777" w:rsidR="00FC360C" w:rsidRPr="004A64B0" w:rsidRDefault="00FC360C" w:rsidP="004A64B0">
            <w:pPr>
              <w:spacing w:line="240" w:lineRule="auto"/>
              <w:rPr>
                <w:rFonts w:cs="Arial"/>
                <w:sz w:val="20"/>
              </w:rPr>
            </w:pPr>
            <w:r w:rsidRPr="004A64B0">
              <w:rPr>
                <w:rFonts w:cs="Arial"/>
                <w:sz w:val="20"/>
              </w:rPr>
              <w:t>HpCDF</w:t>
            </w:r>
          </w:p>
        </w:tc>
        <w:tc>
          <w:tcPr>
            <w:tcW w:w="1419" w:type="dxa"/>
            <w:tcBorders>
              <w:top w:val="nil"/>
              <w:left w:val="nil"/>
              <w:bottom w:val="nil"/>
              <w:right w:val="nil"/>
            </w:tcBorders>
            <w:noWrap/>
            <w:vAlign w:val="bottom"/>
          </w:tcPr>
          <w:p w14:paraId="251032B7" w14:textId="77777777" w:rsidR="00FC360C" w:rsidRPr="004A64B0" w:rsidRDefault="00FC360C" w:rsidP="004A64B0">
            <w:pPr>
              <w:spacing w:line="240" w:lineRule="auto"/>
              <w:rPr>
                <w:rFonts w:cs="Arial"/>
                <w:sz w:val="20"/>
              </w:rPr>
            </w:pPr>
            <w:r w:rsidRPr="004A64B0">
              <w:rPr>
                <w:rFonts w:cs="Arial"/>
                <w:sz w:val="20"/>
              </w:rPr>
              <w:t>1,2,3,4,6,7,8</w:t>
            </w:r>
          </w:p>
        </w:tc>
        <w:tc>
          <w:tcPr>
            <w:tcW w:w="960" w:type="dxa"/>
            <w:tcBorders>
              <w:top w:val="nil"/>
              <w:left w:val="nil"/>
              <w:bottom w:val="nil"/>
              <w:right w:val="nil"/>
            </w:tcBorders>
            <w:noWrap/>
            <w:vAlign w:val="bottom"/>
          </w:tcPr>
          <w:p w14:paraId="79765844" w14:textId="77777777" w:rsidR="00FC360C" w:rsidRPr="004A64B0" w:rsidRDefault="00FC360C" w:rsidP="004A64B0">
            <w:pPr>
              <w:spacing w:line="240" w:lineRule="auto"/>
              <w:jc w:val="center"/>
              <w:rPr>
                <w:rFonts w:cs="Arial"/>
                <w:sz w:val="20"/>
              </w:rPr>
            </w:pPr>
            <w:r w:rsidRPr="004A64B0">
              <w:rPr>
                <w:rFonts w:cs="Arial"/>
                <w:sz w:val="20"/>
              </w:rPr>
              <w:t>0.01</w:t>
            </w:r>
          </w:p>
        </w:tc>
        <w:tc>
          <w:tcPr>
            <w:tcW w:w="960" w:type="dxa"/>
            <w:tcBorders>
              <w:top w:val="nil"/>
              <w:left w:val="nil"/>
              <w:bottom w:val="nil"/>
              <w:right w:val="nil"/>
            </w:tcBorders>
            <w:noWrap/>
            <w:vAlign w:val="bottom"/>
          </w:tcPr>
          <w:p w14:paraId="4C2514F9" w14:textId="77777777" w:rsidR="00FC360C" w:rsidRPr="004A64B0" w:rsidRDefault="00FC360C" w:rsidP="004A64B0">
            <w:pPr>
              <w:spacing w:line="240" w:lineRule="auto"/>
              <w:jc w:val="center"/>
              <w:rPr>
                <w:rFonts w:cs="Arial"/>
                <w:sz w:val="20"/>
              </w:rPr>
            </w:pPr>
            <w:r w:rsidRPr="004A64B0">
              <w:rPr>
                <w:rFonts w:cs="Arial"/>
                <w:sz w:val="20"/>
              </w:rPr>
              <w:t>0.01</w:t>
            </w:r>
          </w:p>
        </w:tc>
        <w:tc>
          <w:tcPr>
            <w:tcW w:w="960" w:type="dxa"/>
            <w:tcBorders>
              <w:top w:val="nil"/>
              <w:left w:val="nil"/>
              <w:bottom w:val="nil"/>
              <w:right w:val="single" w:sz="8" w:space="0" w:color="auto"/>
            </w:tcBorders>
            <w:noWrap/>
            <w:vAlign w:val="bottom"/>
          </w:tcPr>
          <w:p w14:paraId="45A2806E" w14:textId="77777777" w:rsidR="00FC360C" w:rsidRPr="004A64B0" w:rsidRDefault="00FC360C" w:rsidP="004A64B0">
            <w:pPr>
              <w:spacing w:line="240" w:lineRule="auto"/>
              <w:rPr>
                <w:rFonts w:cs="Arial"/>
                <w:sz w:val="20"/>
              </w:rPr>
            </w:pPr>
            <w:r w:rsidRPr="004A64B0">
              <w:rPr>
                <w:rFonts w:cs="Arial"/>
                <w:sz w:val="20"/>
              </w:rPr>
              <w:t> </w:t>
            </w:r>
          </w:p>
        </w:tc>
      </w:tr>
      <w:tr w:rsidR="00FC360C" w:rsidRPr="004A64B0" w14:paraId="7DB6C56F" w14:textId="77777777" w:rsidTr="002F237A">
        <w:trPr>
          <w:trHeight w:val="255"/>
          <w:jc w:val="center"/>
        </w:trPr>
        <w:tc>
          <w:tcPr>
            <w:tcW w:w="1720" w:type="dxa"/>
            <w:tcBorders>
              <w:top w:val="nil"/>
              <w:left w:val="single" w:sz="8" w:space="0" w:color="auto"/>
              <w:bottom w:val="nil"/>
              <w:right w:val="nil"/>
            </w:tcBorders>
            <w:noWrap/>
            <w:vAlign w:val="bottom"/>
          </w:tcPr>
          <w:p w14:paraId="730F5C15" w14:textId="77777777" w:rsidR="00FC360C" w:rsidRPr="004A64B0" w:rsidRDefault="00FC360C" w:rsidP="004A64B0">
            <w:pPr>
              <w:spacing w:line="240" w:lineRule="auto"/>
              <w:rPr>
                <w:rFonts w:cs="Arial"/>
                <w:sz w:val="20"/>
              </w:rPr>
            </w:pPr>
            <w:r w:rsidRPr="004A64B0">
              <w:rPr>
                <w:rFonts w:cs="Arial"/>
                <w:sz w:val="20"/>
              </w:rPr>
              <w:t> </w:t>
            </w:r>
          </w:p>
        </w:tc>
        <w:tc>
          <w:tcPr>
            <w:tcW w:w="1419" w:type="dxa"/>
            <w:tcBorders>
              <w:top w:val="nil"/>
              <w:left w:val="nil"/>
              <w:bottom w:val="nil"/>
              <w:right w:val="nil"/>
            </w:tcBorders>
            <w:noWrap/>
            <w:vAlign w:val="bottom"/>
          </w:tcPr>
          <w:p w14:paraId="2F4C9428" w14:textId="77777777" w:rsidR="00FC360C" w:rsidRPr="004A64B0" w:rsidRDefault="00FC360C" w:rsidP="004A64B0">
            <w:pPr>
              <w:spacing w:line="240" w:lineRule="auto"/>
              <w:rPr>
                <w:rFonts w:cs="Arial"/>
                <w:sz w:val="20"/>
              </w:rPr>
            </w:pPr>
            <w:r w:rsidRPr="004A64B0">
              <w:rPr>
                <w:rFonts w:cs="Arial"/>
                <w:sz w:val="20"/>
              </w:rPr>
              <w:t>1,2,3,4,7,8,9</w:t>
            </w:r>
          </w:p>
        </w:tc>
        <w:tc>
          <w:tcPr>
            <w:tcW w:w="960" w:type="dxa"/>
            <w:tcBorders>
              <w:top w:val="nil"/>
              <w:left w:val="nil"/>
              <w:bottom w:val="nil"/>
              <w:right w:val="nil"/>
            </w:tcBorders>
            <w:noWrap/>
            <w:vAlign w:val="bottom"/>
          </w:tcPr>
          <w:p w14:paraId="27DC8631" w14:textId="77777777" w:rsidR="00FC360C" w:rsidRPr="004A64B0" w:rsidRDefault="00FC360C" w:rsidP="004A64B0">
            <w:pPr>
              <w:spacing w:line="240" w:lineRule="auto"/>
              <w:jc w:val="center"/>
              <w:rPr>
                <w:rFonts w:cs="Arial"/>
                <w:sz w:val="20"/>
              </w:rPr>
            </w:pPr>
            <w:r w:rsidRPr="004A64B0">
              <w:rPr>
                <w:rFonts w:cs="Arial"/>
                <w:sz w:val="20"/>
              </w:rPr>
              <w:t>0.01</w:t>
            </w:r>
          </w:p>
        </w:tc>
        <w:tc>
          <w:tcPr>
            <w:tcW w:w="960" w:type="dxa"/>
            <w:tcBorders>
              <w:top w:val="nil"/>
              <w:left w:val="nil"/>
              <w:bottom w:val="nil"/>
              <w:right w:val="nil"/>
            </w:tcBorders>
            <w:noWrap/>
            <w:vAlign w:val="bottom"/>
          </w:tcPr>
          <w:p w14:paraId="5214E077" w14:textId="77777777" w:rsidR="00FC360C" w:rsidRPr="004A64B0" w:rsidRDefault="00FC360C" w:rsidP="004A64B0">
            <w:pPr>
              <w:spacing w:line="240" w:lineRule="auto"/>
              <w:jc w:val="center"/>
              <w:rPr>
                <w:rFonts w:cs="Arial"/>
                <w:sz w:val="20"/>
              </w:rPr>
            </w:pPr>
            <w:r w:rsidRPr="004A64B0">
              <w:rPr>
                <w:rFonts w:cs="Arial"/>
                <w:sz w:val="20"/>
              </w:rPr>
              <w:t>0.01</w:t>
            </w:r>
          </w:p>
        </w:tc>
        <w:tc>
          <w:tcPr>
            <w:tcW w:w="960" w:type="dxa"/>
            <w:tcBorders>
              <w:top w:val="nil"/>
              <w:left w:val="nil"/>
              <w:bottom w:val="nil"/>
              <w:right w:val="single" w:sz="8" w:space="0" w:color="auto"/>
            </w:tcBorders>
            <w:noWrap/>
            <w:vAlign w:val="bottom"/>
          </w:tcPr>
          <w:p w14:paraId="05F406D5" w14:textId="77777777" w:rsidR="00FC360C" w:rsidRPr="004A64B0" w:rsidRDefault="00FC360C" w:rsidP="004A64B0">
            <w:pPr>
              <w:spacing w:line="240" w:lineRule="auto"/>
              <w:rPr>
                <w:rFonts w:cs="Arial"/>
                <w:sz w:val="20"/>
              </w:rPr>
            </w:pPr>
            <w:r w:rsidRPr="004A64B0">
              <w:rPr>
                <w:rFonts w:cs="Arial"/>
                <w:sz w:val="20"/>
              </w:rPr>
              <w:t> </w:t>
            </w:r>
          </w:p>
        </w:tc>
      </w:tr>
      <w:tr w:rsidR="00FC360C" w:rsidRPr="004A64B0" w14:paraId="3510355D" w14:textId="77777777" w:rsidTr="002F237A">
        <w:trPr>
          <w:trHeight w:val="255"/>
          <w:jc w:val="center"/>
        </w:trPr>
        <w:tc>
          <w:tcPr>
            <w:tcW w:w="1720" w:type="dxa"/>
            <w:tcBorders>
              <w:top w:val="nil"/>
              <w:left w:val="single" w:sz="8" w:space="0" w:color="auto"/>
              <w:bottom w:val="nil"/>
              <w:right w:val="nil"/>
            </w:tcBorders>
            <w:noWrap/>
            <w:vAlign w:val="bottom"/>
          </w:tcPr>
          <w:p w14:paraId="67C12C08" w14:textId="77777777" w:rsidR="00FC360C" w:rsidRPr="004A64B0" w:rsidRDefault="00FC360C" w:rsidP="004A64B0">
            <w:pPr>
              <w:spacing w:line="240" w:lineRule="auto"/>
              <w:rPr>
                <w:rFonts w:cs="Arial"/>
                <w:sz w:val="20"/>
              </w:rPr>
            </w:pPr>
            <w:r w:rsidRPr="004A64B0">
              <w:rPr>
                <w:rFonts w:cs="Arial"/>
                <w:sz w:val="20"/>
              </w:rPr>
              <w:t>OCDF</w:t>
            </w:r>
          </w:p>
        </w:tc>
        <w:tc>
          <w:tcPr>
            <w:tcW w:w="1419" w:type="dxa"/>
            <w:tcBorders>
              <w:top w:val="nil"/>
              <w:left w:val="nil"/>
              <w:bottom w:val="nil"/>
              <w:right w:val="nil"/>
            </w:tcBorders>
            <w:noWrap/>
            <w:vAlign w:val="bottom"/>
          </w:tcPr>
          <w:p w14:paraId="78C320B8" w14:textId="77777777" w:rsidR="00FC360C" w:rsidRPr="004A64B0" w:rsidRDefault="00FC360C" w:rsidP="004A64B0">
            <w:pPr>
              <w:spacing w:line="240" w:lineRule="auto"/>
              <w:rPr>
                <w:rFonts w:cs="Arial"/>
                <w:sz w:val="20"/>
              </w:rPr>
            </w:pPr>
            <w:r w:rsidRPr="004A64B0">
              <w:rPr>
                <w:rFonts w:cs="Arial"/>
                <w:sz w:val="20"/>
              </w:rPr>
              <w:t>1,2,3,4,6,7,8,9</w:t>
            </w:r>
          </w:p>
        </w:tc>
        <w:tc>
          <w:tcPr>
            <w:tcW w:w="960" w:type="dxa"/>
            <w:tcBorders>
              <w:top w:val="nil"/>
              <w:left w:val="nil"/>
              <w:bottom w:val="nil"/>
              <w:right w:val="nil"/>
            </w:tcBorders>
            <w:noWrap/>
            <w:vAlign w:val="bottom"/>
          </w:tcPr>
          <w:p w14:paraId="70CB2FAC" w14:textId="77777777" w:rsidR="00FC360C" w:rsidRPr="004A64B0" w:rsidRDefault="00FC360C" w:rsidP="004A64B0">
            <w:pPr>
              <w:spacing w:line="240" w:lineRule="auto"/>
              <w:jc w:val="center"/>
              <w:rPr>
                <w:rFonts w:cs="Arial"/>
                <w:sz w:val="20"/>
              </w:rPr>
            </w:pPr>
            <w:r w:rsidRPr="004A64B0">
              <w:rPr>
                <w:rFonts w:cs="Arial"/>
                <w:sz w:val="20"/>
              </w:rPr>
              <w:t>0.001</w:t>
            </w:r>
          </w:p>
        </w:tc>
        <w:tc>
          <w:tcPr>
            <w:tcW w:w="960" w:type="dxa"/>
            <w:tcBorders>
              <w:top w:val="nil"/>
              <w:left w:val="nil"/>
              <w:bottom w:val="nil"/>
              <w:right w:val="nil"/>
            </w:tcBorders>
            <w:noWrap/>
            <w:vAlign w:val="bottom"/>
          </w:tcPr>
          <w:p w14:paraId="3DF0CB00" w14:textId="77777777" w:rsidR="00FC360C" w:rsidRPr="004A64B0" w:rsidRDefault="00FC360C" w:rsidP="004A64B0">
            <w:pPr>
              <w:spacing w:line="240" w:lineRule="auto"/>
              <w:jc w:val="center"/>
              <w:rPr>
                <w:rFonts w:cs="Arial"/>
                <w:sz w:val="20"/>
              </w:rPr>
            </w:pPr>
            <w:r w:rsidRPr="004A64B0">
              <w:rPr>
                <w:rFonts w:cs="Arial"/>
                <w:sz w:val="20"/>
              </w:rPr>
              <w:t>0.0003</w:t>
            </w:r>
          </w:p>
        </w:tc>
        <w:tc>
          <w:tcPr>
            <w:tcW w:w="960" w:type="dxa"/>
            <w:tcBorders>
              <w:top w:val="nil"/>
              <w:left w:val="nil"/>
              <w:bottom w:val="nil"/>
              <w:right w:val="single" w:sz="8" w:space="0" w:color="auto"/>
            </w:tcBorders>
            <w:noWrap/>
            <w:vAlign w:val="bottom"/>
          </w:tcPr>
          <w:p w14:paraId="59A8A008" w14:textId="77777777" w:rsidR="00FC360C" w:rsidRPr="004A64B0" w:rsidRDefault="00FC360C" w:rsidP="004A64B0">
            <w:pPr>
              <w:spacing w:line="240" w:lineRule="auto"/>
              <w:rPr>
                <w:rFonts w:cs="Arial"/>
                <w:sz w:val="20"/>
              </w:rPr>
            </w:pPr>
            <w:r w:rsidRPr="004A64B0">
              <w:rPr>
                <w:rFonts w:cs="Arial"/>
                <w:sz w:val="20"/>
              </w:rPr>
              <w:t> </w:t>
            </w:r>
          </w:p>
        </w:tc>
      </w:tr>
      <w:tr w:rsidR="00FC360C" w:rsidRPr="004A64B0" w14:paraId="17B34345" w14:textId="77777777" w:rsidTr="002F237A">
        <w:trPr>
          <w:trHeight w:val="255"/>
          <w:jc w:val="center"/>
        </w:trPr>
        <w:tc>
          <w:tcPr>
            <w:tcW w:w="6019" w:type="dxa"/>
            <w:gridSpan w:val="5"/>
            <w:tcBorders>
              <w:top w:val="single" w:sz="4" w:space="0" w:color="auto"/>
              <w:left w:val="single" w:sz="8" w:space="0" w:color="auto"/>
              <w:bottom w:val="single" w:sz="4" w:space="0" w:color="auto"/>
              <w:right w:val="single" w:sz="8" w:space="0" w:color="000000"/>
            </w:tcBorders>
            <w:noWrap/>
            <w:vAlign w:val="bottom"/>
          </w:tcPr>
          <w:p w14:paraId="49DBFE30" w14:textId="77777777" w:rsidR="00FC360C" w:rsidRPr="004A64B0" w:rsidRDefault="00FC360C" w:rsidP="004A64B0">
            <w:pPr>
              <w:spacing w:line="240" w:lineRule="auto"/>
              <w:jc w:val="center"/>
              <w:rPr>
                <w:rFonts w:cs="Arial"/>
                <w:sz w:val="20"/>
              </w:rPr>
            </w:pPr>
            <w:r w:rsidRPr="004A64B0">
              <w:rPr>
                <w:rFonts w:cs="Arial"/>
                <w:sz w:val="20"/>
              </w:rPr>
              <w:t>Non-</w:t>
            </w:r>
            <w:r w:rsidRPr="004A64B0">
              <w:rPr>
                <w:rFonts w:cs="Arial"/>
                <w:i/>
                <w:sz w:val="20"/>
              </w:rPr>
              <w:t>ortho</w:t>
            </w:r>
            <w:r w:rsidRPr="004A64B0">
              <w:rPr>
                <w:rFonts w:cs="Arial"/>
                <w:sz w:val="20"/>
              </w:rPr>
              <w:t xml:space="preserve"> PCBs</w:t>
            </w:r>
          </w:p>
        </w:tc>
      </w:tr>
      <w:tr w:rsidR="00FC360C" w:rsidRPr="004A64B0" w14:paraId="141A4B4C" w14:textId="77777777" w:rsidTr="002F237A">
        <w:trPr>
          <w:trHeight w:val="255"/>
          <w:jc w:val="center"/>
        </w:trPr>
        <w:tc>
          <w:tcPr>
            <w:tcW w:w="1720" w:type="dxa"/>
            <w:tcBorders>
              <w:top w:val="nil"/>
              <w:left w:val="single" w:sz="8" w:space="0" w:color="auto"/>
              <w:bottom w:val="nil"/>
              <w:right w:val="nil"/>
            </w:tcBorders>
            <w:noWrap/>
            <w:vAlign w:val="bottom"/>
          </w:tcPr>
          <w:p w14:paraId="53285AA6" w14:textId="77777777" w:rsidR="00FC360C" w:rsidRPr="004A64B0" w:rsidRDefault="00FC360C" w:rsidP="004A64B0">
            <w:pPr>
              <w:spacing w:line="240" w:lineRule="auto"/>
              <w:rPr>
                <w:rFonts w:cs="Arial"/>
                <w:sz w:val="20"/>
              </w:rPr>
            </w:pPr>
            <w:r w:rsidRPr="004A64B0">
              <w:rPr>
                <w:rFonts w:cs="Arial"/>
                <w:sz w:val="20"/>
              </w:rPr>
              <w:t>TeCB</w:t>
            </w:r>
          </w:p>
        </w:tc>
        <w:tc>
          <w:tcPr>
            <w:tcW w:w="1419" w:type="dxa"/>
            <w:tcBorders>
              <w:top w:val="nil"/>
              <w:left w:val="nil"/>
              <w:bottom w:val="nil"/>
              <w:right w:val="nil"/>
            </w:tcBorders>
            <w:noWrap/>
            <w:vAlign w:val="bottom"/>
          </w:tcPr>
          <w:p w14:paraId="4E2A6F11" w14:textId="77777777" w:rsidR="00FC360C" w:rsidRPr="004A64B0" w:rsidRDefault="00FC360C" w:rsidP="004A64B0">
            <w:pPr>
              <w:spacing w:line="240" w:lineRule="auto"/>
              <w:rPr>
                <w:rFonts w:cs="Arial"/>
                <w:sz w:val="20"/>
              </w:rPr>
            </w:pPr>
            <w:r w:rsidRPr="004A64B0">
              <w:rPr>
                <w:rFonts w:cs="Arial"/>
                <w:sz w:val="20"/>
              </w:rPr>
              <w:t>3,3',4,4'</w:t>
            </w:r>
          </w:p>
        </w:tc>
        <w:tc>
          <w:tcPr>
            <w:tcW w:w="960" w:type="dxa"/>
            <w:tcBorders>
              <w:top w:val="nil"/>
              <w:left w:val="nil"/>
              <w:bottom w:val="nil"/>
              <w:right w:val="nil"/>
            </w:tcBorders>
            <w:noWrap/>
            <w:vAlign w:val="bottom"/>
          </w:tcPr>
          <w:p w14:paraId="4CF3B412" w14:textId="77777777" w:rsidR="00FC360C" w:rsidRPr="004A64B0" w:rsidRDefault="00FC360C" w:rsidP="004A64B0">
            <w:pPr>
              <w:spacing w:line="240" w:lineRule="auto"/>
              <w:jc w:val="center"/>
              <w:rPr>
                <w:rFonts w:cs="Arial"/>
                <w:sz w:val="20"/>
              </w:rPr>
            </w:pPr>
          </w:p>
        </w:tc>
        <w:tc>
          <w:tcPr>
            <w:tcW w:w="960" w:type="dxa"/>
            <w:tcBorders>
              <w:top w:val="nil"/>
              <w:left w:val="nil"/>
              <w:bottom w:val="nil"/>
              <w:right w:val="nil"/>
            </w:tcBorders>
            <w:noWrap/>
            <w:vAlign w:val="bottom"/>
          </w:tcPr>
          <w:p w14:paraId="3C4FE8A9" w14:textId="77777777" w:rsidR="00FC360C" w:rsidRPr="004A64B0" w:rsidRDefault="00FC360C" w:rsidP="004A64B0">
            <w:pPr>
              <w:spacing w:line="240" w:lineRule="auto"/>
              <w:jc w:val="center"/>
              <w:rPr>
                <w:rFonts w:cs="Arial"/>
                <w:sz w:val="20"/>
              </w:rPr>
            </w:pPr>
            <w:r w:rsidRPr="004A64B0">
              <w:rPr>
                <w:rFonts w:cs="Arial"/>
                <w:sz w:val="20"/>
              </w:rPr>
              <w:t>0.0001</w:t>
            </w:r>
          </w:p>
        </w:tc>
        <w:tc>
          <w:tcPr>
            <w:tcW w:w="960" w:type="dxa"/>
            <w:tcBorders>
              <w:top w:val="nil"/>
              <w:left w:val="nil"/>
              <w:bottom w:val="nil"/>
              <w:right w:val="single" w:sz="8" w:space="0" w:color="auto"/>
            </w:tcBorders>
            <w:noWrap/>
            <w:vAlign w:val="bottom"/>
          </w:tcPr>
          <w:p w14:paraId="609D783B" w14:textId="77777777" w:rsidR="00FC360C" w:rsidRPr="004A64B0" w:rsidRDefault="00FC360C" w:rsidP="004A64B0">
            <w:pPr>
              <w:spacing w:line="240" w:lineRule="auto"/>
              <w:jc w:val="center"/>
              <w:rPr>
                <w:rFonts w:cs="Arial"/>
                <w:sz w:val="20"/>
              </w:rPr>
            </w:pPr>
            <w:r w:rsidRPr="004A64B0">
              <w:rPr>
                <w:rFonts w:cs="Arial"/>
                <w:sz w:val="20"/>
              </w:rPr>
              <w:t>77</w:t>
            </w:r>
          </w:p>
        </w:tc>
      </w:tr>
      <w:tr w:rsidR="00FC360C" w:rsidRPr="004A64B0" w14:paraId="527B5440" w14:textId="77777777" w:rsidTr="002F237A">
        <w:trPr>
          <w:trHeight w:val="255"/>
          <w:jc w:val="center"/>
        </w:trPr>
        <w:tc>
          <w:tcPr>
            <w:tcW w:w="1720" w:type="dxa"/>
            <w:tcBorders>
              <w:top w:val="nil"/>
              <w:left w:val="single" w:sz="8" w:space="0" w:color="auto"/>
              <w:bottom w:val="nil"/>
              <w:right w:val="nil"/>
            </w:tcBorders>
            <w:noWrap/>
            <w:vAlign w:val="bottom"/>
          </w:tcPr>
          <w:p w14:paraId="4FC7709C" w14:textId="77777777" w:rsidR="00FC360C" w:rsidRPr="004A64B0" w:rsidRDefault="00FC360C" w:rsidP="004A64B0">
            <w:pPr>
              <w:spacing w:line="240" w:lineRule="auto"/>
              <w:rPr>
                <w:rFonts w:cs="Arial"/>
                <w:sz w:val="20"/>
              </w:rPr>
            </w:pPr>
            <w:r w:rsidRPr="004A64B0">
              <w:rPr>
                <w:rFonts w:cs="Arial"/>
                <w:sz w:val="20"/>
              </w:rPr>
              <w:t>TeCB</w:t>
            </w:r>
          </w:p>
        </w:tc>
        <w:tc>
          <w:tcPr>
            <w:tcW w:w="1419" w:type="dxa"/>
            <w:tcBorders>
              <w:top w:val="nil"/>
              <w:left w:val="nil"/>
              <w:bottom w:val="nil"/>
              <w:right w:val="nil"/>
            </w:tcBorders>
            <w:noWrap/>
            <w:vAlign w:val="bottom"/>
          </w:tcPr>
          <w:p w14:paraId="3137EDE2" w14:textId="77777777" w:rsidR="00FC360C" w:rsidRPr="004A64B0" w:rsidRDefault="00FC360C" w:rsidP="004A64B0">
            <w:pPr>
              <w:spacing w:line="240" w:lineRule="auto"/>
              <w:rPr>
                <w:rFonts w:cs="Arial"/>
                <w:sz w:val="20"/>
              </w:rPr>
            </w:pPr>
            <w:r w:rsidRPr="004A64B0">
              <w:rPr>
                <w:rFonts w:cs="Arial"/>
                <w:sz w:val="20"/>
              </w:rPr>
              <w:t>3,4,4’,5</w:t>
            </w:r>
          </w:p>
        </w:tc>
        <w:tc>
          <w:tcPr>
            <w:tcW w:w="960" w:type="dxa"/>
            <w:tcBorders>
              <w:top w:val="nil"/>
              <w:left w:val="nil"/>
              <w:bottom w:val="nil"/>
              <w:right w:val="nil"/>
            </w:tcBorders>
            <w:noWrap/>
            <w:vAlign w:val="bottom"/>
          </w:tcPr>
          <w:p w14:paraId="49ADCF71" w14:textId="77777777" w:rsidR="00FC360C" w:rsidRPr="004A64B0" w:rsidRDefault="00FC360C" w:rsidP="004A64B0">
            <w:pPr>
              <w:spacing w:line="240" w:lineRule="auto"/>
              <w:jc w:val="center"/>
              <w:rPr>
                <w:rFonts w:cs="Arial"/>
                <w:sz w:val="20"/>
              </w:rPr>
            </w:pPr>
          </w:p>
        </w:tc>
        <w:tc>
          <w:tcPr>
            <w:tcW w:w="960" w:type="dxa"/>
            <w:tcBorders>
              <w:top w:val="nil"/>
              <w:left w:val="nil"/>
              <w:bottom w:val="nil"/>
              <w:right w:val="nil"/>
            </w:tcBorders>
            <w:noWrap/>
            <w:vAlign w:val="bottom"/>
          </w:tcPr>
          <w:p w14:paraId="2BFC01D0" w14:textId="77777777" w:rsidR="00FC360C" w:rsidRPr="004A64B0" w:rsidRDefault="00FC360C" w:rsidP="004A64B0">
            <w:pPr>
              <w:spacing w:line="240" w:lineRule="auto"/>
              <w:jc w:val="center"/>
              <w:rPr>
                <w:rFonts w:cs="Arial"/>
                <w:sz w:val="20"/>
              </w:rPr>
            </w:pPr>
            <w:r w:rsidRPr="004A64B0">
              <w:rPr>
                <w:rFonts w:cs="Arial"/>
                <w:sz w:val="20"/>
              </w:rPr>
              <w:t>0.0003</w:t>
            </w:r>
          </w:p>
        </w:tc>
        <w:tc>
          <w:tcPr>
            <w:tcW w:w="960" w:type="dxa"/>
            <w:tcBorders>
              <w:top w:val="nil"/>
              <w:left w:val="nil"/>
              <w:bottom w:val="nil"/>
              <w:right w:val="single" w:sz="8" w:space="0" w:color="auto"/>
            </w:tcBorders>
            <w:noWrap/>
            <w:vAlign w:val="bottom"/>
          </w:tcPr>
          <w:p w14:paraId="7DDE4148" w14:textId="77777777" w:rsidR="00FC360C" w:rsidRPr="004A64B0" w:rsidRDefault="00FC360C" w:rsidP="004A64B0">
            <w:pPr>
              <w:spacing w:line="240" w:lineRule="auto"/>
              <w:jc w:val="center"/>
              <w:rPr>
                <w:rFonts w:cs="Arial"/>
                <w:sz w:val="20"/>
              </w:rPr>
            </w:pPr>
            <w:r w:rsidRPr="004A64B0">
              <w:rPr>
                <w:rFonts w:cs="Arial"/>
                <w:sz w:val="20"/>
              </w:rPr>
              <w:t>81</w:t>
            </w:r>
          </w:p>
        </w:tc>
      </w:tr>
      <w:tr w:rsidR="00FC360C" w:rsidRPr="004A64B0" w14:paraId="66FB78D7" w14:textId="77777777" w:rsidTr="002F237A">
        <w:trPr>
          <w:trHeight w:val="255"/>
          <w:jc w:val="center"/>
        </w:trPr>
        <w:tc>
          <w:tcPr>
            <w:tcW w:w="1720" w:type="dxa"/>
            <w:tcBorders>
              <w:top w:val="nil"/>
              <w:left w:val="single" w:sz="8" w:space="0" w:color="auto"/>
              <w:bottom w:val="nil"/>
              <w:right w:val="nil"/>
            </w:tcBorders>
            <w:noWrap/>
            <w:vAlign w:val="bottom"/>
          </w:tcPr>
          <w:p w14:paraId="605C0712" w14:textId="77777777" w:rsidR="00FC360C" w:rsidRPr="004A64B0" w:rsidRDefault="00FC360C" w:rsidP="004A64B0">
            <w:pPr>
              <w:spacing w:line="240" w:lineRule="auto"/>
              <w:rPr>
                <w:rFonts w:cs="Arial"/>
                <w:sz w:val="20"/>
              </w:rPr>
            </w:pPr>
            <w:r w:rsidRPr="004A64B0">
              <w:rPr>
                <w:rFonts w:cs="Arial"/>
                <w:sz w:val="20"/>
              </w:rPr>
              <w:t>PeCB</w:t>
            </w:r>
          </w:p>
        </w:tc>
        <w:tc>
          <w:tcPr>
            <w:tcW w:w="1419" w:type="dxa"/>
            <w:tcBorders>
              <w:top w:val="nil"/>
              <w:left w:val="nil"/>
              <w:bottom w:val="nil"/>
              <w:right w:val="nil"/>
            </w:tcBorders>
            <w:noWrap/>
            <w:vAlign w:val="bottom"/>
          </w:tcPr>
          <w:p w14:paraId="458825FD" w14:textId="77777777" w:rsidR="00FC360C" w:rsidRPr="004A64B0" w:rsidRDefault="00FC360C" w:rsidP="004A64B0">
            <w:pPr>
              <w:spacing w:line="240" w:lineRule="auto"/>
              <w:rPr>
                <w:rFonts w:cs="Arial"/>
                <w:sz w:val="20"/>
              </w:rPr>
            </w:pPr>
            <w:r w:rsidRPr="004A64B0">
              <w:rPr>
                <w:rFonts w:cs="Arial"/>
                <w:sz w:val="20"/>
              </w:rPr>
              <w:t>3,3',4,4',5</w:t>
            </w:r>
          </w:p>
        </w:tc>
        <w:tc>
          <w:tcPr>
            <w:tcW w:w="960" w:type="dxa"/>
            <w:tcBorders>
              <w:top w:val="nil"/>
              <w:left w:val="nil"/>
              <w:bottom w:val="nil"/>
              <w:right w:val="nil"/>
            </w:tcBorders>
            <w:noWrap/>
            <w:vAlign w:val="bottom"/>
          </w:tcPr>
          <w:p w14:paraId="13263CB2" w14:textId="77777777" w:rsidR="00FC360C" w:rsidRPr="004A64B0" w:rsidRDefault="00FC360C" w:rsidP="004A64B0">
            <w:pPr>
              <w:spacing w:line="240" w:lineRule="auto"/>
              <w:jc w:val="center"/>
              <w:rPr>
                <w:rFonts w:cs="Arial"/>
                <w:sz w:val="20"/>
              </w:rPr>
            </w:pPr>
          </w:p>
        </w:tc>
        <w:tc>
          <w:tcPr>
            <w:tcW w:w="960" w:type="dxa"/>
            <w:tcBorders>
              <w:top w:val="nil"/>
              <w:left w:val="nil"/>
              <w:bottom w:val="nil"/>
              <w:right w:val="nil"/>
            </w:tcBorders>
            <w:noWrap/>
            <w:vAlign w:val="bottom"/>
          </w:tcPr>
          <w:p w14:paraId="3CF32DB7" w14:textId="77777777" w:rsidR="00FC360C" w:rsidRPr="004A64B0" w:rsidRDefault="00FC360C" w:rsidP="004A64B0">
            <w:pPr>
              <w:spacing w:line="240" w:lineRule="auto"/>
              <w:jc w:val="center"/>
              <w:rPr>
                <w:rFonts w:cs="Arial"/>
                <w:sz w:val="20"/>
              </w:rPr>
            </w:pPr>
            <w:r w:rsidRPr="004A64B0">
              <w:rPr>
                <w:rFonts w:cs="Arial"/>
                <w:sz w:val="20"/>
              </w:rPr>
              <w:t>0.1</w:t>
            </w:r>
          </w:p>
        </w:tc>
        <w:tc>
          <w:tcPr>
            <w:tcW w:w="960" w:type="dxa"/>
            <w:tcBorders>
              <w:top w:val="nil"/>
              <w:left w:val="nil"/>
              <w:bottom w:val="nil"/>
              <w:right w:val="single" w:sz="8" w:space="0" w:color="auto"/>
            </w:tcBorders>
            <w:noWrap/>
            <w:vAlign w:val="bottom"/>
          </w:tcPr>
          <w:p w14:paraId="582D9008" w14:textId="77777777" w:rsidR="00FC360C" w:rsidRPr="004A64B0" w:rsidRDefault="00FC360C" w:rsidP="004A64B0">
            <w:pPr>
              <w:spacing w:line="240" w:lineRule="auto"/>
              <w:jc w:val="center"/>
              <w:rPr>
                <w:rFonts w:cs="Arial"/>
                <w:sz w:val="20"/>
              </w:rPr>
            </w:pPr>
            <w:r w:rsidRPr="004A64B0">
              <w:rPr>
                <w:rFonts w:cs="Arial"/>
                <w:sz w:val="20"/>
              </w:rPr>
              <w:t>126</w:t>
            </w:r>
          </w:p>
        </w:tc>
      </w:tr>
      <w:tr w:rsidR="00FC360C" w:rsidRPr="004A64B0" w14:paraId="246080A3" w14:textId="77777777" w:rsidTr="002F237A">
        <w:trPr>
          <w:trHeight w:val="255"/>
          <w:jc w:val="center"/>
        </w:trPr>
        <w:tc>
          <w:tcPr>
            <w:tcW w:w="1720" w:type="dxa"/>
            <w:tcBorders>
              <w:top w:val="nil"/>
              <w:left w:val="single" w:sz="8" w:space="0" w:color="auto"/>
              <w:bottom w:val="single" w:sz="8" w:space="0" w:color="auto"/>
              <w:right w:val="nil"/>
            </w:tcBorders>
            <w:noWrap/>
            <w:vAlign w:val="bottom"/>
          </w:tcPr>
          <w:p w14:paraId="5857CC8F" w14:textId="77777777" w:rsidR="00FC360C" w:rsidRPr="004A64B0" w:rsidRDefault="00FC360C" w:rsidP="004A64B0">
            <w:pPr>
              <w:spacing w:line="240" w:lineRule="auto"/>
              <w:rPr>
                <w:rFonts w:cs="Arial"/>
                <w:sz w:val="20"/>
              </w:rPr>
            </w:pPr>
            <w:r w:rsidRPr="004A64B0">
              <w:rPr>
                <w:rFonts w:cs="Arial"/>
                <w:sz w:val="20"/>
              </w:rPr>
              <w:t>HxCB</w:t>
            </w:r>
          </w:p>
        </w:tc>
        <w:tc>
          <w:tcPr>
            <w:tcW w:w="1419" w:type="dxa"/>
            <w:tcBorders>
              <w:top w:val="nil"/>
              <w:left w:val="nil"/>
              <w:bottom w:val="single" w:sz="8" w:space="0" w:color="auto"/>
              <w:right w:val="nil"/>
            </w:tcBorders>
            <w:noWrap/>
            <w:vAlign w:val="bottom"/>
          </w:tcPr>
          <w:p w14:paraId="3B4F7ED7" w14:textId="77777777" w:rsidR="00FC360C" w:rsidRPr="004A64B0" w:rsidRDefault="00FC360C" w:rsidP="004A64B0">
            <w:pPr>
              <w:spacing w:line="240" w:lineRule="auto"/>
              <w:rPr>
                <w:rFonts w:cs="Arial"/>
                <w:sz w:val="20"/>
              </w:rPr>
            </w:pPr>
            <w:r w:rsidRPr="004A64B0">
              <w:rPr>
                <w:rFonts w:cs="Arial"/>
                <w:sz w:val="20"/>
              </w:rPr>
              <w:t>3,3',4,4',5,5'</w:t>
            </w:r>
          </w:p>
        </w:tc>
        <w:tc>
          <w:tcPr>
            <w:tcW w:w="960" w:type="dxa"/>
            <w:tcBorders>
              <w:top w:val="nil"/>
              <w:left w:val="nil"/>
              <w:bottom w:val="single" w:sz="8" w:space="0" w:color="auto"/>
              <w:right w:val="nil"/>
            </w:tcBorders>
            <w:noWrap/>
            <w:vAlign w:val="bottom"/>
          </w:tcPr>
          <w:p w14:paraId="73C1BF5D" w14:textId="77777777" w:rsidR="00FC360C" w:rsidRPr="004A64B0" w:rsidRDefault="00FC360C" w:rsidP="004A64B0">
            <w:pPr>
              <w:spacing w:line="240" w:lineRule="auto"/>
              <w:jc w:val="center"/>
              <w:rPr>
                <w:rFonts w:cs="Arial"/>
                <w:sz w:val="20"/>
              </w:rPr>
            </w:pPr>
          </w:p>
        </w:tc>
        <w:tc>
          <w:tcPr>
            <w:tcW w:w="960" w:type="dxa"/>
            <w:tcBorders>
              <w:top w:val="nil"/>
              <w:left w:val="nil"/>
              <w:bottom w:val="single" w:sz="8" w:space="0" w:color="auto"/>
              <w:right w:val="nil"/>
            </w:tcBorders>
            <w:noWrap/>
            <w:vAlign w:val="bottom"/>
          </w:tcPr>
          <w:p w14:paraId="6AD75B01" w14:textId="77777777" w:rsidR="00FC360C" w:rsidRPr="004A64B0" w:rsidRDefault="00FC360C" w:rsidP="004A64B0">
            <w:pPr>
              <w:spacing w:line="240" w:lineRule="auto"/>
              <w:jc w:val="center"/>
              <w:rPr>
                <w:rFonts w:cs="Arial"/>
                <w:sz w:val="20"/>
              </w:rPr>
            </w:pPr>
            <w:r w:rsidRPr="004A64B0">
              <w:rPr>
                <w:rFonts w:cs="Arial"/>
                <w:sz w:val="20"/>
              </w:rPr>
              <w:t>0.03</w:t>
            </w:r>
          </w:p>
        </w:tc>
        <w:tc>
          <w:tcPr>
            <w:tcW w:w="960" w:type="dxa"/>
            <w:tcBorders>
              <w:top w:val="nil"/>
              <w:left w:val="nil"/>
              <w:bottom w:val="single" w:sz="8" w:space="0" w:color="auto"/>
              <w:right w:val="single" w:sz="8" w:space="0" w:color="auto"/>
            </w:tcBorders>
            <w:noWrap/>
            <w:vAlign w:val="bottom"/>
          </w:tcPr>
          <w:p w14:paraId="62CB17E4" w14:textId="77777777" w:rsidR="00FC360C" w:rsidRPr="004A64B0" w:rsidRDefault="00FC360C" w:rsidP="004A64B0">
            <w:pPr>
              <w:spacing w:line="240" w:lineRule="auto"/>
              <w:jc w:val="center"/>
              <w:rPr>
                <w:rFonts w:cs="Arial"/>
                <w:sz w:val="20"/>
              </w:rPr>
            </w:pPr>
            <w:r w:rsidRPr="004A64B0">
              <w:rPr>
                <w:rFonts w:cs="Arial"/>
                <w:sz w:val="20"/>
              </w:rPr>
              <w:t>169</w:t>
            </w:r>
          </w:p>
        </w:tc>
      </w:tr>
      <w:tr w:rsidR="00FC360C" w:rsidRPr="004A64B0" w14:paraId="4CBBE907" w14:textId="77777777" w:rsidTr="002F237A">
        <w:trPr>
          <w:trHeight w:val="270"/>
          <w:jc w:val="center"/>
        </w:trPr>
        <w:tc>
          <w:tcPr>
            <w:tcW w:w="6019" w:type="dxa"/>
            <w:gridSpan w:val="5"/>
            <w:tcBorders>
              <w:top w:val="single" w:sz="8" w:space="0" w:color="auto"/>
              <w:left w:val="single" w:sz="8" w:space="0" w:color="auto"/>
              <w:bottom w:val="single" w:sz="8" w:space="0" w:color="auto"/>
              <w:right w:val="single" w:sz="8" w:space="0" w:color="auto"/>
            </w:tcBorders>
            <w:noWrap/>
            <w:vAlign w:val="bottom"/>
          </w:tcPr>
          <w:p w14:paraId="2533BBE4" w14:textId="77777777" w:rsidR="00FC360C" w:rsidRPr="004A64B0" w:rsidRDefault="00FC360C" w:rsidP="004A64B0">
            <w:pPr>
              <w:spacing w:line="240" w:lineRule="auto"/>
              <w:jc w:val="center"/>
              <w:rPr>
                <w:rFonts w:cs="Arial"/>
                <w:sz w:val="20"/>
              </w:rPr>
            </w:pPr>
            <w:r w:rsidRPr="004A64B0">
              <w:rPr>
                <w:rFonts w:cs="Arial"/>
                <w:sz w:val="20"/>
              </w:rPr>
              <w:t>Mono-</w:t>
            </w:r>
            <w:r w:rsidRPr="004A64B0">
              <w:rPr>
                <w:rFonts w:cs="Arial"/>
                <w:i/>
                <w:sz w:val="20"/>
              </w:rPr>
              <w:t xml:space="preserve">ortho </w:t>
            </w:r>
            <w:r w:rsidRPr="004A64B0">
              <w:rPr>
                <w:rFonts w:cs="Arial"/>
                <w:sz w:val="20"/>
              </w:rPr>
              <w:t>PCBs</w:t>
            </w:r>
          </w:p>
        </w:tc>
      </w:tr>
      <w:tr w:rsidR="00FC360C" w:rsidRPr="004A64B0" w14:paraId="767D2E02" w14:textId="77777777" w:rsidTr="002F237A">
        <w:trPr>
          <w:trHeight w:val="270"/>
          <w:jc w:val="center"/>
        </w:trPr>
        <w:tc>
          <w:tcPr>
            <w:tcW w:w="1720" w:type="dxa"/>
            <w:tcBorders>
              <w:top w:val="single" w:sz="8" w:space="0" w:color="auto"/>
              <w:left w:val="single" w:sz="8" w:space="0" w:color="auto"/>
              <w:bottom w:val="nil"/>
              <w:right w:val="nil"/>
            </w:tcBorders>
            <w:noWrap/>
            <w:vAlign w:val="bottom"/>
          </w:tcPr>
          <w:p w14:paraId="5FE78B28" w14:textId="77777777" w:rsidR="00FC360C" w:rsidRPr="004A64B0" w:rsidRDefault="00FC360C" w:rsidP="004A64B0">
            <w:pPr>
              <w:spacing w:line="240" w:lineRule="auto"/>
              <w:rPr>
                <w:rFonts w:cs="Arial"/>
                <w:sz w:val="20"/>
              </w:rPr>
            </w:pPr>
            <w:r w:rsidRPr="004A64B0">
              <w:rPr>
                <w:rFonts w:cs="Arial"/>
                <w:sz w:val="20"/>
              </w:rPr>
              <w:t>PeCB</w:t>
            </w:r>
          </w:p>
        </w:tc>
        <w:tc>
          <w:tcPr>
            <w:tcW w:w="1419" w:type="dxa"/>
            <w:tcBorders>
              <w:top w:val="single" w:sz="8" w:space="0" w:color="auto"/>
              <w:left w:val="nil"/>
              <w:bottom w:val="nil"/>
              <w:right w:val="nil"/>
            </w:tcBorders>
            <w:noWrap/>
            <w:vAlign w:val="bottom"/>
          </w:tcPr>
          <w:p w14:paraId="50D260A9" w14:textId="77777777" w:rsidR="00FC360C" w:rsidRPr="004A64B0" w:rsidRDefault="00FC360C" w:rsidP="004A64B0">
            <w:pPr>
              <w:spacing w:line="240" w:lineRule="auto"/>
              <w:rPr>
                <w:rFonts w:cs="Arial"/>
                <w:sz w:val="20"/>
              </w:rPr>
            </w:pPr>
            <w:r w:rsidRPr="004A64B0">
              <w:rPr>
                <w:rFonts w:cs="Arial"/>
                <w:sz w:val="20"/>
              </w:rPr>
              <w:t>2,3,3',4,4'</w:t>
            </w:r>
          </w:p>
        </w:tc>
        <w:tc>
          <w:tcPr>
            <w:tcW w:w="960" w:type="dxa"/>
            <w:tcBorders>
              <w:top w:val="single" w:sz="8" w:space="0" w:color="auto"/>
              <w:left w:val="nil"/>
              <w:bottom w:val="nil"/>
              <w:right w:val="nil"/>
            </w:tcBorders>
            <w:noWrap/>
            <w:vAlign w:val="bottom"/>
          </w:tcPr>
          <w:p w14:paraId="31D31926" w14:textId="77777777" w:rsidR="00FC360C" w:rsidRPr="004A64B0" w:rsidRDefault="00FC360C" w:rsidP="004A64B0">
            <w:pPr>
              <w:spacing w:line="240" w:lineRule="auto"/>
              <w:jc w:val="center"/>
              <w:rPr>
                <w:rFonts w:cs="Arial"/>
                <w:sz w:val="20"/>
              </w:rPr>
            </w:pPr>
          </w:p>
        </w:tc>
        <w:tc>
          <w:tcPr>
            <w:tcW w:w="960" w:type="dxa"/>
            <w:tcBorders>
              <w:top w:val="single" w:sz="8" w:space="0" w:color="auto"/>
              <w:left w:val="nil"/>
              <w:bottom w:val="nil"/>
              <w:right w:val="nil"/>
            </w:tcBorders>
            <w:noWrap/>
            <w:vAlign w:val="bottom"/>
          </w:tcPr>
          <w:p w14:paraId="0A7893E9" w14:textId="77777777" w:rsidR="00FC360C" w:rsidRPr="004A64B0" w:rsidRDefault="00FC360C" w:rsidP="004A64B0">
            <w:pPr>
              <w:spacing w:line="240" w:lineRule="auto"/>
              <w:jc w:val="center"/>
              <w:rPr>
                <w:rFonts w:cs="Arial"/>
                <w:sz w:val="20"/>
              </w:rPr>
            </w:pPr>
            <w:r w:rsidRPr="004A64B0">
              <w:rPr>
                <w:rFonts w:cs="Arial"/>
                <w:sz w:val="20"/>
              </w:rPr>
              <w:t>0.00003</w:t>
            </w:r>
          </w:p>
        </w:tc>
        <w:tc>
          <w:tcPr>
            <w:tcW w:w="960" w:type="dxa"/>
            <w:tcBorders>
              <w:top w:val="single" w:sz="8" w:space="0" w:color="auto"/>
              <w:left w:val="nil"/>
              <w:bottom w:val="nil"/>
              <w:right w:val="single" w:sz="8" w:space="0" w:color="auto"/>
            </w:tcBorders>
            <w:noWrap/>
            <w:vAlign w:val="bottom"/>
          </w:tcPr>
          <w:p w14:paraId="4ECF0199" w14:textId="77777777" w:rsidR="00FC360C" w:rsidRPr="004A64B0" w:rsidRDefault="00FC360C" w:rsidP="004A64B0">
            <w:pPr>
              <w:spacing w:line="240" w:lineRule="auto"/>
              <w:jc w:val="center"/>
              <w:rPr>
                <w:rFonts w:cs="Arial"/>
                <w:sz w:val="20"/>
              </w:rPr>
            </w:pPr>
            <w:r w:rsidRPr="004A64B0">
              <w:rPr>
                <w:rFonts w:cs="Arial"/>
                <w:sz w:val="20"/>
              </w:rPr>
              <w:t>105</w:t>
            </w:r>
          </w:p>
        </w:tc>
      </w:tr>
      <w:tr w:rsidR="00FC360C" w:rsidRPr="004A64B0" w14:paraId="7F61194C" w14:textId="77777777" w:rsidTr="002F237A">
        <w:trPr>
          <w:trHeight w:val="270"/>
          <w:jc w:val="center"/>
        </w:trPr>
        <w:tc>
          <w:tcPr>
            <w:tcW w:w="1720" w:type="dxa"/>
            <w:tcBorders>
              <w:top w:val="nil"/>
              <w:left w:val="single" w:sz="8" w:space="0" w:color="auto"/>
              <w:bottom w:val="nil"/>
              <w:right w:val="nil"/>
            </w:tcBorders>
            <w:noWrap/>
            <w:vAlign w:val="bottom"/>
          </w:tcPr>
          <w:p w14:paraId="3B5B045A" w14:textId="77777777" w:rsidR="00FC360C" w:rsidRPr="004A64B0" w:rsidRDefault="00FC360C" w:rsidP="004A64B0">
            <w:pPr>
              <w:spacing w:line="240" w:lineRule="auto"/>
              <w:rPr>
                <w:rFonts w:cs="Arial"/>
                <w:sz w:val="20"/>
              </w:rPr>
            </w:pPr>
          </w:p>
        </w:tc>
        <w:tc>
          <w:tcPr>
            <w:tcW w:w="1419" w:type="dxa"/>
            <w:tcBorders>
              <w:top w:val="nil"/>
              <w:left w:val="nil"/>
              <w:bottom w:val="nil"/>
              <w:right w:val="nil"/>
            </w:tcBorders>
            <w:noWrap/>
            <w:vAlign w:val="bottom"/>
          </w:tcPr>
          <w:p w14:paraId="2DC2D3D4" w14:textId="77777777" w:rsidR="00FC360C" w:rsidRPr="004A64B0" w:rsidRDefault="00FC360C" w:rsidP="004A64B0">
            <w:pPr>
              <w:spacing w:line="240" w:lineRule="auto"/>
              <w:rPr>
                <w:rFonts w:cs="Arial"/>
                <w:sz w:val="20"/>
              </w:rPr>
            </w:pPr>
            <w:r w:rsidRPr="004A64B0">
              <w:rPr>
                <w:rFonts w:cs="Arial"/>
                <w:sz w:val="20"/>
              </w:rPr>
              <w:t>2,3,4,4',5</w:t>
            </w:r>
          </w:p>
        </w:tc>
        <w:tc>
          <w:tcPr>
            <w:tcW w:w="960" w:type="dxa"/>
            <w:tcBorders>
              <w:top w:val="nil"/>
              <w:left w:val="nil"/>
              <w:bottom w:val="nil"/>
              <w:right w:val="nil"/>
            </w:tcBorders>
            <w:noWrap/>
            <w:vAlign w:val="bottom"/>
          </w:tcPr>
          <w:p w14:paraId="26452B68" w14:textId="77777777" w:rsidR="00FC360C" w:rsidRPr="004A64B0" w:rsidRDefault="00FC360C" w:rsidP="004A64B0">
            <w:pPr>
              <w:spacing w:line="240" w:lineRule="auto"/>
              <w:jc w:val="center"/>
              <w:rPr>
                <w:rFonts w:cs="Arial"/>
                <w:sz w:val="20"/>
              </w:rPr>
            </w:pPr>
          </w:p>
        </w:tc>
        <w:tc>
          <w:tcPr>
            <w:tcW w:w="960" w:type="dxa"/>
            <w:tcBorders>
              <w:top w:val="nil"/>
              <w:left w:val="nil"/>
              <w:bottom w:val="nil"/>
              <w:right w:val="nil"/>
            </w:tcBorders>
            <w:noWrap/>
            <w:vAlign w:val="bottom"/>
          </w:tcPr>
          <w:p w14:paraId="469F01E2" w14:textId="77777777" w:rsidR="00FC360C" w:rsidRPr="004A64B0" w:rsidRDefault="00FC360C" w:rsidP="004A64B0">
            <w:pPr>
              <w:spacing w:line="240" w:lineRule="auto"/>
              <w:jc w:val="center"/>
              <w:rPr>
                <w:rFonts w:cs="Arial"/>
                <w:sz w:val="20"/>
              </w:rPr>
            </w:pPr>
            <w:r w:rsidRPr="004A64B0">
              <w:rPr>
                <w:rFonts w:cs="Arial"/>
                <w:sz w:val="20"/>
              </w:rPr>
              <w:t>0.00003</w:t>
            </w:r>
          </w:p>
        </w:tc>
        <w:tc>
          <w:tcPr>
            <w:tcW w:w="960" w:type="dxa"/>
            <w:tcBorders>
              <w:top w:val="nil"/>
              <w:left w:val="nil"/>
              <w:bottom w:val="nil"/>
              <w:right w:val="single" w:sz="8" w:space="0" w:color="auto"/>
            </w:tcBorders>
            <w:noWrap/>
            <w:vAlign w:val="bottom"/>
          </w:tcPr>
          <w:p w14:paraId="5D18116B" w14:textId="77777777" w:rsidR="00FC360C" w:rsidRPr="004A64B0" w:rsidRDefault="00FC360C" w:rsidP="004A64B0">
            <w:pPr>
              <w:spacing w:line="240" w:lineRule="auto"/>
              <w:jc w:val="center"/>
              <w:rPr>
                <w:rFonts w:cs="Arial"/>
                <w:sz w:val="20"/>
              </w:rPr>
            </w:pPr>
            <w:r w:rsidRPr="004A64B0">
              <w:rPr>
                <w:rFonts w:cs="Arial"/>
                <w:sz w:val="20"/>
              </w:rPr>
              <w:t>114</w:t>
            </w:r>
          </w:p>
        </w:tc>
      </w:tr>
      <w:tr w:rsidR="00FC360C" w:rsidRPr="004A64B0" w14:paraId="1ECE0750" w14:textId="77777777" w:rsidTr="002F237A">
        <w:trPr>
          <w:trHeight w:val="270"/>
          <w:jc w:val="center"/>
        </w:trPr>
        <w:tc>
          <w:tcPr>
            <w:tcW w:w="1720" w:type="dxa"/>
            <w:tcBorders>
              <w:top w:val="nil"/>
              <w:left w:val="single" w:sz="8" w:space="0" w:color="auto"/>
              <w:bottom w:val="nil"/>
              <w:right w:val="nil"/>
            </w:tcBorders>
            <w:noWrap/>
            <w:vAlign w:val="bottom"/>
          </w:tcPr>
          <w:p w14:paraId="4B147A3C" w14:textId="77777777" w:rsidR="00FC360C" w:rsidRPr="004A64B0" w:rsidRDefault="00FC360C" w:rsidP="004A64B0">
            <w:pPr>
              <w:spacing w:line="240" w:lineRule="auto"/>
              <w:rPr>
                <w:rFonts w:cs="Arial"/>
                <w:sz w:val="20"/>
              </w:rPr>
            </w:pPr>
          </w:p>
        </w:tc>
        <w:tc>
          <w:tcPr>
            <w:tcW w:w="1419" w:type="dxa"/>
            <w:tcBorders>
              <w:top w:val="nil"/>
              <w:left w:val="nil"/>
              <w:bottom w:val="nil"/>
              <w:right w:val="nil"/>
            </w:tcBorders>
            <w:noWrap/>
            <w:vAlign w:val="bottom"/>
          </w:tcPr>
          <w:p w14:paraId="6BA232ED" w14:textId="77777777" w:rsidR="00FC360C" w:rsidRPr="004A64B0" w:rsidRDefault="00FC360C" w:rsidP="004A64B0">
            <w:pPr>
              <w:spacing w:line="240" w:lineRule="auto"/>
              <w:rPr>
                <w:rFonts w:cs="Arial"/>
                <w:sz w:val="20"/>
              </w:rPr>
            </w:pPr>
            <w:r w:rsidRPr="004A64B0">
              <w:rPr>
                <w:rFonts w:cs="Arial"/>
                <w:sz w:val="20"/>
              </w:rPr>
              <w:t>2,3',4,4',5</w:t>
            </w:r>
          </w:p>
        </w:tc>
        <w:tc>
          <w:tcPr>
            <w:tcW w:w="960" w:type="dxa"/>
            <w:tcBorders>
              <w:top w:val="nil"/>
              <w:left w:val="nil"/>
              <w:bottom w:val="nil"/>
              <w:right w:val="nil"/>
            </w:tcBorders>
            <w:noWrap/>
            <w:vAlign w:val="bottom"/>
          </w:tcPr>
          <w:p w14:paraId="488893DA" w14:textId="77777777" w:rsidR="00FC360C" w:rsidRPr="004A64B0" w:rsidRDefault="00FC360C" w:rsidP="004A64B0">
            <w:pPr>
              <w:spacing w:line="240" w:lineRule="auto"/>
              <w:jc w:val="center"/>
              <w:rPr>
                <w:rFonts w:cs="Arial"/>
                <w:sz w:val="20"/>
              </w:rPr>
            </w:pPr>
          </w:p>
        </w:tc>
        <w:tc>
          <w:tcPr>
            <w:tcW w:w="960" w:type="dxa"/>
            <w:tcBorders>
              <w:top w:val="nil"/>
              <w:left w:val="nil"/>
              <w:bottom w:val="nil"/>
              <w:right w:val="nil"/>
            </w:tcBorders>
            <w:noWrap/>
            <w:vAlign w:val="bottom"/>
          </w:tcPr>
          <w:p w14:paraId="3A9CDF72" w14:textId="77777777" w:rsidR="00FC360C" w:rsidRPr="004A64B0" w:rsidRDefault="00FC360C" w:rsidP="004A64B0">
            <w:pPr>
              <w:spacing w:line="240" w:lineRule="auto"/>
              <w:jc w:val="center"/>
              <w:rPr>
                <w:rFonts w:cs="Arial"/>
                <w:sz w:val="20"/>
              </w:rPr>
            </w:pPr>
            <w:r w:rsidRPr="004A64B0">
              <w:rPr>
                <w:rFonts w:cs="Arial"/>
                <w:sz w:val="20"/>
              </w:rPr>
              <w:t>0.00003</w:t>
            </w:r>
          </w:p>
        </w:tc>
        <w:tc>
          <w:tcPr>
            <w:tcW w:w="960" w:type="dxa"/>
            <w:tcBorders>
              <w:top w:val="nil"/>
              <w:left w:val="nil"/>
              <w:bottom w:val="nil"/>
              <w:right w:val="single" w:sz="8" w:space="0" w:color="auto"/>
            </w:tcBorders>
            <w:noWrap/>
            <w:vAlign w:val="bottom"/>
          </w:tcPr>
          <w:p w14:paraId="2F34FCAB" w14:textId="77777777" w:rsidR="00FC360C" w:rsidRPr="004A64B0" w:rsidRDefault="00FC360C" w:rsidP="004A64B0">
            <w:pPr>
              <w:spacing w:line="240" w:lineRule="auto"/>
              <w:jc w:val="center"/>
              <w:rPr>
                <w:rFonts w:cs="Arial"/>
                <w:sz w:val="20"/>
              </w:rPr>
            </w:pPr>
            <w:r w:rsidRPr="004A64B0">
              <w:rPr>
                <w:rFonts w:cs="Arial"/>
                <w:sz w:val="20"/>
              </w:rPr>
              <w:t>118</w:t>
            </w:r>
          </w:p>
        </w:tc>
      </w:tr>
      <w:tr w:rsidR="00FC360C" w:rsidRPr="004A64B0" w14:paraId="5B0D000C" w14:textId="77777777" w:rsidTr="002F237A">
        <w:trPr>
          <w:trHeight w:val="270"/>
          <w:jc w:val="center"/>
        </w:trPr>
        <w:tc>
          <w:tcPr>
            <w:tcW w:w="1720" w:type="dxa"/>
            <w:tcBorders>
              <w:top w:val="nil"/>
              <w:left w:val="single" w:sz="8" w:space="0" w:color="auto"/>
              <w:bottom w:val="nil"/>
              <w:right w:val="nil"/>
            </w:tcBorders>
            <w:noWrap/>
            <w:vAlign w:val="bottom"/>
          </w:tcPr>
          <w:p w14:paraId="60FB3DB6" w14:textId="77777777" w:rsidR="00FC360C" w:rsidRPr="004A64B0" w:rsidRDefault="00FC360C" w:rsidP="004A64B0">
            <w:pPr>
              <w:spacing w:line="240" w:lineRule="auto"/>
              <w:rPr>
                <w:rFonts w:cs="Arial"/>
                <w:sz w:val="20"/>
              </w:rPr>
            </w:pPr>
          </w:p>
        </w:tc>
        <w:tc>
          <w:tcPr>
            <w:tcW w:w="1419" w:type="dxa"/>
            <w:tcBorders>
              <w:top w:val="nil"/>
              <w:left w:val="nil"/>
              <w:bottom w:val="nil"/>
              <w:right w:val="nil"/>
            </w:tcBorders>
            <w:noWrap/>
            <w:vAlign w:val="bottom"/>
          </w:tcPr>
          <w:p w14:paraId="217B4B0E" w14:textId="77777777" w:rsidR="00FC360C" w:rsidRPr="004A64B0" w:rsidRDefault="00FC360C" w:rsidP="004A64B0">
            <w:pPr>
              <w:spacing w:line="240" w:lineRule="auto"/>
              <w:rPr>
                <w:rFonts w:cs="Arial"/>
                <w:sz w:val="20"/>
              </w:rPr>
            </w:pPr>
            <w:r w:rsidRPr="004A64B0">
              <w:rPr>
                <w:rFonts w:cs="Arial"/>
                <w:sz w:val="20"/>
              </w:rPr>
              <w:t>2',3,4,4',5</w:t>
            </w:r>
          </w:p>
        </w:tc>
        <w:tc>
          <w:tcPr>
            <w:tcW w:w="960" w:type="dxa"/>
            <w:tcBorders>
              <w:top w:val="nil"/>
              <w:left w:val="nil"/>
              <w:bottom w:val="nil"/>
              <w:right w:val="nil"/>
            </w:tcBorders>
            <w:noWrap/>
            <w:vAlign w:val="bottom"/>
          </w:tcPr>
          <w:p w14:paraId="11FB2D0F" w14:textId="77777777" w:rsidR="00FC360C" w:rsidRPr="004A64B0" w:rsidRDefault="00FC360C" w:rsidP="004A64B0">
            <w:pPr>
              <w:spacing w:line="240" w:lineRule="auto"/>
              <w:jc w:val="center"/>
              <w:rPr>
                <w:rFonts w:cs="Arial"/>
                <w:sz w:val="20"/>
              </w:rPr>
            </w:pPr>
          </w:p>
        </w:tc>
        <w:tc>
          <w:tcPr>
            <w:tcW w:w="960" w:type="dxa"/>
            <w:tcBorders>
              <w:top w:val="nil"/>
              <w:left w:val="nil"/>
              <w:bottom w:val="nil"/>
              <w:right w:val="nil"/>
            </w:tcBorders>
            <w:noWrap/>
            <w:vAlign w:val="bottom"/>
          </w:tcPr>
          <w:p w14:paraId="6BFC4B2C" w14:textId="77777777" w:rsidR="00FC360C" w:rsidRPr="004A64B0" w:rsidRDefault="00FC360C" w:rsidP="004A64B0">
            <w:pPr>
              <w:spacing w:line="240" w:lineRule="auto"/>
              <w:jc w:val="center"/>
              <w:rPr>
                <w:rFonts w:cs="Arial"/>
                <w:sz w:val="20"/>
              </w:rPr>
            </w:pPr>
            <w:r w:rsidRPr="004A64B0">
              <w:rPr>
                <w:rFonts w:cs="Arial"/>
                <w:sz w:val="20"/>
              </w:rPr>
              <w:t>0.00003</w:t>
            </w:r>
          </w:p>
        </w:tc>
        <w:tc>
          <w:tcPr>
            <w:tcW w:w="960" w:type="dxa"/>
            <w:tcBorders>
              <w:top w:val="nil"/>
              <w:left w:val="nil"/>
              <w:bottom w:val="nil"/>
              <w:right w:val="single" w:sz="8" w:space="0" w:color="auto"/>
            </w:tcBorders>
            <w:noWrap/>
            <w:vAlign w:val="bottom"/>
          </w:tcPr>
          <w:p w14:paraId="48DCD610" w14:textId="77777777" w:rsidR="00FC360C" w:rsidRPr="004A64B0" w:rsidRDefault="00FC360C" w:rsidP="004A64B0">
            <w:pPr>
              <w:spacing w:line="240" w:lineRule="auto"/>
              <w:jc w:val="center"/>
              <w:rPr>
                <w:rFonts w:cs="Arial"/>
                <w:sz w:val="20"/>
              </w:rPr>
            </w:pPr>
            <w:r w:rsidRPr="004A64B0">
              <w:rPr>
                <w:rFonts w:cs="Arial"/>
                <w:sz w:val="20"/>
              </w:rPr>
              <w:t>123</w:t>
            </w:r>
          </w:p>
        </w:tc>
      </w:tr>
      <w:tr w:rsidR="00FC360C" w:rsidRPr="004A64B0" w14:paraId="5C8A827F" w14:textId="77777777" w:rsidTr="002F237A">
        <w:trPr>
          <w:trHeight w:val="270"/>
          <w:jc w:val="center"/>
        </w:trPr>
        <w:tc>
          <w:tcPr>
            <w:tcW w:w="1720" w:type="dxa"/>
            <w:tcBorders>
              <w:top w:val="nil"/>
              <w:left w:val="single" w:sz="8" w:space="0" w:color="auto"/>
              <w:bottom w:val="nil"/>
              <w:right w:val="nil"/>
            </w:tcBorders>
            <w:noWrap/>
            <w:vAlign w:val="bottom"/>
          </w:tcPr>
          <w:p w14:paraId="1CC7BD34" w14:textId="77777777" w:rsidR="00FC360C" w:rsidRPr="004A64B0" w:rsidRDefault="00FC360C" w:rsidP="004A64B0">
            <w:pPr>
              <w:spacing w:line="240" w:lineRule="auto"/>
              <w:rPr>
                <w:rFonts w:cs="Arial"/>
                <w:sz w:val="20"/>
              </w:rPr>
            </w:pPr>
            <w:r w:rsidRPr="004A64B0">
              <w:rPr>
                <w:rFonts w:cs="Arial"/>
                <w:sz w:val="20"/>
              </w:rPr>
              <w:t>HxCB</w:t>
            </w:r>
          </w:p>
        </w:tc>
        <w:tc>
          <w:tcPr>
            <w:tcW w:w="1419" w:type="dxa"/>
            <w:tcBorders>
              <w:top w:val="nil"/>
              <w:left w:val="nil"/>
              <w:bottom w:val="nil"/>
              <w:right w:val="nil"/>
            </w:tcBorders>
            <w:noWrap/>
            <w:vAlign w:val="bottom"/>
          </w:tcPr>
          <w:p w14:paraId="35B23C7F" w14:textId="77777777" w:rsidR="00FC360C" w:rsidRPr="004A64B0" w:rsidRDefault="00FC360C" w:rsidP="004A64B0">
            <w:pPr>
              <w:spacing w:line="240" w:lineRule="auto"/>
              <w:rPr>
                <w:rFonts w:cs="Arial"/>
                <w:sz w:val="20"/>
              </w:rPr>
            </w:pPr>
            <w:r w:rsidRPr="004A64B0">
              <w:rPr>
                <w:rFonts w:cs="Arial"/>
                <w:sz w:val="20"/>
              </w:rPr>
              <w:t>2,3,3’,4,4’,5</w:t>
            </w:r>
          </w:p>
        </w:tc>
        <w:tc>
          <w:tcPr>
            <w:tcW w:w="960" w:type="dxa"/>
            <w:tcBorders>
              <w:top w:val="nil"/>
              <w:left w:val="nil"/>
              <w:bottom w:val="nil"/>
              <w:right w:val="nil"/>
            </w:tcBorders>
            <w:noWrap/>
            <w:vAlign w:val="bottom"/>
          </w:tcPr>
          <w:p w14:paraId="11C7AE5B" w14:textId="77777777" w:rsidR="00FC360C" w:rsidRPr="004A64B0" w:rsidRDefault="00FC360C" w:rsidP="004A64B0">
            <w:pPr>
              <w:spacing w:line="240" w:lineRule="auto"/>
              <w:jc w:val="center"/>
              <w:rPr>
                <w:rFonts w:cs="Arial"/>
                <w:sz w:val="20"/>
              </w:rPr>
            </w:pPr>
          </w:p>
        </w:tc>
        <w:tc>
          <w:tcPr>
            <w:tcW w:w="960" w:type="dxa"/>
            <w:tcBorders>
              <w:top w:val="nil"/>
              <w:left w:val="nil"/>
              <w:bottom w:val="nil"/>
              <w:right w:val="nil"/>
            </w:tcBorders>
            <w:noWrap/>
            <w:vAlign w:val="bottom"/>
          </w:tcPr>
          <w:p w14:paraId="347880D9" w14:textId="77777777" w:rsidR="00FC360C" w:rsidRPr="004A64B0" w:rsidRDefault="00FC360C" w:rsidP="004A64B0">
            <w:pPr>
              <w:spacing w:line="240" w:lineRule="auto"/>
              <w:jc w:val="center"/>
              <w:rPr>
                <w:rFonts w:cs="Arial"/>
                <w:sz w:val="20"/>
              </w:rPr>
            </w:pPr>
            <w:r w:rsidRPr="004A64B0">
              <w:rPr>
                <w:rFonts w:cs="Arial"/>
                <w:sz w:val="20"/>
              </w:rPr>
              <w:t>0.00003</w:t>
            </w:r>
          </w:p>
        </w:tc>
        <w:tc>
          <w:tcPr>
            <w:tcW w:w="960" w:type="dxa"/>
            <w:tcBorders>
              <w:top w:val="nil"/>
              <w:left w:val="nil"/>
              <w:bottom w:val="nil"/>
              <w:right w:val="single" w:sz="8" w:space="0" w:color="auto"/>
            </w:tcBorders>
            <w:noWrap/>
            <w:vAlign w:val="bottom"/>
          </w:tcPr>
          <w:p w14:paraId="0DF3C99F" w14:textId="77777777" w:rsidR="00FC360C" w:rsidRPr="004A64B0" w:rsidRDefault="00FC360C" w:rsidP="004A64B0">
            <w:pPr>
              <w:spacing w:line="240" w:lineRule="auto"/>
              <w:jc w:val="center"/>
              <w:rPr>
                <w:rFonts w:cs="Arial"/>
                <w:sz w:val="20"/>
              </w:rPr>
            </w:pPr>
            <w:r w:rsidRPr="004A64B0">
              <w:rPr>
                <w:rFonts w:cs="Arial"/>
                <w:sz w:val="20"/>
              </w:rPr>
              <w:t>156</w:t>
            </w:r>
          </w:p>
        </w:tc>
      </w:tr>
      <w:tr w:rsidR="00FC360C" w:rsidRPr="004A64B0" w14:paraId="3E73B620" w14:textId="77777777" w:rsidTr="002F237A">
        <w:trPr>
          <w:trHeight w:val="270"/>
          <w:jc w:val="center"/>
        </w:trPr>
        <w:tc>
          <w:tcPr>
            <w:tcW w:w="1720" w:type="dxa"/>
            <w:tcBorders>
              <w:top w:val="nil"/>
              <w:left w:val="single" w:sz="8" w:space="0" w:color="auto"/>
              <w:bottom w:val="nil"/>
              <w:right w:val="nil"/>
            </w:tcBorders>
            <w:noWrap/>
            <w:vAlign w:val="bottom"/>
          </w:tcPr>
          <w:p w14:paraId="48BD22A5" w14:textId="77777777" w:rsidR="00FC360C" w:rsidRPr="004A64B0" w:rsidRDefault="00FC360C" w:rsidP="004A64B0">
            <w:pPr>
              <w:spacing w:line="240" w:lineRule="auto"/>
              <w:rPr>
                <w:rFonts w:cs="Arial"/>
                <w:sz w:val="20"/>
              </w:rPr>
            </w:pPr>
          </w:p>
        </w:tc>
        <w:tc>
          <w:tcPr>
            <w:tcW w:w="1419" w:type="dxa"/>
            <w:tcBorders>
              <w:top w:val="nil"/>
              <w:left w:val="nil"/>
              <w:bottom w:val="nil"/>
              <w:right w:val="nil"/>
            </w:tcBorders>
            <w:noWrap/>
            <w:vAlign w:val="bottom"/>
          </w:tcPr>
          <w:p w14:paraId="1AE6EBFC" w14:textId="77777777" w:rsidR="00FC360C" w:rsidRPr="004A64B0" w:rsidRDefault="00FC360C" w:rsidP="004A64B0">
            <w:pPr>
              <w:spacing w:line="240" w:lineRule="auto"/>
              <w:rPr>
                <w:rFonts w:cs="Arial"/>
                <w:sz w:val="20"/>
              </w:rPr>
            </w:pPr>
            <w:r w:rsidRPr="004A64B0">
              <w:rPr>
                <w:rFonts w:cs="Arial"/>
                <w:sz w:val="20"/>
              </w:rPr>
              <w:t>2,3,3',4,4',5</w:t>
            </w:r>
          </w:p>
        </w:tc>
        <w:tc>
          <w:tcPr>
            <w:tcW w:w="960" w:type="dxa"/>
            <w:tcBorders>
              <w:top w:val="nil"/>
              <w:left w:val="nil"/>
              <w:bottom w:val="nil"/>
              <w:right w:val="nil"/>
            </w:tcBorders>
            <w:noWrap/>
            <w:vAlign w:val="bottom"/>
          </w:tcPr>
          <w:p w14:paraId="27F7E66F" w14:textId="77777777" w:rsidR="00FC360C" w:rsidRPr="004A64B0" w:rsidRDefault="00FC360C" w:rsidP="004A64B0">
            <w:pPr>
              <w:spacing w:line="240" w:lineRule="auto"/>
              <w:jc w:val="center"/>
              <w:rPr>
                <w:rFonts w:cs="Arial"/>
                <w:sz w:val="20"/>
              </w:rPr>
            </w:pPr>
          </w:p>
        </w:tc>
        <w:tc>
          <w:tcPr>
            <w:tcW w:w="960" w:type="dxa"/>
            <w:tcBorders>
              <w:top w:val="nil"/>
              <w:left w:val="nil"/>
              <w:bottom w:val="nil"/>
              <w:right w:val="nil"/>
            </w:tcBorders>
            <w:noWrap/>
            <w:vAlign w:val="bottom"/>
          </w:tcPr>
          <w:p w14:paraId="6C4FF987" w14:textId="77777777" w:rsidR="00FC360C" w:rsidRPr="004A64B0" w:rsidRDefault="00FC360C" w:rsidP="004A64B0">
            <w:pPr>
              <w:spacing w:line="240" w:lineRule="auto"/>
              <w:jc w:val="center"/>
              <w:rPr>
                <w:rFonts w:cs="Arial"/>
                <w:sz w:val="20"/>
              </w:rPr>
            </w:pPr>
            <w:r w:rsidRPr="004A64B0">
              <w:rPr>
                <w:rFonts w:cs="Arial"/>
                <w:sz w:val="20"/>
              </w:rPr>
              <w:t>0.00003</w:t>
            </w:r>
          </w:p>
        </w:tc>
        <w:tc>
          <w:tcPr>
            <w:tcW w:w="960" w:type="dxa"/>
            <w:tcBorders>
              <w:top w:val="nil"/>
              <w:left w:val="nil"/>
              <w:bottom w:val="nil"/>
              <w:right w:val="single" w:sz="8" w:space="0" w:color="auto"/>
            </w:tcBorders>
            <w:noWrap/>
            <w:vAlign w:val="bottom"/>
          </w:tcPr>
          <w:p w14:paraId="53249BA4" w14:textId="77777777" w:rsidR="00FC360C" w:rsidRPr="004A64B0" w:rsidRDefault="00FC360C" w:rsidP="004A64B0">
            <w:pPr>
              <w:spacing w:line="240" w:lineRule="auto"/>
              <w:jc w:val="center"/>
              <w:rPr>
                <w:rFonts w:cs="Arial"/>
                <w:sz w:val="20"/>
              </w:rPr>
            </w:pPr>
            <w:r w:rsidRPr="004A64B0">
              <w:rPr>
                <w:rFonts w:cs="Arial"/>
                <w:sz w:val="20"/>
              </w:rPr>
              <w:t>157</w:t>
            </w:r>
          </w:p>
        </w:tc>
      </w:tr>
      <w:tr w:rsidR="00FC360C" w:rsidRPr="004A64B0" w14:paraId="164BA1ED" w14:textId="77777777" w:rsidTr="002F237A">
        <w:trPr>
          <w:trHeight w:val="270"/>
          <w:jc w:val="center"/>
        </w:trPr>
        <w:tc>
          <w:tcPr>
            <w:tcW w:w="1720" w:type="dxa"/>
            <w:tcBorders>
              <w:top w:val="nil"/>
              <w:left w:val="single" w:sz="8" w:space="0" w:color="auto"/>
              <w:bottom w:val="nil"/>
              <w:right w:val="nil"/>
            </w:tcBorders>
            <w:noWrap/>
            <w:vAlign w:val="bottom"/>
          </w:tcPr>
          <w:p w14:paraId="781EB167" w14:textId="77777777" w:rsidR="00FC360C" w:rsidRPr="004A64B0" w:rsidRDefault="00FC360C" w:rsidP="004A64B0">
            <w:pPr>
              <w:spacing w:line="240" w:lineRule="auto"/>
              <w:rPr>
                <w:rFonts w:cs="Arial"/>
                <w:sz w:val="20"/>
              </w:rPr>
            </w:pPr>
          </w:p>
        </w:tc>
        <w:tc>
          <w:tcPr>
            <w:tcW w:w="1419" w:type="dxa"/>
            <w:tcBorders>
              <w:top w:val="nil"/>
              <w:left w:val="nil"/>
              <w:bottom w:val="nil"/>
              <w:right w:val="nil"/>
            </w:tcBorders>
            <w:noWrap/>
            <w:vAlign w:val="bottom"/>
          </w:tcPr>
          <w:p w14:paraId="4C88BD12" w14:textId="77777777" w:rsidR="00FC360C" w:rsidRPr="004A64B0" w:rsidRDefault="00FC360C" w:rsidP="004A64B0">
            <w:pPr>
              <w:spacing w:line="240" w:lineRule="auto"/>
              <w:rPr>
                <w:rFonts w:cs="Arial"/>
                <w:sz w:val="20"/>
              </w:rPr>
            </w:pPr>
            <w:r w:rsidRPr="004A64B0">
              <w:rPr>
                <w:rFonts w:cs="Arial"/>
                <w:sz w:val="20"/>
              </w:rPr>
              <w:t>2,3',4,4',5,5'</w:t>
            </w:r>
          </w:p>
        </w:tc>
        <w:tc>
          <w:tcPr>
            <w:tcW w:w="960" w:type="dxa"/>
            <w:tcBorders>
              <w:top w:val="nil"/>
              <w:left w:val="nil"/>
              <w:bottom w:val="nil"/>
              <w:right w:val="nil"/>
            </w:tcBorders>
            <w:noWrap/>
            <w:vAlign w:val="bottom"/>
          </w:tcPr>
          <w:p w14:paraId="34CA30BC" w14:textId="77777777" w:rsidR="00FC360C" w:rsidRPr="004A64B0" w:rsidRDefault="00FC360C" w:rsidP="004A64B0">
            <w:pPr>
              <w:spacing w:line="240" w:lineRule="auto"/>
              <w:rPr>
                <w:rFonts w:cs="Arial"/>
                <w:sz w:val="20"/>
              </w:rPr>
            </w:pPr>
          </w:p>
        </w:tc>
        <w:tc>
          <w:tcPr>
            <w:tcW w:w="960" w:type="dxa"/>
            <w:tcBorders>
              <w:top w:val="nil"/>
              <w:left w:val="nil"/>
              <w:bottom w:val="nil"/>
              <w:right w:val="nil"/>
            </w:tcBorders>
            <w:noWrap/>
            <w:vAlign w:val="bottom"/>
          </w:tcPr>
          <w:p w14:paraId="4BBC63EE" w14:textId="77777777" w:rsidR="00FC360C" w:rsidRPr="004A64B0" w:rsidRDefault="00FC360C" w:rsidP="004A64B0">
            <w:pPr>
              <w:spacing w:line="240" w:lineRule="auto"/>
              <w:jc w:val="center"/>
              <w:rPr>
                <w:rFonts w:cs="Arial"/>
                <w:sz w:val="20"/>
              </w:rPr>
            </w:pPr>
            <w:r w:rsidRPr="004A64B0">
              <w:rPr>
                <w:rFonts w:cs="Arial"/>
                <w:sz w:val="20"/>
              </w:rPr>
              <w:t>0.00003</w:t>
            </w:r>
          </w:p>
        </w:tc>
        <w:tc>
          <w:tcPr>
            <w:tcW w:w="960" w:type="dxa"/>
            <w:tcBorders>
              <w:top w:val="nil"/>
              <w:left w:val="nil"/>
              <w:bottom w:val="nil"/>
              <w:right w:val="single" w:sz="8" w:space="0" w:color="auto"/>
            </w:tcBorders>
            <w:noWrap/>
            <w:vAlign w:val="bottom"/>
          </w:tcPr>
          <w:p w14:paraId="15526DD1" w14:textId="77777777" w:rsidR="00FC360C" w:rsidRPr="004A64B0" w:rsidRDefault="00FC360C" w:rsidP="004A64B0">
            <w:pPr>
              <w:spacing w:line="240" w:lineRule="auto"/>
              <w:jc w:val="center"/>
              <w:rPr>
                <w:rFonts w:cs="Arial"/>
                <w:sz w:val="20"/>
              </w:rPr>
            </w:pPr>
            <w:r w:rsidRPr="004A64B0">
              <w:rPr>
                <w:rFonts w:cs="Arial"/>
                <w:sz w:val="20"/>
              </w:rPr>
              <w:t>167</w:t>
            </w:r>
          </w:p>
        </w:tc>
      </w:tr>
      <w:tr w:rsidR="00FC360C" w:rsidRPr="004A64B0" w14:paraId="423B7790" w14:textId="77777777" w:rsidTr="002F237A">
        <w:trPr>
          <w:trHeight w:val="270"/>
          <w:jc w:val="center"/>
        </w:trPr>
        <w:tc>
          <w:tcPr>
            <w:tcW w:w="1720" w:type="dxa"/>
            <w:tcBorders>
              <w:top w:val="nil"/>
              <w:left w:val="single" w:sz="8" w:space="0" w:color="auto"/>
              <w:bottom w:val="single" w:sz="8" w:space="0" w:color="auto"/>
              <w:right w:val="nil"/>
            </w:tcBorders>
            <w:noWrap/>
            <w:vAlign w:val="bottom"/>
          </w:tcPr>
          <w:p w14:paraId="6E8FC102" w14:textId="77777777" w:rsidR="00FC360C" w:rsidRPr="004A64B0" w:rsidRDefault="00FC360C" w:rsidP="004A64B0">
            <w:pPr>
              <w:spacing w:line="240" w:lineRule="auto"/>
              <w:rPr>
                <w:rFonts w:cs="Arial"/>
                <w:sz w:val="20"/>
              </w:rPr>
            </w:pPr>
            <w:r w:rsidRPr="004A64B0">
              <w:rPr>
                <w:rFonts w:cs="Arial"/>
                <w:sz w:val="20"/>
              </w:rPr>
              <w:t>HpCB</w:t>
            </w:r>
          </w:p>
        </w:tc>
        <w:tc>
          <w:tcPr>
            <w:tcW w:w="1419" w:type="dxa"/>
            <w:tcBorders>
              <w:top w:val="nil"/>
              <w:left w:val="nil"/>
              <w:bottom w:val="single" w:sz="8" w:space="0" w:color="auto"/>
              <w:right w:val="nil"/>
            </w:tcBorders>
            <w:noWrap/>
            <w:vAlign w:val="bottom"/>
          </w:tcPr>
          <w:p w14:paraId="1BEC679C" w14:textId="77777777" w:rsidR="00FC360C" w:rsidRPr="004A64B0" w:rsidRDefault="00FC360C" w:rsidP="004A64B0">
            <w:pPr>
              <w:spacing w:line="240" w:lineRule="auto"/>
              <w:rPr>
                <w:rFonts w:cs="Arial"/>
                <w:sz w:val="20"/>
              </w:rPr>
            </w:pPr>
            <w:r w:rsidRPr="004A64B0">
              <w:rPr>
                <w:rFonts w:cs="Arial"/>
                <w:sz w:val="20"/>
              </w:rPr>
              <w:t>2,3,3',4,4',5,5'</w:t>
            </w:r>
          </w:p>
        </w:tc>
        <w:tc>
          <w:tcPr>
            <w:tcW w:w="960" w:type="dxa"/>
            <w:tcBorders>
              <w:top w:val="nil"/>
              <w:left w:val="nil"/>
              <w:bottom w:val="single" w:sz="8" w:space="0" w:color="auto"/>
              <w:right w:val="nil"/>
            </w:tcBorders>
            <w:noWrap/>
            <w:vAlign w:val="bottom"/>
          </w:tcPr>
          <w:p w14:paraId="574F8524" w14:textId="77777777" w:rsidR="00FC360C" w:rsidRPr="004A64B0" w:rsidRDefault="00FC360C" w:rsidP="004A64B0">
            <w:pPr>
              <w:spacing w:line="240" w:lineRule="auto"/>
              <w:rPr>
                <w:rFonts w:cs="Arial"/>
                <w:sz w:val="20"/>
              </w:rPr>
            </w:pPr>
          </w:p>
        </w:tc>
        <w:tc>
          <w:tcPr>
            <w:tcW w:w="960" w:type="dxa"/>
            <w:tcBorders>
              <w:top w:val="nil"/>
              <w:left w:val="nil"/>
              <w:bottom w:val="single" w:sz="8" w:space="0" w:color="auto"/>
              <w:right w:val="nil"/>
            </w:tcBorders>
            <w:noWrap/>
            <w:vAlign w:val="bottom"/>
          </w:tcPr>
          <w:p w14:paraId="20B39C22" w14:textId="77777777" w:rsidR="00FC360C" w:rsidRPr="004A64B0" w:rsidRDefault="00FC360C" w:rsidP="004A64B0">
            <w:pPr>
              <w:spacing w:line="240" w:lineRule="auto"/>
              <w:jc w:val="center"/>
              <w:rPr>
                <w:rFonts w:cs="Arial"/>
                <w:sz w:val="20"/>
              </w:rPr>
            </w:pPr>
            <w:r w:rsidRPr="004A64B0">
              <w:rPr>
                <w:rFonts w:cs="Arial"/>
                <w:sz w:val="20"/>
              </w:rPr>
              <w:t>0.00003</w:t>
            </w:r>
          </w:p>
        </w:tc>
        <w:tc>
          <w:tcPr>
            <w:tcW w:w="960" w:type="dxa"/>
            <w:tcBorders>
              <w:top w:val="nil"/>
              <w:left w:val="nil"/>
              <w:bottom w:val="single" w:sz="8" w:space="0" w:color="auto"/>
              <w:right w:val="single" w:sz="8" w:space="0" w:color="auto"/>
            </w:tcBorders>
            <w:noWrap/>
            <w:vAlign w:val="bottom"/>
          </w:tcPr>
          <w:p w14:paraId="257986F7" w14:textId="77777777" w:rsidR="00FC360C" w:rsidRPr="004A64B0" w:rsidRDefault="00FC360C" w:rsidP="004A64B0">
            <w:pPr>
              <w:spacing w:line="240" w:lineRule="auto"/>
              <w:jc w:val="center"/>
              <w:rPr>
                <w:rFonts w:cs="Arial"/>
                <w:sz w:val="20"/>
              </w:rPr>
            </w:pPr>
            <w:r w:rsidRPr="004A64B0">
              <w:rPr>
                <w:rFonts w:cs="Arial"/>
                <w:sz w:val="20"/>
              </w:rPr>
              <w:t>189</w:t>
            </w:r>
          </w:p>
        </w:tc>
      </w:tr>
    </w:tbl>
    <w:p w14:paraId="7E66B43D" w14:textId="77777777" w:rsidR="00FC360C" w:rsidRPr="004A64B0" w:rsidRDefault="00FC360C" w:rsidP="004A64B0">
      <w:pPr>
        <w:rPr>
          <w:rFonts w:asciiTheme="minorHAnsi" w:hAnsiTheme="minorHAnsi"/>
          <w:szCs w:val="22"/>
        </w:rPr>
      </w:pPr>
    </w:p>
    <w:p w14:paraId="451D7BB3" w14:textId="77777777" w:rsidR="00FC360C" w:rsidRPr="004A64B0" w:rsidRDefault="00FC360C" w:rsidP="004A64B0">
      <w:pPr>
        <w:pStyle w:val="Heading1"/>
      </w:pPr>
      <w:bookmarkStart w:id="337" w:name="_Toc511217615"/>
      <w:r w:rsidRPr="004A64B0">
        <w:t>3.</w:t>
      </w:r>
      <w:r w:rsidRPr="004A64B0">
        <w:tab/>
        <w:t>Biota samples</w:t>
      </w:r>
      <w:bookmarkEnd w:id="337"/>
    </w:p>
    <w:p w14:paraId="171F5F77" w14:textId="77777777" w:rsidR="00FC360C" w:rsidRPr="004A64B0" w:rsidRDefault="00FC360C" w:rsidP="004A64B0">
      <w:pPr>
        <w:rPr>
          <w:rFonts w:asciiTheme="minorHAnsi" w:hAnsiTheme="minorHAnsi"/>
          <w:szCs w:val="22"/>
        </w:rPr>
      </w:pPr>
      <w:r w:rsidRPr="004A64B0">
        <w:rPr>
          <w:rFonts w:asciiTheme="minorHAnsi" w:hAnsiTheme="minorHAnsi"/>
          <w:szCs w:val="22"/>
        </w:rPr>
        <w:t xml:space="preserve">OSPAR (2005) presented a monitoring strategy for PCDD/Fs, which identified biota as one of the important matrices for environmental monitoring (the other one being marine sediments). Aquatic organisms can accumulate hydrophobic compounds like PCDD/Fs and dl-PCBs and reach concentrations considerably above those of the surrounding waters. The ratio between the concentration in biota and in the water is the bioconcentration factor (BCF), which is between 2000 and 9000 for PCDD/Fs (OSPAR, 2005). As the BCF varies with species and compound, it is important to design a sampling programme which minimises confounding factors, i.e. to choose the same species, sampling area and sampling period. </w:t>
      </w:r>
    </w:p>
    <w:p w14:paraId="299E1F1D" w14:textId="77777777" w:rsidR="00FC360C" w:rsidRPr="004A64B0" w:rsidRDefault="00FC360C" w:rsidP="004A64B0">
      <w:pPr>
        <w:rPr>
          <w:rFonts w:asciiTheme="minorHAnsi" w:hAnsiTheme="minorHAnsi"/>
          <w:szCs w:val="22"/>
        </w:rPr>
      </w:pPr>
      <w:r w:rsidRPr="004A64B0">
        <w:rPr>
          <w:rFonts w:asciiTheme="minorHAnsi" w:hAnsiTheme="minorHAnsi"/>
          <w:szCs w:val="22"/>
        </w:rPr>
        <w:t>The species selected for monitoring should fulfil certain requirements:</w:t>
      </w:r>
    </w:p>
    <w:p w14:paraId="321C6EEE" w14:textId="77777777" w:rsidR="00FC360C" w:rsidRPr="004A64B0" w:rsidRDefault="00FC360C" w:rsidP="004A64B0">
      <w:pPr>
        <w:numPr>
          <w:ilvl w:val="0"/>
          <w:numId w:val="33"/>
        </w:numPr>
        <w:tabs>
          <w:tab w:val="clear" w:pos="567"/>
          <w:tab w:val="clear" w:pos="1134"/>
          <w:tab w:val="clear" w:pos="1701"/>
          <w:tab w:val="clear" w:pos="2268"/>
          <w:tab w:val="left" w:pos="357"/>
        </w:tabs>
        <w:jc w:val="left"/>
        <w:rPr>
          <w:rFonts w:asciiTheme="minorHAnsi" w:hAnsiTheme="minorHAnsi"/>
          <w:szCs w:val="22"/>
        </w:rPr>
      </w:pPr>
      <w:r w:rsidRPr="004A64B0">
        <w:rPr>
          <w:rFonts w:asciiTheme="minorHAnsi" w:hAnsiTheme="minorHAnsi"/>
          <w:szCs w:val="22"/>
        </w:rPr>
        <w:t>Reflect concentration changes in the sampling area, i.e. ensure a link between exposure and concentration in the organisms.</w:t>
      </w:r>
    </w:p>
    <w:p w14:paraId="07D880AC" w14:textId="77777777" w:rsidR="00FC360C" w:rsidRPr="004A64B0" w:rsidRDefault="00FC360C" w:rsidP="004A64B0">
      <w:pPr>
        <w:numPr>
          <w:ilvl w:val="0"/>
          <w:numId w:val="33"/>
        </w:numPr>
        <w:tabs>
          <w:tab w:val="clear" w:pos="567"/>
          <w:tab w:val="clear" w:pos="1134"/>
          <w:tab w:val="clear" w:pos="1701"/>
          <w:tab w:val="clear" w:pos="2268"/>
          <w:tab w:val="left" w:pos="357"/>
        </w:tabs>
        <w:jc w:val="left"/>
        <w:rPr>
          <w:rFonts w:asciiTheme="minorHAnsi" w:hAnsiTheme="minorHAnsi"/>
          <w:szCs w:val="22"/>
        </w:rPr>
      </w:pPr>
      <w:r w:rsidRPr="004A64B0">
        <w:rPr>
          <w:rFonts w:asciiTheme="minorHAnsi" w:hAnsiTheme="minorHAnsi"/>
          <w:szCs w:val="22"/>
        </w:rPr>
        <w:t>Accumulate compounds without showing adverse effects.</w:t>
      </w:r>
    </w:p>
    <w:p w14:paraId="17CD02A8" w14:textId="77777777" w:rsidR="00FC360C" w:rsidRPr="004A64B0" w:rsidRDefault="00FC360C" w:rsidP="004A64B0">
      <w:pPr>
        <w:numPr>
          <w:ilvl w:val="0"/>
          <w:numId w:val="33"/>
        </w:numPr>
        <w:tabs>
          <w:tab w:val="clear" w:pos="567"/>
          <w:tab w:val="clear" w:pos="1134"/>
          <w:tab w:val="clear" w:pos="1701"/>
          <w:tab w:val="clear" w:pos="2268"/>
          <w:tab w:val="left" w:pos="357"/>
        </w:tabs>
        <w:jc w:val="left"/>
        <w:rPr>
          <w:rFonts w:asciiTheme="minorHAnsi" w:hAnsiTheme="minorHAnsi"/>
          <w:szCs w:val="22"/>
        </w:rPr>
      </w:pPr>
      <w:r w:rsidRPr="004A64B0">
        <w:rPr>
          <w:rFonts w:asciiTheme="minorHAnsi" w:hAnsiTheme="minorHAnsi"/>
          <w:szCs w:val="22"/>
        </w:rPr>
        <w:t>Representative of and abundant in the area (to ensure sufficient sample material for analysis).</w:t>
      </w:r>
    </w:p>
    <w:p w14:paraId="2EEB950A" w14:textId="77777777" w:rsidR="00FC360C" w:rsidRPr="004A64B0" w:rsidRDefault="00FC360C" w:rsidP="004A64B0">
      <w:pPr>
        <w:numPr>
          <w:ilvl w:val="0"/>
          <w:numId w:val="33"/>
        </w:numPr>
        <w:tabs>
          <w:tab w:val="clear" w:pos="567"/>
          <w:tab w:val="clear" w:pos="1134"/>
          <w:tab w:val="clear" w:pos="1701"/>
          <w:tab w:val="clear" w:pos="2268"/>
          <w:tab w:val="left" w:pos="357"/>
        </w:tabs>
        <w:jc w:val="left"/>
        <w:rPr>
          <w:rFonts w:asciiTheme="minorHAnsi" w:hAnsiTheme="minorHAnsi"/>
          <w:szCs w:val="22"/>
        </w:rPr>
      </w:pPr>
      <w:r w:rsidRPr="004A64B0">
        <w:rPr>
          <w:rFonts w:asciiTheme="minorHAnsi" w:hAnsiTheme="minorHAnsi"/>
          <w:szCs w:val="22"/>
        </w:rPr>
        <w:t>Relatively easy to handle.</w:t>
      </w:r>
    </w:p>
    <w:p w14:paraId="1EC16857" w14:textId="77777777" w:rsidR="00FC360C" w:rsidRPr="004A64B0" w:rsidRDefault="00FC360C" w:rsidP="004A64B0">
      <w:pPr>
        <w:rPr>
          <w:rFonts w:asciiTheme="minorHAnsi" w:hAnsiTheme="minorHAnsi"/>
          <w:szCs w:val="22"/>
        </w:rPr>
      </w:pPr>
      <w:r w:rsidRPr="004A64B0">
        <w:rPr>
          <w:rFonts w:asciiTheme="minorHAnsi" w:hAnsiTheme="minorHAnsi"/>
          <w:szCs w:val="22"/>
        </w:rPr>
        <w:t>Analogous to the monitoring of other organohalogen compounds, mussels and fish are suitable and commonly used for monitoring of PCDD/Fs and dl-PCBs (OSPAR, 2005). Highest PCDD/F concentrations are found in fish liver and muscle tissue of fatty fish such as herring and salmon. National food agencies often analyse PCDD/Fs and dl-PCBs in commercial fish and fish products, in order to monitor compliance with EU limit values. While different approaches will be necessary in environmental analyses, OSPAR (2005) recommends the monitoring of fish and shellfish as part of the monitoring strategy for dioxins.</w:t>
      </w:r>
    </w:p>
    <w:p w14:paraId="7CCCA4EC" w14:textId="77777777" w:rsidR="00FC360C" w:rsidRPr="004A64B0" w:rsidRDefault="00FC360C" w:rsidP="004A64B0">
      <w:pPr>
        <w:rPr>
          <w:rFonts w:asciiTheme="minorHAnsi" w:hAnsiTheme="minorHAnsi"/>
          <w:szCs w:val="22"/>
        </w:rPr>
      </w:pPr>
      <w:r w:rsidRPr="004A64B0">
        <w:rPr>
          <w:rFonts w:asciiTheme="minorHAnsi" w:hAnsiTheme="minorHAnsi"/>
          <w:szCs w:val="22"/>
        </w:rPr>
        <w:t>In general, the same recommendations are valid as described for other organochlorine compounds, i.e. in the OSPAR guideline on organic contaminants (OCs) in biota, which also contains details on sample dissection and homogenization. It should be pointed out, however, that the risk of sample contamination is considerably higher, given the extremely low concentrations of PCDD/Fs and dl-PCBs in most biota samples. The staff collecting and handling the samples should be well-trained and properly instructed in how to avoid contamination.</w:t>
      </w:r>
    </w:p>
    <w:p w14:paraId="51DFF156" w14:textId="77777777" w:rsidR="00FC360C" w:rsidRPr="004A64B0" w:rsidRDefault="00FC360C" w:rsidP="004A64B0">
      <w:pPr>
        <w:rPr>
          <w:rFonts w:asciiTheme="minorHAnsi" w:hAnsiTheme="minorHAnsi"/>
          <w:szCs w:val="22"/>
        </w:rPr>
      </w:pPr>
      <w:r w:rsidRPr="004A64B0">
        <w:rPr>
          <w:rFonts w:asciiTheme="minorHAnsi" w:hAnsiTheme="minorHAnsi"/>
          <w:szCs w:val="22"/>
        </w:rPr>
        <w:t xml:space="preserve">For mussel samples, it is important to remove any sediment particles from their intestinal system, by depuration in a glass aquarium with filtered water from the sampling location for approximately 24 hours. Mussel samples must not be frozen prior to dissection, but should be transported at temperatures between 5 and 15°C, suitable for the area of origin, in a clean container. After dissection, all samples should be stored in the dark at &lt; </w:t>
      </w:r>
      <w:r w:rsidRPr="004A64B0">
        <w:rPr>
          <w:rFonts w:asciiTheme="minorHAnsi" w:hAnsiTheme="minorHAnsi"/>
          <w:szCs w:val="22"/>
        </w:rPr>
        <w:noBreakHyphen/>
        <w:t xml:space="preserve">20°C prior to analysis. Under these conditions, long-term storage of tissue samples is possible (De Boer and Smedes, 1997). More details on the practical aspects of sample handling and preparation are given in the OSPAR guideline on OCs in biota. </w:t>
      </w:r>
    </w:p>
    <w:p w14:paraId="173A56F9" w14:textId="77777777" w:rsidR="00FC360C" w:rsidRPr="004A64B0" w:rsidRDefault="00FC360C" w:rsidP="004A64B0">
      <w:pPr>
        <w:pStyle w:val="Heading1"/>
      </w:pPr>
      <w:bookmarkStart w:id="338" w:name="_Toc511217616"/>
      <w:r w:rsidRPr="004A64B0">
        <w:t xml:space="preserve">4. </w:t>
      </w:r>
      <w:r w:rsidRPr="004A64B0">
        <w:tab/>
        <w:t>Analytical methods</w:t>
      </w:r>
      <w:bookmarkEnd w:id="338"/>
    </w:p>
    <w:p w14:paraId="3427430F" w14:textId="77777777" w:rsidR="00FC360C" w:rsidRPr="004A64B0" w:rsidRDefault="00FC360C" w:rsidP="004A64B0">
      <w:pPr>
        <w:rPr>
          <w:rFonts w:asciiTheme="minorHAnsi" w:hAnsiTheme="minorHAnsi"/>
          <w:szCs w:val="22"/>
        </w:rPr>
      </w:pPr>
      <w:r w:rsidRPr="004A64B0">
        <w:rPr>
          <w:rFonts w:asciiTheme="minorHAnsi" w:hAnsiTheme="minorHAnsi"/>
          <w:szCs w:val="22"/>
        </w:rPr>
        <w:t>An example of a suitable method for the analysis of biota samples is given in Figure 2.</w:t>
      </w:r>
    </w:p>
    <w:p w14:paraId="61445D8E" w14:textId="77777777" w:rsidR="00FC360C" w:rsidRPr="004A64B0" w:rsidRDefault="00FC360C" w:rsidP="004A64B0">
      <w:pPr>
        <w:rPr>
          <w:rFonts w:asciiTheme="minorHAnsi" w:hAnsiTheme="minorHAnsi"/>
          <w:szCs w:val="22"/>
        </w:rPr>
      </w:pPr>
    </w:p>
    <w:p w14:paraId="16C5F8E4" w14:textId="77777777" w:rsidR="00FC360C" w:rsidRPr="004A64B0" w:rsidRDefault="00FC360C" w:rsidP="004A64B0">
      <w:pPr>
        <w:ind w:left="1701"/>
        <w:rPr>
          <w:rFonts w:asciiTheme="minorHAnsi" w:hAnsiTheme="minorHAnsi"/>
          <w:szCs w:val="22"/>
        </w:rPr>
      </w:pPr>
      <w:r w:rsidRPr="004A64B0">
        <w:rPr>
          <w:rFonts w:asciiTheme="minorHAnsi" w:hAnsiTheme="minorHAnsi"/>
          <w:noProof/>
          <w:szCs w:val="22"/>
        </w:rPr>
        <w:drawing>
          <wp:inline distT="0" distB="0" distL="0" distR="0" wp14:anchorId="0A8CCD57" wp14:editId="56AE2C31">
            <wp:extent cx="3580130" cy="584898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80130" cy="5848985"/>
                    </a:xfrm>
                    <a:prstGeom prst="rect">
                      <a:avLst/>
                    </a:prstGeom>
                    <a:noFill/>
                    <a:ln>
                      <a:noFill/>
                    </a:ln>
                  </pic:spPr>
                </pic:pic>
              </a:graphicData>
            </a:graphic>
          </wp:inline>
        </w:drawing>
      </w:r>
    </w:p>
    <w:p w14:paraId="43E9F04F" w14:textId="77777777" w:rsidR="00FC360C" w:rsidRPr="004A64B0" w:rsidRDefault="00FC360C" w:rsidP="004A64B0">
      <w:pPr>
        <w:rPr>
          <w:rFonts w:asciiTheme="minorHAnsi" w:hAnsiTheme="minorHAnsi"/>
          <w:i/>
          <w:szCs w:val="22"/>
        </w:rPr>
      </w:pPr>
    </w:p>
    <w:p w14:paraId="00B4EA5C" w14:textId="77777777" w:rsidR="00FC360C" w:rsidRPr="004A64B0" w:rsidRDefault="00FC360C" w:rsidP="004A64B0">
      <w:pPr>
        <w:rPr>
          <w:rFonts w:asciiTheme="minorHAnsi" w:hAnsiTheme="minorHAnsi"/>
          <w:szCs w:val="22"/>
        </w:rPr>
      </w:pPr>
      <w:r w:rsidRPr="00617246">
        <w:rPr>
          <w:rFonts w:asciiTheme="minorHAnsi" w:hAnsiTheme="minorHAnsi"/>
          <w:b/>
          <w:szCs w:val="22"/>
        </w:rPr>
        <w:t>Figure 2</w:t>
      </w:r>
      <w:r w:rsidR="00617246">
        <w:rPr>
          <w:rFonts w:asciiTheme="minorHAnsi" w:hAnsiTheme="minorHAnsi"/>
          <w:szCs w:val="22"/>
        </w:rPr>
        <w:t>:</w:t>
      </w:r>
      <w:r w:rsidRPr="004A64B0">
        <w:rPr>
          <w:rFonts w:asciiTheme="minorHAnsi" w:hAnsiTheme="minorHAnsi"/>
          <w:szCs w:val="22"/>
        </w:rPr>
        <w:t xml:space="preserve"> Analytical method suitable for analysis of biota samples within environmental monitoring.</w:t>
      </w:r>
    </w:p>
    <w:p w14:paraId="378F6EDD" w14:textId="77777777" w:rsidR="00FC360C" w:rsidRPr="004A64B0" w:rsidRDefault="00FC360C" w:rsidP="00617246">
      <w:pPr>
        <w:pStyle w:val="Heading2"/>
      </w:pPr>
      <w:bookmarkStart w:id="339" w:name="_Toc511217617"/>
      <w:r w:rsidRPr="004A64B0">
        <w:t>4.1</w:t>
      </w:r>
      <w:r w:rsidRPr="004A64B0">
        <w:tab/>
        <w:t>Preparatory steps</w:t>
      </w:r>
      <w:bookmarkEnd w:id="339"/>
    </w:p>
    <w:p w14:paraId="149CEAE8" w14:textId="77777777" w:rsidR="00FC360C" w:rsidRPr="004A64B0" w:rsidRDefault="00FC360C" w:rsidP="004A64B0">
      <w:pPr>
        <w:rPr>
          <w:rFonts w:asciiTheme="minorHAnsi" w:hAnsiTheme="minorHAnsi"/>
          <w:szCs w:val="22"/>
        </w:rPr>
      </w:pPr>
      <w:r w:rsidRPr="004A64B0">
        <w:rPr>
          <w:rFonts w:asciiTheme="minorHAnsi" w:hAnsiTheme="minorHAnsi"/>
          <w:szCs w:val="22"/>
        </w:rPr>
        <w:t>It is essential to avoid contamination during all analytical steps. Reagents should be of high purity or cleaned by extraction or solvent rinse. All solvents used must be checked for presence of residues of target or interfering compounds (e.g. polychlorinated diphenyl ethers). The purity of standards should be checked. Reusable glassware should be rinsed with solvent, disassembled, washed with a detergent solution and further rinsed with ultrapure water and solvent. Baking glassware is common practice as part of the cleaning process, but the formation of active sites on the glass surface that may adsorb the target compounds has been reported (USEPA, 1994).</w:t>
      </w:r>
    </w:p>
    <w:p w14:paraId="62EC8452" w14:textId="77777777" w:rsidR="00FC360C" w:rsidRPr="004A64B0" w:rsidRDefault="00FC360C" w:rsidP="004A64B0">
      <w:pPr>
        <w:rPr>
          <w:rFonts w:asciiTheme="minorHAnsi" w:hAnsiTheme="minorHAnsi"/>
          <w:szCs w:val="22"/>
        </w:rPr>
      </w:pPr>
      <w:r w:rsidRPr="004A64B0">
        <w:rPr>
          <w:rFonts w:asciiTheme="minorHAnsi" w:hAnsiTheme="minorHAnsi"/>
          <w:szCs w:val="22"/>
        </w:rPr>
        <w:t>The preparation of stock solutions and standards can follow the guidelines developed for OCs in biota. However, care has to be taken to monitor and to avoid contamination. Furthermore, the high toxicity of the compounds might require a particularly careful handling; see comments under “Safety”. Commercially available diluted stock solutions can be used to reduce safety issues. As valid for the entire analytical method, only trained personnel should perform these steps.</w:t>
      </w:r>
      <w:r w:rsidR="00B33CCD">
        <w:rPr>
          <w:rFonts w:asciiTheme="minorHAnsi" w:hAnsiTheme="minorHAnsi"/>
          <w:szCs w:val="22"/>
        </w:rPr>
        <w:t xml:space="preserve"> </w:t>
      </w:r>
    </w:p>
    <w:p w14:paraId="269D26EA" w14:textId="77777777" w:rsidR="00FC360C" w:rsidRPr="004A64B0" w:rsidRDefault="00FC360C" w:rsidP="004A64B0">
      <w:pPr>
        <w:rPr>
          <w:rFonts w:asciiTheme="minorHAnsi" w:hAnsiTheme="minorHAnsi"/>
          <w:szCs w:val="22"/>
        </w:rPr>
      </w:pPr>
      <w:r w:rsidRPr="004A64B0">
        <w:rPr>
          <w:rFonts w:asciiTheme="minorHAnsi" w:hAnsiTheme="minorHAnsi"/>
          <w:szCs w:val="22"/>
        </w:rPr>
        <w:t>PCDD/Fs and dl-PCBs are normally determined by isotope dilution, using high resolution gas chromatography and high resolution mass spectrometry (HRGC/HRMS). 13C-labelled standards of all congeners to be analysed are added prior to extraction of the samples. These internal standards are used to quantify the native PCDD/Fs and PCBs and to check the method performance in each sample (recovery surrogates). Table 2 provides a list of all 13C12 labelled congeners available for use as internal standards while Table 3 provides the minimum number of internal standards to be used for the quantification of PCDD/Fs congeners.</w:t>
      </w:r>
    </w:p>
    <w:p w14:paraId="75EAB2C6" w14:textId="77777777" w:rsidR="00FC360C" w:rsidRPr="004A64B0" w:rsidRDefault="00FC360C" w:rsidP="004A64B0">
      <w:pPr>
        <w:rPr>
          <w:rFonts w:asciiTheme="minorHAnsi" w:hAnsiTheme="minorHAnsi"/>
          <w:szCs w:val="22"/>
        </w:rPr>
      </w:pPr>
      <w:r w:rsidRPr="004A64B0">
        <w:rPr>
          <w:rFonts w:asciiTheme="minorHAnsi" w:hAnsiTheme="minorHAnsi"/>
          <w:b/>
          <w:szCs w:val="22"/>
        </w:rPr>
        <w:t>Table 2</w:t>
      </w:r>
      <w:r w:rsidR="00617246">
        <w:rPr>
          <w:rFonts w:asciiTheme="minorHAnsi" w:hAnsiTheme="minorHAnsi"/>
          <w:szCs w:val="22"/>
        </w:rPr>
        <w:t>:</w:t>
      </w:r>
      <w:r w:rsidRPr="004A64B0">
        <w:rPr>
          <w:rFonts w:asciiTheme="minorHAnsi" w:hAnsiTheme="minorHAnsi"/>
          <w:szCs w:val="22"/>
        </w:rPr>
        <w:tab/>
        <w:t>13C12 labelled congeners that can be used as the internal standards</w:t>
      </w:r>
    </w:p>
    <w:p w14:paraId="47D958FB" w14:textId="77777777" w:rsidR="00FC360C" w:rsidRPr="004A64B0" w:rsidRDefault="00FC360C" w:rsidP="004A64B0">
      <w:pPr>
        <w:rPr>
          <w:rFonts w:asciiTheme="minorHAnsi" w:hAnsiTheme="minorHAnsi"/>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2"/>
        <w:gridCol w:w="1842"/>
      </w:tblGrid>
      <w:tr w:rsidR="00FC360C" w:rsidRPr="004A64B0" w14:paraId="0A56CBDD" w14:textId="77777777" w:rsidTr="002F237A">
        <w:trPr>
          <w:jc w:val="center"/>
        </w:trPr>
        <w:tc>
          <w:tcPr>
            <w:tcW w:w="2612" w:type="dxa"/>
          </w:tcPr>
          <w:p w14:paraId="7837632E"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b/>
                <w:bCs/>
                <w:szCs w:val="22"/>
              </w:rPr>
              <w:t>PCDD/F congeners</w:t>
            </w:r>
          </w:p>
        </w:tc>
        <w:tc>
          <w:tcPr>
            <w:tcW w:w="1842" w:type="dxa"/>
          </w:tcPr>
          <w:p w14:paraId="7FE4DF48"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b/>
                <w:bCs/>
                <w:szCs w:val="22"/>
              </w:rPr>
              <w:t>PCB congeners</w:t>
            </w:r>
          </w:p>
        </w:tc>
      </w:tr>
      <w:tr w:rsidR="00FC360C" w:rsidRPr="004A64B0" w14:paraId="1973443C" w14:textId="77777777" w:rsidTr="002F237A">
        <w:trPr>
          <w:jc w:val="center"/>
        </w:trPr>
        <w:tc>
          <w:tcPr>
            <w:tcW w:w="2612" w:type="dxa"/>
          </w:tcPr>
          <w:p w14:paraId="3ED796C1"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2,3,7,8-</w:t>
            </w: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-TCDD</w:t>
            </w:r>
          </w:p>
        </w:tc>
        <w:tc>
          <w:tcPr>
            <w:tcW w:w="1842" w:type="dxa"/>
          </w:tcPr>
          <w:p w14:paraId="6FBF502A"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-CB-77</w:t>
            </w:r>
          </w:p>
        </w:tc>
      </w:tr>
      <w:tr w:rsidR="00FC360C" w:rsidRPr="004A64B0" w14:paraId="4F017FF0" w14:textId="77777777" w:rsidTr="002F237A">
        <w:trPr>
          <w:jc w:val="center"/>
        </w:trPr>
        <w:tc>
          <w:tcPr>
            <w:tcW w:w="2612" w:type="dxa"/>
          </w:tcPr>
          <w:p w14:paraId="760D77B4"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1,2,3,7,8-</w:t>
            </w: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-PeCDD</w:t>
            </w:r>
          </w:p>
        </w:tc>
        <w:tc>
          <w:tcPr>
            <w:tcW w:w="1842" w:type="dxa"/>
          </w:tcPr>
          <w:p w14:paraId="7DB62049"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-CB-81</w:t>
            </w:r>
          </w:p>
        </w:tc>
      </w:tr>
      <w:tr w:rsidR="00FC360C" w:rsidRPr="004A64B0" w14:paraId="1A40D3B0" w14:textId="77777777" w:rsidTr="002F237A">
        <w:trPr>
          <w:jc w:val="center"/>
        </w:trPr>
        <w:tc>
          <w:tcPr>
            <w:tcW w:w="2612" w:type="dxa"/>
          </w:tcPr>
          <w:p w14:paraId="0795F7ED"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1,2,3,4,7,8-</w:t>
            </w: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-HxCDD</w:t>
            </w:r>
          </w:p>
        </w:tc>
        <w:tc>
          <w:tcPr>
            <w:tcW w:w="1842" w:type="dxa"/>
          </w:tcPr>
          <w:p w14:paraId="1F54FB7E"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-CB-126</w:t>
            </w:r>
          </w:p>
        </w:tc>
      </w:tr>
      <w:tr w:rsidR="00FC360C" w:rsidRPr="004A64B0" w14:paraId="5AEB9A9E" w14:textId="77777777" w:rsidTr="002F237A">
        <w:trPr>
          <w:jc w:val="center"/>
        </w:trPr>
        <w:tc>
          <w:tcPr>
            <w:tcW w:w="2612" w:type="dxa"/>
          </w:tcPr>
          <w:p w14:paraId="4405C248"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1,2,3,6,7,8-</w:t>
            </w: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-HxCDD</w:t>
            </w:r>
          </w:p>
        </w:tc>
        <w:tc>
          <w:tcPr>
            <w:tcW w:w="1842" w:type="dxa"/>
          </w:tcPr>
          <w:p w14:paraId="2BFB189A"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-CB-169</w:t>
            </w:r>
          </w:p>
        </w:tc>
      </w:tr>
      <w:tr w:rsidR="00FC360C" w:rsidRPr="004A64B0" w14:paraId="5B8CD250" w14:textId="77777777" w:rsidTr="002F237A">
        <w:trPr>
          <w:jc w:val="center"/>
        </w:trPr>
        <w:tc>
          <w:tcPr>
            <w:tcW w:w="2612" w:type="dxa"/>
          </w:tcPr>
          <w:p w14:paraId="1B9794F7"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1,2,3,7,8,9-</w:t>
            </w: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-HxCDD</w:t>
            </w:r>
          </w:p>
        </w:tc>
        <w:tc>
          <w:tcPr>
            <w:tcW w:w="1842" w:type="dxa"/>
          </w:tcPr>
          <w:p w14:paraId="213A7AFC" w14:textId="77777777" w:rsidR="00FC360C" w:rsidRPr="004A64B0" w:rsidRDefault="00FC360C" w:rsidP="004A64B0">
            <w:pPr>
              <w:autoSpaceDE w:val="0"/>
              <w:autoSpaceDN w:val="0"/>
              <w:adjustRightInd w:val="0"/>
              <w:rPr>
                <w:rFonts w:asciiTheme="minorHAnsi" w:hAnsiTheme="minorHAnsi" w:cs="Arial"/>
                <w:b/>
                <w:bCs/>
                <w:szCs w:val="22"/>
              </w:rPr>
            </w:pPr>
          </w:p>
        </w:tc>
      </w:tr>
      <w:tr w:rsidR="00FC360C" w:rsidRPr="004A64B0" w14:paraId="2DE2B1DD" w14:textId="77777777" w:rsidTr="002F237A">
        <w:trPr>
          <w:jc w:val="center"/>
        </w:trPr>
        <w:tc>
          <w:tcPr>
            <w:tcW w:w="2612" w:type="dxa"/>
          </w:tcPr>
          <w:p w14:paraId="446D2CD1"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1,2,3,4,6,7,8-</w:t>
            </w: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-HpCDD</w:t>
            </w:r>
          </w:p>
        </w:tc>
        <w:tc>
          <w:tcPr>
            <w:tcW w:w="1842" w:type="dxa"/>
          </w:tcPr>
          <w:p w14:paraId="2B5D1B07"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-CB-105</w:t>
            </w:r>
          </w:p>
        </w:tc>
      </w:tr>
      <w:tr w:rsidR="00FC360C" w:rsidRPr="004A64B0" w14:paraId="56129D22" w14:textId="77777777" w:rsidTr="002F237A">
        <w:trPr>
          <w:jc w:val="center"/>
        </w:trPr>
        <w:tc>
          <w:tcPr>
            <w:tcW w:w="2612" w:type="dxa"/>
          </w:tcPr>
          <w:p w14:paraId="6CCE2859"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-OCDD</w:t>
            </w:r>
          </w:p>
        </w:tc>
        <w:tc>
          <w:tcPr>
            <w:tcW w:w="1842" w:type="dxa"/>
          </w:tcPr>
          <w:p w14:paraId="3BEEDFF5"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-CB-114</w:t>
            </w:r>
          </w:p>
        </w:tc>
      </w:tr>
      <w:tr w:rsidR="00FC360C" w:rsidRPr="004A64B0" w14:paraId="1C09B7F7" w14:textId="77777777" w:rsidTr="002F237A">
        <w:trPr>
          <w:jc w:val="center"/>
        </w:trPr>
        <w:tc>
          <w:tcPr>
            <w:tcW w:w="2612" w:type="dxa"/>
          </w:tcPr>
          <w:p w14:paraId="2323071B" w14:textId="77777777" w:rsidR="00FC360C" w:rsidRPr="004A64B0" w:rsidRDefault="00FC360C" w:rsidP="004A64B0">
            <w:pPr>
              <w:autoSpaceDE w:val="0"/>
              <w:autoSpaceDN w:val="0"/>
              <w:adjustRightInd w:val="0"/>
              <w:rPr>
                <w:rFonts w:asciiTheme="minorHAnsi" w:hAnsiTheme="minorHAnsi" w:cs="Arial"/>
                <w:b/>
                <w:bCs/>
                <w:szCs w:val="22"/>
              </w:rPr>
            </w:pPr>
          </w:p>
        </w:tc>
        <w:tc>
          <w:tcPr>
            <w:tcW w:w="1842" w:type="dxa"/>
          </w:tcPr>
          <w:p w14:paraId="11D463EA"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-CB-118</w:t>
            </w:r>
          </w:p>
        </w:tc>
      </w:tr>
      <w:tr w:rsidR="00FC360C" w:rsidRPr="004A64B0" w14:paraId="39080B7E" w14:textId="77777777" w:rsidTr="002F237A">
        <w:trPr>
          <w:jc w:val="center"/>
        </w:trPr>
        <w:tc>
          <w:tcPr>
            <w:tcW w:w="2612" w:type="dxa"/>
          </w:tcPr>
          <w:p w14:paraId="3BE33BCC"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2,3,7,8-</w:t>
            </w: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-TCDF</w:t>
            </w:r>
          </w:p>
        </w:tc>
        <w:tc>
          <w:tcPr>
            <w:tcW w:w="1842" w:type="dxa"/>
          </w:tcPr>
          <w:p w14:paraId="1779DC60"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-CB-123</w:t>
            </w:r>
          </w:p>
        </w:tc>
      </w:tr>
      <w:tr w:rsidR="00FC360C" w:rsidRPr="004A64B0" w14:paraId="6FB7D018" w14:textId="77777777" w:rsidTr="002F237A">
        <w:trPr>
          <w:jc w:val="center"/>
        </w:trPr>
        <w:tc>
          <w:tcPr>
            <w:tcW w:w="2612" w:type="dxa"/>
          </w:tcPr>
          <w:p w14:paraId="04ADB898"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1,2,3,7,8-</w:t>
            </w: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-PeCDF</w:t>
            </w:r>
          </w:p>
        </w:tc>
        <w:tc>
          <w:tcPr>
            <w:tcW w:w="1842" w:type="dxa"/>
          </w:tcPr>
          <w:p w14:paraId="178F4E34"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-CB-156</w:t>
            </w:r>
          </w:p>
        </w:tc>
      </w:tr>
      <w:tr w:rsidR="00FC360C" w:rsidRPr="004A64B0" w14:paraId="582CD5D3" w14:textId="77777777" w:rsidTr="002F237A">
        <w:trPr>
          <w:jc w:val="center"/>
        </w:trPr>
        <w:tc>
          <w:tcPr>
            <w:tcW w:w="2612" w:type="dxa"/>
          </w:tcPr>
          <w:p w14:paraId="79B71330"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2,3,4,7,8-</w:t>
            </w: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-PeCDF</w:t>
            </w:r>
          </w:p>
        </w:tc>
        <w:tc>
          <w:tcPr>
            <w:tcW w:w="1842" w:type="dxa"/>
          </w:tcPr>
          <w:p w14:paraId="7F681CFB"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-CB-157</w:t>
            </w:r>
          </w:p>
        </w:tc>
      </w:tr>
      <w:tr w:rsidR="00FC360C" w:rsidRPr="004A64B0" w14:paraId="3EBDEE16" w14:textId="77777777" w:rsidTr="002F237A">
        <w:trPr>
          <w:jc w:val="center"/>
        </w:trPr>
        <w:tc>
          <w:tcPr>
            <w:tcW w:w="2612" w:type="dxa"/>
          </w:tcPr>
          <w:p w14:paraId="4B13D73E"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1,2,3,4,7,8-</w:t>
            </w: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-HxCDF</w:t>
            </w:r>
          </w:p>
        </w:tc>
        <w:tc>
          <w:tcPr>
            <w:tcW w:w="1842" w:type="dxa"/>
          </w:tcPr>
          <w:p w14:paraId="53354C53"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-CB-167</w:t>
            </w:r>
          </w:p>
        </w:tc>
      </w:tr>
      <w:tr w:rsidR="00FC360C" w:rsidRPr="004A64B0" w14:paraId="481CFF76" w14:textId="77777777" w:rsidTr="002F237A">
        <w:trPr>
          <w:jc w:val="center"/>
        </w:trPr>
        <w:tc>
          <w:tcPr>
            <w:tcW w:w="2612" w:type="dxa"/>
          </w:tcPr>
          <w:p w14:paraId="176384FB"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1,2,3,6,7,8-</w:t>
            </w: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-HxCDF</w:t>
            </w:r>
          </w:p>
        </w:tc>
        <w:tc>
          <w:tcPr>
            <w:tcW w:w="1842" w:type="dxa"/>
          </w:tcPr>
          <w:p w14:paraId="5FF1537E"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-CB-189</w:t>
            </w:r>
          </w:p>
        </w:tc>
      </w:tr>
      <w:tr w:rsidR="00FC360C" w:rsidRPr="004A64B0" w14:paraId="68F3EEBB" w14:textId="77777777" w:rsidTr="002F237A">
        <w:trPr>
          <w:jc w:val="center"/>
        </w:trPr>
        <w:tc>
          <w:tcPr>
            <w:tcW w:w="2612" w:type="dxa"/>
          </w:tcPr>
          <w:p w14:paraId="1B8120EB"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2,3,4,6,7,8-</w:t>
            </w: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-HxCDF</w:t>
            </w:r>
          </w:p>
        </w:tc>
        <w:tc>
          <w:tcPr>
            <w:tcW w:w="1842" w:type="dxa"/>
          </w:tcPr>
          <w:p w14:paraId="43D8A30C" w14:textId="77777777" w:rsidR="00FC360C" w:rsidRPr="004A64B0" w:rsidRDefault="00FC360C" w:rsidP="004A64B0">
            <w:pPr>
              <w:autoSpaceDE w:val="0"/>
              <w:autoSpaceDN w:val="0"/>
              <w:adjustRightInd w:val="0"/>
              <w:rPr>
                <w:rFonts w:asciiTheme="minorHAnsi" w:hAnsiTheme="minorHAnsi" w:cs="Arial"/>
                <w:b/>
                <w:bCs/>
                <w:szCs w:val="22"/>
              </w:rPr>
            </w:pPr>
          </w:p>
        </w:tc>
      </w:tr>
      <w:tr w:rsidR="00FC360C" w:rsidRPr="004A64B0" w14:paraId="208AB51F" w14:textId="77777777" w:rsidTr="002F237A">
        <w:trPr>
          <w:jc w:val="center"/>
        </w:trPr>
        <w:tc>
          <w:tcPr>
            <w:tcW w:w="2612" w:type="dxa"/>
          </w:tcPr>
          <w:p w14:paraId="711A60EF"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1,2,3,7,8,9-</w:t>
            </w: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-HxCDF</w:t>
            </w:r>
          </w:p>
        </w:tc>
        <w:tc>
          <w:tcPr>
            <w:tcW w:w="1842" w:type="dxa"/>
          </w:tcPr>
          <w:p w14:paraId="1C05AB56" w14:textId="77777777" w:rsidR="00FC360C" w:rsidRPr="004A64B0" w:rsidRDefault="00FC360C" w:rsidP="004A64B0">
            <w:pPr>
              <w:autoSpaceDE w:val="0"/>
              <w:autoSpaceDN w:val="0"/>
              <w:adjustRightInd w:val="0"/>
              <w:rPr>
                <w:rFonts w:asciiTheme="minorHAnsi" w:hAnsiTheme="minorHAnsi" w:cs="Arial"/>
                <w:b/>
                <w:bCs/>
                <w:szCs w:val="22"/>
              </w:rPr>
            </w:pPr>
          </w:p>
        </w:tc>
      </w:tr>
      <w:tr w:rsidR="00FC360C" w:rsidRPr="004A64B0" w14:paraId="23200693" w14:textId="77777777" w:rsidTr="002F237A">
        <w:trPr>
          <w:jc w:val="center"/>
        </w:trPr>
        <w:tc>
          <w:tcPr>
            <w:tcW w:w="2612" w:type="dxa"/>
          </w:tcPr>
          <w:p w14:paraId="0453268E"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1,2,3,4,6,7,8-</w:t>
            </w: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-HpCDF</w:t>
            </w:r>
          </w:p>
        </w:tc>
        <w:tc>
          <w:tcPr>
            <w:tcW w:w="1842" w:type="dxa"/>
          </w:tcPr>
          <w:p w14:paraId="04FAC339" w14:textId="77777777" w:rsidR="00FC360C" w:rsidRPr="004A64B0" w:rsidRDefault="00FC360C" w:rsidP="004A64B0">
            <w:pPr>
              <w:autoSpaceDE w:val="0"/>
              <w:autoSpaceDN w:val="0"/>
              <w:adjustRightInd w:val="0"/>
              <w:rPr>
                <w:rFonts w:asciiTheme="minorHAnsi" w:hAnsiTheme="minorHAnsi" w:cs="Arial"/>
                <w:b/>
                <w:bCs/>
                <w:szCs w:val="22"/>
              </w:rPr>
            </w:pPr>
          </w:p>
        </w:tc>
      </w:tr>
      <w:tr w:rsidR="00FC360C" w:rsidRPr="004A64B0" w14:paraId="3CF645FB" w14:textId="77777777" w:rsidTr="002F237A">
        <w:trPr>
          <w:jc w:val="center"/>
        </w:trPr>
        <w:tc>
          <w:tcPr>
            <w:tcW w:w="2612" w:type="dxa"/>
          </w:tcPr>
          <w:p w14:paraId="1EA8F6F8"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1,2,3,4,7,8,9-</w:t>
            </w: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-HpCDF</w:t>
            </w:r>
          </w:p>
        </w:tc>
        <w:tc>
          <w:tcPr>
            <w:tcW w:w="1842" w:type="dxa"/>
          </w:tcPr>
          <w:p w14:paraId="53173919" w14:textId="77777777" w:rsidR="00FC360C" w:rsidRPr="004A64B0" w:rsidRDefault="00FC360C" w:rsidP="004A64B0">
            <w:pPr>
              <w:autoSpaceDE w:val="0"/>
              <w:autoSpaceDN w:val="0"/>
              <w:adjustRightInd w:val="0"/>
              <w:rPr>
                <w:rFonts w:asciiTheme="minorHAnsi" w:hAnsiTheme="minorHAnsi" w:cs="Arial"/>
                <w:b/>
                <w:bCs/>
                <w:szCs w:val="22"/>
              </w:rPr>
            </w:pPr>
          </w:p>
        </w:tc>
      </w:tr>
      <w:tr w:rsidR="00FC360C" w:rsidRPr="004A64B0" w14:paraId="5FC7EBB7" w14:textId="77777777" w:rsidTr="002F237A">
        <w:trPr>
          <w:jc w:val="center"/>
        </w:trPr>
        <w:tc>
          <w:tcPr>
            <w:tcW w:w="2612" w:type="dxa"/>
          </w:tcPr>
          <w:p w14:paraId="4EE7761D"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vertAlign w:val="superscript"/>
              </w:rPr>
              <w:t>13</w:t>
            </w:r>
            <w:r w:rsidRPr="004A64B0">
              <w:rPr>
                <w:rFonts w:asciiTheme="minorHAnsi" w:hAnsiTheme="minorHAnsi" w:cs="Arial"/>
                <w:szCs w:val="22"/>
              </w:rPr>
              <w:t>C</w:t>
            </w:r>
            <w:r w:rsidRPr="004A64B0">
              <w:rPr>
                <w:rFonts w:asciiTheme="minorHAnsi" w:hAnsiTheme="minorHAnsi" w:cs="Arial"/>
                <w:szCs w:val="22"/>
                <w:vertAlign w:val="subscript"/>
              </w:rPr>
              <w:t>12</w:t>
            </w:r>
            <w:r w:rsidRPr="004A64B0">
              <w:rPr>
                <w:rFonts w:asciiTheme="minorHAnsi" w:hAnsiTheme="minorHAnsi" w:cs="Arial"/>
                <w:szCs w:val="22"/>
              </w:rPr>
              <w:t>-OCDF</w:t>
            </w:r>
          </w:p>
        </w:tc>
        <w:tc>
          <w:tcPr>
            <w:tcW w:w="1842" w:type="dxa"/>
          </w:tcPr>
          <w:p w14:paraId="20AB1EC3" w14:textId="77777777" w:rsidR="00FC360C" w:rsidRPr="004A64B0" w:rsidRDefault="00FC360C" w:rsidP="004A64B0">
            <w:pPr>
              <w:autoSpaceDE w:val="0"/>
              <w:autoSpaceDN w:val="0"/>
              <w:adjustRightInd w:val="0"/>
              <w:rPr>
                <w:rFonts w:asciiTheme="minorHAnsi" w:hAnsiTheme="minorHAnsi" w:cs="Arial"/>
                <w:b/>
                <w:bCs/>
                <w:szCs w:val="22"/>
              </w:rPr>
            </w:pPr>
          </w:p>
        </w:tc>
      </w:tr>
    </w:tbl>
    <w:p w14:paraId="13AAB342" w14:textId="77777777" w:rsidR="00FC360C" w:rsidRPr="004A64B0" w:rsidRDefault="00FC360C" w:rsidP="004A64B0">
      <w:pPr>
        <w:rPr>
          <w:rFonts w:asciiTheme="minorHAnsi" w:hAnsiTheme="minorHAnsi" w:cs="Arial"/>
          <w:szCs w:val="22"/>
        </w:rPr>
      </w:pPr>
    </w:p>
    <w:p w14:paraId="16ABB469" w14:textId="77777777" w:rsidR="00FC360C" w:rsidRPr="004A64B0" w:rsidRDefault="00FC360C" w:rsidP="004A64B0">
      <w:pPr>
        <w:rPr>
          <w:rFonts w:asciiTheme="minorHAnsi" w:hAnsiTheme="minorHAnsi"/>
          <w:szCs w:val="22"/>
        </w:rPr>
      </w:pPr>
      <w:r w:rsidRPr="004A64B0">
        <w:rPr>
          <w:rFonts w:asciiTheme="minorHAnsi" w:hAnsiTheme="minorHAnsi"/>
          <w:b/>
          <w:szCs w:val="22"/>
        </w:rPr>
        <w:br w:type="page"/>
        <w:t>Table 3</w:t>
      </w:r>
      <w:r w:rsidR="00617246">
        <w:rPr>
          <w:rFonts w:asciiTheme="minorHAnsi" w:hAnsiTheme="minorHAnsi"/>
          <w:szCs w:val="22"/>
        </w:rPr>
        <w:t>:</w:t>
      </w:r>
      <w:r w:rsidRPr="004A64B0">
        <w:rPr>
          <w:rFonts w:asciiTheme="minorHAnsi" w:hAnsiTheme="minorHAnsi"/>
          <w:szCs w:val="22"/>
        </w:rPr>
        <w:tab/>
        <w:t>Minimum number of internal standards to be used for calibration of PCDD and PCDF homologue groups</w:t>
      </w:r>
    </w:p>
    <w:p w14:paraId="5434D3EB" w14:textId="77777777" w:rsidR="00FC360C" w:rsidRPr="004A64B0" w:rsidRDefault="00FC360C" w:rsidP="004A64B0">
      <w:pPr>
        <w:rPr>
          <w:rFonts w:asciiTheme="minorHAnsi" w:hAnsiTheme="minorHAnsi"/>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0"/>
        <w:gridCol w:w="1326"/>
        <w:gridCol w:w="1496"/>
        <w:gridCol w:w="1418"/>
        <w:gridCol w:w="1559"/>
      </w:tblGrid>
      <w:tr w:rsidR="00FC360C" w:rsidRPr="004A64B0" w14:paraId="667D69FB" w14:textId="77777777" w:rsidTr="002F237A">
        <w:trPr>
          <w:jc w:val="center"/>
        </w:trPr>
        <w:tc>
          <w:tcPr>
            <w:tcW w:w="2500" w:type="dxa"/>
          </w:tcPr>
          <w:p w14:paraId="09B2CBEB"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b/>
                <w:bCs/>
                <w:szCs w:val="22"/>
              </w:rPr>
              <w:t>Substance</w:t>
            </w:r>
          </w:p>
        </w:tc>
        <w:tc>
          <w:tcPr>
            <w:tcW w:w="2812" w:type="dxa"/>
            <w:gridSpan w:val="2"/>
          </w:tcPr>
          <w:p w14:paraId="2B45BF47"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b/>
                <w:bCs/>
                <w:szCs w:val="22"/>
              </w:rPr>
              <w:t>PCDD-Homologues</w:t>
            </w:r>
          </w:p>
        </w:tc>
        <w:tc>
          <w:tcPr>
            <w:tcW w:w="2977" w:type="dxa"/>
            <w:gridSpan w:val="2"/>
          </w:tcPr>
          <w:p w14:paraId="2DC7D685"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b/>
                <w:bCs/>
                <w:szCs w:val="22"/>
              </w:rPr>
              <w:t>PCDF-Homologues</w:t>
            </w:r>
          </w:p>
        </w:tc>
      </w:tr>
      <w:tr w:rsidR="00FC360C" w:rsidRPr="004A64B0" w14:paraId="7AAFCF47" w14:textId="77777777" w:rsidTr="002F237A">
        <w:trPr>
          <w:jc w:val="center"/>
        </w:trPr>
        <w:tc>
          <w:tcPr>
            <w:tcW w:w="2500" w:type="dxa"/>
          </w:tcPr>
          <w:p w14:paraId="7457AED4" w14:textId="77777777" w:rsidR="00FC360C" w:rsidRPr="004A64B0" w:rsidRDefault="00FC360C" w:rsidP="004A64B0">
            <w:pPr>
              <w:autoSpaceDE w:val="0"/>
              <w:autoSpaceDN w:val="0"/>
              <w:adjustRightInd w:val="0"/>
              <w:rPr>
                <w:rFonts w:asciiTheme="minorHAnsi" w:hAnsiTheme="minorHAnsi" w:cs="Arial"/>
                <w:b/>
                <w:bCs/>
                <w:szCs w:val="22"/>
              </w:rPr>
            </w:pPr>
          </w:p>
        </w:tc>
        <w:tc>
          <w:tcPr>
            <w:tcW w:w="1316" w:type="dxa"/>
          </w:tcPr>
          <w:p w14:paraId="62DAE364"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b/>
                <w:bCs/>
                <w:szCs w:val="22"/>
              </w:rPr>
              <w:t>Native</w:t>
            </w:r>
          </w:p>
        </w:tc>
        <w:tc>
          <w:tcPr>
            <w:tcW w:w="1496" w:type="dxa"/>
          </w:tcPr>
          <w:p w14:paraId="02524E38"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b/>
                <w:bCs/>
                <w:szCs w:val="22"/>
                <w:vertAlign w:val="superscript"/>
              </w:rPr>
              <w:t>13</w:t>
            </w:r>
            <w:r w:rsidRPr="004A64B0">
              <w:rPr>
                <w:rFonts w:asciiTheme="minorHAnsi" w:hAnsiTheme="minorHAnsi" w:cs="Arial"/>
                <w:b/>
                <w:bCs/>
                <w:szCs w:val="22"/>
              </w:rPr>
              <w:t>C</w:t>
            </w:r>
            <w:r w:rsidRPr="004A64B0">
              <w:rPr>
                <w:rFonts w:asciiTheme="minorHAnsi" w:hAnsiTheme="minorHAnsi" w:cs="Arial"/>
                <w:b/>
                <w:bCs/>
                <w:szCs w:val="22"/>
                <w:vertAlign w:val="subscript"/>
              </w:rPr>
              <w:t>12</w:t>
            </w:r>
            <w:r w:rsidRPr="004A64B0">
              <w:rPr>
                <w:rFonts w:asciiTheme="minorHAnsi" w:hAnsiTheme="minorHAnsi" w:cs="Arial"/>
                <w:b/>
                <w:bCs/>
                <w:szCs w:val="22"/>
              </w:rPr>
              <w:t>-labelled</w:t>
            </w:r>
          </w:p>
        </w:tc>
        <w:tc>
          <w:tcPr>
            <w:tcW w:w="1418" w:type="dxa"/>
          </w:tcPr>
          <w:p w14:paraId="2A8F7A7C"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b/>
                <w:bCs/>
                <w:szCs w:val="22"/>
              </w:rPr>
              <w:t>Native</w:t>
            </w:r>
          </w:p>
        </w:tc>
        <w:tc>
          <w:tcPr>
            <w:tcW w:w="1559" w:type="dxa"/>
          </w:tcPr>
          <w:p w14:paraId="5D5AAD1B"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b/>
                <w:bCs/>
                <w:szCs w:val="22"/>
                <w:vertAlign w:val="superscript"/>
              </w:rPr>
              <w:t>13</w:t>
            </w:r>
            <w:r w:rsidRPr="004A64B0">
              <w:rPr>
                <w:rFonts w:asciiTheme="minorHAnsi" w:hAnsiTheme="minorHAnsi" w:cs="Arial"/>
                <w:b/>
                <w:bCs/>
                <w:szCs w:val="22"/>
              </w:rPr>
              <w:t>C</w:t>
            </w:r>
            <w:r w:rsidRPr="004A64B0">
              <w:rPr>
                <w:rFonts w:asciiTheme="minorHAnsi" w:hAnsiTheme="minorHAnsi" w:cs="Arial"/>
                <w:b/>
                <w:bCs/>
                <w:szCs w:val="22"/>
                <w:vertAlign w:val="subscript"/>
              </w:rPr>
              <w:t>12</w:t>
            </w:r>
            <w:r w:rsidRPr="004A64B0">
              <w:rPr>
                <w:rFonts w:asciiTheme="minorHAnsi" w:hAnsiTheme="minorHAnsi" w:cs="Arial"/>
                <w:b/>
                <w:bCs/>
                <w:szCs w:val="22"/>
              </w:rPr>
              <w:t>-labelled</w:t>
            </w:r>
          </w:p>
        </w:tc>
      </w:tr>
      <w:tr w:rsidR="00FC360C" w:rsidRPr="004A64B0" w14:paraId="022028C0" w14:textId="77777777" w:rsidTr="002F237A">
        <w:trPr>
          <w:jc w:val="center"/>
        </w:trPr>
        <w:tc>
          <w:tcPr>
            <w:tcW w:w="2500" w:type="dxa"/>
          </w:tcPr>
          <w:p w14:paraId="45AFDB44"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Tetrachloro homologues</w:t>
            </w:r>
          </w:p>
        </w:tc>
        <w:tc>
          <w:tcPr>
            <w:tcW w:w="1316" w:type="dxa"/>
          </w:tcPr>
          <w:p w14:paraId="067B9EF1"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2,3,7,8</w:t>
            </w:r>
          </w:p>
        </w:tc>
        <w:tc>
          <w:tcPr>
            <w:tcW w:w="1496" w:type="dxa"/>
          </w:tcPr>
          <w:p w14:paraId="4F8D31DB"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2,3,7,8</w:t>
            </w:r>
          </w:p>
        </w:tc>
        <w:tc>
          <w:tcPr>
            <w:tcW w:w="1418" w:type="dxa"/>
          </w:tcPr>
          <w:p w14:paraId="76BE8223"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2,3,7,8</w:t>
            </w:r>
          </w:p>
        </w:tc>
        <w:tc>
          <w:tcPr>
            <w:tcW w:w="1559" w:type="dxa"/>
          </w:tcPr>
          <w:p w14:paraId="059361EB"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2,3,7,8</w:t>
            </w:r>
          </w:p>
        </w:tc>
      </w:tr>
      <w:tr w:rsidR="00FC360C" w:rsidRPr="004A64B0" w14:paraId="17FDCA91" w14:textId="77777777" w:rsidTr="002F237A">
        <w:trPr>
          <w:trHeight w:val="470"/>
          <w:jc w:val="center"/>
        </w:trPr>
        <w:tc>
          <w:tcPr>
            <w:tcW w:w="2500" w:type="dxa"/>
            <w:vAlign w:val="center"/>
          </w:tcPr>
          <w:p w14:paraId="26C7FFF4"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Pentachloro homologues</w:t>
            </w:r>
          </w:p>
        </w:tc>
        <w:tc>
          <w:tcPr>
            <w:tcW w:w="1316" w:type="dxa"/>
            <w:vAlign w:val="center"/>
          </w:tcPr>
          <w:p w14:paraId="61B301F1"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1,2,3,7,8</w:t>
            </w:r>
          </w:p>
        </w:tc>
        <w:tc>
          <w:tcPr>
            <w:tcW w:w="1496" w:type="dxa"/>
            <w:vAlign w:val="center"/>
          </w:tcPr>
          <w:p w14:paraId="2B5E6447"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1,2,3,7,8</w:t>
            </w:r>
          </w:p>
        </w:tc>
        <w:tc>
          <w:tcPr>
            <w:tcW w:w="1418" w:type="dxa"/>
            <w:vAlign w:val="center"/>
          </w:tcPr>
          <w:p w14:paraId="5F39B695"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1,2,3,7,8</w:t>
            </w:r>
          </w:p>
        </w:tc>
        <w:tc>
          <w:tcPr>
            <w:tcW w:w="1559" w:type="dxa"/>
          </w:tcPr>
          <w:p w14:paraId="441E5436"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2,3,4,7,8</w:t>
            </w:r>
          </w:p>
          <w:p w14:paraId="5A916C8A"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1,2,3,7,8</w:t>
            </w:r>
          </w:p>
        </w:tc>
      </w:tr>
      <w:tr w:rsidR="00FC360C" w:rsidRPr="004A64B0" w14:paraId="0A18EBE8" w14:textId="77777777" w:rsidTr="002F237A">
        <w:trPr>
          <w:trHeight w:val="1180"/>
          <w:jc w:val="center"/>
        </w:trPr>
        <w:tc>
          <w:tcPr>
            <w:tcW w:w="2500" w:type="dxa"/>
            <w:vAlign w:val="center"/>
          </w:tcPr>
          <w:p w14:paraId="7E50EDBF" w14:textId="77777777" w:rsidR="00FC360C" w:rsidRPr="004A64B0" w:rsidRDefault="00FC360C" w:rsidP="004A64B0">
            <w:pPr>
              <w:autoSpaceDE w:val="0"/>
              <w:autoSpaceDN w:val="0"/>
              <w:adjustRightInd w:val="0"/>
              <w:rPr>
                <w:rFonts w:asciiTheme="minorHAnsi" w:hAnsiTheme="minorHAnsi" w:cs="Arial"/>
                <w:szCs w:val="22"/>
              </w:rPr>
            </w:pPr>
            <w:r w:rsidRPr="004A64B0">
              <w:rPr>
                <w:rFonts w:asciiTheme="minorHAnsi" w:hAnsiTheme="minorHAnsi" w:cs="Arial"/>
                <w:szCs w:val="22"/>
              </w:rPr>
              <w:t>Hexachloro homologues</w:t>
            </w:r>
          </w:p>
          <w:p w14:paraId="01BDA6C3" w14:textId="77777777" w:rsidR="00FC360C" w:rsidRPr="004A64B0" w:rsidRDefault="00FC360C" w:rsidP="004A64B0">
            <w:pPr>
              <w:autoSpaceDE w:val="0"/>
              <w:autoSpaceDN w:val="0"/>
              <w:adjustRightInd w:val="0"/>
              <w:rPr>
                <w:rFonts w:asciiTheme="minorHAnsi" w:hAnsiTheme="minorHAnsi" w:cs="Arial"/>
                <w:b/>
                <w:bCs/>
                <w:szCs w:val="22"/>
              </w:rPr>
            </w:pPr>
          </w:p>
        </w:tc>
        <w:tc>
          <w:tcPr>
            <w:tcW w:w="1316" w:type="dxa"/>
            <w:vAlign w:val="center"/>
          </w:tcPr>
          <w:p w14:paraId="63B32961"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1,2,3,4,7,8</w:t>
            </w:r>
          </w:p>
          <w:p w14:paraId="6B476453" w14:textId="77777777" w:rsidR="00FC360C" w:rsidRPr="004A64B0" w:rsidRDefault="00FC360C" w:rsidP="004A64B0">
            <w:pPr>
              <w:autoSpaceDE w:val="0"/>
              <w:autoSpaceDN w:val="0"/>
              <w:adjustRightInd w:val="0"/>
              <w:jc w:val="center"/>
              <w:rPr>
                <w:rFonts w:asciiTheme="minorHAnsi" w:hAnsiTheme="minorHAnsi" w:cs="Arial"/>
                <w:szCs w:val="22"/>
              </w:rPr>
            </w:pPr>
            <w:r w:rsidRPr="004A64B0">
              <w:rPr>
                <w:rFonts w:asciiTheme="minorHAnsi" w:hAnsiTheme="minorHAnsi" w:cs="Arial"/>
                <w:szCs w:val="22"/>
              </w:rPr>
              <w:t>1,2,3,6,7,8</w:t>
            </w:r>
          </w:p>
          <w:p w14:paraId="2CE0BF30" w14:textId="77777777" w:rsidR="00FC360C" w:rsidRPr="004A64B0" w:rsidRDefault="00FC360C" w:rsidP="004A64B0">
            <w:pPr>
              <w:autoSpaceDE w:val="0"/>
              <w:autoSpaceDN w:val="0"/>
              <w:adjustRightInd w:val="0"/>
              <w:jc w:val="center"/>
              <w:rPr>
                <w:rFonts w:asciiTheme="minorHAnsi" w:hAnsiTheme="minorHAnsi" w:cs="Arial"/>
                <w:szCs w:val="22"/>
              </w:rPr>
            </w:pPr>
            <w:r w:rsidRPr="004A64B0">
              <w:rPr>
                <w:rFonts w:asciiTheme="minorHAnsi" w:hAnsiTheme="minorHAnsi" w:cs="Arial"/>
                <w:szCs w:val="22"/>
              </w:rPr>
              <w:t>1,2,3,7,8,9</w:t>
            </w:r>
          </w:p>
          <w:p w14:paraId="451351CE" w14:textId="77777777" w:rsidR="00FC360C" w:rsidRPr="004A64B0" w:rsidRDefault="00FC360C" w:rsidP="004A64B0">
            <w:pPr>
              <w:autoSpaceDE w:val="0"/>
              <w:autoSpaceDN w:val="0"/>
              <w:adjustRightInd w:val="0"/>
              <w:jc w:val="center"/>
              <w:rPr>
                <w:rFonts w:asciiTheme="minorHAnsi" w:hAnsiTheme="minorHAnsi" w:cs="Arial"/>
                <w:b/>
                <w:bCs/>
                <w:szCs w:val="22"/>
              </w:rPr>
            </w:pPr>
          </w:p>
        </w:tc>
        <w:tc>
          <w:tcPr>
            <w:tcW w:w="1496" w:type="dxa"/>
            <w:vAlign w:val="center"/>
          </w:tcPr>
          <w:p w14:paraId="11361C9D" w14:textId="77777777" w:rsidR="00FC360C" w:rsidRPr="004A64B0" w:rsidRDefault="00FC360C" w:rsidP="004A64B0">
            <w:pPr>
              <w:autoSpaceDE w:val="0"/>
              <w:autoSpaceDN w:val="0"/>
              <w:adjustRightInd w:val="0"/>
              <w:jc w:val="center"/>
              <w:rPr>
                <w:rFonts w:asciiTheme="minorHAnsi" w:hAnsiTheme="minorHAnsi" w:cs="Arial"/>
                <w:szCs w:val="22"/>
              </w:rPr>
            </w:pPr>
            <w:r w:rsidRPr="004A64B0">
              <w:rPr>
                <w:rFonts w:asciiTheme="minorHAnsi" w:hAnsiTheme="minorHAnsi" w:cs="Arial"/>
                <w:szCs w:val="22"/>
              </w:rPr>
              <w:t>1,2,3,7,8,9</w:t>
            </w:r>
          </w:p>
          <w:p w14:paraId="63F45F2B" w14:textId="77777777" w:rsidR="00FC360C" w:rsidRPr="004A64B0" w:rsidRDefault="00FC360C" w:rsidP="004A64B0">
            <w:pPr>
              <w:autoSpaceDE w:val="0"/>
              <w:autoSpaceDN w:val="0"/>
              <w:adjustRightInd w:val="0"/>
              <w:jc w:val="center"/>
              <w:rPr>
                <w:rFonts w:asciiTheme="minorHAnsi" w:hAnsiTheme="minorHAnsi" w:cs="Arial"/>
                <w:b/>
                <w:bCs/>
                <w:szCs w:val="22"/>
              </w:rPr>
            </w:pPr>
          </w:p>
        </w:tc>
        <w:tc>
          <w:tcPr>
            <w:tcW w:w="1418" w:type="dxa"/>
            <w:vAlign w:val="center"/>
          </w:tcPr>
          <w:p w14:paraId="30F3CDF0" w14:textId="77777777" w:rsidR="00FC360C" w:rsidRPr="004A64B0" w:rsidRDefault="00FC360C" w:rsidP="004A64B0">
            <w:pPr>
              <w:autoSpaceDE w:val="0"/>
              <w:autoSpaceDN w:val="0"/>
              <w:adjustRightInd w:val="0"/>
              <w:jc w:val="center"/>
              <w:rPr>
                <w:rFonts w:asciiTheme="minorHAnsi" w:hAnsiTheme="minorHAnsi" w:cs="Arial"/>
                <w:szCs w:val="22"/>
              </w:rPr>
            </w:pPr>
            <w:r w:rsidRPr="004A64B0">
              <w:rPr>
                <w:rFonts w:asciiTheme="minorHAnsi" w:hAnsiTheme="minorHAnsi" w:cs="Arial"/>
                <w:szCs w:val="22"/>
              </w:rPr>
              <w:t>1,2,3,4,7,8</w:t>
            </w:r>
          </w:p>
          <w:p w14:paraId="14303773" w14:textId="77777777" w:rsidR="00FC360C" w:rsidRPr="004A64B0" w:rsidRDefault="00FC360C" w:rsidP="004A64B0">
            <w:pPr>
              <w:autoSpaceDE w:val="0"/>
              <w:autoSpaceDN w:val="0"/>
              <w:adjustRightInd w:val="0"/>
              <w:jc w:val="center"/>
              <w:rPr>
                <w:rFonts w:asciiTheme="minorHAnsi" w:hAnsiTheme="minorHAnsi" w:cs="Arial"/>
                <w:szCs w:val="22"/>
              </w:rPr>
            </w:pPr>
            <w:r w:rsidRPr="004A64B0">
              <w:rPr>
                <w:rFonts w:asciiTheme="minorHAnsi" w:hAnsiTheme="minorHAnsi" w:cs="Arial"/>
                <w:szCs w:val="22"/>
              </w:rPr>
              <w:t>1,2,3,6,7,8</w:t>
            </w:r>
          </w:p>
          <w:p w14:paraId="18CBE04A" w14:textId="77777777" w:rsidR="00FC360C" w:rsidRPr="004A64B0" w:rsidRDefault="00FC360C" w:rsidP="004A64B0">
            <w:pPr>
              <w:autoSpaceDE w:val="0"/>
              <w:autoSpaceDN w:val="0"/>
              <w:adjustRightInd w:val="0"/>
              <w:jc w:val="center"/>
              <w:rPr>
                <w:rFonts w:asciiTheme="minorHAnsi" w:hAnsiTheme="minorHAnsi" w:cs="Arial"/>
                <w:szCs w:val="22"/>
              </w:rPr>
            </w:pPr>
            <w:r w:rsidRPr="004A64B0">
              <w:rPr>
                <w:rFonts w:asciiTheme="minorHAnsi" w:hAnsiTheme="minorHAnsi" w:cs="Arial"/>
                <w:szCs w:val="22"/>
              </w:rPr>
              <w:t>1,2,3,7,8,9</w:t>
            </w:r>
          </w:p>
          <w:p w14:paraId="6068427C"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2,3,4,6,7,8</w:t>
            </w:r>
          </w:p>
        </w:tc>
        <w:tc>
          <w:tcPr>
            <w:tcW w:w="1559" w:type="dxa"/>
            <w:vAlign w:val="center"/>
          </w:tcPr>
          <w:p w14:paraId="1ACB7374"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2,3,4,6,7,8</w:t>
            </w:r>
          </w:p>
        </w:tc>
      </w:tr>
      <w:tr w:rsidR="00FC360C" w:rsidRPr="004A64B0" w14:paraId="492E3588" w14:textId="77777777" w:rsidTr="002F237A">
        <w:trPr>
          <w:trHeight w:val="700"/>
          <w:jc w:val="center"/>
        </w:trPr>
        <w:tc>
          <w:tcPr>
            <w:tcW w:w="2500" w:type="dxa"/>
            <w:vAlign w:val="center"/>
          </w:tcPr>
          <w:p w14:paraId="791ED0AF"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Heptachloro homologues</w:t>
            </w:r>
          </w:p>
        </w:tc>
        <w:tc>
          <w:tcPr>
            <w:tcW w:w="1316" w:type="dxa"/>
            <w:vAlign w:val="center"/>
          </w:tcPr>
          <w:p w14:paraId="2E38CCA0"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1,2,3,4,6,7,8</w:t>
            </w:r>
          </w:p>
        </w:tc>
        <w:tc>
          <w:tcPr>
            <w:tcW w:w="1496" w:type="dxa"/>
            <w:vAlign w:val="center"/>
          </w:tcPr>
          <w:p w14:paraId="540EE420"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1,2,3,4,6,7,8</w:t>
            </w:r>
          </w:p>
        </w:tc>
        <w:tc>
          <w:tcPr>
            <w:tcW w:w="1418" w:type="dxa"/>
            <w:vAlign w:val="center"/>
          </w:tcPr>
          <w:p w14:paraId="5A527CD6"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1,2,3,4,6,7,8</w:t>
            </w:r>
          </w:p>
          <w:p w14:paraId="298BF616"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1,2,3,4,7,8,9</w:t>
            </w:r>
          </w:p>
        </w:tc>
        <w:tc>
          <w:tcPr>
            <w:tcW w:w="1559" w:type="dxa"/>
            <w:vAlign w:val="center"/>
          </w:tcPr>
          <w:p w14:paraId="796C6362"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1,2,3,4,6,7,8</w:t>
            </w:r>
          </w:p>
          <w:p w14:paraId="4E2DAC0C" w14:textId="77777777" w:rsidR="00FC360C" w:rsidRPr="004A64B0" w:rsidRDefault="00FC360C" w:rsidP="004A64B0">
            <w:pPr>
              <w:autoSpaceDE w:val="0"/>
              <w:autoSpaceDN w:val="0"/>
              <w:adjustRightInd w:val="0"/>
              <w:jc w:val="center"/>
              <w:rPr>
                <w:rFonts w:asciiTheme="minorHAnsi" w:hAnsiTheme="minorHAnsi" w:cs="Arial"/>
                <w:b/>
                <w:bCs/>
                <w:szCs w:val="22"/>
              </w:rPr>
            </w:pPr>
          </w:p>
        </w:tc>
      </w:tr>
    </w:tbl>
    <w:p w14:paraId="0CC86ED6" w14:textId="77777777" w:rsidR="00FC360C" w:rsidRPr="004A64B0" w:rsidRDefault="00FC360C" w:rsidP="00617246">
      <w:pPr>
        <w:pStyle w:val="Heading2"/>
      </w:pPr>
      <w:bookmarkStart w:id="340" w:name="_Toc511217618"/>
      <w:r w:rsidRPr="004A64B0">
        <w:t>4.2</w:t>
      </w:r>
      <w:r w:rsidRPr="004A64B0">
        <w:tab/>
        <w:t>Lipid determination</w:t>
      </w:r>
      <w:bookmarkEnd w:id="340"/>
    </w:p>
    <w:p w14:paraId="0050C5B6" w14:textId="77777777" w:rsidR="00FC360C" w:rsidRPr="004A64B0" w:rsidRDefault="00FC360C" w:rsidP="004A64B0">
      <w:pPr>
        <w:rPr>
          <w:rFonts w:asciiTheme="minorHAnsi" w:hAnsiTheme="minorHAnsi"/>
          <w:szCs w:val="22"/>
        </w:rPr>
      </w:pPr>
      <w:r w:rsidRPr="004A64B0">
        <w:rPr>
          <w:rFonts w:asciiTheme="minorHAnsi" w:hAnsiTheme="minorHAnsi"/>
          <w:szCs w:val="22"/>
        </w:rPr>
        <w:t>The total lipid content should be determined in all biota samples, using the method of Bligh and Dyer (1959) as modified by Hanson and Olley (1963) or an equivalent method such as Smedes (1999). For normalisation purposes, the total lipid content is preferred to the extractable lipid content (De Boer, 1988).</w:t>
      </w:r>
    </w:p>
    <w:p w14:paraId="35BD92E9" w14:textId="77777777" w:rsidR="00FC360C" w:rsidRPr="004A64B0" w:rsidRDefault="00FC360C" w:rsidP="00617246">
      <w:pPr>
        <w:pStyle w:val="Heading2"/>
      </w:pPr>
      <w:bookmarkStart w:id="341" w:name="_Toc511217619"/>
      <w:r w:rsidRPr="004A64B0">
        <w:t>4.3</w:t>
      </w:r>
      <w:r w:rsidRPr="004A64B0">
        <w:tab/>
        <w:t>Extraction</w:t>
      </w:r>
      <w:bookmarkEnd w:id="341"/>
    </w:p>
    <w:p w14:paraId="44B9CC89" w14:textId="77777777" w:rsidR="00FC360C" w:rsidRPr="004A64B0" w:rsidRDefault="00FC360C" w:rsidP="004A64B0">
      <w:pPr>
        <w:rPr>
          <w:rFonts w:asciiTheme="minorHAnsi" w:hAnsiTheme="minorHAnsi"/>
          <w:szCs w:val="22"/>
        </w:rPr>
      </w:pPr>
      <w:r w:rsidRPr="004A64B0">
        <w:rPr>
          <w:rFonts w:asciiTheme="minorHAnsi" w:hAnsiTheme="minorHAnsi"/>
          <w:szCs w:val="22"/>
        </w:rPr>
        <w:t>Soxhlet extraction is commonly used for biota samples. Immediately prior to use, the Soxhlet apparatus should be pre-extracted with e.g. dichloromethane</w:t>
      </w:r>
      <w:proofErr w:type="gramStart"/>
      <w:r w:rsidRPr="004A64B0">
        <w:rPr>
          <w:rFonts w:asciiTheme="minorHAnsi" w:hAnsiTheme="minorHAnsi"/>
          <w:szCs w:val="22"/>
        </w:rPr>
        <w:t>:hexane</w:t>
      </w:r>
      <w:proofErr w:type="gramEnd"/>
      <w:r w:rsidRPr="004A64B0">
        <w:rPr>
          <w:rFonts w:asciiTheme="minorHAnsi" w:hAnsiTheme="minorHAnsi"/>
          <w:szCs w:val="22"/>
        </w:rPr>
        <w:t xml:space="preserve"> (1:1) for approximately 3 hours (USEPA, 1994). According to the USEPA method, an adequate amount of tissue (e.g. 10 g of wet tissue) is spiked with the labelled compounds and mixed with sodium sulphate. The sample is allowed to dry for 12–24 hours and should be remixed prior to transfer to a glass Soxhlet thimble. Soxhlet extraction proceeds for 18–24 hours using e.g. fresh dichloromethane</w:t>
      </w:r>
      <w:proofErr w:type="gramStart"/>
      <w:r w:rsidRPr="004A64B0">
        <w:rPr>
          <w:rFonts w:asciiTheme="minorHAnsi" w:hAnsiTheme="minorHAnsi"/>
          <w:szCs w:val="22"/>
        </w:rPr>
        <w:t>:hexane</w:t>
      </w:r>
      <w:proofErr w:type="gramEnd"/>
      <w:r w:rsidRPr="004A64B0">
        <w:rPr>
          <w:rFonts w:asciiTheme="minorHAnsi" w:hAnsiTheme="minorHAnsi"/>
          <w:szCs w:val="22"/>
        </w:rPr>
        <w:t xml:space="preserve"> (1:1) (USEPA, 1994).</w:t>
      </w:r>
    </w:p>
    <w:p w14:paraId="26E88E78" w14:textId="77777777" w:rsidR="00FC360C" w:rsidRPr="004A64B0" w:rsidRDefault="00F63BAF" w:rsidP="004A64B0">
      <w:pPr>
        <w:rPr>
          <w:rFonts w:asciiTheme="minorHAnsi" w:hAnsiTheme="minorHAnsi"/>
          <w:szCs w:val="22"/>
        </w:rPr>
      </w:pPr>
      <w:r w:rsidRPr="004A64B0">
        <w:rPr>
          <w:rFonts w:asciiTheme="minorHAnsi" w:hAnsiTheme="minorHAnsi"/>
          <w:szCs w:val="22"/>
        </w:rPr>
        <w:t>More recently, pressuris</w:t>
      </w:r>
      <w:r w:rsidR="00FC360C" w:rsidRPr="004A64B0">
        <w:rPr>
          <w:rFonts w:asciiTheme="minorHAnsi" w:hAnsiTheme="minorHAnsi"/>
          <w:szCs w:val="22"/>
        </w:rPr>
        <w:t>ed liquid extraction (PLE) has become a common and faster alternative to Soxhlet extraction (Focant et al., 2004). PLE uses organic solvents at temperatures above their boiling point maintained in the liquid phase under high pressure. The extraction cell which contains the sample is heated (e.g. 100°C) and filled up with an appropriate solvent (e.g. toluene, dichloromethane) up to a pressure of 140 bars. The minimum extraction time should be 10 minutes in static mode, and several extraction cycles are recommended (n = 2-3). To further reduce analysis time, PLE can be combined with in-line clean-up procedures using preferably sulphuric acid impregnated silica as fat retainer (Björklund et al., 2006). Proper fat-fat retainer ratios are important to avoid fat remaining in the sample after extraction. Mixed (polar/non-polar) solvent combinations cannot be used with this technique. It is understood that the combination of increased pressure and temperature is sufficient to extract all PCDD/Fs and dl-PCBs from the matrix.</w:t>
      </w:r>
    </w:p>
    <w:p w14:paraId="42AE5E3F" w14:textId="77777777" w:rsidR="00FC360C" w:rsidRPr="004A64B0" w:rsidRDefault="00FC360C" w:rsidP="00617246">
      <w:pPr>
        <w:pStyle w:val="Heading2"/>
      </w:pPr>
      <w:bookmarkStart w:id="342" w:name="_Toc511217620"/>
      <w:r w:rsidRPr="004A64B0">
        <w:t>4.4</w:t>
      </w:r>
      <w:r w:rsidRPr="004A64B0">
        <w:tab/>
        <w:t>Clean-up</w:t>
      </w:r>
      <w:bookmarkEnd w:id="342"/>
    </w:p>
    <w:p w14:paraId="366269C2" w14:textId="77777777" w:rsidR="00FC360C" w:rsidRPr="004A64B0" w:rsidRDefault="00FC360C" w:rsidP="004A64B0">
      <w:pPr>
        <w:rPr>
          <w:rFonts w:asciiTheme="minorHAnsi" w:hAnsiTheme="minorHAnsi"/>
          <w:szCs w:val="22"/>
        </w:rPr>
      </w:pPr>
    </w:p>
    <w:p w14:paraId="78800D44" w14:textId="77777777" w:rsidR="00FC360C" w:rsidRPr="004A64B0" w:rsidRDefault="00FC360C" w:rsidP="004A64B0">
      <w:pPr>
        <w:rPr>
          <w:rFonts w:asciiTheme="minorHAnsi" w:hAnsiTheme="minorHAnsi"/>
          <w:szCs w:val="22"/>
        </w:rPr>
      </w:pPr>
      <w:r w:rsidRPr="004A64B0">
        <w:rPr>
          <w:rFonts w:asciiTheme="minorHAnsi" w:hAnsiTheme="minorHAnsi"/>
          <w:szCs w:val="22"/>
        </w:rPr>
        <w:t>The extracts are concentrated using suitable evaporation devices, e.g. rotary evaporation, Turbovap, Syncore or Kuderna-Danish. The risk of cross-contamination is fairly high for rotary evaporation, so the evaporator should be pre-cleaned, e.g. by 100 ml of clean solvent. If the extracts are to be cleaned up by adsorption chromatography on e.g. silica gel, a solvent change to hexane is necessary. The purification procedures have two objectives: i) removal or destruction of lipids and ii) removal of interfering compounds. Due to the very low levels of PCDD/Fs in biota samples, the elimination of interferences is essential.</w:t>
      </w:r>
    </w:p>
    <w:p w14:paraId="6389E914" w14:textId="77777777" w:rsidR="00FC360C" w:rsidRPr="004A64B0" w:rsidRDefault="00FC360C" w:rsidP="004A64B0">
      <w:pPr>
        <w:rPr>
          <w:rFonts w:asciiTheme="minorHAnsi" w:hAnsiTheme="minorHAnsi"/>
          <w:szCs w:val="22"/>
        </w:rPr>
      </w:pPr>
      <w:r w:rsidRPr="004A64B0">
        <w:rPr>
          <w:rFonts w:asciiTheme="minorHAnsi" w:hAnsiTheme="minorHAnsi"/>
          <w:szCs w:val="22"/>
        </w:rPr>
        <w:t>For the first part, addition of concentrated sulphuric acid is commonly applied, either in combination with a column chromatography clean-up or by direct addition of silica impregnated with sulphuric acid to the extracts. The column chromatography clean-up suggested by USEPA (1994) for lipid removal in biota extracts includes 2 g of silica gel, 2 g of potassium silicate, 2 g of anhydrous Na2SO4, 10 g of silica gel (impregnated with sulphuric acid) and another 2 g of anhydrous sodium sulphate, to be packed bottom-to-top into a column of 25 mm ID. The column is pre-eluted with 100 ml of hexane and after loading of the sample, eluted with 200 ml of hexane. Ready to use, multilayer clean-up columns are also available commercially. Alternatively, approximately 30 -100 g of sulphuric acid impregnated silica gel can be added to the extract, while stirring for 2-3 hours. The treatment with sulphuric acid impregnated silica requires strict safety procedures as the small particles can cause serious health damage after inhalation. Gel permeation chromatography (GPC) has also been applied for lipid removal, but often a series of GPC columns is needed to ensure a 100% fat removal. Alternatively, an additional clean-up step using concentrated sulphuric acid might be applied after GPC to remove residual l</w:t>
      </w:r>
      <w:r w:rsidR="00617246">
        <w:rPr>
          <w:rFonts w:asciiTheme="minorHAnsi" w:hAnsiTheme="minorHAnsi"/>
          <w:szCs w:val="22"/>
        </w:rPr>
        <w:t xml:space="preserve">ipids from samples with </w:t>
      </w:r>
      <w:proofErr w:type="gramStart"/>
      <w:r w:rsidR="00617246">
        <w:rPr>
          <w:rFonts w:asciiTheme="minorHAnsi" w:hAnsiTheme="minorHAnsi"/>
          <w:szCs w:val="22"/>
        </w:rPr>
        <w:t xml:space="preserve">a </w:t>
      </w:r>
      <w:r w:rsidRPr="004A64B0">
        <w:rPr>
          <w:rFonts w:asciiTheme="minorHAnsi" w:hAnsiTheme="minorHAnsi"/>
          <w:szCs w:val="22"/>
        </w:rPr>
        <w:t>higher</w:t>
      </w:r>
      <w:proofErr w:type="gramEnd"/>
      <w:r w:rsidRPr="004A64B0">
        <w:rPr>
          <w:rFonts w:asciiTheme="minorHAnsi" w:hAnsiTheme="minorHAnsi"/>
          <w:szCs w:val="22"/>
        </w:rPr>
        <w:t xml:space="preserve"> lipid content.</w:t>
      </w:r>
    </w:p>
    <w:p w14:paraId="3CBF9C60" w14:textId="77777777" w:rsidR="00FC360C" w:rsidRPr="004A64B0" w:rsidRDefault="00FC360C" w:rsidP="004A64B0">
      <w:pPr>
        <w:rPr>
          <w:rFonts w:asciiTheme="minorHAnsi" w:hAnsiTheme="minorHAnsi"/>
          <w:szCs w:val="22"/>
        </w:rPr>
      </w:pPr>
      <w:r w:rsidRPr="004A64B0">
        <w:rPr>
          <w:rFonts w:asciiTheme="minorHAnsi" w:hAnsiTheme="minorHAnsi"/>
          <w:szCs w:val="22"/>
        </w:rPr>
        <w:t>For removal of interferences, HPLC, GPC and column chromatography using alumina, silica gel, Florisil and activated carbon are possible alternatives. USEPA (1994) suggests adsorption chromatography on alumina or Florisil and carbon as minimum additional clean-up steps after lipid removal. Depending on whether acid or basic alumina is chosen, the eluents should be dichloromethane</w:t>
      </w:r>
      <w:proofErr w:type="gramStart"/>
      <w:r w:rsidRPr="004A64B0">
        <w:rPr>
          <w:rFonts w:asciiTheme="minorHAnsi" w:hAnsiTheme="minorHAnsi"/>
          <w:szCs w:val="22"/>
        </w:rPr>
        <w:t>:hexane</w:t>
      </w:r>
      <w:proofErr w:type="gramEnd"/>
      <w:r w:rsidRPr="004A64B0">
        <w:rPr>
          <w:rFonts w:asciiTheme="minorHAnsi" w:hAnsiTheme="minorHAnsi"/>
          <w:szCs w:val="22"/>
        </w:rPr>
        <w:t xml:space="preserve"> (1:4) or (1:1), respectively. The material for the carbon column can be e.g. Carbopack™-C. Interferences are removed in a washing step with e.g. hexane, dichloromethane:cyclohexane and dichloromethane:toluene. Then, the column is inverted and the analytes are eluted with toluene. </w:t>
      </w:r>
    </w:p>
    <w:p w14:paraId="1DDEEF3C" w14:textId="77777777" w:rsidR="00FC360C" w:rsidRPr="004A64B0" w:rsidRDefault="00FC360C" w:rsidP="004A64B0">
      <w:pPr>
        <w:rPr>
          <w:rFonts w:asciiTheme="minorHAnsi" w:hAnsiTheme="minorHAnsi"/>
          <w:szCs w:val="22"/>
        </w:rPr>
      </w:pPr>
      <w:r w:rsidRPr="004A64B0">
        <w:rPr>
          <w:rFonts w:asciiTheme="minorHAnsi" w:hAnsiTheme="minorHAnsi"/>
          <w:szCs w:val="22"/>
        </w:rPr>
        <w:t>HPLC can also be used for purification and fractionation of the extracts. 2-(1- pyrenyl</w:t>
      </w:r>
      <w:proofErr w:type="gramStart"/>
      <w:r w:rsidRPr="004A64B0">
        <w:rPr>
          <w:rFonts w:asciiTheme="minorHAnsi" w:hAnsiTheme="minorHAnsi"/>
          <w:szCs w:val="22"/>
        </w:rPr>
        <w:t>)ethyldimethylsilylated</w:t>
      </w:r>
      <w:proofErr w:type="gramEnd"/>
      <w:r w:rsidRPr="004A64B0">
        <w:rPr>
          <w:rFonts w:asciiTheme="minorHAnsi" w:hAnsiTheme="minorHAnsi"/>
          <w:szCs w:val="22"/>
        </w:rPr>
        <w:t xml:space="preserve"> (PYE) silica columns and porous graphitised carbon are suitable columns for this purpose (Echols et al., 1998). When coupled in series, nitrophenylpropylsilica column (Nucleosil, 5 µm particles, 250 x 4.6 mm) and PYE (Cosmosil, 5 µm particles, 150 x 4.6 mm) enable the separation of PCDD/Fs from dl-PCBs (Bandh et al. 1996). Fully automated clean-up systems are also available commercially (e.g. PowerPrep™ system). The European research project DIFFERENCE recommended at least three clean up or fractionation steps to ensure sufficiently clean extracts (Van Loco et al., 2004; Van Leeuwen et al., 2007).</w:t>
      </w:r>
    </w:p>
    <w:p w14:paraId="0C8C9AE8" w14:textId="77777777" w:rsidR="00FC360C" w:rsidRPr="004A64B0" w:rsidRDefault="00FC360C" w:rsidP="00617246">
      <w:pPr>
        <w:pStyle w:val="Heading2"/>
      </w:pPr>
      <w:bookmarkStart w:id="343" w:name="_Toc511217621"/>
      <w:r w:rsidRPr="004A64B0">
        <w:t>4.5</w:t>
      </w:r>
      <w:r w:rsidRPr="004A64B0">
        <w:tab/>
        <w:t>Concentration and syringe standards</w:t>
      </w:r>
      <w:bookmarkEnd w:id="343"/>
    </w:p>
    <w:p w14:paraId="091F5C0C" w14:textId="77777777" w:rsidR="00FC360C" w:rsidRPr="004A64B0" w:rsidRDefault="00FC360C" w:rsidP="004A64B0">
      <w:pPr>
        <w:rPr>
          <w:rFonts w:asciiTheme="minorHAnsi" w:hAnsiTheme="minorHAnsi"/>
          <w:szCs w:val="22"/>
        </w:rPr>
      </w:pPr>
      <w:r w:rsidRPr="004A64B0">
        <w:rPr>
          <w:rFonts w:asciiTheme="minorHAnsi" w:hAnsiTheme="minorHAnsi"/>
          <w:szCs w:val="22"/>
        </w:rPr>
        <w:t>After clean-up, a keeper is added (e.g. iso-octane or nonane) and the extracts are concentrated to near dryness, i.e. 10-20 µl. A syringe standard mix should also be added to evaluate the recovery of labelled internal standards. For example 13C12 -1</w:t>
      </w:r>
      <w:proofErr w:type="gramStart"/>
      <w:r w:rsidRPr="004A64B0">
        <w:rPr>
          <w:rFonts w:asciiTheme="minorHAnsi" w:hAnsiTheme="minorHAnsi"/>
          <w:szCs w:val="22"/>
        </w:rPr>
        <w:t>,2,3,4</w:t>
      </w:r>
      <w:proofErr w:type="gramEnd"/>
      <w:r w:rsidRPr="004A64B0">
        <w:rPr>
          <w:rFonts w:asciiTheme="minorHAnsi" w:hAnsiTheme="minorHAnsi"/>
          <w:szCs w:val="22"/>
        </w:rPr>
        <w:t>-TCDD can be used for recovery determinations of TCDD/Fs and PeCDD/Fs internal standards while 13C12 -1,2,3,7,8,9-HxCDD can be used for recovery determinations of HxCDD/Fs, HpCDD/Fs and OCDD/F internal standards.</w:t>
      </w:r>
    </w:p>
    <w:p w14:paraId="131B00D1" w14:textId="77777777" w:rsidR="00FC360C" w:rsidRPr="00617246" w:rsidRDefault="00FC360C" w:rsidP="00617246">
      <w:pPr>
        <w:pStyle w:val="Heading1"/>
      </w:pPr>
      <w:bookmarkStart w:id="344" w:name="_Toc511217622"/>
      <w:r w:rsidRPr="00617246">
        <w:t>5.</w:t>
      </w:r>
      <w:r w:rsidRPr="00617246">
        <w:tab/>
        <w:t>Instrumental analysis</w:t>
      </w:r>
      <w:bookmarkEnd w:id="344"/>
    </w:p>
    <w:p w14:paraId="0DFB1E35" w14:textId="77777777" w:rsidR="00FC360C" w:rsidRPr="004A64B0" w:rsidRDefault="00FC360C" w:rsidP="004A64B0">
      <w:pPr>
        <w:rPr>
          <w:rFonts w:asciiTheme="minorHAnsi" w:hAnsiTheme="minorHAnsi"/>
          <w:szCs w:val="22"/>
        </w:rPr>
      </w:pPr>
    </w:p>
    <w:p w14:paraId="75C28748" w14:textId="77777777" w:rsidR="00FC360C" w:rsidRPr="004A64B0" w:rsidRDefault="00FC360C" w:rsidP="004A64B0">
      <w:pPr>
        <w:rPr>
          <w:rFonts w:asciiTheme="minorHAnsi" w:hAnsiTheme="minorHAnsi"/>
          <w:szCs w:val="22"/>
        </w:rPr>
      </w:pPr>
      <w:r w:rsidRPr="004A64B0">
        <w:rPr>
          <w:rFonts w:asciiTheme="minorHAnsi" w:hAnsiTheme="minorHAnsi"/>
          <w:szCs w:val="22"/>
        </w:rPr>
        <w:t>The PCDD/F content in environmental samples is commonly monitored using high resolution gas chromatography (HRGC) and high resolution mass spectrometry (HRMS), but low resolution mass spectrometry (LRMS) may be a suitable alternative if the required minimum performance criteria are met (see “HRGC/LRMS”).</w:t>
      </w:r>
    </w:p>
    <w:p w14:paraId="42CCBF8E" w14:textId="77777777" w:rsidR="00FC360C" w:rsidRPr="004A64B0" w:rsidRDefault="00FC360C" w:rsidP="00617246">
      <w:pPr>
        <w:pStyle w:val="Heading2"/>
      </w:pPr>
      <w:bookmarkStart w:id="345" w:name="_Toc511217623"/>
      <w:r w:rsidRPr="004A64B0">
        <w:t>5.1 GC-analysis</w:t>
      </w:r>
      <w:bookmarkEnd w:id="345"/>
    </w:p>
    <w:p w14:paraId="43DD81BA" w14:textId="77777777" w:rsidR="00FC360C" w:rsidRPr="004A64B0" w:rsidRDefault="00FC360C" w:rsidP="004A64B0">
      <w:pPr>
        <w:rPr>
          <w:rFonts w:asciiTheme="minorHAnsi" w:hAnsiTheme="minorHAnsi"/>
          <w:szCs w:val="22"/>
        </w:rPr>
      </w:pPr>
      <w:r w:rsidRPr="004A64B0">
        <w:rPr>
          <w:rFonts w:asciiTheme="minorHAnsi" w:hAnsiTheme="minorHAnsi"/>
          <w:szCs w:val="22"/>
        </w:rPr>
        <w:t xml:space="preserve">The GC analysis should be optimised with regard to separation and sensitivity. Fishman et al. (2007) provided a comprehensive review of GC columns available for dioxin analysis. </w:t>
      </w:r>
      <w:proofErr w:type="gramStart"/>
      <w:r w:rsidRPr="004A64B0">
        <w:rPr>
          <w:rFonts w:asciiTheme="minorHAnsi" w:hAnsiTheme="minorHAnsi"/>
          <w:szCs w:val="22"/>
        </w:rPr>
        <w:t>Generally 50-60 m, 5% diphenyl 95% dimethylpolysiloxane columns are a common choice.</w:t>
      </w:r>
      <w:proofErr w:type="gramEnd"/>
      <w:r w:rsidRPr="004A64B0">
        <w:rPr>
          <w:rFonts w:asciiTheme="minorHAnsi" w:hAnsiTheme="minorHAnsi"/>
          <w:szCs w:val="22"/>
        </w:rPr>
        <w:t xml:space="preserve"> However, these columns could exhibit multiple co-elutions for both PCBs and PCDD/Fs (Reiner et al., 2006), depending on the matrix to be analysed. The use of RTx-Dioxin 2 column has been reported in the literature as a suitable alternative to DB-5 columns. Combining this phase with reduced inner diameter and phase thickness (for example a 40m x 0.18mm x 0.18µm) enables the analysis of the 17 PCDD/F congeners in 40 minutes, with data fulfilling QA/QC requirements and providing better selectivity, especially for 2,3,7,8-TCDD and 2,3,7,8-TCDF (Reiner et al., 2006; Cochran et al., 2007).</w:t>
      </w:r>
    </w:p>
    <w:p w14:paraId="23C69FED" w14:textId="77777777" w:rsidR="00FC360C" w:rsidRPr="004A64B0" w:rsidRDefault="00FC360C" w:rsidP="004A64B0">
      <w:pPr>
        <w:rPr>
          <w:rFonts w:asciiTheme="minorHAnsi" w:hAnsiTheme="minorHAnsi"/>
          <w:szCs w:val="22"/>
        </w:rPr>
      </w:pPr>
      <w:r w:rsidRPr="004A64B0">
        <w:rPr>
          <w:rFonts w:asciiTheme="minorHAnsi" w:hAnsiTheme="minorHAnsi"/>
          <w:szCs w:val="22"/>
        </w:rPr>
        <w:t>Potential interferences for dl-PCBs on common GC-columns are summarised in Table 4 (Reiner et al., 2006). Complete separation can be achieved by multi-analysis on columns of different polarity. Recent developments indicate possibilities of full separation of relevant PCB congeners on one column, e.g. on an SGE HT8-PCB capillary column. A full separation of all PCB congeners is also possible by using comprehensive multi-dimensional GC (GCxGC) (e.g. Haglund et al., 2008; Skoczynska et al., 2008).</w:t>
      </w:r>
    </w:p>
    <w:p w14:paraId="15F21B65" w14:textId="77777777" w:rsidR="00FC360C" w:rsidRPr="004A64B0" w:rsidRDefault="00FC360C" w:rsidP="004A64B0">
      <w:pPr>
        <w:rPr>
          <w:rFonts w:asciiTheme="minorHAnsi" w:hAnsiTheme="minorHAnsi"/>
          <w:szCs w:val="22"/>
        </w:rPr>
      </w:pPr>
      <w:r w:rsidRPr="004A64B0">
        <w:rPr>
          <w:rFonts w:asciiTheme="minorHAnsi" w:hAnsiTheme="minorHAnsi"/>
          <w:b/>
          <w:szCs w:val="22"/>
        </w:rPr>
        <w:t>Table 4</w:t>
      </w:r>
      <w:r w:rsidR="00617246">
        <w:rPr>
          <w:rFonts w:asciiTheme="minorHAnsi" w:hAnsiTheme="minorHAnsi"/>
          <w:szCs w:val="22"/>
        </w:rPr>
        <w:t>:</w:t>
      </w:r>
      <w:r w:rsidRPr="004A64B0">
        <w:rPr>
          <w:rFonts w:asciiTheme="minorHAnsi" w:hAnsiTheme="minorHAnsi"/>
          <w:szCs w:val="22"/>
        </w:rPr>
        <w:tab/>
        <w:t>Possible interferences for selected dl-PCBs using a 5% phenyl column (Reiner et al., 2006)</w:t>
      </w:r>
    </w:p>
    <w:p w14:paraId="0411B26F" w14:textId="77777777" w:rsidR="00FC360C" w:rsidRPr="004A64B0" w:rsidRDefault="00FC360C" w:rsidP="004A64B0">
      <w:pPr>
        <w:tabs>
          <w:tab w:val="left" w:pos="1560"/>
        </w:tabs>
        <w:rPr>
          <w:rFonts w:asciiTheme="minorHAnsi" w:hAnsiTheme="minorHAns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2300"/>
      </w:tblGrid>
      <w:tr w:rsidR="00FC360C" w:rsidRPr="004A64B0" w14:paraId="21C38155" w14:textId="77777777" w:rsidTr="002F237A">
        <w:trPr>
          <w:jc w:val="center"/>
        </w:trPr>
        <w:tc>
          <w:tcPr>
            <w:tcW w:w="1808" w:type="dxa"/>
          </w:tcPr>
          <w:p w14:paraId="35F6FD67" w14:textId="77777777" w:rsidR="00FC360C" w:rsidRPr="004A64B0" w:rsidRDefault="00FC360C" w:rsidP="004A64B0">
            <w:pPr>
              <w:rPr>
                <w:rFonts w:asciiTheme="minorHAnsi" w:hAnsiTheme="minorHAnsi" w:cs="Arial"/>
                <w:b/>
                <w:szCs w:val="22"/>
              </w:rPr>
            </w:pPr>
            <w:r w:rsidRPr="004A64B0">
              <w:rPr>
                <w:rFonts w:asciiTheme="minorHAnsi" w:hAnsiTheme="minorHAnsi" w:cs="Arial"/>
                <w:b/>
                <w:szCs w:val="22"/>
              </w:rPr>
              <w:t>PCB congener</w:t>
            </w:r>
          </w:p>
        </w:tc>
        <w:tc>
          <w:tcPr>
            <w:tcW w:w="2300" w:type="dxa"/>
          </w:tcPr>
          <w:p w14:paraId="5F643148" w14:textId="77777777" w:rsidR="00FC360C" w:rsidRPr="004A64B0" w:rsidRDefault="00FC360C" w:rsidP="004A64B0">
            <w:pPr>
              <w:rPr>
                <w:rFonts w:asciiTheme="minorHAnsi" w:hAnsiTheme="minorHAnsi" w:cs="Arial"/>
                <w:b/>
                <w:szCs w:val="22"/>
              </w:rPr>
            </w:pPr>
            <w:r w:rsidRPr="004A64B0">
              <w:rPr>
                <w:rFonts w:asciiTheme="minorHAnsi" w:hAnsiTheme="minorHAnsi" w:cs="Arial"/>
                <w:b/>
                <w:szCs w:val="22"/>
              </w:rPr>
              <w:t>Potential interference</w:t>
            </w:r>
          </w:p>
        </w:tc>
      </w:tr>
      <w:tr w:rsidR="00FC360C" w:rsidRPr="004A64B0" w14:paraId="146EF4C9" w14:textId="77777777" w:rsidTr="002F237A">
        <w:trPr>
          <w:jc w:val="center"/>
        </w:trPr>
        <w:tc>
          <w:tcPr>
            <w:tcW w:w="1808" w:type="dxa"/>
          </w:tcPr>
          <w:p w14:paraId="64455C1D" w14:textId="77777777" w:rsidR="00FC360C" w:rsidRPr="004A64B0" w:rsidRDefault="00FC360C" w:rsidP="004A64B0">
            <w:pPr>
              <w:rPr>
                <w:rFonts w:asciiTheme="minorHAnsi" w:hAnsiTheme="minorHAnsi" w:cs="Arial"/>
                <w:szCs w:val="22"/>
              </w:rPr>
            </w:pPr>
            <w:r w:rsidRPr="004A64B0">
              <w:rPr>
                <w:rFonts w:asciiTheme="minorHAnsi" w:hAnsiTheme="minorHAnsi" w:cs="Arial"/>
                <w:szCs w:val="22"/>
              </w:rPr>
              <w:t>CB-81</w:t>
            </w:r>
          </w:p>
        </w:tc>
        <w:tc>
          <w:tcPr>
            <w:tcW w:w="2300" w:type="dxa"/>
          </w:tcPr>
          <w:p w14:paraId="53EBB441" w14:textId="77777777" w:rsidR="00FC360C" w:rsidRPr="004A64B0" w:rsidRDefault="00FC360C" w:rsidP="004A64B0">
            <w:pPr>
              <w:rPr>
                <w:rFonts w:asciiTheme="minorHAnsi" w:hAnsiTheme="minorHAnsi" w:cs="Arial"/>
                <w:szCs w:val="22"/>
              </w:rPr>
            </w:pPr>
            <w:r w:rsidRPr="004A64B0">
              <w:rPr>
                <w:rFonts w:asciiTheme="minorHAnsi" w:hAnsiTheme="minorHAnsi" w:cs="Arial"/>
                <w:szCs w:val="22"/>
              </w:rPr>
              <w:t>CB-87</w:t>
            </w:r>
          </w:p>
        </w:tc>
      </w:tr>
      <w:tr w:rsidR="00FC360C" w:rsidRPr="004A64B0" w14:paraId="7BDEE2D1" w14:textId="77777777" w:rsidTr="002F237A">
        <w:trPr>
          <w:jc w:val="center"/>
        </w:trPr>
        <w:tc>
          <w:tcPr>
            <w:tcW w:w="1808" w:type="dxa"/>
          </w:tcPr>
          <w:p w14:paraId="7FB18E52" w14:textId="77777777" w:rsidR="00FC360C" w:rsidRPr="004A64B0" w:rsidRDefault="00FC360C" w:rsidP="004A64B0">
            <w:pPr>
              <w:rPr>
                <w:rFonts w:asciiTheme="minorHAnsi" w:hAnsiTheme="minorHAnsi" w:cs="Arial"/>
                <w:szCs w:val="22"/>
              </w:rPr>
            </w:pPr>
            <w:r w:rsidRPr="004A64B0">
              <w:rPr>
                <w:rFonts w:asciiTheme="minorHAnsi" w:hAnsiTheme="minorHAnsi" w:cs="Arial"/>
                <w:szCs w:val="22"/>
              </w:rPr>
              <w:t>CB-77</w:t>
            </w:r>
          </w:p>
        </w:tc>
        <w:tc>
          <w:tcPr>
            <w:tcW w:w="2300" w:type="dxa"/>
          </w:tcPr>
          <w:p w14:paraId="59ADCEAF" w14:textId="77777777" w:rsidR="00FC360C" w:rsidRPr="004A64B0" w:rsidRDefault="00FC360C" w:rsidP="004A64B0">
            <w:pPr>
              <w:rPr>
                <w:rFonts w:asciiTheme="minorHAnsi" w:hAnsiTheme="minorHAnsi" w:cs="Arial"/>
                <w:szCs w:val="22"/>
              </w:rPr>
            </w:pPr>
            <w:r w:rsidRPr="004A64B0">
              <w:rPr>
                <w:rFonts w:asciiTheme="minorHAnsi" w:hAnsiTheme="minorHAnsi" w:cs="Arial"/>
                <w:szCs w:val="22"/>
              </w:rPr>
              <w:t>CB-110</w:t>
            </w:r>
          </w:p>
        </w:tc>
      </w:tr>
      <w:tr w:rsidR="00FC360C" w:rsidRPr="004A64B0" w14:paraId="200AC892" w14:textId="77777777" w:rsidTr="002F237A">
        <w:trPr>
          <w:jc w:val="center"/>
        </w:trPr>
        <w:tc>
          <w:tcPr>
            <w:tcW w:w="1808" w:type="dxa"/>
          </w:tcPr>
          <w:p w14:paraId="30B06490" w14:textId="77777777" w:rsidR="00FC360C" w:rsidRPr="004A64B0" w:rsidRDefault="00FC360C" w:rsidP="004A64B0">
            <w:pPr>
              <w:rPr>
                <w:rFonts w:asciiTheme="minorHAnsi" w:hAnsiTheme="minorHAnsi" w:cs="Arial"/>
                <w:szCs w:val="22"/>
              </w:rPr>
            </w:pPr>
            <w:r w:rsidRPr="004A64B0">
              <w:rPr>
                <w:rFonts w:asciiTheme="minorHAnsi" w:hAnsiTheme="minorHAnsi" w:cs="Arial"/>
                <w:szCs w:val="22"/>
              </w:rPr>
              <w:t>CB-123</w:t>
            </w:r>
          </w:p>
        </w:tc>
        <w:tc>
          <w:tcPr>
            <w:tcW w:w="2300" w:type="dxa"/>
          </w:tcPr>
          <w:p w14:paraId="7A0EACDE" w14:textId="77777777" w:rsidR="00FC360C" w:rsidRPr="004A64B0" w:rsidRDefault="00FC360C" w:rsidP="004A64B0">
            <w:pPr>
              <w:rPr>
                <w:rFonts w:asciiTheme="minorHAnsi" w:hAnsiTheme="minorHAnsi" w:cs="Arial"/>
                <w:szCs w:val="22"/>
              </w:rPr>
            </w:pPr>
            <w:r w:rsidRPr="004A64B0">
              <w:rPr>
                <w:rFonts w:asciiTheme="minorHAnsi" w:hAnsiTheme="minorHAnsi" w:cs="Arial"/>
                <w:szCs w:val="22"/>
              </w:rPr>
              <w:t>CB-149</w:t>
            </w:r>
          </w:p>
        </w:tc>
      </w:tr>
      <w:tr w:rsidR="00FC360C" w:rsidRPr="004A64B0" w14:paraId="38FC6886" w14:textId="77777777" w:rsidTr="002F237A">
        <w:trPr>
          <w:jc w:val="center"/>
        </w:trPr>
        <w:tc>
          <w:tcPr>
            <w:tcW w:w="1808" w:type="dxa"/>
          </w:tcPr>
          <w:p w14:paraId="58BD4FB2" w14:textId="77777777" w:rsidR="00FC360C" w:rsidRPr="004A64B0" w:rsidRDefault="00FC360C" w:rsidP="004A64B0">
            <w:pPr>
              <w:rPr>
                <w:rFonts w:asciiTheme="minorHAnsi" w:hAnsiTheme="minorHAnsi" w:cs="Arial"/>
                <w:szCs w:val="22"/>
              </w:rPr>
            </w:pPr>
            <w:r w:rsidRPr="004A64B0">
              <w:rPr>
                <w:rFonts w:asciiTheme="minorHAnsi" w:hAnsiTheme="minorHAnsi" w:cs="Arial"/>
                <w:szCs w:val="22"/>
              </w:rPr>
              <w:t>CB-126</w:t>
            </w:r>
          </w:p>
        </w:tc>
        <w:tc>
          <w:tcPr>
            <w:tcW w:w="2300" w:type="dxa"/>
          </w:tcPr>
          <w:p w14:paraId="71A74484" w14:textId="77777777" w:rsidR="00FC360C" w:rsidRPr="004A64B0" w:rsidRDefault="00FC360C" w:rsidP="004A64B0">
            <w:pPr>
              <w:rPr>
                <w:rFonts w:asciiTheme="minorHAnsi" w:hAnsiTheme="minorHAnsi" w:cs="Arial"/>
                <w:szCs w:val="22"/>
              </w:rPr>
            </w:pPr>
            <w:r w:rsidRPr="004A64B0">
              <w:rPr>
                <w:rFonts w:asciiTheme="minorHAnsi" w:hAnsiTheme="minorHAnsi" w:cs="Arial"/>
                <w:szCs w:val="22"/>
              </w:rPr>
              <w:t>CB-178 and CB-129</w:t>
            </w:r>
          </w:p>
        </w:tc>
      </w:tr>
      <w:tr w:rsidR="00FC360C" w:rsidRPr="004A64B0" w14:paraId="773F3D25" w14:textId="77777777" w:rsidTr="002F237A">
        <w:trPr>
          <w:jc w:val="center"/>
        </w:trPr>
        <w:tc>
          <w:tcPr>
            <w:tcW w:w="1808" w:type="dxa"/>
          </w:tcPr>
          <w:p w14:paraId="4642BE29" w14:textId="77777777" w:rsidR="00FC360C" w:rsidRPr="004A64B0" w:rsidRDefault="00FC360C" w:rsidP="004A64B0">
            <w:pPr>
              <w:rPr>
                <w:rFonts w:asciiTheme="minorHAnsi" w:hAnsiTheme="minorHAnsi" w:cs="Arial"/>
                <w:szCs w:val="22"/>
              </w:rPr>
            </w:pPr>
            <w:r w:rsidRPr="004A64B0">
              <w:rPr>
                <w:rFonts w:asciiTheme="minorHAnsi" w:hAnsiTheme="minorHAnsi" w:cs="Arial"/>
                <w:szCs w:val="22"/>
              </w:rPr>
              <w:t>CB-156</w:t>
            </w:r>
          </w:p>
        </w:tc>
        <w:tc>
          <w:tcPr>
            <w:tcW w:w="2300" w:type="dxa"/>
          </w:tcPr>
          <w:p w14:paraId="098610CD" w14:textId="77777777" w:rsidR="00FC360C" w:rsidRPr="004A64B0" w:rsidRDefault="00FC360C" w:rsidP="004A64B0">
            <w:pPr>
              <w:rPr>
                <w:rFonts w:asciiTheme="minorHAnsi" w:hAnsiTheme="minorHAnsi" w:cs="Arial"/>
                <w:szCs w:val="22"/>
              </w:rPr>
            </w:pPr>
            <w:r w:rsidRPr="004A64B0">
              <w:rPr>
                <w:rFonts w:asciiTheme="minorHAnsi" w:hAnsiTheme="minorHAnsi" w:cs="Arial"/>
                <w:szCs w:val="22"/>
              </w:rPr>
              <w:t>CB-171</w:t>
            </w:r>
          </w:p>
        </w:tc>
      </w:tr>
      <w:tr w:rsidR="00FC360C" w:rsidRPr="004A64B0" w14:paraId="13530256" w14:textId="77777777" w:rsidTr="002F237A">
        <w:trPr>
          <w:jc w:val="center"/>
        </w:trPr>
        <w:tc>
          <w:tcPr>
            <w:tcW w:w="1808" w:type="dxa"/>
          </w:tcPr>
          <w:p w14:paraId="5019A8E1" w14:textId="77777777" w:rsidR="00FC360C" w:rsidRPr="004A64B0" w:rsidRDefault="00FC360C" w:rsidP="004A64B0">
            <w:pPr>
              <w:rPr>
                <w:rFonts w:asciiTheme="minorHAnsi" w:hAnsiTheme="minorHAnsi" w:cs="Arial"/>
                <w:szCs w:val="22"/>
              </w:rPr>
            </w:pPr>
            <w:r w:rsidRPr="004A64B0">
              <w:rPr>
                <w:rFonts w:asciiTheme="minorHAnsi" w:hAnsiTheme="minorHAnsi" w:cs="Arial"/>
                <w:szCs w:val="22"/>
              </w:rPr>
              <w:t>CB-157</w:t>
            </w:r>
          </w:p>
        </w:tc>
        <w:tc>
          <w:tcPr>
            <w:tcW w:w="2300" w:type="dxa"/>
          </w:tcPr>
          <w:p w14:paraId="0370A412" w14:textId="77777777" w:rsidR="00FC360C" w:rsidRPr="004A64B0" w:rsidRDefault="00FC360C" w:rsidP="004A64B0">
            <w:pPr>
              <w:rPr>
                <w:rFonts w:asciiTheme="minorHAnsi" w:hAnsiTheme="minorHAnsi" w:cs="Arial"/>
                <w:szCs w:val="22"/>
              </w:rPr>
            </w:pPr>
            <w:r w:rsidRPr="004A64B0">
              <w:rPr>
                <w:rFonts w:asciiTheme="minorHAnsi" w:hAnsiTheme="minorHAnsi" w:cs="Arial"/>
                <w:szCs w:val="22"/>
              </w:rPr>
              <w:t>CB-201</w:t>
            </w:r>
          </w:p>
        </w:tc>
      </w:tr>
    </w:tbl>
    <w:p w14:paraId="728D4EC4" w14:textId="77777777" w:rsidR="00FC360C" w:rsidRPr="004A64B0" w:rsidRDefault="00FC360C" w:rsidP="004A64B0">
      <w:pPr>
        <w:rPr>
          <w:rFonts w:asciiTheme="minorHAnsi" w:hAnsiTheme="minorHAnsi"/>
          <w:szCs w:val="22"/>
        </w:rPr>
      </w:pPr>
    </w:p>
    <w:p w14:paraId="3213B7E1" w14:textId="77777777" w:rsidR="00FC360C" w:rsidRPr="004A64B0" w:rsidRDefault="00FC360C" w:rsidP="004A64B0">
      <w:pPr>
        <w:rPr>
          <w:rFonts w:asciiTheme="minorHAnsi" w:hAnsiTheme="minorHAnsi"/>
          <w:szCs w:val="22"/>
        </w:rPr>
      </w:pPr>
      <w:r w:rsidRPr="004A64B0">
        <w:rPr>
          <w:rFonts w:asciiTheme="minorHAnsi" w:hAnsiTheme="minorHAnsi"/>
          <w:szCs w:val="22"/>
        </w:rPr>
        <w:t>Various injection techniques are possible, e.g. on-column injection, splitless injection, pressure-pulsed splitless injection and programmed temperature vaporizing (PTV) injection. The most suitable injection volume depends on the dioxin concentrations in the sample and the sensitivity of the instrumental analysis. In HRGC/HRMS analysis, 1-2 µl are common injection volumes.</w:t>
      </w:r>
    </w:p>
    <w:p w14:paraId="39820430" w14:textId="77777777" w:rsidR="00FC360C" w:rsidRPr="004A64B0" w:rsidRDefault="00FC360C" w:rsidP="00617246">
      <w:pPr>
        <w:pStyle w:val="Heading2"/>
      </w:pPr>
      <w:bookmarkStart w:id="346" w:name="_Toc511217624"/>
      <w:r w:rsidRPr="004A64B0">
        <w:t>5.2</w:t>
      </w:r>
      <w:r w:rsidRPr="004A64B0">
        <w:tab/>
        <w:t>Compound identification</w:t>
      </w:r>
      <w:bookmarkEnd w:id="346"/>
    </w:p>
    <w:p w14:paraId="4BE769EC" w14:textId="77777777" w:rsidR="00FC360C" w:rsidRPr="004A64B0" w:rsidRDefault="00FC360C" w:rsidP="004A64B0">
      <w:pPr>
        <w:rPr>
          <w:rFonts w:asciiTheme="minorHAnsi" w:hAnsiTheme="minorHAnsi"/>
          <w:szCs w:val="22"/>
        </w:rPr>
      </w:pPr>
      <w:r w:rsidRPr="004A64B0">
        <w:rPr>
          <w:rFonts w:asciiTheme="minorHAnsi" w:hAnsiTheme="minorHAnsi"/>
          <w:szCs w:val="22"/>
        </w:rPr>
        <w:t>The HRMS system should be operated at a minimum of 10,000 resolving power throughout all the runs, and resolution should be checked regularly during the sequence of runs. The individual PCDD/Fs, dl-PCBs or labelled compounds are identified by comparing the GC retention time and ion abundance ratio of two exact masses monitored (Tables 5 and 6) with the corresponding retention time of an authentic labelled internal standard and the theoretical or acquired ion abundance ratio of the two exact masses. The congeners for which there are no labelled analogues are identified when relative retention time and ion abundance ratios agree within predefined limits. The following criteria should be met for identification of an individual dl-PCB, PCDD/F or labelled compound in a standard, blank or sample:</w:t>
      </w:r>
    </w:p>
    <w:p w14:paraId="07D75D54" w14:textId="77777777" w:rsidR="00FC360C" w:rsidRPr="004A64B0" w:rsidRDefault="00FC360C" w:rsidP="004A64B0">
      <w:pPr>
        <w:numPr>
          <w:ilvl w:val="0"/>
          <w:numId w:val="35"/>
        </w:numPr>
        <w:tabs>
          <w:tab w:val="clear" w:pos="567"/>
          <w:tab w:val="clear" w:pos="1134"/>
          <w:tab w:val="clear" w:pos="1701"/>
          <w:tab w:val="clear" w:pos="2268"/>
          <w:tab w:val="left" w:pos="357"/>
        </w:tabs>
        <w:jc w:val="left"/>
        <w:rPr>
          <w:rFonts w:asciiTheme="minorHAnsi" w:hAnsiTheme="minorHAnsi"/>
          <w:szCs w:val="22"/>
        </w:rPr>
      </w:pPr>
      <w:r w:rsidRPr="004A64B0">
        <w:rPr>
          <w:rFonts w:asciiTheme="minorHAnsi" w:hAnsiTheme="minorHAnsi"/>
          <w:szCs w:val="22"/>
        </w:rPr>
        <w:t xml:space="preserve">The signal for the two exact masses specified in Tables 5 and 6 should be present and within </w:t>
      </w:r>
      <w:r w:rsidRPr="004A64B0">
        <w:rPr>
          <w:rFonts w:asciiTheme="minorHAnsi" w:hAnsiTheme="minorHAnsi"/>
          <w:szCs w:val="22"/>
        </w:rPr>
        <w:sym w:font="Symbol" w:char="F0B1"/>
      </w:r>
      <w:r w:rsidRPr="004A64B0">
        <w:rPr>
          <w:rFonts w:asciiTheme="minorHAnsi" w:hAnsiTheme="minorHAnsi"/>
          <w:szCs w:val="22"/>
        </w:rPr>
        <w:t xml:space="preserve"> 2 s.</w:t>
      </w:r>
    </w:p>
    <w:p w14:paraId="6C2403C7" w14:textId="77777777" w:rsidR="00FC360C" w:rsidRPr="004A64B0" w:rsidRDefault="00FC360C" w:rsidP="004A64B0">
      <w:pPr>
        <w:numPr>
          <w:ilvl w:val="0"/>
          <w:numId w:val="35"/>
        </w:numPr>
        <w:tabs>
          <w:tab w:val="clear" w:pos="567"/>
          <w:tab w:val="clear" w:pos="1134"/>
          <w:tab w:val="clear" w:pos="1701"/>
          <w:tab w:val="clear" w:pos="2268"/>
          <w:tab w:val="left" w:pos="357"/>
        </w:tabs>
        <w:jc w:val="left"/>
        <w:rPr>
          <w:rFonts w:asciiTheme="minorHAnsi" w:hAnsiTheme="minorHAnsi"/>
          <w:szCs w:val="22"/>
        </w:rPr>
      </w:pPr>
      <w:r w:rsidRPr="004A64B0">
        <w:rPr>
          <w:rFonts w:asciiTheme="minorHAnsi" w:hAnsiTheme="minorHAnsi"/>
          <w:szCs w:val="22"/>
        </w:rPr>
        <w:t>The signal-to-noise ratio (S/N) for the GC peak at each exact mass has to be at least 3 for each congener detected in a sample extract, and at least 10 for all congeners in the calibration standard.</w:t>
      </w:r>
    </w:p>
    <w:p w14:paraId="3CB1E633" w14:textId="77777777" w:rsidR="00FC360C" w:rsidRPr="004A64B0" w:rsidRDefault="00FC360C" w:rsidP="004A64B0">
      <w:pPr>
        <w:numPr>
          <w:ilvl w:val="0"/>
          <w:numId w:val="35"/>
        </w:numPr>
        <w:tabs>
          <w:tab w:val="clear" w:pos="567"/>
          <w:tab w:val="clear" w:pos="1134"/>
          <w:tab w:val="clear" w:pos="1701"/>
          <w:tab w:val="clear" w:pos="2268"/>
          <w:tab w:val="left" w:pos="357"/>
        </w:tabs>
        <w:jc w:val="left"/>
        <w:rPr>
          <w:rFonts w:asciiTheme="minorHAnsi" w:hAnsiTheme="minorHAnsi"/>
          <w:szCs w:val="22"/>
        </w:rPr>
      </w:pPr>
      <w:r w:rsidRPr="004A64B0">
        <w:rPr>
          <w:rFonts w:asciiTheme="minorHAnsi" w:hAnsiTheme="minorHAnsi"/>
          <w:szCs w:val="22"/>
        </w:rPr>
        <w:t>The ratio of the integrated areas of the two exact masses specified in Tables 5 and 6 has to be within 15% of the theoretical shown in Table 7.</w:t>
      </w:r>
    </w:p>
    <w:p w14:paraId="0FD90494" w14:textId="77777777" w:rsidR="00FC360C" w:rsidRPr="004A64B0" w:rsidRDefault="00FC360C" w:rsidP="004A64B0">
      <w:pPr>
        <w:numPr>
          <w:ilvl w:val="0"/>
          <w:numId w:val="35"/>
        </w:numPr>
        <w:tabs>
          <w:tab w:val="clear" w:pos="567"/>
          <w:tab w:val="clear" w:pos="1134"/>
          <w:tab w:val="clear" w:pos="1701"/>
          <w:tab w:val="clear" w:pos="2268"/>
          <w:tab w:val="left" w:pos="357"/>
        </w:tabs>
        <w:jc w:val="left"/>
        <w:rPr>
          <w:rFonts w:asciiTheme="minorHAnsi" w:hAnsiTheme="minorHAnsi"/>
          <w:szCs w:val="22"/>
        </w:rPr>
      </w:pPr>
      <w:r w:rsidRPr="004A64B0">
        <w:rPr>
          <w:rFonts w:asciiTheme="minorHAnsi" w:hAnsiTheme="minorHAnsi"/>
          <w:szCs w:val="22"/>
        </w:rPr>
        <w:t xml:space="preserve">The relative retention time of a native PCDD/F and dl-PCB has to be within a time window of </w:t>
      </w:r>
      <w:r w:rsidRPr="004A64B0">
        <w:rPr>
          <w:rFonts w:asciiTheme="minorHAnsi" w:hAnsiTheme="minorHAnsi"/>
          <w:szCs w:val="22"/>
        </w:rPr>
        <w:sym w:font="Symbol" w:char="F0B1"/>
      </w:r>
      <w:r w:rsidRPr="004A64B0">
        <w:rPr>
          <w:rFonts w:asciiTheme="minorHAnsi" w:hAnsiTheme="minorHAnsi"/>
          <w:szCs w:val="22"/>
        </w:rPr>
        <w:t xml:space="preserve"> 0.003 s based on the retention time of the corresponding 13C12-labelled standard. The relative retention time of congeners for which there are no labelled analogues has to be within </w:t>
      </w:r>
      <w:r w:rsidRPr="004A64B0">
        <w:rPr>
          <w:rFonts w:asciiTheme="minorHAnsi" w:hAnsiTheme="minorHAnsi"/>
          <w:szCs w:val="22"/>
        </w:rPr>
        <w:sym w:font="Symbol" w:char="F0B1"/>
      </w:r>
      <w:r w:rsidRPr="004A64B0">
        <w:rPr>
          <w:rFonts w:asciiTheme="minorHAnsi" w:hAnsiTheme="minorHAnsi"/>
          <w:szCs w:val="22"/>
        </w:rPr>
        <w:t xml:space="preserve"> 0.002.</w:t>
      </w:r>
    </w:p>
    <w:p w14:paraId="13915146" w14:textId="77777777" w:rsidR="00FC360C" w:rsidRPr="004A64B0" w:rsidRDefault="00FC360C" w:rsidP="004A64B0">
      <w:pPr>
        <w:rPr>
          <w:rFonts w:asciiTheme="minorHAnsi" w:hAnsiTheme="minorHAnsi"/>
          <w:szCs w:val="22"/>
        </w:rPr>
      </w:pPr>
      <w:r w:rsidRPr="004A64B0">
        <w:rPr>
          <w:rFonts w:asciiTheme="minorHAnsi" w:hAnsiTheme="minorHAnsi"/>
          <w:szCs w:val="22"/>
        </w:rPr>
        <w:t>If interferences preclude identification, extract a new, further cleaned up aliquot and analyse again. If interferences cannot be removed flag the data to indicate results are maximum concentrations.</w:t>
      </w:r>
    </w:p>
    <w:p w14:paraId="48E7A40D" w14:textId="77777777" w:rsidR="00FC360C" w:rsidRPr="004A64B0" w:rsidRDefault="00FC360C" w:rsidP="00617246">
      <w:pPr>
        <w:pStyle w:val="Heading2"/>
      </w:pPr>
      <w:bookmarkStart w:id="347" w:name="_Toc511217625"/>
      <w:r w:rsidRPr="004A64B0">
        <w:t>5.3</w:t>
      </w:r>
      <w:r w:rsidRPr="004A64B0">
        <w:tab/>
        <w:t>Compound quantification</w:t>
      </w:r>
      <w:bookmarkEnd w:id="347"/>
    </w:p>
    <w:p w14:paraId="798D5458" w14:textId="77777777" w:rsidR="00FC360C" w:rsidRPr="004A64B0" w:rsidRDefault="00FC360C" w:rsidP="004A64B0">
      <w:pPr>
        <w:rPr>
          <w:rFonts w:asciiTheme="minorHAnsi" w:hAnsiTheme="minorHAnsi"/>
          <w:szCs w:val="22"/>
        </w:rPr>
      </w:pPr>
      <w:r w:rsidRPr="004A64B0">
        <w:rPr>
          <w:rFonts w:asciiTheme="minorHAnsi" w:hAnsiTheme="minorHAnsi"/>
          <w:szCs w:val="22"/>
        </w:rPr>
        <w:t>Quantitative analysis is performed using selected ion monitoring (SIM), in one of the two following ways:</w:t>
      </w:r>
    </w:p>
    <w:p w14:paraId="3DE9BB11" w14:textId="77777777" w:rsidR="00FC360C" w:rsidRPr="004A64B0" w:rsidRDefault="00FC360C" w:rsidP="004A64B0">
      <w:pPr>
        <w:numPr>
          <w:ilvl w:val="0"/>
          <w:numId w:val="36"/>
        </w:numPr>
        <w:tabs>
          <w:tab w:val="clear" w:pos="567"/>
          <w:tab w:val="clear" w:pos="1134"/>
          <w:tab w:val="clear" w:pos="1701"/>
          <w:tab w:val="clear" w:pos="2268"/>
          <w:tab w:val="left" w:pos="357"/>
        </w:tabs>
        <w:rPr>
          <w:rFonts w:asciiTheme="minorHAnsi" w:hAnsiTheme="minorHAnsi"/>
          <w:szCs w:val="22"/>
        </w:rPr>
      </w:pPr>
      <w:r w:rsidRPr="004A64B0">
        <w:rPr>
          <w:rFonts w:asciiTheme="minorHAnsi" w:hAnsiTheme="minorHAnsi"/>
          <w:szCs w:val="22"/>
        </w:rPr>
        <w:t xml:space="preserve">For the PCDD/Fs and dl-PCBs for which </w:t>
      </w:r>
      <w:r w:rsidR="006F0A4B" w:rsidRPr="004A64B0">
        <w:rPr>
          <w:rFonts w:asciiTheme="minorHAnsi" w:hAnsiTheme="minorHAnsi"/>
          <w:szCs w:val="22"/>
        </w:rPr>
        <w:t>labelled</w:t>
      </w:r>
      <w:r w:rsidRPr="004A64B0">
        <w:rPr>
          <w:rFonts w:asciiTheme="minorHAnsi" w:hAnsiTheme="minorHAnsi"/>
          <w:szCs w:val="22"/>
        </w:rPr>
        <w:t xml:space="preserve"> analogues have been added to the sample (Table 2), the GC/MS system is calibrated, and the concentration of each compound is determined using the isotope dilution technique.</w:t>
      </w:r>
    </w:p>
    <w:p w14:paraId="4ABA41D5" w14:textId="77777777" w:rsidR="00FC360C" w:rsidRPr="004A64B0" w:rsidRDefault="00FC360C" w:rsidP="004A64B0">
      <w:pPr>
        <w:numPr>
          <w:ilvl w:val="0"/>
          <w:numId w:val="36"/>
        </w:numPr>
        <w:tabs>
          <w:tab w:val="clear" w:pos="567"/>
          <w:tab w:val="clear" w:pos="1134"/>
          <w:tab w:val="clear" w:pos="1701"/>
          <w:tab w:val="clear" w:pos="2268"/>
          <w:tab w:val="left" w:pos="357"/>
        </w:tabs>
        <w:rPr>
          <w:rFonts w:asciiTheme="minorHAnsi" w:hAnsiTheme="minorHAnsi"/>
          <w:szCs w:val="22"/>
        </w:rPr>
      </w:pPr>
      <w:r w:rsidRPr="004A64B0">
        <w:rPr>
          <w:rFonts w:asciiTheme="minorHAnsi" w:hAnsiTheme="minorHAnsi"/>
          <w:szCs w:val="22"/>
        </w:rPr>
        <w:t xml:space="preserve">For the PCDD/Fs and dl-PCBs for which labelled analogues are not added to the sample (see Table 3 for PCDD/Fs), the GC/MS system is calibrated for each compound using a </w:t>
      </w:r>
      <w:r w:rsidR="006F0A4B" w:rsidRPr="004A64B0">
        <w:rPr>
          <w:rFonts w:asciiTheme="minorHAnsi" w:hAnsiTheme="minorHAnsi"/>
          <w:szCs w:val="22"/>
        </w:rPr>
        <w:t>labelled</w:t>
      </w:r>
      <w:r w:rsidRPr="004A64B0">
        <w:rPr>
          <w:rFonts w:asciiTheme="minorHAnsi" w:hAnsiTheme="minorHAnsi"/>
          <w:szCs w:val="22"/>
        </w:rPr>
        <w:t xml:space="preserve"> isomer with the most similar structure and the concentration of each compound is determined using the internal standard technique.</w:t>
      </w:r>
    </w:p>
    <w:p w14:paraId="667C6D3B" w14:textId="77777777" w:rsidR="00FC360C" w:rsidRPr="004A64B0" w:rsidRDefault="00FC360C" w:rsidP="004A64B0">
      <w:pPr>
        <w:rPr>
          <w:rFonts w:asciiTheme="minorHAnsi" w:hAnsiTheme="minorHAnsi"/>
          <w:szCs w:val="22"/>
        </w:rPr>
      </w:pPr>
      <w:r w:rsidRPr="004A64B0">
        <w:rPr>
          <w:rFonts w:asciiTheme="minorHAnsi" w:hAnsiTheme="minorHAnsi"/>
          <w:szCs w:val="22"/>
        </w:rPr>
        <w:t>Calibration curves should be based on a minimum of 5 calibration points. Mass drift correction is mandatory, usually based on a lock-mass m/z of perfluorokerosene (PFK) or perfluorotributylamine (PFTBA, FC43).</w:t>
      </w:r>
    </w:p>
    <w:p w14:paraId="4E775D01" w14:textId="77777777" w:rsidR="00FC360C" w:rsidRPr="004A64B0" w:rsidRDefault="00FC360C" w:rsidP="004A64B0">
      <w:pPr>
        <w:rPr>
          <w:rFonts w:asciiTheme="minorHAnsi" w:hAnsiTheme="minorHAnsi"/>
          <w:szCs w:val="22"/>
        </w:rPr>
      </w:pPr>
      <w:r w:rsidRPr="004A64B0">
        <w:rPr>
          <w:rFonts w:asciiTheme="minorHAnsi" w:hAnsiTheme="minorHAnsi"/>
          <w:b/>
          <w:szCs w:val="22"/>
        </w:rPr>
        <w:t>Table 5</w:t>
      </w:r>
      <w:r w:rsidR="00617246">
        <w:rPr>
          <w:rFonts w:asciiTheme="minorHAnsi" w:hAnsiTheme="minorHAnsi"/>
          <w:szCs w:val="22"/>
        </w:rPr>
        <w:t>:</w:t>
      </w:r>
      <w:r w:rsidRPr="004A64B0">
        <w:rPr>
          <w:rFonts w:asciiTheme="minorHAnsi" w:hAnsiTheme="minorHAnsi"/>
          <w:szCs w:val="22"/>
        </w:rPr>
        <w:tab/>
        <w:t>Masses for the detection and quantification of PCDD/Fs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167"/>
        <w:gridCol w:w="1560"/>
        <w:gridCol w:w="1134"/>
        <w:gridCol w:w="1571"/>
      </w:tblGrid>
      <w:tr w:rsidR="00FC360C" w:rsidRPr="00617246" w14:paraId="236C6E3F" w14:textId="77777777" w:rsidTr="002F237A">
        <w:trPr>
          <w:cantSplit/>
          <w:jc w:val="center"/>
        </w:trPr>
        <w:tc>
          <w:tcPr>
            <w:tcW w:w="1668" w:type="dxa"/>
            <w:vMerge w:val="restart"/>
          </w:tcPr>
          <w:p w14:paraId="5437D0C5" w14:textId="77777777" w:rsidR="00FC360C" w:rsidRPr="00617246" w:rsidRDefault="00FC360C" w:rsidP="004A64B0">
            <w:pPr>
              <w:autoSpaceDE w:val="0"/>
              <w:autoSpaceDN w:val="0"/>
              <w:adjustRightInd w:val="0"/>
              <w:rPr>
                <w:rFonts w:cs="Arial"/>
                <w:b/>
                <w:bCs/>
                <w:sz w:val="20"/>
              </w:rPr>
            </w:pPr>
            <w:r w:rsidRPr="00617246">
              <w:rPr>
                <w:rFonts w:cs="Arial"/>
                <w:b/>
                <w:bCs/>
                <w:sz w:val="20"/>
              </w:rPr>
              <w:t>Substance</w:t>
            </w:r>
          </w:p>
        </w:tc>
        <w:tc>
          <w:tcPr>
            <w:tcW w:w="2727" w:type="dxa"/>
            <w:gridSpan w:val="2"/>
          </w:tcPr>
          <w:p w14:paraId="7C50F47F" w14:textId="77777777" w:rsidR="00FC360C" w:rsidRPr="00617246" w:rsidRDefault="00FC360C" w:rsidP="004A64B0">
            <w:pPr>
              <w:autoSpaceDE w:val="0"/>
              <w:autoSpaceDN w:val="0"/>
              <w:adjustRightInd w:val="0"/>
              <w:jc w:val="center"/>
              <w:rPr>
                <w:rFonts w:cs="Arial"/>
                <w:b/>
                <w:bCs/>
                <w:sz w:val="20"/>
              </w:rPr>
            </w:pPr>
            <w:r w:rsidRPr="00617246">
              <w:rPr>
                <w:rFonts w:cs="Arial"/>
                <w:b/>
                <w:bCs/>
                <w:sz w:val="20"/>
              </w:rPr>
              <w:t>Dibenzofurans</w:t>
            </w:r>
          </w:p>
        </w:tc>
        <w:tc>
          <w:tcPr>
            <w:tcW w:w="2705" w:type="dxa"/>
            <w:gridSpan w:val="2"/>
          </w:tcPr>
          <w:p w14:paraId="48C0B1A9" w14:textId="77777777" w:rsidR="00FC360C" w:rsidRPr="00617246" w:rsidRDefault="00FC360C" w:rsidP="004A64B0">
            <w:pPr>
              <w:autoSpaceDE w:val="0"/>
              <w:autoSpaceDN w:val="0"/>
              <w:adjustRightInd w:val="0"/>
              <w:jc w:val="center"/>
              <w:rPr>
                <w:rFonts w:cs="Arial"/>
                <w:b/>
                <w:bCs/>
                <w:sz w:val="20"/>
              </w:rPr>
            </w:pPr>
            <w:r w:rsidRPr="00617246">
              <w:rPr>
                <w:rFonts w:cs="Arial"/>
                <w:b/>
                <w:bCs/>
                <w:sz w:val="20"/>
              </w:rPr>
              <w:t>Dibenzo-p-dioxins</w:t>
            </w:r>
          </w:p>
        </w:tc>
      </w:tr>
      <w:tr w:rsidR="00FC360C" w:rsidRPr="00617246" w14:paraId="28EF9F65" w14:textId="77777777" w:rsidTr="002F237A">
        <w:trPr>
          <w:cantSplit/>
          <w:jc w:val="center"/>
        </w:trPr>
        <w:tc>
          <w:tcPr>
            <w:tcW w:w="1668" w:type="dxa"/>
            <w:vMerge/>
          </w:tcPr>
          <w:p w14:paraId="11CE362A" w14:textId="77777777" w:rsidR="00FC360C" w:rsidRPr="00617246" w:rsidRDefault="00FC360C" w:rsidP="004A64B0">
            <w:pPr>
              <w:autoSpaceDE w:val="0"/>
              <w:autoSpaceDN w:val="0"/>
              <w:adjustRightInd w:val="0"/>
              <w:rPr>
                <w:rFonts w:cs="Arial"/>
                <w:b/>
                <w:bCs/>
                <w:sz w:val="20"/>
              </w:rPr>
            </w:pPr>
          </w:p>
        </w:tc>
        <w:tc>
          <w:tcPr>
            <w:tcW w:w="1167" w:type="dxa"/>
          </w:tcPr>
          <w:p w14:paraId="2F00A37A" w14:textId="77777777" w:rsidR="00FC360C" w:rsidRPr="00617246" w:rsidRDefault="00FC360C" w:rsidP="004A64B0">
            <w:pPr>
              <w:autoSpaceDE w:val="0"/>
              <w:autoSpaceDN w:val="0"/>
              <w:adjustRightInd w:val="0"/>
              <w:jc w:val="center"/>
              <w:rPr>
                <w:rFonts w:cs="Arial"/>
                <w:b/>
                <w:bCs/>
                <w:sz w:val="20"/>
              </w:rPr>
            </w:pPr>
            <w:r w:rsidRPr="00617246">
              <w:rPr>
                <w:rFonts w:cs="Arial"/>
                <w:b/>
                <w:bCs/>
                <w:sz w:val="20"/>
              </w:rPr>
              <w:t>Native</w:t>
            </w:r>
          </w:p>
        </w:tc>
        <w:tc>
          <w:tcPr>
            <w:tcW w:w="1560" w:type="dxa"/>
          </w:tcPr>
          <w:p w14:paraId="468C5E54" w14:textId="77777777" w:rsidR="00FC360C" w:rsidRPr="00617246" w:rsidRDefault="00FC360C" w:rsidP="004A64B0">
            <w:pPr>
              <w:autoSpaceDE w:val="0"/>
              <w:autoSpaceDN w:val="0"/>
              <w:adjustRightInd w:val="0"/>
              <w:jc w:val="center"/>
              <w:rPr>
                <w:rFonts w:cs="Arial"/>
                <w:b/>
                <w:bCs/>
                <w:sz w:val="20"/>
              </w:rPr>
            </w:pPr>
            <w:r w:rsidRPr="00617246">
              <w:rPr>
                <w:rFonts w:cs="Arial"/>
                <w:b/>
                <w:bCs/>
                <w:sz w:val="20"/>
                <w:vertAlign w:val="superscript"/>
              </w:rPr>
              <w:t>13</w:t>
            </w:r>
            <w:r w:rsidRPr="00617246">
              <w:rPr>
                <w:rFonts w:cs="Arial"/>
                <w:b/>
                <w:bCs/>
                <w:sz w:val="20"/>
              </w:rPr>
              <w:t>C</w:t>
            </w:r>
            <w:r w:rsidRPr="00617246">
              <w:rPr>
                <w:rFonts w:cs="Arial"/>
                <w:b/>
                <w:bCs/>
                <w:sz w:val="20"/>
                <w:vertAlign w:val="subscript"/>
              </w:rPr>
              <w:t>12</w:t>
            </w:r>
            <w:r w:rsidRPr="00617246">
              <w:rPr>
                <w:rFonts w:cs="Arial"/>
                <w:b/>
                <w:bCs/>
                <w:sz w:val="20"/>
              </w:rPr>
              <w:t>-labelled</w:t>
            </w:r>
          </w:p>
        </w:tc>
        <w:tc>
          <w:tcPr>
            <w:tcW w:w="1134" w:type="dxa"/>
          </w:tcPr>
          <w:p w14:paraId="120BA2A5" w14:textId="77777777" w:rsidR="00FC360C" w:rsidRPr="00617246" w:rsidRDefault="00FC360C" w:rsidP="004A64B0">
            <w:pPr>
              <w:autoSpaceDE w:val="0"/>
              <w:autoSpaceDN w:val="0"/>
              <w:adjustRightInd w:val="0"/>
              <w:jc w:val="center"/>
              <w:rPr>
                <w:rFonts w:cs="Arial"/>
                <w:b/>
                <w:bCs/>
                <w:sz w:val="20"/>
              </w:rPr>
            </w:pPr>
            <w:r w:rsidRPr="00617246">
              <w:rPr>
                <w:rFonts w:cs="Arial"/>
                <w:b/>
                <w:bCs/>
                <w:sz w:val="20"/>
              </w:rPr>
              <w:t>Native</w:t>
            </w:r>
          </w:p>
        </w:tc>
        <w:tc>
          <w:tcPr>
            <w:tcW w:w="1571" w:type="dxa"/>
          </w:tcPr>
          <w:p w14:paraId="636B5D85" w14:textId="77777777" w:rsidR="00FC360C" w:rsidRPr="00617246" w:rsidRDefault="00FC360C" w:rsidP="004A64B0">
            <w:pPr>
              <w:autoSpaceDE w:val="0"/>
              <w:autoSpaceDN w:val="0"/>
              <w:adjustRightInd w:val="0"/>
              <w:jc w:val="center"/>
              <w:rPr>
                <w:rFonts w:cs="Arial"/>
                <w:b/>
                <w:bCs/>
                <w:sz w:val="20"/>
              </w:rPr>
            </w:pPr>
            <w:r w:rsidRPr="00617246">
              <w:rPr>
                <w:rFonts w:cs="Arial"/>
                <w:b/>
                <w:bCs/>
                <w:sz w:val="20"/>
                <w:vertAlign w:val="superscript"/>
              </w:rPr>
              <w:t>13</w:t>
            </w:r>
            <w:r w:rsidRPr="00617246">
              <w:rPr>
                <w:rFonts w:cs="Arial"/>
                <w:b/>
                <w:bCs/>
                <w:sz w:val="20"/>
              </w:rPr>
              <w:t>C</w:t>
            </w:r>
            <w:r w:rsidRPr="00617246">
              <w:rPr>
                <w:rFonts w:cs="Arial"/>
                <w:b/>
                <w:bCs/>
                <w:sz w:val="20"/>
                <w:vertAlign w:val="subscript"/>
              </w:rPr>
              <w:t>12</w:t>
            </w:r>
            <w:r w:rsidRPr="00617246">
              <w:rPr>
                <w:rFonts w:cs="Arial"/>
                <w:b/>
                <w:bCs/>
                <w:sz w:val="20"/>
              </w:rPr>
              <w:t>-labelled</w:t>
            </w:r>
          </w:p>
        </w:tc>
      </w:tr>
      <w:tr w:rsidR="00FC360C" w:rsidRPr="00617246" w14:paraId="7457527F" w14:textId="77777777" w:rsidTr="002F237A">
        <w:trPr>
          <w:cantSplit/>
          <w:jc w:val="center"/>
        </w:trPr>
        <w:tc>
          <w:tcPr>
            <w:tcW w:w="1668" w:type="dxa"/>
            <w:vMerge w:val="restart"/>
            <w:vAlign w:val="center"/>
          </w:tcPr>
          <w:p w14:paraId="0BC2A4A2" w14:textId="77777777" w:rsidR="00FC360C" w:rsidRPr="00617246" w:rsidRDefault="00FC360C" w:rsidP="004A64B0">
            <w:pPr>
              <w:autoSpaceDE w:val="0"/>
              <w:autoSpaceDN w:val="0"/>
              <w:adjustRightInd w:val="0"/>
              <w:rPr>
                <w:rFonts w:cs="Arial"/>
                <w:b/>
                <w:bCs/>
                <w:sz w:val="20"/>
              </w:rPr>
            </w:pPr>
            <w:r w:rsidRPr="00617246">
              <w:rPr>
                <w:rFonts w:cs="Arial"/>
                <w:sz w:val="20"/>
              </w:rPr>
              <w:t>Tetra-CDD/F</w:t>
            </w:r>
          </w:p>
        </w:tc>
        <w:tc>
          <w:tcPr>
            <w:tcW w:w="1167" w:type="dxa"/>
          </w:tcPr>
          <w:p w14:paraId="4532A482" w14:textId="77777777" w:rsidR="00FC360C" w:rsidRPr="00617246" w:rsidRDefault="00FC360C" w:rsidP="004A64B0">
            <w:pPr>
              <w:autoSpaceDE w:val="0"/>
              <w:autoSpaceDN w:val="0"/>
              <w:adjustRightInd w:val="0"/>
              <w:jc w:val="center"/>
              <w:rPr>
                <w:rFonts w:cs="Arial"/>
                <w:b/>
                <w:bCs/>
                <w:sz w:val="20"/>
              </w:rPr>
            </w:pPr>
            <w:r w:rsidRPr="00617246">
              <w:rPr>
                <w:rFonts w:cs="Arial"/>
                <w:sz w:val="20"/>
              </w:rPr>
              <w:t>303.9016</w:t>
            </w:r>
          </w:p>
        </w:tc>
        <w:tc>
          <w:tcPr>
            <w:tcW w:w="1560" w:type="dxa"/>
          </w:tcPr>
          <w:p w14:paraId="42DDD7E8" w14:textId="77777777" w:rsidR="00FC360C" w:rsidRPr="00617246" w:rsidRDefault="00FC360C" w:rsidP="004A64B0">
            <w:pPr>
              <w:autoSpaceDE w:val="0"/>
              <w:autoSpaceDN w:val="0"/>
              <w:adjustRightInd w:val="0"/>
              <w:jc w:val="center"/>
              <w:rPr>
                <w:rFonts w:cs="Arial"/>
                <w:b/>
                <w:bCs/>
                <w:sz w:val="20"/>
              </w:rPr>
            </w:pPr>
            <w:r w:rsidRPr="00617246">
              <w:rPr>
                <w:rFonts w:cs="Arial"/>
                <w:sz w:val="20"/>
              </w:rPr>
              <w:t>315.9419</w:t>
            </w:r>
          </w:p>
        </w:tc>
        <w:tc>
          <w:tcPr>
            <w:tcW w:w="1134" w:type="dxa"/>
          </w:tcPr>
          <w:p w14:paraId="53B0C076" w14:textId="77777777" w:rsidR="00FC360C" w:rsidRPr="00617246" w:rsidRDefault="00FC360C" w:rsidP="004A64B0">
            <w:pPr>
              <w:autoSpaceDE w:val="0"/>
              <w:autoSpaceDN w:val="0"/>
              <w:adjustRightInd w:val="0"/>
              <w:jc w:val="center"/>
              <w:rPr>
                <w:rFonts w:cs="Arial"/>
                <w:b/>
                <w:bCs/>
                <w:sz w:val="20"/>
              </w:rPr>
            </w:pPr>
            <w:r w:rsidRPr="00617246">
              <w:rPr>
                <w:rFonts w:cs="Arial"/>
                <w:sz w:val="20"/>
              </w:rPr>
              <w:t>319.8965</w:t>
            </w:r>
          </w:p>
        </w:tc>
        <w:tc>
          <w:tcPr>
            <w:tcW w:w="1571" w:type="dxa"/>
          </w:tcPr>
          <w:p w14:paraId="3ED45F43" w14:textId="77777777" w:rsidR="00FC360C" w:rsidRPr="00617246" w:rsidRDefault="00FC360C" w:rsidP="004A64B0">
            <w:pPr>
              <w:autoSpaceDE w:val="0"/>
              <w:autoSpaceDN w:val="0"/>
              <w:adjustRightInd w:val="0"/>
              <w:jc w:val="center"/>
              <w:rPr>
                <w:rFonts w:cs="Arial"/>
                <w:b/>
                <w:bCs/>
                <w:sz w:val="20"/>
              </w:rPr>
            </w:pPr>
            <w:r w:rsidRPr="00617246">
              <w:rPr>
                <w:rFonts w:cs="Arial"/>
                <w:bCs/>
                <w:sz w:val="20"/>
              </w:rPr>
              <w:t>331.9368</w:t>
            </w:r>
          </w:p>
        </w:tc>
      </w:tr>
      <w:tr w:rsidR="00FC360C" w:rsidRPr="00617246" w14:paraId="29F9FFD9" w14:textId="77777777" w:rsidTr="002F237A">
        <w:trPr>
          <w:cantSplit/>
          <w:jc w:val="center"/>
        </w:trPr>
        <w:tc>
          <w:tcPr>
            <w:tcW w:w="1668" w:type="dxa"/>
            <w:vMerge/>
            <w:vAlign w:val="center"/>
          </w:tcPr>
          <w:p w14:paraId="5504C513" w14:textId="77777777" w:rsidR="00FC360C" w:rsidRPr="00617246" w:rsidRDefault="00FC360C" w:rsidP="004A64B0">
            <w:pPr>
              <w:autoSpaceDE w:val="0"/>
              <w:autoSpaceDN w:val="0"/>
              <w:adjustRightInd w:val="0"/>
              <w:rPr>
                <w:rFonts w:cs="Arial"/>
                <w:b/>
                <w:bCs/>
                <w:sz w:val="20"/>
              </w:rPr>
            </w:pPr>
          </w:p>
        </w:tc>
        <w:tc>
          <w:tcPr>
            <w:tcW w:w="1167" w:type="dxa"/>
          </w:tcPr>
          <w:p w14:paraId="33095C52" w14:textId="77777777" w:rsidR="00FC360C" w:rsidRPr="00617246" w:rsidRDefault="00FC360C" w:rsidP="004A64B0">
            <w:pPr>
              <w:autoSpaceDE w:val="0"/>
              <w:autoSpaceDN w:val="0"/>
              <w:adjustRightInd w:val="0"/>
              <w:jc w:val="center"/>
              <w:rPr>
                <w:rFonts w:cs="Arial"/>
                <w:b/>
                <w:bCs/>
                <w:sz w:val="20"/>
              </w:rPr>
            </w:pPr>
            <w:r w:rsidRPr="00617246">
              <w:rPr>
                <w:rFonts w:cs="Arial"/>
                <w:sz w:val="20"/>
              </w:rPr>
              <w:t>305.8987</w:t>
            </w:r>
          </w:p>
        </w:tc>
        <w:tc>
          <w:tcPr>
            <w:tcW w:w="1560" w:type="dxa"/>
          </w:tcPr>
          <w:p w14:paraId="09277748" w14:textId="77777777" w:rsidR="00FC360C" w:rsidRPr="00617246" w:rsidRDefault="00FC360C" w:rsidP="004A64B0">
            <w:pPr>
              <w:autoSpaceDE w:val="0"/>
              <w:autoSpaceDN w:val="0"/>
              <w:adjustRightInd w:val="0"/>
              <w:jc w:val="center"/>
              <w:rPr>
                <w:rFonts w:cs="Arial"/>
                <w:b/>
                <w:bCs/>
                <w:sz w:val="20"/>
              </w:rPr>
            </w:pPr>
            <w:r w:rsidRPr="00617246">
              <w:rPr>
                <w:rFonts w:cs="Arial"/>
                <w:sz w:val="20"/>
              </w:rPr>
              <w:t>317.9389</w:t>
            </w:r>
          </w:p>
        </w:tc>
        <w:tc>
          <w:tcPr>
            <w:tcW w:w="1134" w:type="dxa"/>
          </w:tcPr>
          <w:p w14:paraId="4A17AF31" w14:textId="77777777" w:rsidR="00FC360C" w:rsidRPr="00617246" w:rsidRDefault="00FC360C" w:rsidP="004A64B0">
            <w:pPr>
              <w:autoSpaceDE w:val="0"/>
              <w:autoSpaceDN w:val="0"/>
              <w:adjustRightInd w:val="0"/>
              <w:jc w:val="center"/>
              <w:rPr>
                <w:rFonts w:cs="Arial"/>
                <w:b/>
                <w:bCs/>
                <w:sz w:val="20"/>
              </w:rPr>
            </w:pPr>
            <w:r w:rsidRPr="00617246">
              <w:rPr>
                <w:rFonts w:cs="Arial"/>
                <w:sz w:val="20"/>
              </w:rPr>
              <w:t>321.8937</w:t>
            </w:r>
          </w:p>
        </w:tc>
        <w:tc>
          <w:tcPr>
            <w:tcW w:w="1571" w:type="dxa"/>
          </w:tcPr>
          <w:p w14:paraId="09A8C0D2" w14:textId="77777777" w:rsidR="00FC360C" w:rsidRPr="00617246" w:rsidRDefault="00FC360C" w:rsidP="004A64B0">
            <w:pPr>
              <w:autoSpaceDE w:val="0"/>
              <w:autoSpaceDN w:val="0"/>
              <w:adjustRightInd w:val="0"/>
              <w:jc w:val="center"/>
              <w:rPr>
                <w:rFonts w:cs="Arial"/>
                <w:b/>
                <w:bCs/>
                <w:sz w:val="20"/>
              </w:rPr>
            </w:pPr>
            <w:r w:rsidRPr="00617246">
              <w:rPr>
                <w:rFonts w:cs="Arial"/>
                <w:sz w:val="20"/>
              </w:rPr>
              <w:t>333.9339</w:t>
            </w:r>
          </w:p>
        </w:tc>
      </w:tr>
      <w:tr w:rsidR="00FC360C" w:rsidRPr="00617246" w14:paraId="4CEA31E0" w14:textId="77777777" w:rsidTr="002F237A">
        <w:trPr>
          <w:cantSplit/>
          <w:jc w:val="center"/>
        </w:trPr>
        <w:tc>
          <w:tcPr>
            <w:tcW w:w="1668" w:type="dxa"/>
            <w:vMerge w:val="restart"/>
            <w:vAlign w:val="center"/>
          </w:tcPr>
          <w:p w14:paraId="76D8ED36" w14:textId="77777777" w:rsidR="00FC360C" w:rsidRPr="00617246" w:rsidRDefault="00FC360C" w:rsidP="004A64B0">
            <w:pPr>
              <w:autoSpaceDE w:val="0"/>
              <w:autoSpaceDN w:val="0"/>
              <w:adjustRightInd w:val="0"/>
              <w:rPr>
                <w:rFonts w:cs="Arial"/>
                <w:b/>
                <w:bCs/>
                <w:sz w:val="20"/>
              </w:rPr>
            </w:pPr>
            <w:r w:rsidRPr="00617246">
              <w:rPr>
                <w:rFonts w:cs="Arial"/>
                <w:sz w:val="20"/>
              </w:rPr>
              <w:t>Penta-CDD/F</w:t>
            </w:r>
          </w:p>
        </w:tc>
        <w:tc>
          <w:tcPr>
            <w:tcW w:w="1167" w:type="dxa"/>
          </w:tcPr>
          <w:p w14:paraId="7B113875" w14:textId="77777777" w:rsidR="00FC360C" w:rsidRPr="00617246" w:rsidRDefault="00FC360C" w:rsidP="004A64B0">
            <w:pPr>
              <w:autoSpaceDE w:val="0"/>
              <w:autoSpaceDN w:val="0"/>
              <w:adjustRightInd w:val="0"/>
              <w:jc w:val="center"/>
              <w:rPr>
                <w:rFonts w:cs="Arial"/>
                <w:b/>
                <w:bCs/>
                <w:sz w:val="20"/>
              </w:rPr>
            </w:pPr>
            <w:r w:rsidRPr="00617246">
              <w:rPr>
                <w:rFonts w:cs="Arial"/>
                <w:sz w:val="20"/>
              </w:rPr>
              <w:t>339.8598</w:t>
            </w:r>
          </w:p>
        </w:tc>
        <w:tc>
          <w:tcPr>
            <w:tcW w:w="1560" w:type="dxa"/>
          </w:tcPr>
          <w:p w14:paraId="5EAFECD8" w14:textId="77777777" w:rsidR="00FC360C" w:rsidRPr="00617246" w:rsidRDefault="00FC360C" w:rsidP="004A64B0">
            <w:pPr>
              <w:autoSpaceDE w:val="0"/>
              <w:autoSpaceDN w:val="0"/>
              <w:adjustRightInd w:val="0"/>
              <w:jc w:val="center"/>
              <w:rPr>
                <w:rFonts w:cs="Arial"/>
                <w:b/>
                <w:bCs/>
                <w:sz w:val="20"/>
              </w:rPr>
            </w:pPr>
            <w:r w:rsidRPr="00617246">
              <w:rPr>
                <w:rFonts w:cs="Arial"/>
                <w:sz w:val="20"/>
              </w:rPr>
              <w:t>351.9000</w:t>
            </w:r>
          </w:p>
        </w:tc>
        <w:tc>
          <w:tcPr>
            <w:tcW w:w="1134" w:type="dxa"/>
          </w:tcPr>
          <w:p w14:paraId="1E1DFC8D" w14:textId="77777777" w:rsidR="00FC360C" w:rsidRPr="00617246" w:rsidRDefault="00FC360C" w:rsidP="004A64B0">
            <w:pPr>
              <w:autoSpaceDE w:val="0"/>
              <w:autoSpaceDN w:val="0"/>
              <w:adjustRightInd w:val="0"/>
              <w:jc w:val="center"/>
              <w:rPr>
                <w:rFonts w:cs="Arial"/>
                <w:b/>
                <w:bCs/>
                <w:sz w:val="20"/>
              </w:rPr>
            </w:pPr>
            <w:r w:rsidRPr="00617246">
              <w:rPr>
                <w:rFonts w:cs="Arial"/>
                <w:sz w:val="20"/>
              </w:rPr>
              <w:t>355.8547</w:t>
            </w:r>
          </w:p>
        </w:tc>
        <w:tc>
          <w:tcPr>
            <w:tcW w:w="1571" w:type="dxa"/>
          </w:tcPr>
          <w:p w14:paraId="7F6E7E24" w14:textId="77777777" w:rsidR="00FC360C" w:rsidRPr="00617246" w:rsidRDefault="00FC360C" w:rsidP="004A64B0">
            <w:pPr>
              <w:autoSpaceDE w:val="0"/>
              <w:autoSpaceDN w:val="0"/>
              <w:adjustRightInd w:val="0"/>
              <w:jc w:val="center"/>
              <w:rPr>
                <w:rFonts w:cs="Arial"/>
                <w:b/>
                <w:bCs/>
                <w:sz w:val="20"/>
              </w:rPr>
            </w:pPr>
            <w:r w:rsidRPr="00617246">
              <w:rPr>
                <w:rFonts w:cs="Arial"/>
                <w:sz w:val="20"/>
              </w:rPr>
              <w:t>367.8949</w:t>
            </w:r>
          </w:p>
        </w:tc>
      </w:tr>
      <w:tr w:rsidR="00FC360C" w:rsidRPr="00617246" w14:paraId="65CC12C6" w14:textId="77777777" w:rsidTr="002F237A">
        <w:trPr>
          <w:cantSplit/>
          <w:jc w:val="center"/>
        </w:trPr>
        <w:tc>
          <w:tcPr>
            <w:tcW w:w="1668" w:type="dxa"/>
            <w:vMerge/>
            <w:vAlign w:val="center"/>
          </w:tcPr>
          <w:p w14:paraId="4F882F86" w14:textId="77777777" w:rsidR="00FC360C" w:rsidRPr="00617246" w:rsidRDefault="00FC360C" w:rsidP="004A64B0">
            <w:pPr>
              <w:autoSpaceDE w:val="0"/>
              <w:autoSpaceDN w:val="0"/>
              <w:adjustRightInd w:val="0"/>
              <w:rPr>
                <w:rFonts w:cs="Arial"/>
                <w:b/>
                <w:bCs/>
                <w:sz w:val="20"/>
              </w:rPr>
            </w:pPr>
          </w:p>
        </w:tc>
        <w:tc>
          <w:tcPr>
            <w:tcW w:w="1167" w:type="dxa"/>
          </w:tcPr>
          <w:p w14:paraId="3693F6A8" w14:textId="77777777" w:rsidR="00FC360C" w:rsidRPr="00617246" w:rsidRDefault="00FC360C" w:rsidP="004A64B0">
            <w:pPr>
              <w:autoSpaceDE w:val="0"/>
              <w:autoSpaceDN w:val="0"/>
              <w:adjustRightInd w:val="0"/>
              <w:jc w:val="center"/>
              <w:rPr>
                <w:rFonts w:cs="Arial"/>
                <w:b/>
                <w:bCs/>
                <w:sz w:val="20"/>
              </w:rPr>
            </w:pPr>
            <w:r w:rsidRPr="00617246">
              <w:rPr>
                <w:rFonts w:cs="Arial"/>
                <w:sz w:val="20"/>
              </w:rPr>
              <w:t>341.8569</w:t>
            </w:r>
          </w:p>
        </w:tc>
        <w:tc>
          <w:tcPr>
            <w:tcW w:w="1560" w:type="dxa"/>
          </w:tcPr>
          <w:p w14:paraId="656A4FBD" w14:textId="77777777" w:rsidR="00FC360C" w:rsidRPr="00617246" w:rsidRDefault="00FC360C" w:rsidP="004A64B0">
            <w:pPr>
              <w:autoSpaceDE w:val="0"/>
              <w:autoSpaceDN w:val="0"/>
              <w:adjustRightInd w:val="0"/>
              <w:jc w:val="center"/>
              <w:rPr>
                <w:rFonts w:cs="Arial"/>
                <w:b/>
                <w:bCs/>
                <w:sz w:val="20"/>
              </w:rPr>
            </w:pPr>
            <w:r w:rsidRPr="00617246">
              <w:rPr>
                <w:rFonts w:cs="Arial"/>
                <w:sz w:val="20"/>
              </w:rPr>
              <w:t>353.8970</w:t>
            </w:r>
          </w:p>
        </w:tc>
        <w:tc>
          <w:tcPr>
            <w:tcW w:w="1134" w:type="dxa"/>
          </w:tcPr>
          <w:p w14:paraId="3A81F527" w14:textId="77777777" w:rsidR="00FC360C" w:rsidRPr="00617246" w:rsidRDefault="00FC360C" w:rsidP="004A64B0">
            <w:pPr>
              <w:autoSpaceDE w:val="0"/>
              <w:autoSpaceDN w:val="0"/>
              <w:adjustRightInd w:val="0"/>
              <w:jc w:val="center"/>
              <w:rPr>
                <w:rFonts w:cs="Arial"/>
                <w:b/>
                <w:bCs/>
                <w:sz w:val="20"/>
              </w:rPr>
            </w:pPr>
            <w:r w:rsidRPr="00617246">
              <w:rPr>
                <w:rFonts w:cs="Arial"/>
                <w:sz w:val="20"/>
              </w:rPr>
              <w:t>357.8518</w:t>
            </w:r>
          </w:p>
        </w:tc>
        <w:tc>
          <w:tcPr>
            <w:tcW w:w="1571" w:type="dxa"/>
          </w:tcPr>
          <w:p w14:paraId="26A6BDCC" w14:textId="77777777" w:rsidR="00FC360C" w:rsidRPr="00617246" w:rsidRDefault="00FC360C" w:rsidP="004A64B0">
            <w:pPr>
              <w:autoSpaceDE w:val="0"/>
              <w:autoSpaceDN w:val="0"/>
              <w:adjustRightInd w:val="0"/>
              <w:jc w:val="center"/>
              <w:rPr>
                <w:rFonts w:cs="Arial"/>
                <w:b/>
                <w:bCs/>
                <w:sz w:val="20"/>
              </w:rPr>
            </w:pPr>
            <w:r w:rsidRPr="00617246">
              <w:rPr>
                <w:rFonts w:cs="Arial"/>
                <w:sz w:val="20"/>
              </w:rPr>
              <w:t>369.8919</w:t>
            </w:r>
          </w:p>
        </w:tc>
      </w:tr>
      <w:tr w:rsidR="00FC360C" w:rsidRPr="00617246" w14:paraId="02ABBF93" w14:textId="77777777" w:rsidTr="002F237A">
        <w:trPr>
          <w:cantSplit/>
          <w:jc w:val="center"/>
        </w:trPr>
        <w:tc>
          <w:tcPr>
            <w:tcW w:w="1668" w:type="dxa"/>
            <w:vMerge w:val="restart"/>
            <w:vAlign w:val="center"/>
          </w:tcPr>
          <w:p w14:paraId="60F923B3" w14:textId="77777777" w:rsidR="00FC360C" w:rsidRPr="00617246" w:rsidRDefault="00FC360C" w:rsidP="004A64B0">
            <w:pPr>
              <w:autoSpaceDE w:val="0"/>
              <w:autoSpaceDN w:val="0"/>
              <w:adjustRightInd w:val="0"/>
              <w:rPr>
                <w:rFonts w:cs="Arial"/>
                <w:b/>
                <w:bCs/>
                <w:sz w:val="20"/>
              </w:rPr>
            </w:pPr>
            <w:r w:rsidRPr="00617246">
              <w:rPr>
                <w:rFonts w:cs="Arial"/>
                <w:sz w:val="20"/>
              </w:rPr>
              <w:t>Hexa-CDD/F</w:t>
            </w:r>
          </w:p>
        </w:tc>
        <w:tc>
          <w:tcPr>
            <w:tcW w:w="1167" w:type="dxa"/>
          </w:tcPr>
          <w:p w14:paraId="50DB67D6" w14:textId="77777777" w:rsidR="00FC360C" w:rsidRPr="00617246" w:rsidRDefault="00FC360C" w:rsidP="004A64B0">
            <w:pPr>
              <w:autoSpaceDE w:val="0"/>
              <w:autoSpaceDN w:val="0"/>
              <w:adjustRightInd w:val="0"/>
              <w:jc w:val="center"/>
              <w:rPr>
                <w:rFonts w:cs="Arial"/>
                <w:b/>
                <w:bCs/>
                <w:sz w:val="20"/>
              </w:rPr>
            </w:pPr>
            <w:r w:rsidRPr="00617246">
              <w:rPr>
                <w:rFonts w:cs="Arial"/>
                <w:sz w:val="20"/>
              </w:rPr>
              <w:t>373.8208</w:t>
            </w:r>
          </w:p>
        </w:tc>
        <w:tc>
          <w:tcPr>
            <w:tcW w:w="1560" w:type="dxa"/>
          </w:tcPr>
          <w:p w14:paraId="0C2B6678" w14:textId="77777777" w:rsidR="00FC360C" w:rsidRPr="00617246" w:rsidRDefault="00FC360C" w:rsidP="004A64B0">
            <w:pPr>
              <w:autoSpaceDE w:val="0"/>
              <w:autoSpaceDN w:val="0"/>
              <w:adjustRightInd w:val="0"/>
              <w:jc w:val="center"/>
              <w:rPr>
                <w:rFonts w:cs="Arial"/>
                <w:b/>
                <w:bCs/>
                <w:sz w:val="20"/>
              </w:rPr>
            </w:pPr>
            <w:r w:rsidRPr="00617246">
              <w:rPr>
                <w:rFonts w:cs="Arial"/>
                <w:sz w:val="20"/>
              </w:rPr>
              <w:t>385.8610</w:t>
            </w:r>
          </w:p>
        </w:tc>
        <w:tc>
          <w:tcPr>
            <w:tcW w:w="1134" w:type="dxa"/>
          </w:tcPr>
          <w:p w14:paraId="7806C861" w14:textId="77777777" w:rsidR="00FC360C" w:rsidRPr="00617246" w:rsidRDefault="00FC360C" w:rsidP="004A64B0">
            <w:pPr>
              <w:autoSpaceDE w:val="0"/>
              <w:autoSpaceDN w:val="0"/>
              <w:adjustRightInd w:val="0"/>
              <w:jc w:val="center"/>
              <w:rPr>
                <w:rFonts w:cs="Arial"/>
                <w:b/>
                <w:bCs/>
                <w:sz w:val="20"/>
              </w:rPr>
            </w:pPr>
            <w:r w:rsidRPr="00617246">
              <w:rPr>
                <w:rFonts w:cs="Arial"/>
                <w:sz w:val="20"/>
              </w:rPr>
              <w:t>389.8157</w:t>
            </w:r>
          </w:p>
        </w:tc>
        <w:tc>
          <w:tcPr>
            <w:tcW w:w="1571" w:type="dxa"/>
          </w:tcPr>
          <w:p w14:paraId="374239AF" w14:textId="77777777" w:rsidR="00FC360C" w:rsidRPr="00617246" w:rsidRDefault="00FC360C" w:rsidP="004A64B0">
            <w:pPr>
              <w:autoSpaceDE w:val="0"/>
              <w:autoSpaceDN w:val="0"/>
              <w:adjustRightInd w:val="0"/>
              <w:jc w:val="center"/>
              <w:rPr>
                <w:rFonts w:cs="Arial"/>
                <w:b/>
                <w:bCs/>
                <w:sz w:val="20"/>
              </w:rPr>
            </w:pPr>
            <w:r w:rsidRPr="00617246">
              <w:rPr>
                <w:rFonts w:cs="Arial"/>
                <w:sz w:val="20"/>
              </w:rPr>
              <w:t>401.8559</w:t>
            </w:r>
          </w:p>
        </w:tc>
      </w:tr>
      <w:tr w:rsidR="00FC360C" w:rsidRPr="00617246" w14:paraId="5175569F" w14:textId="77777777" w:rsidTr="002F237A">
        <w:trPr>
          <w:cantSplit/>
          <w:jc w:val="center"/>
        </w:trPr>
        <w:tc>
          <w:tcPr>
            <w:tcW w:w="1668" w:type="dxa"/>
            <w:vMerge/>
            <w:vAlign w:val="center"/>
          </w:tcPr>
          <w:p w14:paraId="11E12B71" w14:textId="77777777" w:rsidR="00FC360C" w:rsidRPr="00617246" w:rsidRDefault="00FC360C" w:rsidP="004A64B0">
            <w:pPr>
              <w:autoSpaceDE w:val="0"/>
              <w:autoSpaceDN w:val="0"/>
              <w:adjustRightInd w:val="0"/>
              <w:rPr>
                <w:rFonts w:cs="Arial"/>
                <w:b/>
                <w:bCs/>
                <w:sz w:val="20"/>
              </w:rPr>
            </w:pPr>
          </w:p>
        </w:tc>
        <w:tc>
          <w:tcPr>
            <w:tcW w:w="1167" w:type="dxa"/>
          </w:tcPr>
          <w:p w14:paraId="064C5B02" w14:textId="77777777" w:rsidR="00FC360C" w:rsidRPr="00617246" w:rsidRDefault="00FC360C" w:rsidP="004A64B0">
            <w:pPr>
              <w:autoSpaceDE w:val="0"/>
              <w:autoSpaceDN w:val="0"/>
              <w:adjustRightInd w:val="0"/>
              <w:jc w:val="center"/>
              <w:rPr>
                <w:rFonts w:cs="Arial"/>
                <w:b/>
                <w:bCs/>
                <w:sz w:val="20"/>
              </w:rPr>
            </w:pPr>
            <w:r w:rsidRPr="00617246">
              <w:rPr>
                <w:rFonts w:cs="Arial"/>
                <w:sz w:val="20"/>
              </w:rPr>
              <w:t>375.8179</w:t>
            </w:r>
          </w:p>
        </w:tc>
        <w:tc>
          <w:tcPr>
            <w:tcW w:w="1560" w:type="dxa"/>
          </w:tcPr>
          <w:p w14:paraId="3A4C14BF" w14:textId="77777777" w:rsidR="00FC360C" w:rsidRPr="00617246" w:rsidRDefault="00FC360C" w:rsidP="004A64B0">
            <w:pPr>
              <w:autoSpaceDE w:val="0"/>
              <w:autoSpaceDN w:val="0"/>
              <w:adjustRightInd w:val="0"/>
              <w:jc w:val="center"/>
              <w:rPr>
                <w:rFonts w:cs="Arial"/>
                <w:b/>
                <w:bCs/>
                <w:sz w:val="20"/>
              </w:rPr>
            </w:pPr>
            <w:r w:rsidRPr="00617246">
              <w:rPr>
                <w:rFonts w:cs="Arial"/>
                <w:sz w:val="20"/>
              </w:rPr>
              <w:t>387.8580</w:t>
            </w:r>
          </w:p>
        </w:tc>
        <w:tc>
          <w:tcPr>
            <w:tcW w:w="1134" w:type="dxa"/>
          </w:tcPr>
          <w:p w14:paraId="13C4C5FF" w14:textId="77777777" w:rsidR="00FC360C" w:rsidRPr="00617246" w:rsidRDefault="00FC360C" w:rsidP="004A64B0">
            <w:pPr>
              <w:autoSpaceDE w:val="0"/>
              <w:autoSpaceDN w:val="0"/>
              <w:adjustRightInd w:val="0"/>
              <w:jc w:val="center"/>
              <w:rPr>
                <w:rFonts w:cs="Arial"/>
                <w:b/>
                <w:bCs/>
                <w:sz w:val="20"/>
              </w:rPr>
            </w:pPr>
            <w:r w:rsidRPr="00617246">
              <w:rPr>
                <w:rFonts w:cs="Arial"/>
                <w:sz w:val="20"/>
              </w:rPr>
              <w:t>391.8128</w:t>
            </w:r>
          </w:p>
        </w:tc>
        <w:tc>
          <w:tcPr>
            <w:tcW w:w="1571" w:type="dxa"/>
          </w:tcPr>
          <w:p w14:paraId="7EEC7C9C" w14:textId="77777777" w:rsidR="00FC360C" w:rsidRPr="00617246" w:rsidRDefault="00FC360C" w:rsidP="004A64B0">
            <w:pPr>
              <w:autoSpaceDE w:val="0"/>
              <w:autoSpaceDN w:val="0"/>
              <w:adjustRightInd w:val="0"/>
              <w:jc w:val="center"/>
              <w:rPr>
                <w:rFonts w:cs="Arial"/>
                <w:b/>
                <w:bCs/>
                <w:sz w:val="20"/>
              </w:rPr>
            </w:pPr>
            <w:r w:rsidRPr="00617246">
              <w:rPr>
                <w:rFonts w:cs="Arial"/>
                <w:sz w:val="20"/>
              </w:rPr>
              <w:t>403.8529</w:t>
            </w:r>
          </w:p>
        </w:tc>
      </w:tr>
      <w:tr w:rsidR="00FC360C" w:rsidRPr="00617246" w14:paraId="5EDA420F" w14:textId="77777777" w:rsidTr="002F237A">
        <w:trPr>
          <w:cantSplit/>
          <w:jc w:val="center"/>
        </w:trPr>
        <w:tc>
          <w:tcPr>
            <w:tcW w:w="1668" w:type="dxa"/>
            <w:vMerge w:val="restart"/>
            <w:vAlign w:val="center"/>
          </w:tcPr>
          <w:p w14:paraId="1D88E59C" w14:textId="77777777" w:rsidR="00FC360C" w:rsidRPr="00617246" w:rsidRDefault="00FC360C" w:rsidP="004A64B0">
            <w:pPr>
              <w:autoSpaceDE w:val="0"/>
              <w:autoSpaceDN w:val="0"/>
              <w:adjustRightInd w:val="0"/>
              <w:rPr>
                <w:rFonts w:cs="Arial"/>
                <w:b/>
                <w:bCs/>
                <w:sz w:val="20"/>
              </w:rPr>
            </w:pPr>
            <w:r w:rsidRPr="00617246">
              <w:rPr>
                <w:rFonts w:cs="Arial"/>
                <w:sz w:val="20"/>
              </w:rPr>
              <w:t>Hepta-CDD/F</w:t>
            </w:r>
          </w:p>
        </w:tc>
        <w:tc>
          <w:tcPr>
            <w:tcW w:w="1167" w:type="dxa"/>
          </w:tcPr>
          <w:p w14:paraId="27DD4EF7" w14:textId="77777777" w:rsidR="00FC360C" w:rsidRPr="00617246" w:rsidRDefault="00FC360C" w:rsidP="004A64B0">
            <w:pPr>
              <w:autoSpaceDE w:val="0"/>
              <w:autoSpaceDN w:val="0"/>
              <w:adjustRightInd w:val="0"/>
              <w:jc w:val="center"/>
              <w:rPr>
                <w:rFonts w:cs="Arial"/>
                <w:b/>
                <w:bCs/>
                <w:sz w:val="20"/>
              </w:rPr>
            </w:pPr>
            <w:r w:rsidRPr="00617246">
              <w:rPr>
                <w:rFonts w:cs="Arial"/>
                <w:sz w:val="20"/>
              </w:rPr>
              <w:t>407.7818</w:t>
            </w:r>
          </w:p>
        </w:tc>
        <w:tc>
          <w:tcPr>
            <w:tcW w:w="1560" w:type="dxa"/>
          </w:tcPr>
          <w:p w14:paraId="702B2388" w14:textId="77777777" w:rsidR="00FC360C" w:rsidRPr="00617246" w:rsidRDefault="00FC360C" w:rsidP="004A64B0">
            <w:pPr>
              <w:autoSpaceDE w:val="0"/>
              <w:autoSpaceDN w:val="0"/>
              <w:adjustRightInd w:val="0"/>
              <w:jc w:val="center"/>
              <w:rPr>
                <w:rFonts w:cs="Arial"/>
                <w:b/>
                <w:bCs/>
                <w:sz w:val="20"/>
              </w:rPr>
            </w:pPr>
            <w:r w:rsidRPr="00617246">
              <w:rPr>
                <w:rFonts w:cs="Arial"/>
                <w:sz w:val="20"/>
              </w:rPr>
              <w:t>419.8220</w:t>
            </w:r>
          </w:p>
        </w:tc>
        <w:tc>
          <w:tcPr>
            <w:tcW w:w="1134" w:type="dxa"/>
          </w:tcPr>
          <w:p w14:paraId="41FF1563" w14:textId="77777777" w:rsidR="00FC360C" w:rsidRPr="00617246" w:rsidRDefault="00FC360C" w:rsidP="004A64B0">
            <w:pPr>
              <w:autoSpaceDE w:val="0"/>
              <w:autoSpaceDN w:val="0"/>
              <w:adjustRightInd w:val="0"/>
              <w:jc w:val="center"/>
              <w:rPr>
                <w:rFonts w:cs="Arial"/>
                <w:b/>
                <w:bCs/>
                <w:sz w:val="20"/>
              </w:rPr>
            </w:pPr>
            <w:r w:rsidRPr="00617246">
              <w:rPr>
                <w:rFonts w:cs="Arial"/>
                <w:sz w:val="20"/>
              </w:rPr>
              <w:t>423.7767</w:t>
            </w:r>
          </w:p>
        </w:tc>
        <w:tc>
          <w:tcPr>
            <w:tcW w:w="1571" w:type="dxa"/>
          </w:tcPr>
          <w:p w14:paraId="71E44FE7" w14:textId="77777777" w:rsidR="00FC360C" w:rsidRPr="00617246" w:rsidRDefault="00FC360C" w:rsidP="004A64B0">
            <w:pPr>
              <w:autoSpaceDE w:val="0"/>
              <w:autoSpaceDN w:val="0"/>
              <w:adjustRightInd w:val="0"/>
              <w:jc w:val="center"/>
              <w:rPr>
                <w:rFonts w:cs="Arial"/>
                <w:b/>
                <w:bCs/>
                <w:sz w:val="20"/>
              </w:rPr>
            </w:pPr>
            <w:r w:rsidRPr="00617246">
              <w:rPr>
                <w:rFonts w:cs="Arial"/>
                <w:sz w:val="20"/>
              </w:rPr>
              <w:t>435.8169</w:t>
            </w:r>
          </w:p>
        </w:tc>
      </w:tr>
      <w:tr w:rsidR="00FC360C" w:rsidRPr="00617246" w14:paraId="1E436B73" w14:textId="77777777" w:rsidTr="002F237A">
        <w:trPr>
          <w:cantSplit/>
          <w:jc w:val="center"/>
        </w:trPr>
        <w:tc>
          <w:tcPr>
            <w:tcW w:w="1668" w:type="dxa"/>
            <w:vMerge/>
            <w:vAlign w:val="center"/>
          </w:tcPr>
          <w:p w14:paraId="76251E13" w14:textId="77777777" w:rsidR="00FC360C" w:rsidRPr="00617246" w:rsidRDefault="00FC360C" w:rsidP="004A64B0">
            <w:pPr>
              <w:autoSpaceDE w:val="0"/>
              <w:autoSpaceDN w:val="0"/>
              <w:adjustRightInd w:val="0"/>
              <w:rPr>
                <w:rFonts w:cs="Arial"/>
                <w:b/>
                <w:bCs/>
                <w:sz w:val="20"/>
              </w:rPr>
            </w:pPr>
          </w:p>
        </w:tc>
        <w:tc>
          <w:tcPr>
            <w:tcW w:w="1167" w:type="dxa"/>
          </w:tcPr>
          <w:p w14:paraId="08FFBCEF" w14:textId="77777777" w:rsidR="00FC360C" w:rsidRPr="00617246" w:rsidRDefault="00FC360C" w:rsidP="004A64B0">
            <w:pPr>
              <w:autoSpaceDE w:val="0"/>
              <w:autoSpaceDN w:val="0"/>
              <w:adjustRightInd w:val="0"/>
              <w:jc w:val="center"/>
              <w:rPr>
                <w:rFonts w:cs="Arial"/>
                <w:b/>
                <w:bCs/>
                <w:sz w:val="20"/>
              </w:rPr>
            </w:pPr>
            <w:r w:rsidRPr="00617246">
              <w:rPr>
                <w:rFonts w:cs="Arial"/>
                <w:sz w:val="20"/>
              </w:rPr>
              <w:t>409.7789</w:t>
            </w:r>
          </w:p>
        </w:tc>
        <w:tc>
          <w:tcPr>
            <w:tcW w:w="1560" w:type="dxa"/>
          </w:tcPr>
          <w:p w14:paraId="55FFE461" w14:textId="77777777" w:rsidR="00FC360C" w:rsidRPr="00617246" w:rsidRDefault="00FC360C" w:rsidP="004A64B0">
            <w:pPr>
              <w:autoSpaceDE w:val="0"/>
              <w:autoSpaceDN w:val="0"/>
              <w:adjustRightInd w:val="0"/>
              <w:jc w:val="center"/>
              <w:rPr>
                <w:rFonts w:cs="Arial"/>
                <w:b/>
                <w:bCs/>
                <w:sz w:val="20"/>
              </w:rPr>
            </w:pPr>
            <w:r w:rsidRPr="00617246">
              <w:rPr>
                <w:rFonts w:cs="Arial"/>
                <w:sz w:val="20"/>
              </w:rPr>
              <w:t>421.8190</w:t>
            </w:r>
          </w:p>
        </w:tc>
        <w:tc>
          <w:tcPr>
            <w:tcW w:w="1134" w:type="dxa"/>
          </w:tcPr>
          <w:p w14:paraId="54E948FC" w14:textId="77777777" w:rsidR="00FC360C" w:rsidRPr="00617246" w:rsidRDefault="00FC360C" w:rsidP="004A64B0">
            <w:pPr>
              <w:autoSpaceDE w:val="0"/>
              <w:autoSpaceDN w:val="0"/>
              <w:adjustRightInd w:val="0"/>
              <w:jc w:val="center"/>
              <w:rPr>
                <w:rFonts w:cs="Arial"/>
                <w:b/>
                <w:bCs/>
                <w:sz w:val="20"/>
              </w:rPr>
            </w:pPr>
            <w:r w:rsidRPr="00617246">
              <w:rPr>
                <w:rFonts w:cs="Arial"/>
                <w:sz w:val="20"/>
              </w:rPr>
              <w:t>425.7738</w:t>
            </w:r>
          </w:p>
        </w:tc>
        <w:tc>
          <w:tcPr>
            <w:tcW w:w="1571" w:type="dxa"/>
          </w:tcPr>
          <w:p w14:paraId="14A1CD08" w14:textId="77777777" w:rsidR="00FC360C" w:rsidRPr="00617246" w:rsidRDefault="00FC360C" w:rsidP="004A64B0">
            <w:pPr>
              <w:autoSpaceDE w:val="0"/>
              <w:autoSpaceDN w:val="0"/>
              <w:adjustRightInd w:val="0"/>
              <w:jc w:val="center"/>
              <w:rPr>
                <w:rFonts w:cs="Arial"/>
                <w:b/>
                <w:bCs/>
                <w:sz w:val="20"/>
              </w:rPr>
            </w:pPr>
            <w:r w:rsidRPr="00617246">
              <w:rPr>
                <w:rFonts w:cs="Arial"/>
                <w:sz w:val="20"/>
              </w:rPr>
              <w:t>437.8140</w:t>
            </w:r>
          </w:p>
        </w:tc>
      </w:tr>
      <w:tr w:rsidR="00FC360C" w:rsidRPr="00617246" w14:paraId="6BDDD1AE" w14:textId="77777777" w:rsidTr="002F237A">
        <w:trPr>
          <w:cantSplit/>
          <w:jc w:val="center"/>
        </w:trPr>
        <w:tc>
          <w:tcPr>
            <w:tcW w:w="1668" w:type="dxa"/>
            <w:vMerge w:val="restart"/>
            <w:vAlign w:val="center"/>
          </w:tcPr>
          <w:p w14:paraId="1B7DCF74" w14:textId="77777777" w:rsidR="00FC360C" w:rsidRPr="00617246" w:rsidRDefault="00FC360C" w:rsidP="004A64B0">
            <w:pPr>
              <w:autoSpaceDE w:val="0"/>
              <w:autoSpaceDN w:val="0"/>
              <w:adjustRightInd w:val="0"/>
              <w:rPr>
                <w:rFonts w:cs="Arial"/>
                <w:b/>
                <w:bCs/>
                <w:sz w:val="20"/>
              </w:rPr>
            </w:pPr>
            <w:r w:rsidRPr="00617246">
              <w:rPr>
                <w:rFonts w:cs="Arial"/>
                <w:sz w:val="20"/>
              </w:rPr>
              <w:t>Octa-CDD/F</w:t>
            </w:r>
          </w:p>
        </w:tc>
        <w:tc>
          <w:tcPr>
            <w:tcW w:w="1167" w:type="dxa"/>
          </w:tcPr>
          <w:p w14:paraId="448C6337" w14:textId="77777777" w:rsidR="00FC360C" w:rsidRPr="00617246" w:rsidRDefault="00FC360C" w:rsidP="004A64B0">
            <w:pPr>
              <w:autoSpaceDE w:val="0"/>
              <w:autoSpaceDN w:val="0"/>
              <w:adjustRightInd w:val="0"/>
              <w:jc w:val="center"/>
              <w:rPr>
                <w:rFonts w:cs="Arial"/>
                <w:b/>
                <w:bCs/>
                <w:sz w:val="20"/>
              </w:rPr>
            </w:pPr>
            <w:r w:rsidRPr="00617246">
              <w:rPr>
                <w:rFonts w:cs="Arial"/>
                <w:sz w:val="20"/>
              </w:rPr>
              <w:t>441.7428</w:t>
            </w:r>
          </w:p>
        </w:tc>
        <w:tc>
          <w:tcPr>
            <w:tcW w:w="1560" w:type="dxa"/>
          </w:tcPr>
          <w:p w14:paraId="58C71929" w14:textId="77777777" w:rsidR="00FC360C" w:rsidRPr="00617246" w:rsidRDefault="00FC360C" w:rsidP="004A64B0">
            <w:pPr>
              <w:autoSpaceDE w:val="0"/>
              <w:autoSpaceDN w:val="0"/>
              <w:adjustRightInd w:val="0"/>
              <w:jc w:val="center"/>
              <w:rPr>
                <w:rFonts w:cs="Arial"/>
                <w:b/>
                <w:bCs/>
                <w:sz w:val="20"/>
              </w:rPr>
            </w:pPr>
            <w:r w:rsidRPr="00617246">
              <w:rPr>
                <w:rFonts w:cs="Arial"/>
                <w:sz w:val="20"/>
              </w:rPr>
              <w:t>453.7830</w:t>
            </w:r>
          </w:p>
        </w:tc>
        <w:tc>
          <w:tcPr>
            <w:tcW w:w="1134" w:type="dxa"/>
          </w:tcPr>
          <w:p w14:paraId="691D0E1D" w14:textId="77777777" w:rsidR="00FC360C" w:rsidRPr="00617246" w:rsidRDefault="00FC360C" w:rsidP="004A64B0">
            <w:pPr>
              <w:autoSpaceDE w:val="0"/>
              <w:autoSpaceDN w:val="0"/>
              <w:adjustRightInd w:val="0"/>
              <w:jc w:val="center"/>
              <w:rPr>
                <w:rFonts w:cs="Arial"/>
                <w:b/>
                <w:bCs/>
                <w:sz w:val="20"/>
              </w:rPr>
            </w:pPr>
            <w:r w:rsidRPr="00617246">
              <w:rPr>
                <w:rFonts w:cs="Arial"/>
                <w:sz w:val="20"/>
              </w:rPr>
              <w:t>457.7377</w:t>
            </w:r>
          </w:p>
        </w:tc>
        <w:tc>
          <w:tcPr>
            <w:tcW w:w="1571" w:type="dxa"/>
          </w:tcPr>
          <w:p w14:paraId="1AB34EAC" w14:textId="77777777" w:rsidR="00FC360C" w:rsidRPr="00617246" w:rsidRDefault="00FC360C" w:rsidP="004A64B0">
            <w:pPr>
              <w:autoSpaceDE w:val="0"/>
              <w:autoSpaceDN w:val="0"/>
              <w:adjustRightInd w:val="0"/>
              <w:jc w:val="center"/>
              <w:rPr>
                <w:rFonts w:cs="Arial"/>
                <w:b/>
                <w:bCs/>
                <w:sz w:val="20"/>
              </w:rPr>
            </w:pPr>
            <w:r w:rsidRPr="00617246">
              <w:rPr>
                <w:rFonts w:cs="Arial"/>
                <w:sz w:val="20"/>
              </w:rPr>
              <w:t>469.7779</w:t>
            </w:r>
          </w:p>
        </w:tc>
      </w:tr>
      <w:tr w:rsidR="00FC360C" w:rsidRPr="00617246" w14:paraId="15C33224" w14:textId="77777777" w:rsidTr="002F237A">
        <w:trPr>
          <w:cantSplit/>
          <w:jc w:val="center"/>
        </w:trPr>
        <w:tc>
          <w:tcPr>
            <w:tcW w:w="1668" w:type="dxa"/>
            <w:vMerge/>
          </w:tcPr>
          <w:p w14:paraId="37C1FF11" w14:textId="77777777" w:rsidR="00FC360C" w:rsidRPr="00617246" w:rsidRDefault="00FC360C" w:rsidP="004A64B0">
            <w:pPr>
              <w:autoSpaceDE w:val="0"/>
              <w:autoSpaceDN w:val="0"/>
              <w:adjustRightInd w:val="0"/>
              <w:rPr>
                <w:b/>
                <w:bCs/>
                <w:sz w:val="20"/>
              </w:rPr>
            </w:pPr>
          </w:p>
        </w:tc>
        <w:tc>
          <w:tcPr>
            <w:tcW w:w="1167" w:type="dxa"/>
          </w:tcPr>
          <w:p w14:paraId="2862F696" w14:textId="77777777" w:rsidR="00FC360C" w:rsidRPr="00617246" w:rsidRDefault="00FC360C" w:rsidP="004A64B0">
            <w:pPr>
              <w:autoSpaceDE w:val="0"/>
              <w:autoSpaceDN w:val="0"/>
              <w:adjustRightInd w:val="0"/>
              <w:jc w:val="center"/>
              <w:rPr>
                <w:b/>
                <w:bCs/>
                <w:sz w:val="20"/>
              </w:rPr>
            </w:pPr>
            <w:r w:rsidRPr="00617246">
              <w:rPr>
                <w:sz w:val="20"/>
              </w:rPr>
              <w:t>443.7399</w:t>
            </w:r>
          </w:p>
        </w:tc>
        <w:tc>
          <w:tcPr>
            <w:tcW w:w="1560" w:type="dxa"/>
          </w:tcPr>
          <w:p w14:paraId="779A8FF0" w14:textId="77777777" w:rsidR="00FC360C" w:rsidRPr="00617246" w:rsidRDefault="00FC360C" w:rsidP="004A64B0">
            <w:pPr>
              <w:autoSpaceDE w:val="0"/>
              <w:autoSpaceDN w:val="0"/>
              <w:adjustRightInd w:val="0"/>
              <w:jc w:val="center"/>
              <w:rPr>
                <w:b/>
                <w:bCs/>
                <w:sz w:val="20"/>
              </w:rPr>
            </w:pPr>
            <w:r w:rsidRPr="00617246">
              <w:rPr>
                <w:sz w:val="20"/>
              </w:rPr>
              <w:t>455.7801</w:t>
            </w:r>
          </w:p>
        </w:tc>
        <w:tc>
          <w:tcPr>
            <w:tcW w:w="1134" w:type="dxa"/>
          </w:tcPr>
          <w:p w14:paraId="7F90D3E8" w14:textId="77777777" w:rsidR="00FC360C" w:rsidRPr="00617246" w:rsidRDefault="00FC360C" w:rsidP="004A64B0">
            <w:pPr>
              <w:autoSpaceDE w:val="0"/>
              <w:autoSpaceDN w:val="0"/>
              <w:adjustRightInd w:val="0"/>
              <w:jc w:val="center"/>
              <w:rPr>
                <w:b/>
                <w:bCs/>
                <w:sz w:val="20"/>
              </w:rPr>
            </w:pPr>
            <w:r w:rsidRPr="00617246">
              <w:rPr>
                <w:sz w:val="20"/>
              </w:rPr>
              <w:t>459.7348</w:t>
            </w:r>
          </w:p>
        </w:tc>
        <w:tc>
          <w:tcPr>
            <w:tcW w:w="1571" w:type="dxa"/>
          </w:tcPr>
          <w:p w14:paraId="721E76DF" w14:textId="77777777" w:rsidR="00FC360C" w:rsidRPr="00617246" w:rsidRDefault="00FC360C" w:rsidP="004A64B0">
            <w:pPr>
              <w:jc w:val="center"/>
              <w:rPr>
                <w:b/>
                <w:bCs/>
                <w:sz w:val="20"/>
              </w:rPr>
            </w:pPr>
            <w:r w:rsidRPr="00617246">
              <w:rPr>
                <w:sz w:val="20"/>
              </w:rPr>
              <w:t>471.7750</w:t>
            </w:r>
          </w:p>
        </w:tc>
      </w:tr>
    </w:tbl>
    <w:p w14:paraId="7C673C8E" w14:textId="77777777" w:rsidR="00FC360C" w:rsidRPr="004A64B0" w:rsidRDefault="00FC360C" w:rsidP="004A64B0">
      <w:pPr>
        <w:rPr>
          <w:rFonts w:asciiTheme="minorHAnsi" w:hAnsiTheme="minorHAnsi"/>
          <w:szCs w:val="22"/>
        </w:rPr>
      </w:pPr>
      <w:r w:rsidRPr="004A64B0">
        <w:rPr>
          <w:rFonts w:asciiTheme="minorHAnsi" w:hAnsiTheme="minorHAnsi"/>
          <w:szCs w:val="22"/>
        </w:rPr>
        <w:br w:type="page"/>
      </w:r>
      <w:r w:rsidRPr="004A64B0">
        <w:rPr>
          <w:rFonts w:asciiTheme="minorHAnsi" w:hAnsiTheme="minorHAnsi"/>
          <w:b/>
          <w:szCs w:val="22"/>
        </w:rPr>
        <w:t>Table 6</w:t>
      </w:r>
      <w:r w:rsidR="00617246">
        <w:rPr>
          <w:rFonts w:asciiTheme="minorHAnsi" w:hAnsiTheme="minorHAnsi"/>
          <w:szCs w:val="22"/>
        </w:rPr>
        <w:t>:</w:t>
      </w:r>
      <w:r w:rsidRPr="004A64B0">
        <w:rPr>
          <w:rFonts w:asciiTheme="minorHAnsi" w:hAnsiTheme="minorHAnsi"/>
          <w:szCs w:val="22"/>
        </w:rPr>
        <w:tab/>
        <w:t>Masses for the detection and quantification of PCBs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3"/>
        <w:gridCol w:w="1633"/>
        <w:gridCol w:w="1876"/>
      </w:tblGrid>
      <w:tr w:rsidR="00FC360C" w:rsidRPr="004A64B0" w14:paraId="6F724CE3" w14:textId="77777777" w:rsidTr="002F237A">
        <w:trPr>
          <w:jc w:val="center"/>
        </w:trPr>
        <w:tc>
          <w:tcPr>
            <w:tcW w:w="2303" w:type="dxa"/>
          </w:tcPr>
          <w:p w14:paraId="1F8B1D9B"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b/>
                <w:bCs/>
                <w:szCs w:val="22"/>
              </w:rPr>
              <w:t>Homologue groups</w:t>
            </w:r>
          </w:p>
        </w:tc>
        <w:tc>
          <w:tcPr>
            <w:tcW w:w="1633" w:type="dxa"/>
          </w:tcPr>
          <w:p w14:paraId="36FB8D44"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b/>
                <w:bCs/>
                <w:szCs w:val="22"/>
              </w:rPr>
              <w:t>Native CBs</w:t>
            </w:r>
          </w:p>
        </w:tc>
        <w:tc>
          <w:tcPr>
            <w:tcW w:w="1876" w:type="dxa"/>
          </w:tcPr>
          <w:p w14:paraId="6B6727E4"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b/>
                <w:bCs/>
                <w:szCs w:val="22"/>
                <w:vertAlign w:val="superscript"/>
              </w:rPr>
              <w:t>13</w:t>
            </w:r>
            <w:r w:rsidRPr="004A64B0">
              <w:rPr>
                <w:rFonts w:asciiTheme="minorHAnsi" w:hAnsiTheme="minorHAnsi" w:cs="Arial"/>
                <w:b/>
                <w:bCs/>
                <w:szCs w:val="22"/>
              </w:rPr>
              <w:t>C</w:t>
            </w:r>
            <w:r w:rsidRPr="004A64B0">
              <w:rPr>
                <w:rFonts w:asciiTheme="minorHAnsi" w:hAnsiTheme="minorHAnsi" w:cs="Arial"/>
                <w:b/>
                <w:bCs/>
                <w:szCs w:val="22"/>
                <w:vertAlign w:val="subscript"/>
              </w:rPr>
              <w:t>12</w:t>
            </w:r>
            <w:r w:rsidRPr="004A64B0">
              <w:rPr>
                <w:rFonts w:asciiTheme="minorHAnsi" w:hAnsiTheme="minorHAnsi" w:cs="Arial"/>
                <w:b/>
                <w:bCs/>
                <w:szCs w:val="22"/>
              </w:rPr>
              <w:t>-labeled CBs</w:t>
            </w:r>
          </w:p>
        </w:tc>
      </w:tr>
      <w:tr w:rsidR="00FC360C" w:rsidRPr="004A64B0" w14:paraId="6B35DA4D" w14:textId="77777777" w:rsidTr="002F237A">
        <w:trPr>
          <w:cantSplit/>
          <w:jc w:val="center"/>
        </w:trPr>
        <w:tc>
          <w:tcPr>
            <w:tcW w:w="2303" w:type="dxa"/>
            <w:vMerge w:val="restart"/>
            <w:vAlign w:val="center"/>
          </w:tcPr>
          <w:p w14:paraId="0EFC926F"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Tetrachlorobiphenyls</w:t>
            </w:r>
          </w:p>
        </w:tc>
        <w:tc>
          <w:tcPr>
            <w:tcW w:w="1633" w:type="dxa"/>
          </w:tcPr>
          <w:p w14:paraId="0A8A6A72" w14:textId="77777777" w:rsidR="00FC360C" w:rsidRPr="004A64B0" w:rsidRDefault="00FC360C" w:rsidP="004A64B0">
            <w:pPr>
              <w:autoSpaceDE w:val="0"/>
              <w:autoSpaceDN w:val="0"/>
              <w:adjustRightInd w:val="0"/>
              <w:jc w:val="center"/>
              <w:rPr>
                <w:rFonts w:asciiTheme="minorHAnsi" w:hAnsiTheme="minorHAnsi" w:cs="Arial"/>
                <w:szCs w:val="22"/>
              </w:rPr>
            </w:pPr>
            <w:r w:rsidRPr="004A64B0">
              <w:rPr>
                <w:rFonts w:asciiTheme="minorHAnsi" w:hAnsiTheme="minorHAnsi" w:cs="Arial"/>
                <w:szCs w:val="22"/>
              </w:rPr>
              <w:t>289.9223</w:t>
            </w:r>
          </w:p>
        </w:tc>
        <w:tc>
          <w:tcPr>
            <w:tcW w:w="1876" w:type="dxa"/>
          </w:tcPr>
          <w:p w14:paraId="7B223AC7" w14:textId="77777777" w:rsidR="00FC360C" w:rsidRPr="004A64B0" w:rsidRDefault="00FC360C" w:rsidP="004A64B0">
            <w:pPr>
              <w:autoSpaceDE w:val="0"/>
              <w:autoSpaceDN w:val="0"/>
              <w:adjustRightInd w:val="0"/>
              <w:jc w:val="center"/>
              <w:rPr>
                <w:rFonts w:asciiTheme="minorHAnsi" w:hAnsiTheme="minorHAnsi" w:cs="Arial"/>
                <w:szCs w:val="22"/>
              </w:rPr>
            </w:pPr>
            <w:r w:rsidRPr="004A64B0">
              <w:rPr>
                <w:rFonts w:asciiTheme="minorHAnsi" w:hAnsiTheme="minorHAnsi" w:cs="Arial"/>
                <w:szCs w:val="22"/>
              </w:rPr>
              <w:t>301.9626</w:t>
            </w:r>
          </w:p>
        </w:tc>
      </w:tr>
      <w:tr w:rsidR="00FC360C" w:rsidRPr="004A64B0" w14:paraId="79C3434A" w14:textId="77777777" w:rsidTr="002F237A">
        <w:trPr>
          <w:cantSplit/>
          <w:jc w:val="center"/>
        </w:trPr>
        <w:tc>
          <w:tcPr>
            <w:tcW w:w="2303" w:type="dxa"/>
            <w:vMerge/>
            <w:vAlign w:val="center"/>
          </w:tcPr>
          <w:p w14:paraId="0C04BF7A" w14:textId="77777777" w:rsidR="00FC360C" w:rsidRPr="004A64B0" w:rsidRDefault="00FC360C" w:rsidP="004A64B0">
            <w:pPr>
              <w:autoSpaceDE w:val="0"/>
              <w:autoSpaceDN w:val="0"/>
              <w:adjustRightInd w:val="0"/>
              <w:rPr>
                <w:rFonts w:asciiTheme="minorHAnsi" w:hAnsiTheme="minorHAnsi" w:cs="Arial"/>
                <w:b/>
                <w:bCs/>
                <w:szCs w:val="22"/>
              </w:rPr>
            </w:pPr>
          </w:p>
        </w:tc>
        <w:tc>
          <w:tcPr>
            <w:tcW w:w="1633" w:type="dxa"/>
          </w:tcPr>
          <w:p w14:paraId="2D325668" w14:textId="77777777" w:rsidR="00FC360C" w:rsidRPr="004A64B0" w:rsidRDefault="00FC360C" w:rsidP="004A64B0">
            <w:pPr>
              <w:autoSpaceDE w:val="0"/>
              <w:autoSpaceDN w:val="0"/>
              <w:adjustRightInd w:val="0"/>
              <w:jc w:val="center"/>
              <w:rPr>
                <w:rFonts w:asciiTheme="minorHAnsi" w:hAnsiTheme="minorHAnsi" w:cs="Arial"/>
                <w:szCs w:val="22"/>
              </w:rPr>
            </w:pPr>
            <w:r w:rsidRPr="004A64B0">
              <w:rPr>
                <w:rFonts w:asciiTheme="minorHAnsi" w:hAnsiTheme="minorHAnsi" w:cs="Arial"/>
                <w:szCs w:val="22"/>
              </w:rPr>
              <w:t>291.9194</w:t>
            </w:r>
          </w:p>
        </w:tc>
        <w:tc>
          <w:tcPr>
            <w:tcW w:w="1876" w:type="dxa"/>
          </w:tcPr>
          <w:p w14:paraId="7F299843" w14:textId="77777777" w:rsidR="00FC360C" w:rsidRPr="004A64B0" w:rsidRDefault="00FC360C" w:rsidP="004A64B0">
            <w:pPr>
              <w:autoSpaceDE w:val="0"/>
              <w:autoSpaceDN w:val="0"/>
              <w:adjustRightInd w:val="0"/>
              <w:jc w:val="center"/>
              <w:rPr>
                <w:rFonts w:asciiTheme="minorHAnsi" w:hAnsiTheme="minorHAnsi" w:cs="Arial"/>
                <w:szCs w:val="22"/>
              </w:rPr>
            </w:pPr>
            <w:r w:rsidRPr="004A64B0">
              <w:rPr>
                <w:rFonts w:asciiTheme="minorHAnsi" w:hAnsiTheme="minorHAnsi" w:cs="Arial"/>
                <w:szCs w:val="22"/>
              </w:rPr>
              <w:t>303.9597</w:t>
            </w:r>
          </w:p>
        </w:tc>
      </w:tr>
      <w:tr w:rsidR="00FC360C" w:rsidRPr="004A64B0" w14:paraId="6B3EB2F6" w14:textId="77777777" w:rsidTr="002F237A">
        <w:trPr>
          <w:cantSplit/>
          <w:jc w:val="center"/>
        </w:trPr>
        <w:tc>
          <w:tcPr>
            <w:tcW w:w="2303" w:type="dxa"/>
            <w:vMerge w:val="restart"/>
            <w:vAlign w:val="center"/>
          </w:tcPr>
          <w:p w14:paraId="52F95EF3"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Pentachlorobiphenyls</w:t>
            </w:r>
          </w:p>
        </w:tc>
        <w:tc>
          <w:tcPr>
            <w:tcW w:w="1633" w:type="dxa"/>
          </w:tcPr>
          <w:p w14:paraId="43BC6DDD" w14:textId="77777777" w:rsidR="00FC360C" w:rsidRPr="004A64B0" w:rsidRDefault="00FC360C" w:rsidP="004A64B0">
            <w:pPr>
              <w:autoSpaceDE w:val="0"/>
              <w:autoSpaceDN w:val="0"/>
              <w:adjustRightInd w:val="0"/>
              <w:jc w:val="center"/>
              <w:rPr>
                <w:rFonts w:asciiTheme="minorHAnsi" w:hAnsiTheme="minorHAnsi" w:cs="Arial"/>
                <w:szCs w:val="22"/>
              </w:rPr>
            </w:pPr>
            <w:r w:rsidRPr="004A64B0">
              <w:rPr>
                <w:rFonts w:asciiTheme="minorHAnsi" w:hAnsiTheme="minorHAnsi" w:cs="Arial"/>
                <w:szCs w:val="22"/>
              </w:rPr>
              <w:t>325.8804</w:t>
            </w:r>
          </w:p>
        </w:tc>
        <w:tc>
          <w:tcPr>
            <w:tcW w:w="1876" w:type="dxa"/>
          </w:tcPr>
          <w:p w14:paraId="2ECF8C1B" w14:textId="77777777" w:rsidR="00FC360C" w:rsidRPr="004A64B0" w:rsidRDefault="00FC360C" w:rsidP="004A64B0">
            <w:pPr>
              <w:autoSpaceDE w:val="0"/>
              <w:autoSpaceDN w:val="0"/>
              <w:adjustRightInd w:val="0"/>
              <w:jc w:val="center"/>
              <w:rPr>
                <w:rFonts w:asciiTheme="minorHAnsi" w:hAnsiTheme="minorHAnsi" w:cs="Arial"/>
                <w:szCs w:val="22"/>
              </w:rPr>
            </w:pPr>
            <w:r w:rsidRPr="004A64B0">
              <w:rPr>
                <w:rFonts w:asciiTheme="minorHAnsi" w:hAnsiTheme="minorHAnsi" w:cs="Arial"/>
                <w:szCs w:val="22"/>
              </w:rPr>
              <w:t>337.9207</w:t>
            </w:r>
          </w:p>
        </w:tc>
      </w:tr>
      <w:tr w:rsidR="00FC360C" w:rsidRPr="004A64B0" w14:paraId="4FA220AE" w14:textId="77777777" w:rsidTr="002F237A">
        <w:trPr>
          <w:cantSplit/>
          <w:jc w:val="center"/>
        </w:trPr>
        <w:tc>
          <w:tcPr>
            <w:tcW w:w="2303" w:type="dxa"/>
            <w:vMerge/>
            <w:vAlign w:val="center"/>
          </w:tcPr>
          <w:p w14:paraId="5F646853" w14:textId="77777777" w:rsidR="00FC360C" w:rsidRPr="004A64B0" w:rsidRDefault="00FC360C" w:rsidP="004A64B0">
            <w:pPr>
              <w:autoSpaceDE w:val="0"/>
              <w:autoSpaceDN w:val="0"/>
              <w:adjustRightInd w:val="0"/>
              <w:rPr>
                <w:rFonts w:asciiTheme="minorHAnsi" w:hAnsiTheme="minorHAnsi" w:cs="Arial"/>
                <w:b/>
                <w:bCs/>
                <w:szCs w:val="22"/>
              </w:rPr>
            </w:pPr>
          </w:p>
        </w:tc>
        <w:tc>
          <w:tcPr>
            <w:tcW w:w="1633" w:type="dxa"/>
          </w:tcPr>
          <w:p w14:paraId="2A0313CB" w14:textId="77777777" w:rsidR="00FC360C" w:rsidRPr="004A64B0" w:rsidRDefault="00FC360C" w:rsidP="004A64B0">
            <w:pPr>
              <w:autoSpaceDE w:val="0"/>
              <w:autoSpaceDN w:val="0"/>
              <w:adjustRightInd w:val="0"/>
              <w:jc w:val="center"/>
              <w:rPr>
                <w:rFonts w:asciiTheme="minorHAnsi" w:hAnsiTheme="minorHAnsi" w:cs="Arial"/>
                <w:szCs w:val="22"/>
              </w:rPr>
            </w:pPr>
            <w:r w:rsidRPr="004A64B0">
              <w:rPr>
                <w:rFonts w:asciiTheme="minorHAnsi" w:hAnsiTheme="minorHAnsi" w:cs="Arial"/>
                <w:szCs w:val="22"/>
              </w:rPr>
              <w:t>327.8775</w:t>
            </w:r>
          </w:p>
        </w:tc>
        <w:tc>
          <w:tcPr>
            <w:tcW w:w="1876" w:type="dxa"/>
          </w:tcPr>
          <w:p w14:paraId="531B0BD7" w14:textId="77777777" w:rsidR="00FC360C" w:rsidRPr="004A64B0" w:rsidRDefault="00FC360C" w:rsidP="004A64B0">
            <w:pPr>
              <w:autoSpaceDE w:val="0"/>
              <w:autoSpaceDN w:val="0"/>
              <w:adjustRightInd w:val="0"/>
              <w:jc w:val="center"/>
              <w:rPr>
                <w:rFonts w:asciiTheme="minorHAnsi" w:hAnsiTheme="minorHAnsi" w:cs="Arial"/>
                <w:szCs w:val="22"/>
              </w:rPr>
            </w:pPr>
            <w:r w:rsidRPr="004A64B0">
              <w:rPr>
                <w:rFonts w:asciiTheme="minorHAnsi" w:hAnsiTheme="minorHAnsi" w:cs="Arial"/>
                <w:szCs w:val="22"/>
              </w:rPr>
              <w:t>339.9177</w:t>
            </w:r>
          </w:p>
        </w:tc>
      </w:tr>
      <w:tr w:rsidR="00FC360C" w:rsidRPr="004A64B0" w14:paraId="0FA62DC3" w14:textId="77777777" w:rsidTr="002F237A">
        <w:trPr>
          <w:cantSplit/>
          <w:jc w:val="center"/>
        </w:trPr>
        <w:tc>
          <w:tcPr>
            <w:tcW w:w="2303" w:type="dxa"/>
            <w:vMerge w:val="restart"/>
            <w:vAlign w:val="center"/>
          </w:tcPr>
          <w:p w14:paraId="19CC8A6E"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Hexachlorobiphenyls</w:t>
            </w:r>
          </w:p>
        </w:tc>
        <w:tc>
          <w:tcPr>
            <w:tcW w:w="1633" w:type="dxa"/>
          </w:tcPr>
          <w:p w14:paraId="56E761EB" w14:textId="77777777" w:rsidR="00FC360C" w:rsidRPr="004A64B0" w:rsidRDefault="00FC360C" w:rsidP="004A64B0">
            <w:pPr>
              <w:autoSpaceDE w:val="0"/>
              <w:autoSpaceDN w:val="0"/>
              <w:adjustRightInd w:val="0"/>
              <w:jc w:val="center"/>
              <w:rPr>
                <w:rFonts w:asciiTheme="minorHAnsi" w:hAnsiTheme="minorHAnsi" w:cs="Arial"/>
                <w:szCs w:val="22"/>
              </w:rPr>
            </w:pPr>
            <w:r w:rsidRPr="004A64B0">
              <w:rPr>
                <w:rFonts w:asciiTheme="minorHAnsi" w:hAnsiTheme="minorHAnsi" w:cs="Arial"/>
                <w:szCs w:val="22"/>
              </w:rPr>
              <w:t>359.8415</w:t>
            </w:r>
          </w:p>
        </w:tc>
        <w:tc>
          <w:tcPr>
            <w:tcW w:w="1876" w:type="dxa"/>
          </w:tcPr>
          <w:p w14:paraId="05A46AE9" w14:textId="77777777" w:rsidR="00FC360C" w:rsidRPr="004A64B0" w:rsidRDefault="00FC360C" w:rsidP="004A64B0">
            <w:pPr>
              <w:autoSpaceDE w:val="0"/>
              <w:autoSpaceDN w:val="0"/>
              <w:adjustRightInd w:val="0"/>
              <w:jc w:val="center"/>
              <w:rPr>
                <w:rFonts w:asciiTheme="minorHAnsi" w:hAnsiTheme="minorHAnsi" w:cs="Arial"/>
                <w:szCs w:val="22"/>
              </w:rPr>
            </w:pPr>
            <w:r w:rsidRPr="004A64B0">
              <w:rPr>
                <w:rFonts w:asciiTheme="minorHAnsi" w:hAnsiTheme="minorHAnsi" w:cs="Arial"/>
                <w:szCs w:val="22"/>
              </w:rPr>
              <w:t>371.8817</w:t>
            </w:r>
          </w:p>
        </w:tc>
      </w:tr>
      <w:tr w:rsidR="00FC360C" w:rsidRPr="004A64B0" w14:paraId="6F9CFE08" w14:textId="77777777" w:rsidTr="002F237A">
        <w:trPr>
          <w:cantSplit/>
          <w:jc w:val="center"/>
        </w:trPr>
        <w:tc>
          <w:tcPr>
            <w:tcW w:w="2303" w:type="dxa"/>
            <w:vMerge/>
            <w:vAlign w:val="center"/>
          </w:tcPr>
          <w:p w14:paraId="75363F65" w14:textId="77777777" w:rsidR="00FC360C" w:rsidRPr="004A64B0" w:rsidRDefault="00FC360C" w:rsidP="004A64B0">
            <w:pPr>
              <w:autoSpaceDE w:val="0"/>
              <w:autoSpaceDN w:val="0"/>
              <w:adjustRightInd w:val="0"/>
              <w:rPr>
                <w:rFonts w:asciiTheme="minorHAnsi" w:hAnsiTheme="minorHAnsi" w:cs="Arial"/>
                <w:b/>
                <w:bCs/>
                <w:szCs w:val="22"/>
              </w:rPr>
            </w:pPr>
          </w:p>
        </w:tc>
        <w:tc>
          <w:tcPr>
            <w:tcW w:w="1633" w:type="dxa"/>
          </w:tcPr>
          <w:p w14:paraId="3D2AF051" w14:textId="77777777" w:rsidR="00FC360C" w:rsidRPr="004A64B0" w:rsidRDefault="00FC360C" w:rsidP="004A64B0">
            <w:pPr>
              <w:autoSpaceDE w:val="0"/>
              <w:autoSpaceDN w:val="0"/>
              <w:adjustRightInd w:val="0"/>
              <w:jc w:val="center"/>
              <w:rPr>
                <w:rFonts w:asciiTheme="minorHAnsi" w:hAnsiTheme="minorHAnsi" w:cs="Arial"/>
                <w:szCs w:val="22"/>
              </w:rPr>
            </w:pPr>
            <w:r w:rsidRPr="004A64B0">
              <w:rPr>
                <w:rFonts w:asciiTheme="minorHAnsi" w:hAnsiTheme="minorHAnsi" w:cs="Arial"/>
                <w:szCs w:val="22"/>
              </w:rPr>
              <w:t>361.8385</w:t>
            </w:r>
          </w:p>
        </w:tc>
        <w:tc>
          <w:tcPr>
            <w:tcW w:w="1876" w:type="dxa"/>
          </w:tcPr>
          <w:p w14:paraId="3352192F" w14:textId="77777777" w:rsidR="00FC360C" w:rsidRPr="004A64B0" w:rsidRDefault="00FC360C" w:rsidP="004A64B0">
            <w:pPr>
              <w:autoSpaceDE w:val="0"/>
              <w:autoSpaceDN w:val="0"/>
              <w:adjustRightInd w:val="0"/>
              <w:jc w:val="center"/>
              <w:rPr>
                <w:rFonts w:asciiTheme="minorHAnsi" w:hAnsiTheme="minorHAnsi" w:cs="Arial"/>
                <w:szCs w:val="22"/>
              </w:rPr>
            </w:pPr>
            <w:r w:rsidRPr="004A64B0">
              <w:rPr>
                <w:rFonts w:asciiTheme="minorHAnsi" w:hAnsiTheme="minorHAnsi" w:cs="Arial"/>
                <w:szCs w:val="22"/>
              </w:rPr>
              <w:t>373.8788</w:t>
            </w:r>
          </w:p>
        </w:tc>
      </w:tr>
      <w:tr w:rsidR="00FC360C" w:rsidRPr="004A64B0" w14:paraId="65210BCB" w14:textId="77777777" w:rsidTr="002F237A">
        <w:trPr>
          <w:cantSplit/>
          <w:jc w:val="center"/>
        </w:trPr>
        <w:tc>
          <w:tcPr>
            <w:tcW w:w="2303" w:type="dxa"/>
            <w:vMerge w:val="restart"/>
            <w:vAlign w:val="center"/>
          </w:tcPr>
          <w:p w14:paraId="74CA7090"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Heptachlorobiphenyls</w:t>
            </w:r>
          </w:p>
        </w:tc>
        <w:tc>
          <w:tcPr>
            <w:tcW w:w="1633" w:type="dxa"/>
          </w:tcPr>
          <w:p w14:paraId="154D47AA" w14:textId="77777777" w:rsidR="00FC360C" w:rsidRPr="004A64B0" w:rsidRDefault="00FC360C" w:rsidP="004A64B0">
            <w:pPr>
              <w:autoSpaceDE w:val="0"/>
              <w:autoSpaceDN w:val="0"/>
              <w:adjustRightInd w:val="0"/>
              <w:jc w:val="center"/>
              <w:rPr>
                <w:rFonts w:asciiTheme="minorHAnsi" w:hAnsiTheme="minorHAnsi" w:cs="Arial"/>
                <w:szCs w:val="22"/>
              </w:rPr>
            </w:pPr>
            <w:r w:rsidRPr="004A64B0">
              <w:rPr>
                <w:rFonts w:asciiTheme="minorHAnsi" w:hAnsiTheme="minorHAnsi" w:cs="Arial"/>
                <w:szCs w:val="22"/>
              </w:rPr>
              <w:t>393.8025</w:t>
            </w:r>
          </w:p>
        </w:tc>
        <w:tc>
          <w:tcPr>
            <w:tcW w:w="1876" w:type="dxa"/>
          </w:tcPr>
          <w:p w14:paraId="50C30844" w14:textId="77777777" w:rsidR="00FC360C" w:rsidRPr="004A64B0" w:rsidRDefault="00FC360C" w:rsidP="004A64B0">
            <w:pPr>
              <w:autoSpaceDE w:val="0"/>
              <w:autoSpaceDN w:val="0"/>
              <w:adjustRightInd w:val="0"/>
              <w:jc w:val="center"/>
              <w:rPr>
                <w:rFonts w:asciiTheme="minorHAnsi" w:hAnsiTheme="minorHAnsi" w:cs="Arial"/>
                <w:szCs w:val="22"/>
              </w:rPr>
            </w:pPr>
            <w:r w:rsidRPr="004A64B0">
              <w:rPr>
                <w:rFonts w:asciiTheme="minorHAnsi" w:hAnsiTheme="minorHAnsi" w:cs="Arial"/>
                <w:szCs w:val="22"/>
              </w:rPr>
              <w:t>405.8427</w:t>
            </w:r>
          </w:p>
        </w:tc>
      </w:tr>
      <w:tr w:rsidR="00FC360C" w:rsidRPr="004A64B0" w14:paraId="4A6BC288" w14:textId="77777777" w:rsidTr="002F237A">
        <w:trPr>
          <w:cantSplit/>
          <w:jc w:val="center"/>
        </w:trPr>
        <w:tc>
          <w:tcPr>
            <w:tcW w:w="2303" w:type="dxa"/>
            <w:vMerge/>
          </w:tcPr>
          <w:p w14:paraId="3FCE4496" w14:textId="77777777" w:rsidR="00FC360C" w:rsidRPr="004A64B0" w:rsidRDefault="00FC360C" w:rsidP="004A64B0">
            <w:pPr>
              <w:autoSpaceDE w:val="0"/>
              <w:autoSpaceDN w:val="0"/>
              <w:adjustRightInd w:val="0"/>
              <w:rPr>
                <w:rFonts w:asciiTheme="minorHAnsi" w:hAnsiTheme="minorHAnsi" w:cs="Arial"/>
                <w:b/>
                <w:bCs/>
                <w:szCs w:val="22"/>
              </w:rPr>
            </w:pPr>
          </w:p>
        </w:tc>
        <w:tc>
          <w:tcPr>
            <w:tcW w:w="1633" w:type="dxa"/>
          </w:tcPr>
          <w:p w14:paraId="672A0029" w14:textId="77777777" w:rsidR="00FC360C" w:rsidRPr="004A64B0" w:rsidRDefault="00FC360C" w:rsidP="004A64B0">
            <w:pPr>
              <w:autoSpaceDE w:val="0"/>
              <w:autoSpaceDN w:val="0"/>
              <w:adjustRightInd w:val="0"/>
              <w:jc w:val="center"/>
              <w:rPr>
                <w:rFonts w:asciiTheme="minorHAnsi" w:hAnsiTheme="minorHAnsi" w:cs="Arial"/>
                <w:szCs w:val="22"/>
              </w:rPr>
            </w:pPr>
            <w:r w:rsidRPr="004A64B0">
              <w:rPr>
                <w:rFonts w:asciiTheme="minorHAnsi" w:hAnsiTheme="minorHAnsi" w:cs="Arial"/>
                <w:szCs w:val="22"/>
              </w:rPr>
              <w:t>395.7995</w:t>
            </w:r>
          </w:p>
        </w:tc>
        <w:tc>
          <w:tcPr>
            <w:tcW w:w="1876" w:type="dxa"/>
          </w:tcPr>
          <w:p w14:paraId="515524A6" w14:textId="77777777" w:rsidR="00FC360C" w:rsidRPr="004A64B0" w:rsidRDefault="00FC360C" w:rsidP="004A64B0">
            <w:pPr>
              <w:autoSpaceDE w:val="0"/>
              <w:autoSpaceDN w:val="0"/>
              <w:adjustRightInd w:val="0"/>
              <w:jc w:val="center"/>
              <w:rPr>
                <w:rFonts w:asciiTheme="minorHAnsi" w:hAnsiTheme="minorHAnsi" w:cs="Arial"/>
                <w:szCs w:val="22"/>
              </w:rPr>
            </w:pPr>
            <w:r w:rsidRPr="004A64B0">
              <w:rPr>
                <w:rFonts w:asciiTheme="minorHAnsi" w:hAnsiTheme="minorHAnsi" w:cs="Arial"/>
                <w:szCs w:val="22"/>
              </w:rPr>
              <w:t>407.8398</w:t>
            </w:r>
          </w:p>
        </w:tc>
      </w:tr>
    </w:tbl>
    <w:p w14:paraId="2312A729" w14:textId="77777777" w:rsidR="00FC360C" w:rsidRPr="004A64B0" w:rsidRDefault="00FC360C" w:rsidP="004A64B0">
      <w:pPr>
        <w:rPr>
          <w:rFonts w:asciiTheme="minorHAnsi" w:hAnsiTheme="minorHAnsi"/>
          <w:szCs w:val="22"/>
        </w:rPr>
      </w:pPr>
      <w:r w:rsidRPr="004A64B0">
        <w:rPr>
          <w:rFonts w:asciiTheme="minorHAnsi" w:hAnsiTheme="minorHAnsi"/>
          <w:szCs w:val="22"/>
        </w:rPr>
        <w:t>The isotope ratio between the two ions of the molecular isotope cluster, which are recorded, has to match the theoretical value within ± 15 % (see Table 7).</w:t>
      </w:r>
    </w:p>
    <w:p w14:paraId="1DA39BE0" w14:textId="77777777" w:rsidR="00FC360C" w:rsidRPr="004A64B0" w:rsidRDefault="00FC360C" w:rsidP="004A64B0">
      <w:pPr>
        <w:rPr>
          <w:rFonts w:asciiTheme="minorHAnsi" w:hAnsiTheme="minorHAnsi"/>
          <w:szCs w:val="22"/>
        </w:rPr>
      </w:pPr>
      <w:r w:rsidRPr="004A64B0">
        <w:rPr>
          <w:rFonts w:asciiTheme="minorHAnsi" w:hAnsiTheme="minorHAnsi"/>
          <w:b/>
          <w:szCs w:val="22"/>
        </w:rPr>
        <w:t>Table 7</w:t>
      </w:r>
      <w:r w:rsidR="00617246">
        <w:rPr>
          <w:rFonts w:asciiTheme="minorHAnsi" w:hAnsiTheme="minorHAnsi"/>
          <w:szCs w:val="22"/>
        </w:rPr>
        <w:t>:</w:t>
      </w:r>
      <w:r w:rsidRPr="004A64B0">
        <w:rPr>
          <w:rFonts w:asciiTheme="minorHAnsi" w:hAnsiTheme="minorHAnsi"/>
          <w:szCs w:val="22"/>
        </w:rPr>
        <w:tab/>
        <w:t>Tolerance limits of isotope ratios for PCDD/Fs and dl-PCBs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559"/>
        <w:gridCol w:w="1883"/>
        <w:gridCol w:w="1519"/>
      </w:tblGrid>
      <w:tr w:rsidR="00FC360C" w:rsidRPr="004A64B0" w14:paraId="17647F08" w14:textId="77777777" w:rsidTr="002F237A">
        <w:trPr>
          <w:jc w:val="center"/>
        </w:trPr>
        <w:tc>
          <w:tcPr>
            <w:tcW w:w="1384" w:type="dxa"/>
          </w:tcPr>
          <w:p w14:paraId="289F9AE5"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b/>
                <w:bCs/>
                <w:szCs w:val="22"/>
              </w:rPr>
              <w:t>Chlorine atoms</w:t>
            </w:r>
          </w:p>
        </w:tc>
        <w:tc>
          <w:tcPr>
            <w:tcW w:w="1559" w:type="dxa"/>
          </w:tcPr>
          <w:p w14:paraId="0E0617B7"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b/>
                <w:bCs/>
                <w:szCs w:val="22"/>
              </w:rPr>
              <w:t>Isotope Ratio Lower Limit</w:t>
            </w:r>
          </w:p>
        </w:tc>
        <w:tc>
          <w:tcPr>
            <w:tcW w:w="1883" w:type="dxa"/>
          </w:tcPr>
          <w:p w14:paraId="1AC876C3"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b/>
                <w:bCs/>
                <w:szCs w:val="22"/>
              </w:rPr>
              <w:t>Isotope Ratio</w:t>
            </w:r>
          </w:p>
          <w:p w14:paraId="1780E1EC"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b/>
                <w:bCs/>
                <w:szCs w:val="22"/>
              </w:rPr>
              <w:t>Theoretical Value</w:t>
            </w:r>
          </w:p>
        </w:tc>
        <w:tc>
          <w:tcPr>
            <w:tcW w:w="1519" w:type="dxa"/>
          </w:tcPr>
          <w:p w14:paraId="4667CE5C"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b/>
                <w:bCs/>
                <w:szCs w:val="22"/>
              </w:rPr>
              <w:t>Isotope Ratio Upper Limit</w:t>
            </w:r>
          </w:p>
        </w:tc>
      </w:tr>
      <w:tr w:rsidR="00FC360C" w:rsidRPr="004A64B0" w14:paraId="03B98BD5" w14:textId="77777777" w:rsidTr="002F237A">
        <w:trPr>
          <w:jc w:val="center"/>
        </w:trPr>
        <w:tc>
          <w:tcPr>
            <w:tcW w:w="1384" w:type="dxa"/>
            <w:vAlign w:val="center"/>
          </w:tcPr>
          <w:p w14:paraId="056A270F"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 xml:space="preserve"> 4</w:t>
            </w:r>
          </w:p>
        </w:tc>
        <w:tc>
          <w:tcPr>
            <w:tcW w:w="1559" w:type="dxa"/>
          </w:tcPr>
          <w:p w14:paraId="5469130F"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0.65</w:t>
            </w:r>
          </w:p>
        </w:tc>
        <w:tc>
          <w:tcPr>
            <w:tcW w:w="1883" w:type="dxa"/>
          </w:tcPr>
          <w:p w14:paraId="5E0D1185"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0.77 (M/M+2)</w:t>
            </w:r>
          </w:p>
        </w:tc>
        <w:tc>
          <w:tcPr>
            <w:tcW w:w="1519" w:type="dxa"/>
          </w:tcPr>
          <w:p w14:paraId="36660AD0"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0.89</w:t>
            </w:r>
          </w:p>
        </w:tc>
      </w:tr>
      <w:tr w:rsidR="00FC360C" w:rsidRPr="004A64B0" w14:paraId="05554CF7" w14:textId="77777777" w:rsidTr="002F237A">
        <w:trPr>
          <w:jc w:val="center"/>
        </w:trPr>
        <w:tc>
          <w:tcPr>
            <w:tcW w:w="1384" w:type="dxa"/>
            <w:vAlign w:val="center"/>
          </w:tcPr>
          <w:p w14:paraId="00361BB0"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 xml:space="preserve"> 5</w:t>
            </w:r>
          </w:p>
        </w:tc>
        <w:tc>
          <w:tcPr>
            <w:tcW w:w="1559" w:type="dxa"/>
          </w:tcPr>
          <w:p w14:paraId="36D0CFFB"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0.55</w:t>
            </w:r>
          </w:p>
        </w:tc>
        <w:tc>
          <w:tcPr>
            <w:tcW w:w="1883" w:type="dxa"/>
          </w:tcPr>
          <w:p w14:paraId="03C7AE00"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0.64 (M+4/M+2)</w:t>
            </w:r>
          </w:p>
        </w:tc>
        <w:tc>
          <w:tcPr>
            <w:tcW w:w="1519" w:type="dxa"/>
          </w:tcPr>
          <w:p w14:paraId="1E6AE163"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0.75</w:t>
            </w:r>
          </w:p>
        </w:tc>
      </w:tr>
      <w:tr w:rsidR="00FC360C" w:rsidRPr="004A64B0" w14:paraId="1997E47B" w14:textId="77777777" w:rsidTr="002F237A">
        <w:trPr>
          <w:jc w:val="center"/>
        </w:trPr>
        <w:tc>
          <w:tcPr>
            <w:tcW w:w="1384" w:type="dxa"/>
            <w:vAlign w:val="center"/>
          </w:tcPr>
          <w:p w14:paraId="34764379"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 xml:space="preserve"> 6</w:t>
            </w:r>
          </w:p>
        </w:tc>
        <w:tc>
          <w:tcPr>
            <w:tcW w:w="1559" w:type="dxa"/>
          </w:tcPr>
          <w:p w14:paraId="38074516"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0.69</w:t>
            </w:r>
          </w:p>
        </w:tc>
        <w:tc>
          <w:tcPr>
            <w:tcW w:w="1883" w:type="dxa"/>
          </w:tcPr>
          <w:p w14:paraId="09F22574"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0.81 (M+4/M+2)</w:t>
            </w:r>
          </w:p>
        </w:tc>
        <w:tc>
          <w:tcPr>
            <w:tcW w:w="1519" w:type="dxa"/>
          </w:tcPr>
          <w:p w14:paraId="2993790E"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0.94</w:t>
            </w:r>
          </w:p>
        </w:tc>
      </w:tr>
      <w:tr w:rsidR="00FC360C" w:rsidRPr="004A64B0" w14:paraId="594EFB7B" w14:textId="77777777" w:rsidTr="002F237A">
        <w:trPr>
          <w:jc w:val="center"/>
        </w:trPr>
        <w:tc>
          <w:tcPr>
            <w:tcW w:w="1384" w:type="dxa"/>
            <w:vAlign w:val="center"/>
          </w:tcPr>
          <w:p w14:paraId="732506B7"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 xml:space="preserve"> 7</w:t>
            </w:r>
          </w:p>
        </w:tc>
        <w:tc>
          <w:tcPr>
            <w:tcW w:w="1559" w:type="dxa"/>
          </w:tcPr>
          <w:p w14:paraId="6E7F97FC"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0.83</w:t>
            </w:r>
          </w:p>
        </w:tc>
        <w:tc>
          <w:tcPr>
            <w:tcW w:w="1883" w:type="dxa"/>
          </w:tcPr>
          <w:p w14:paraId="2FF681FA"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0.96 (M+4/M+2)</w:t>
            </w:r>
          </w:p>
        </w:tc>
        <w:tc>
          <w:tcPr>
            <w:tcW w:w="1519" w:type="dxa"/>
          </w:tcPr>
          <w:p w14:paraId="1EE52F29"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1.10</w:t>
            </w:r>
          </w:p>
        </w:tc>
      </w:tr>
      <w:tr w:rsidR="00FC360C" w:rsidRPr="004A64B0" w14:paraId="67B9D0FD" w14:textId="77777777" w:rsidTr="002F237A">
        <w:trPr>
          <w:jc w:val="center"/>
        </w:trPr>
        <w:tc>
          <w:tcPr>
            <w:tcW w:w="1384" w:type="dxa"/>
            <w:vAlign w:val="center"/>
          </w:tcPr>
          <w:p w14:paraId="46127161" w14:textId="77777777" w:rsidR="00FC360C" w:rsidRPr="004A64B0" w:rsidRDefault="00FC360C" w:rsidP="004A64B0">
            <w:pPr>
              <w:autoSpaceDE w:val="0"/>
              <w:autoSpaceDN w:val="0"/>
              <w:adjustRightInd w:val="0"/>
              <w:rPr>
                <w:rFonts w:asciiTheme="minorHAnsi" w:hAnsiTheme="minorHAnsi" w:cs="Arial"/>
                <w:b/>
                <w:bCs/>
                <w:szCs w:val="22"/>
              </w:rPr>
            </w:pPr>
            <w:r w:rsidRPr="004A64B0">
              <w:rPr>
                <w:rFonts w:asciiTheme="minorHAnsi" w:hAnsiTheme="minorHAnsi" w:cs="Arial"/>
                <w:szCs w:val="22"/>
              </w:rPr>
              <w:t xml:space="preserve"> 8</w:t>
            </w:r>
          </w:p>
        </w:tc>
        <w:tc>
          <w:tcPr>
            <w:tcW w:w="1559" w:type="dxa"/>
          </w:tcPr>
          <w:p w14:paraId="4C946BF5"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0.76</w:t>
            </w:r>
          </w:p>
        </w:tc>
        <w:tc>
          <w:tcPr>
            <w:tcW w:w="1883" w:type="dxa"/>
          </w:tcPr>
          <w:p w14:paraId="74FE680C" w14:textId="77777777" w:rsidR="00FC360C" w:rsidRPr="004A64B0" w:rsidRDefault="00FC360C" w:rsidP="004A64B0">
            <w:pPr>
              <w:autoSpaceDE w:val="0"/>
              <w:autoSpaceDN w:val="0"/>
              <w:adjustRightInd w:val="0"/>
              <w:jc w:val="center"/>
              <w:rPr>
                <w:rFonts w:asciiTheme="minorHAnsi" w:hAnsiTheme="minorHAnsi" w:cs="Arial"/>
                <w:b/>
                <w:bCs/>
                <w:szCs w:val="22"/>
              </w:rPr>
            </w:pPr>
            <w:r w:rsidRPr="004A64B0">
              <w:rPr>
                <w:rFonts w:asciiTheme="minorHAnsi" w:hAnsiTheme="minorHAnsi" w:cs="Arial"/>
                <w:szCs w:val="22"/>
              </w:rPr>
              <w:t>0.89 (M+2/M+4)</w:t>
            </w:r>
          </w:p>
        </w:tc>
        <w:tc>
          <w:tcPr>
            <w:tcW w:w="1519" w:type="dxa"/>
          </w:tcPr>
          <w:p w14:paraId="5EEA9097" w14:textId="77777777" w:rsidR="00FC360C" w:rsidRPr="004A64B0" w:rsidRDefault="00FC360C" w:rsidP="004A64B0">
            <w:pPr>
              <w:jc w:val="center"/>
              <w:rPr>
                <w:rFonts w:asciiTheme="minorHAnsi" w:hAnsiTheme="minorHAnsi" w:cs="Arial"/>
                <w:b/>
                <w:bCs/>
                <w:szCs w:val="22"/>
              </w:rPr>
            </w:pPr>
            <w:r w:rsidRPr="004A64B0">
              <w:rPr>
                <w:rFonts w:asciiTheme="minorHAnsi" w:hAnsiTheme="minorHAnsi" w:cs="Arial"/>
                <w:szCs w:val="22"/>
              </w:rPr>
              <w:t>1.02</w:t>
            </w:r>
          </w:p>
        </w:tc>
      </w:tr>
    </w:tbl>
    <w:p w14:paraId="5E935579" w14:textId="77777777" w:rsidR="00FC360C" w:rsidRPr="004A64B0" w:rsidRDefault="00FC360C" w:rsidP="00617246">
      <w:pPr>
        <w:pStyle w:val="Heading2"/>
      </w:pPr>
      <w:bookmarkStart w:id="348" w:name="_Toc511217626"/>
      <w:r w:rsidRPr="004A64B0">
        <w:t>5.4</w:t>
      </w:r>
      <w:r w:rsidRPr="004A64B0">
        <w:tab/>
        <w:t>HRGC/LRMS</w:t>
      </w:r>
      <w:bookmarkEnd w:id="348"/>
    </w:p>
    <w:p w14:paraId="5542DB72" w14:textId="77777777" w:rsidR="00FC360C" w:rsidRPr="004A64B0" w:rsidRDefault="00FC360C" w:rsidP="004A64B0">
      <w:pPr>
        <w:rPr>
          <w:rFonts w:asciiTheme="minorHAnsi" w:hAnsiTheme="minorHAnsi"/>
          <w:szCs w:val="22"/>
        </w:rPr>
      </w:pPr>
      <w:r w:rsidRPr="004A64B0">
        <w:rPr>
          <w:rFonts w:asciiTheme="minorHAnsi" w:hAnsiTheme="minorHAnsi"/>
          <w:szCs w:val="22"/>
        </w:rPr>
        <w:t xml:space="preserve">Low resolution mass spectrometry (LRMS) has also been applied to the analysis of PCDD/Fs and/or dl-PCBs. Limits of detections are higher than those obtained with HRMS detectors, but can be compensated by e.g. larger injection volumes. A very efficient extract clean-up is of the utmost importance to exclude any </w:t>
      </w:r>
      <w:proofErr w:type="gramStart"/>
      <w:r w:rsidRPr="004A64B0">
        <w:rPr>
          <w:rFonts w:asciiTheme="minorHAnsi" w:hAnsiTheme="minorHAnsi"/>
          <w:szCs w:val="22"/>
        </w:rPr>
        <w:t>interferences</w:t>
      </w:r>
      <w:proofErr w:type="gramEnd"/>
      <w:r w:rsidRPr="004A64B0">
        <w:rPr>
          <w:rFonts w:asciiTheme="minorHAnsi" w:hAnsiTheme="minorHAnsi"/>
          <w:szCs w:val="22"/>
        </w:rPr>
        <w:t>. A technique commonly applied is GC-LRMS using ion trap mass analyzers working in tandem mode (Focant et al., 2005; Malavia et al., 2008, Eppe et al., 2004). Table 8 provides information on precursor and product ions obtained by GC-ion trap MS. GC-LRMS (quadrupole) can be an option for dl-PCBs in particular.</w:t>
      </w:r>
    </w:p>
    <w:p w14:paraId="00E9921D" w14:textId="77777777" w:rsidR="00FC360C" w:rsidRPr="004A64B0" w:rsidRDefault="00FC360C" w:rsidP="004A64B0">
      <w:pPr>
        <w:rPr>
          <w:rFonts w:asciiTheme="minorHAnsi" w:hAnsiTheme="minorHAnsi"/>
          <w:szCs w:val="22"/>
        </w:rPr>
      </w:pPr>
      <w:r w:rsidRPr="004A64B0">
        <w:rPr>
          <w:rFonts w:asciiTheme="minorHAnsi" w:hAnsiTheme="minorHAnsi"/>
          <w:szCs w:val="22"/>
        </w:rPr>
        <w:t>Both HRMS and LRMS techniques have to demonstrate that they meet the requirements regarding separation and sensitivity described in the monitoring programme, see also comments under “Quality Assurance and Quality Control”. When using LRMS the maintenance of the instrument is crucial and could be time consuming (e.g. frequent cleaning of the ion source). The sensitivity for 2</w:t>
      </w:r>
      <w:proofErr w:type="gramStart"/>
      <w:r w:rsidRPr="004A64B0">
        <w:rPr>
          <w:rFonts w:asciiTheme="minorHAnsi" w:hAnsiTheme="minorHAnsi"/>
          <w:szCs w:val="22"/>
        </w:rPr>
        <w:t>,3,7,8</w:t>
      </w:r>
      <w:proofErr w:type="gramEnd"/>
      <w:r w:rsidRPr="004A64B0">
        <w:rPr>
          <w:rFonts w:asciiTheme="minorHAnsi" w:hAnsiTheme="minorHAnsi"/>
          <w:szCs w:val="22"/>
        </w:rPr>
        <w:t>-TCDD may be critical.</w:t>
      </w:r>
    </w:p>
    <w:p w14:paraId="1B971304" w14:textId="77777777" w:rsidR="00FC360C" w:rsidRPr="004A64B0" w:rsidRDefault="00FC360C" w:rsidP="004A64B0">
      <w:pPr>
        <w:rPr>
          <w:rFonts w:asciiTheme="minorHAnsi" w:hAnsiTheme="minorHAnsi"/>
          <w:szCs w:val="22"/>
        </w:rPr>
      </w:pPr>
      <w:r w:rsidRPr="004A64B0">
        <w:rPr>
          <w:rFonts w:asciiTheme="minorHAnsi" w:hAnsiTheme="minorHAnsi"/>
          <w:b/>
          <w:szCs w:val="22"/>
        </w:rPr>
        <w:t>Table 8</w:t>
      </w:r>
      <w:r w:rsidR="00617246">
        <w:rPr>
          <w:rFonts w:asciiTheme="minorHAnsi" w:hAnsiTheme="minorHAnsi"/>
          <w:szCs w:val="22"/>
        </w:rPr>
        <w:t>:</w:t>
      </w:r>
      <w:r w:rsidRPr="004A64B0">
        <w:rPr>
          <w:rFonts w:asciiTheme="minorHAnsi" w:hAnsiTheme="minorHAnsi"/>
          <w:szCs w:val="22"/>
        </w:rPr>
        <w:tab/>
        <w:t xml:space="preserve">Precursor ions and product ions for the determination of PCDD/Fs and dl-PCBs by HRGC-ion trap tandem MS </w:t>
      </w:r>
    </w:p>
    <w:p w14:paraId="0DC147F0" w14:textId="77777777" w:rsidR="00FC360C" w:rsidRPr="004A64B0" w:rsidRDefault="00FC360C" w:rsidP="004A64B0">
      <w:pPr>
        <w:rPr>
          <w:rFonts w:asciiTheme="minorHAnsi" w:hAnsiTheme="minorHAnsi"/>
          <w:szCs w:val="22"/>
        </w:rPr>
      </w:pPr>
    </w:p>
    <w:tbl>
      <w:tblPr>
        <w:tblW w:w="6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1"/>
        <w:gridCol w:w="1552"/>
        <w:gridCol w:w="1226"/>
        <w:gridCol w:w="1372"/>
        <w:gridCol w:w="1226"/>
      </w:tblGrid>
      <w:tr w:rsidR="00FC360C" w:rsidRPr="004A64B0" w14:paraId="7FB5BCB6" w14:textId="77777777" w:rsidTr="002F237A">
        <w:trPr>
          <w:cantSplit/>
          <w:jc w:val="center"/>
        </w:trPr>
        <w:tc>
          <w:tcPr>
            <w:tcW w:w="0" w:type="auto"/>
            <w:tcBorders>
              <w:top w:val="single" w:sz="4" w:space="0" w:color="auto"/>
              <w:left w:val="single" w:sz="4" w:space="0" w:color="auto"/>
              <w:bottom w:val="single" w:sz="4" w:space="0" w:color="auto"/>
              <w:right w:val="single" w:sz="4" w:space="0" w:color="auto"/>
            </w:tcBorders>
          </w:tcPr>
          <w:p w14:paraId="4AF18C1B"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b/>
                <w:bCs/>
              </w:rPr>
            </w:pPr>
            <w:r w:rsidRPr="00617246">
              <w:rPr>
                <w:rFonts w:ascii="Calibri" w:hAnsi="Calibri" w:cs="Arial"/>
                <w:b/>
                <w:bCs/>
              </w:rPr>
              <w:t>Target Compounds</w:t>
            </w:r>
          </w:p>
        </w:tc>
        <w:tc>
          <w:tcPr>
            <w:tcW w:w="2687" w:type="dxa"/>
            <w:gridSpan w:val="2"/>
            <w:tcBorders>
              <w:top w:val="single" w:sz="4" w:space="0" w:color="auto"/>
              <w:left w:val="single" w:sz="4" w:space="0" w:color="auto"/>
              <w:bottom w:val="single" w:sz="4" w:space="0" w:color="auto"/>
              <w:right w:val="single" w:sz="4" w:space="0" w:color="auto"/>
            </w:tcBorders>
          </w:tcPr>
          <w:p w14:paraId="2F98B5B3"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b/>
                <w:bCs/>
              </w:rPr>
            </w:pPr>
            <w:r w:rsidRPr="00617246">
              <w:rPr>
                <w:rFonts w:ascii="Calibri" w:hAnsi="Calibri" w:cs="Arial"/>
                <w:b/>
                <w:bCs/>
              </w:rPr>
              <w:t>Native</w:t>
            </w:r>
          </w:p>
        </w:tc>
        <w:tc>
          <w:tcPr>
            <w:tcW w:w="2444" w:type="dxa"/>
            <w:gridSpan w:val="2"/>
            <w:tcBorders>
              <w:top w:val="single" w:sz="4" w:space="0" w:color="auto"/>
              <w:left w:val="single" w:sz="4" w:space="0" w:color="auto"/>
              <w:bottom w:val="single" w:sz="4" w:space="0" w:color="auto"/>
              <w:right w:val="single" w:sz="4" w:space="0" w:color="auto"/>
            </w:tcBorders>
          </w:tcPr>
          <w:p w14:paraId="107F5392"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b/>
                <w:bCs/>
              </w:rPr>
            </w:pPr>
            <w:r w:rsidRPr="00617246">
              <w:rPr>
                <w:rFonts w:ascii="Calibri" w:hAnsi="Calibri" w:cs="Arial"/>
                <w:b/>
                <w:bCs/>
                <w:vertAlign w:val="superscript"/>
              </w:rPr>
              <w:t>13</w:t>
            </w:r>
            <w:r w:rsidRPr="00617246">
              <w:rPr>
                <w:rFonts w:ascii="Calibri" w:hAnsi="Calibri" w:cs="Arial"/>
                <w:b/>
                <w:bCs/>
              </w:rPr>
              <w:t>C</w:t>
            </w:r>
            <w:r w:rsidRPr="00617246">
              <w:rPr>
                <w:rFonts w:ascii="Calibri" w:hAnsi="Calibri" w:cs="Arial"/>
                <w:b/>
                <w:bCs/>
                <w:vertAlign w:val="subscript"/>
              </w:rPr>
              <w:t>12</w:t>
            </w:r>
            <w:r w:rsidRPr="00617246">
              <w:rPr>
                <w:rFonts w:ascii="Calibri" w:hAnsi="Calibri" w:cs="Arial"/>
                <w:b/>
                <w:bCs/>
              </w:rPr>
              <w:t>-labelled</w:t>
            </w:r>
          </w:p>
        </w:tc>
      </w:tr>
      <w:tr w:rsidR="00FC360C" w:rsidRPr="004A64B0" w14:paraId="7FC306CF" w14:textId="77777777" w:rsidTr="002F237A">
        <w:trPr>
          <w:jc w:val="center"/>
        </w:trPr>
        <w:tc>
          <w:tcPr>
            <w:tcW w:w="0" w:type="auto"/>
            <w:tcBorders>
              <w:top w:val="single" w:sz="4" w:space="0" w:color="auto"/>
              <w:left w:val="single" w:sz="4" w:space="0" w:color="auto"/>
              <w:bottom w:val="single" w:sz="4" w:space="0" w:color="auto"/>
              <w:right w:val="single" w:sz="4" w:space="0" w:color="auto"/>
            </w:tcBorders>
          </w:tcPr>
          <w:p w14:paraId="7A15868D"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p>
        </w:tc>
        <w:tc>
          <w:tcPr>
            <w:tcW w:w="0" w:type="auto"/>
            <w:tcBorders>
              <w:top w:val="single" w:sz="4" w:space="0" w:color="auto"/>
              <w:left w:val="single" w:sz="4" w:space="0" w:color="auto"/>
              <w:bottom w:val="single" w:sz="4" w:space="0" w:color="auto"/>
              <w:right w:val="single" w:sz="4" w:space="0" w:color="auto"/>
            </w:tcBorders>
          </w:tcPr>
          <w:p w14:paraId="26D7D9EB"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b/>
                <w:bCs/>
              </w:rPr>
            </w:pPr>
            <w:r w:rsidRPr="00617246">
              <w:rPr>
                <w:rFonts w:ascii="Calibri" w:hAnsi="Calibri" w:cs="Arial"/>
                <w:b/>
                <w:bCs/>
              </w:rPr>
              <w:t>Precursor Ion (m/z)</w:t>
            </w:r>
          </w:p>
        </w:tc>
        <w:tc>
          <w:tcPr>
            <w:tcW w:w="1222" w:type="dxa"/>
            <w:tcBorders>
              <w:top w:val="single" w:sz="4" w:space="0" w:color="auto"/>
              <w:left w:val="single" w:sz="4" w:space="0" w:color="auto"/>
              <w:bottom w:val="single" w:sz="4" w:space="0" w:color="auto"/>
              <w:right w:val="single" w:sz="4" w:space="0" w:color="auto"/>
            </w:tcBorders>
          </w:tcPr>
          <w:p w14:paraId="41CFC83D"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b/>
                <w:bCs/>
              </w:rPr>
            </w:pPr>
            <w:r w:rsidRPr="00617246">
              <w:rPr>
                <w:rFonts w:ascii="Calibri" w:hAnsi="Calibri" w:cs="Arial"/>
                <w:b/>
                <w:bCs/>
              </w:rPr>
              <w:t>Product</w:t>
            </w:r>
          </w:p>
          <w:p w14:paraId="5B41AB05"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b/>
                <w:bCs/>
              </w:rPr>
            </w:pPr>
            <w:r w:rsidRPr="00617246">
              <w:rPr>
                <w:rFonts w:ascii="Calibri" w:hAnsi="Calibri" w:cs="Arial"/>
                <w:b/>
                <w:bCs/>
              </w:rPr>
              <w:t xml:space="preserve">Ions </w:t>
            </w:r>
          </w:p>
          <w:p w14:paraId="014AB703"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b/>
                <w:bCs/>
              </w:rPr>
            </w:pPr>
            <w:r w:rsidRPr="00617246">
              <w:rPr>
                <w:rFonts w:ascii="Calibri" w:hAnsi="Calibri" w:cs="Arial"/>
                <w:b/>
                <w:bCs/>
              </w:rPr>
              <w:t>(m/z)</w:t>
            </w:r>
          </w:p>
        </w:tc>
        <w:tc>
          <w:tcPr>
            <w:tcW w:w="1222" w:type="dxa"/>
            <w:tcBorders>
              <w:top w:val="single" w:sz="4" w:space="0" w:color="auto"/>
              <w:left w:val="single" w:sz="4" w:space="0" w:color="auto"/>
              <w:bottom w:val="single" w:sz="4" w:space="0" w:color="auto"/>
              <w:right w:val="single" w:sz="4" w:space="0" w:color="auto"/>
            </w:tcBorders>
          </w:tcPr>
          <w:p w14:paraId="2A5B998D"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b/>
                <w:bCs/>
              </w:rPr>
            </w:pPr>
            <w:r w:rsidRPr="00617246">
              <w:rPr>
                <w:rFonts w:ascii="Calibri" w:hAnsi="Calibri" w:cs="Arial"/>
                <w:b/>
                <w:bCs/>
              </w:rPr>
              <w:t>Precursor Ion (m/z)</w:t>
            </w:r>
          </w:p>
        </w:tc>
        <w:tc>
          <w:tcPr>
            <w:tcW w:w="1222" w:type="dxa"/>
            <w:tcBorders>
              <w:top w:val="single" w:sz="4" w:space="0" w:color="auto"/>
              <w:left w:val="single" w:sz="4" w:space="0" w:color="auto"/>
              <w:bottom w:val="single" w:sz="4" w:space="0" w:color="auto"/>
              <w:right w:val="single" w:sz="4" w:space="0" w:color="auto"/>
            </w:tcBorders>
          </w:tcPr>
          <w:p w14:paraId="171E7731"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b/>
                <w:bCs/>
              </w:rPr>
            </w:pPr>
            <w:r w:rsidRPr="00617246">
              <w:rPr>
                <w:rFonts w:ascii="Calibri" w:hAnsi="Calibri" w:cs="Arial"/>
                <w:b/>
                <w:bCs/>
              </w:rPr>
              <w:t>Product</w:t>
            </w:r>
          </w:p>
          <w:p w14:paraId="06CF3DED"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b/>
                <w:bCs/>
              </w:rPr>
            </w:pPr>
            <w:r w:rsidRPr="00617246">
              <w:rPr>
                <w:rFonts w:ascii="Calibri" w:hAnsi="Calibri" w:cs="Arial"/>
                <w:b/>
                <w:bCs/>
              </w:rPr>
              <w:t xml:space="preserve">Ions </w:t>
            </w:r>
          </w:p>
          <w:p w14:paraId="578761E2"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b/>
                <w:bCs/>
              </w:rPr>
            </w:pPr>
            <w:r w:rsidRPr="00617246">
              <w:rPr>
                <w:rFonts w:ascii="Calibri" w:hAnsi="Calibri" w:cs="Arial"/>
                <w:b/>
                <w:bCs/>
              </w:rPr>
              <w:t>(m/z)</w:t>
            </w:r>
          </w:p>
        </w:tc>
      </w:tr>
      <w:tr w:rsidR="00FC360C" w:rsidRPr="004A64B0" w14:paraId="714B65D8" w14:textId="77777777" w:rsidTr="002F237A">
        <w:trPr>
          <w:jc w:val="center"/>
        </w:trPr>
        <w:tc>
          <w:tcPr>
            <w:tcW w:w="0" w:type="auto"/>
            <w:tcBorders>
              <w:top w:val="single" w:sz="4" w:space="0" w:color="auto"/>
              <w:left w:val="single" w:sz="4" w:space="0" w:color="auto"/>
              <w:bottom w:val="single" w:sz="4" w:space="0" w:color="auto"/>
              <w:right w:val="single" w:sz="4" w:space="0" w:color="auto"/>
            </w:tcBorders>
          </w:tcPr>
          <w:p w14:paraId="77E92456"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TCDD</w:t>
            </w:r>
          </w:p>
        </w:tc>
        <w:tc>
          <w:tcPr>
            <w:tcW w:w="0" w:type="auto"/>
            <w:tcBorders>
              <w:top w:val="single" w:sz="4" w:space="0" w:color="auto"/>
              <w:left w:val="single" w:sz="4" w:space="0" w:color="auto"/>
              <w:bottom w:val="single" w:sz="4" w:space="0" w:color="auto"/>
              <w:right w:val="single" w:sz="4" w:space="0" w:color="auto"/>
            </w:tcBorders>
          </w:tcPr>
          <w:p w14:paraId="4624023C"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322 (M+2)</w:t>
            </w:r>
          </w:p>
        </w:tc>
        <w:tc>
          <w:tcPr>
            <w:tcW w:w="1222" w:type="dxa"/>
            <w:tcBorders>
              <w:top w:val="single" w:sz="4" w:space="0" w:color="auto"/>
              <w:left w:val="single" w:sz="4" w:space="0" w:color="auto"/>
              <w:bottom w:val="single" w:sz="4" w:space="0" w:color="auto"/>
              <w:right w:val="single" w:sz="4" w:space="0" w:color="auto"/>
            </w:tcBorders>
          </w:tcPr>
          <w:p w14:paraId="6E768F89"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257 + 259</w:t>
            </w:r>
          </w:p>
        </w:tc>
        <w:tc>
          <w:tcPr>
            <w:tcW w:w="1222" w:type="dxa"/>
            <w:tcBorders>
              <w:top w:val="single" w:sz="4" w:space="0" w:color="auto"/>
              <w:left w:val="single" w:sz="4" w:space="0" w:color="auto"/>
              <w:bottom w:val="single" w:sz="4" w:space="0" w:color="auto"/>
              <w:right w:val="single" w:sz="4" w:space="0" w:color="auto"/>
            </w:tcBorders>
          </w:tcPr>
          <w:p w14:paraId="556D6F82"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334 (M+2)</w:t>
            </w:r>
          </w:p>
        </w:tc>
        <w:tc>
          <w:tcPr>
            <w:tcW w:w="1222" w:type="dxa"/>
            <w:tcBorders>
              <w:top w:val="single" w:sz="4" w:space="0" w:color="auto"/>
              <w:left w:val="single" w:sz="4" w:space="0" w:color="auto"/>
              <w:bottom w:val="single" w:sz="4" w:space="0" w:color="auto"/>
              <w:right w:val="single" w:sz="4" w:space="0" w:color="auto"/>
            </w:tcBorders>
          </w:tcPr>
          <w:p w14:paraId="625BA810"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268 + 270</w:t>
            </w:r>
          </w:p>
        </w:tc>
      </w:tr>
      <w:tr w:rsidR="00FC360C" w:rsidRPr="004A64B0" w14:paraId="7FBF5D5E" w14:textId="77777777" w:rsidTr="002F237A">
        <w:trPr>
          <w:jc w:val="center"/>
        </w:trPr>
        <w:tc>
          <w:tcPr>
            <w:tcW w:w="0" w:type="auto"/>
            <w:tcBorders>
              <w:top w:val="single" w:sz="4" w:space="0" w:color="auto"/>
              <w:left w:val="single" w:sz="4" w:space="0" w:color="auto"/>
              <w:bottom w:val="single" w:sz="4" w:space="0" w:color="auto"/>
              <w:right w:val="single" w:sz="4" w:space="0" w:color="auto"/>
            </w:tcBorders>
          </w:tcPr>
          <w:p w14:paraId="748F0F38"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PeCDD</w:t>
            </w:r>
          </w:p>
        </w:tc>
        <w:tc>
          <w:tcPr>
            <w:tcW w:w="0" w:type="auto"/>
            <w:tcBorders>
              <w:top w:val="single" w:sz="4" w:space="0" w:color="auto"/>
              <w:left w:val="single" w:sz="4" w:space="0" w:color="auto"/>
              <w:bottom w:val="single" w:sz="4" w:space="0" w:color="auto"/>
              <w:right w:val="single" w:sz="4" w:space="0" w:color="auto"/>
            </w:tcBorders>
          </w:tcPr>
          <w:p w14:paraId="2F47CC02"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356 (M+2)</w:t>
            </w:r>
          </w:p>
        </w:tc>
        <w:tc>
          <w:tcPr>
            <w:tcW w:w="1222" w:type="dxa"/>
            <w:tcBorders>
              <w:top w:val="single" w:sz="4" w:space="0" w:color="auto"/>
              <w:left w:val="single" w:sz="4" w:space="0" w:color="auto"/>
              <w:bottom w:val="single" w:sz="4" w:space="0" w:color="auto"/>
              <w:right w:val="single" w:sz="4" w:space="0" w:color="auto"/>
            </w:tcBorders>
          </w:tcPr>
          <w:p w14:paraId="706A3B85"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291 + 293</w:t>
            </w:r>
          </w:p>
        </w:tc>
        <w:tc>
          <w:tcPr>
            <w:tcW w:w="1222" w:type="dxa"/>
            <w:tcBorders>
              <w:top w:val="single" w:sz="4" w:space="0" w:color="auto"/>
              <w:left w:val="single" w:sz="4" w:space="0" w:color="auto"/>
              <w:bottom w:val="single" w:sz="4" w:space="0" w:color="auto"/>
              <w:right w:val="single" w:sz="4" w:space="0" w:color="auto"/>
            </w:tcBorders>
          </w:tcPr>
          <w:p w14:paraId="367A5281"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368 (M+2)</w:t>
            </w:r>
          </w:p>
        </w:tc>
        <w:tc>
          <w:tcPr>
            <w:tcW w:w="1222" w:type="dxa"/>
            <w:tcBorders>
              <w:top w:val="single" w:sz="4" w:space="0" w:color="auto"/>
              <w:left w:val="single" w:sz="4" w:space="0" w:color="auto"/>
              <w:bottom w:val="single" w:sz="4" w:space="0" w:color="auto"/>
              <w:right w:val="single" w:sz="4" w:space="0" w:color="auto"/>
            </w:tcBorders>
          </w:tcPr>
          <w:p w14:paraId="0DBBFC01"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302 + 304</w:t>
            </w:r>
          </w:p>
        </w:tc>
      </w:tr>
      <w:tr w:rsidR="00FC360C" w:rsidRPr="004A64B0" w14:paraId="09034A20" w14:textId="77777777" w:rsidTr="002F237A">
        <w:trPr>
          <w:jc w:val="center"/>
        </w:trPr>
        <w:tc>
          <w:tcPr>
            <w:tcW w:w="0" w:type="auto"/>
            <w:tcBorders>
              <w:top w:val="single" w:sz="4" w:space="0" w:color="auto"/>
              <w:left w:val="single" w:sz="4" w:space="0" w:color="auto"/>
              <w:bottom w:val="single" w:sz="4" w:space="0" w:color="auto"/>
              <w:right w:val="single" w:sz="4" w:space="0" w:color="auto"/>
            </w:tcBorders>
          </w:tcPr>
          <w:p w14:paraId="6B6DE964"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HxCDD</w:t>
            </w:r>
          </w:p>
        </w:tc>
        <w:tc>
          <w:tcPr>
            <w:tcW w:w="0" w:type="auto"/>
            <w:tcBorders>
              <w:top w:val="single" w:sz="4" w:space="0" w:color="auto"/>
              <w:left w:val="single" w:sz="4" w:space="0" w:color="auto"/>
              <w:bottom w:val="single" w:sz="4" w:space="0" w:color="auto"/>
              <w:right w:val="single" w:sz="4" w:space="0" w:color="auto"/>
            </w:tcBorders>
          </w:tcPr>
          <w:p w14:paraId="729F801C"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390 (M+2)</w:t>
            </w:r>
          </w:p>
        </w:tc>
        <w:tc>
          <w:tcPr>
            <w:tcW w:w="1222" w:type="dxa"/>
            <w:tcBorders>
              <w:top w:val="single" w:sz="4" w:space="0" w:color="auto"/>
              <w:left w:val="single" w:sz="4" w:space="0" w:color="auto"/>
              <w:bottom w:val="single" w:sz="4" w:space="0" w:color="auto"/>
              <w:right w:val="single" w:sz="4" w:space="0" w:color="auto"/>
            </w:tcBorders>
          </w:tcPr>
          <w:p w14:paraId="6C02A9D4"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325 + 327</w:t>
            </w:r>
          </w:p>
        </w:tc>
        <w:tc>
          <w:tcPr>
            <w:tcW w:w="1222" w:type="dxa"/>
            <w:tcBorders>
              <w:top w:val="single" w:sz="4" w:space="0" w:color="auto"/>
              <w:left w:val="single" w:sz="4" w:space="0" w:color="auto"/>
              <w:bottom w:val="single" w:sz="4" w:space="0" w:color="auto"/>
              <w:right w:val="single" w:sz="4" w:space="0" w:color="auto"/>
            </w:tcBorders>
          </w:tcPr>
          <w:p w14:paraId="3D3A2D5E"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402 (M+2)</w:t>
            </w:r>
          </w:p>
        </w:tc>
        <w:tc>
          <w:tcPr>
            <w:tcW w:w="1222" w:type="dxa"/>
            <w:tcBorders>
              <w:top w:val="single" w:sz="4" w:space="0" w:color="auto"/>
              <w:left w:val="single" w:sz="4" w:space="0" w:color="auto"/>
              <w:bottom w:val="single" w:sz="4" w:space="0" w:color="auto"/>
              <w:right w:val="single" w:sz="4" w:space="0" w:color="auto"/>
            </w:tcBorders>
          </w:tcPr>
          <w:p w14:paraId="7BEB32A8"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336 + 338</w:t>
            </w:r>
          </w:p>
        </w:tc>
      </w:tr>
      <w:tr w:rsidR="00FC360C" w:rsidRPr="004A64B0" w14:paraId="4303F226" w14:textId="77777777" w:rsidTr="002F237A">
        <w:trPr>
          <w:jc w:val="center"/>
        </w:trPr>
        <w:tc>
          <w:tcPr>
            <w:tcW w:w="0" w:type="auto"/>
            <w:tcBorders>
              <w:top w:val="single" w:sz="4" w:space="0" w:color="auto"/>
              <w:left w:val="single" w:sz="4" w:space="0" w:color="auto"/>
              <w:bottom w:val="single" w:sz="4" w:space="0" w:color="auto"/>
              <w:right w:val="single" w:sz="4" w:space="0" w:color="auto"/>
            </w:tcBorders>
          </w:tcPr>
          <w:p w14:paraId="5E3F6119"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HpCDD</w:t>
            </w:r>
          </w:p>
        </w:tc>
        <w:tc>
          <w:tcPr>
            <w:tcW w:w="0" w:type="auto"/>
            <w:tcBorders>
              <w:top w:val="single" w:sz="4" w:space="0" w:color="auto"/>
              <w:left w:val="single" w:sz="4" w:space="0" w:color="auto"/>
              <w:bottom w:val="single" w:sz="4" w:space="0" w:color="auto"/>
              <w:right w:val="single" w:sz="4" w:space="0" w:color="auto"/>
            </w:tcBorders>
          </w:tcPr>
          <w:p w14:paraId="407CF41E"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424 (M+2)</w:t>
            </w:r>
          </w:p>
        </w:tc>
        <w:tc>
          <w:tcPr>
            <w:tcW w:w="1222" w:type="dxa"/>
            <w:tcBorders>
              <w:top w:val="single" w:sz="4" w:space="0" w:color="auto"/>
              <w:left w:val="single" w:sz="4" w:space="0" w:color="auto"/>
              <w:bottom w:val="single" w:sz="4" w:space="0" w:color="auto"/>
              <w:right w:val="single" w:sz="4" w:space="0" w:color="auto"/>
            </w:tcBorders>
          </w:tcPr>
          <w:p w14:paraId="14ADFC4A"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359 + 361</w:t>
            </w:r>
          </w:p>
        </w:tc>
        <w:tc>
          <w:tcPr>
            <w:tcW w:w="1222" w:type="dxa"/>
            <w:tcBorders>
              <w:top w:val="single" w:sz="4" w:space="0" w:color="auto"/>
              <w:left w:val="single" w:sz="4" w:space="0" w:color="auto"/>
              <w:bottom w:val="single" w:sz="4" w:space="0" w:color="auto"/>
              <w:right w:val="single" w:sz="4" w:space="0" w:color="auto"/>
            </w:tcBorders>
          </w:tcPr>
          <w:p w14:paraId="71B4711B"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436 (M+2)</w:t>
            </w:r>
          </w:p>
        </w:tc>
        <w:tc>
          <w:tcPr>
            <w:tcW w:w="1222" w:type="dxa"/>
            <w:tcBorders>
              <w:top w:val="single" w:sz="4" w:space="0" w:color="auto"/>
              <w:left w:val="single" w:sz="4" w:space="0" w:color="auto"/>
              <w:bottom w:val="single" w:sz="4" w:space="0" w:color="auto"/>
              <w:right w:val="single" w:sz="4" w:space="0" w:color="auto"/>
            </w:tcBorders>
          </w:tcPr>
          <w:p w14:paraId="32640AED"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370 + 372</w:t>
            </w:r>
          </w:p>
        </w:tc>
      </w:tr>
      <w:tr w:rsidR="00FC360C" w:rsidRPr="004A64B0" w14:paraId="37EFEA44" w14:textId="77777777" w:rsidTr="002F237A">
        <w:trPr>
          <w:jc w:val="center"/>
        </w:trPr>
        <w:tc>
          <w:tcPr>
            <w:tcW w:w="0" w:type="auto"/>
            <w:tcBorders>
              <w:top w:val="single" w:sz="4" w:space="0" w:color="auto"/>
              <w:left w:val="single" w:sz="4" w:space="0" w:color="auto"/>
              <w:bottom w:val="single" w:sz="4" w:space="0" w:color="auto"/>
              <w:right w:val="single" w:sz="4" w:space="0" w:color="auto"/>
            </w:tcBorders>
          </w:tcPr>
          <w:p w14:paraId="096D83A9"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OCDD</w:t>
            </w:r>
          </w:p>
        </w:tc>
        <w:tc>
          <w:tcPr>
            <w:tcW w:w="0" w:type="auto"/>
            <w:tcBorders>
              <w:top w:val="single" w:sz="4" w:space="0" w:color="auto"/>
              <w:left w:val="single" w:sz="4" w:space="0" w:color="auto"/>
              <w:bottom w:val="single" w:sz="4" w:space="0" w:color="auto"/>
              <w:right w:val="single" w:sz="4" w:space="0" w:color="auto"/>
            </w:tcBorders>
          </w:tcPr>
          <w:p w14:paraId="4960946E"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460 (M+4)</w:t>
            </w:r>
          </w:p>
        </w:tc>
        <w:tc>
          <w:tcPr>
            <w:tcW w:w="1222" w:type="dxa"/>
            <w:tcBorders>
              <w:top w:val="single" w:sz="4" w:space="0" w:color="auto"/>
              <w:left w:val="single" w:sz="4" w:space="0" w:color="auto"/>
              <w:bottom w:val="single" w:sz="4" w:space="0" w:color="auto"/>
              <w:right w:val="single" w:sz="4" w:space="0" w:color="auto"/>
            </w:tcBorders>
          </w:tcPr>
          <w:p w14:paraId="192B15FB"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395 + 397</w:t>
            </w:r>
          </w:p>
        </w:tc>
        <w:tc>
          <w:tcPr>
            <w:tcW w:w="1222" w:type="dxa"/>
            <w:tcBorders>
              <w:top w:val="single" w:sz="4" w:space="0" w:color="auto"/>
              <w:left w:val="single" w:sz="4" w:space="0" w:color="auto"/>
              <w:bottom w:val="single" w:sz="4" w:space="0" w:color="auto"/>
              <w:right w:val="single" w:sz="4" w:space="0" w:color="auto"/>
            </w:tcBorders>
          </w:tcPr>
          <w:p w14:paraId="24F705BE"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472 (M+4)</w:t>
            </w:r>
          </w:p>
        </w:tc>
        <w:tc>
          <w:tcPr>
            <w:tcW w:w="1222" w:type="dxa"/>
            <w:tcBorders>
              <w:top w:val="single" w:sz="4" w:space="0" w:color="auto"/>
              <w:left w:val="single" w:sz="4" w:space="0" w:color="auto"/>
              <w:bottom w:val="single" w:sz="4" w:space="0" w:color="auto"/>
              <w:right w:val="single" w:sz="4" w:space="0" w:color="auto"/>
            </w:tcBorders>
          </w:tcPr>
          <w:p w14:paraId="33A40F68"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406 + 408</w:t>
            </w:r>
          </w:p>
        </w:tc>
      </w:tr>
      <w:tr w:rsidR="00FC360C" w:rsidRPr="004A64B0" w14:paraId="61CDBD75" w14:textId="77777777" w:rsidTr="002F237A">
        <w:trPr>
          <w:jc w:val="center"/>
        </w:trPr>
        <w:tc>
          <w:tcPr>
            <w:tcW w:w="0" w:type="auto"/>
            <w:tcBorders>
              <w:top w:val="single" w:sz="4" w:space="0" w:color="auto"/>
              <w:left w:val="single" w:sz="4" w:space="0" w:color="auto"/>
              <w:bottom w:val="single" w:sz="4" w:space="0" w:color="auto"/>
              <w:right w:val="single" w:sz="4" w:space="0" w:color="auto"/>
            </w:tcBorders>
          </w:tcPr>
          <w:p w14:paraId="09FAF23F"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TCDF</w:t>
            </w:r>
          </w:p>
        </w:tc>
        <w:tc>
          <w:tcPr>
            <w:tcW w:w="0" w:type="auto"/>
            <w:tcBorders>
              <w:top w:val="single" w:sz="4" w:space="0" w:color="auto"/>
              <w:left w:val="single" w:sz="4" w:space="0" w:color="auto"/>
              <w:bottom w:val="single" w:sz="4" w:space="0" w:color="auto"/>
              <w:right w:val="single" w:sz="4" w:space="0" w:color="auto"/>
            </w:tcBorders>
          </w:tcPr>
          <w:p w14:paraId="7B2C0F8F"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 xml:space="preserve">306 (M+2) </w:t>
            </w:r>
          </w:p>
        </w:tc>
        <w:tc>
          <w:tcPr>
            <w:tcW w:w="1222" w:type="dxa"/>
            <w:tcBorders>
              <w:top w:val="single" w:sz="4" w:space="0" w:color="auto"/>
              <w:left w:val="single" w:sz="4" w:space="0" w:color="auto"/>
              <w:bottom w:val="single" w:sz="4" w:space="0" w:color="auto"/>
              <w:right w:val="single" w:sz="4" w:space="0" w:color="auto"/>
            </w:tcBorders>
          </w:tcPr>
          <w:p w14:paraId="645DD563"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241 + 243</w:t>
            </w:r>
          </w:p>
        </w:tc>
        <w:tc>
          <w:tcPr>
            <w:tcW w:w="1222" w:type="dxa"/>
            <w:tcBorders>
              <w:top w:val="single" w:sz="4" w:space="0" w:color="auto"/>
              <w:left w:val="single" w:sz="4" w:space="0" w:color="auto"/>
              <w:bottom w:val="single" w:sz="4" w:space="0" w:color="auto"/>
              <w:right w:val="single" w:sz="4" w:space="0" w:color="auto"/>
            </w:tcBorders>
          </w:tcPr>
          <w:p w14:paraId="7ED01B4A"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318 (M+2)</w:t>
            </w:r>
          </w:p>
        </w:tc>
        <w:tc>
          <w:tcPr>
            <w:tcW w:w="1222" w:type="dxa"/>
            <w:tcBorders>
              <w:top w:val="single" w:sz="4" w:space="0" w:color="auto"/>
              <w:left w:val="single" w:sz="4" w:space="0" w:color="auto"/>
              <w:bottom w:val="single" w:sz="4" w:space="0" w:color="auto"/>
              <w:right w:val="single" w:sz="4" w:space="0" w:color="auto"/>
            </w:tcBorders>
          </w:tcPr>
          <w:p w14:paraId="10B3EE68"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252 + 254</w:t>
            </w:r>
          </w:p>
        </w:tc>
      </w:tr>
      <w:tr w:rsidR="00FC360C" w:rsidRPr="004A64B0" w14:paraId="4FA851FC" w14:textId="77777777" w:rsidTr="002F237A">
        <w:trPr>
          <w:jc w:val="center"/>
        </w:trPr>
        <w:tc>
          <w:tcPr>
            <w:tcW w:w="0" w:type="auto"/>
            <w:tcBorders>
              <w:top w:val="single" w:sz="4" w:space="0" w:color="auto"/>
              <w:left w:val="single" w:sz="4" w:space="0" w:color="auto"/>
              <w:bottom w:val="single" w:sz="4" w:space="0" w:color="auto"/>
              <w:right w:val="single" w:sz="4" w:space="0" w:color="auto"/>
            </w:tcBorders>
          </w:tcPr>
          <w:p w14:paraId="2CEA1BC1"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PeCDF</w:t>
            </w:r>
          </w:p>
        </w:tc>
        <w:tc>
          <w:tcPr>
            <w:tcW w:w="0" w:type="auto"/>
            <w:tcBorders>
              <w:top w:val="single" w:sz="4" w:space="0" w:color="auto"/>
              <w:left w:val="single" w:sz="4" w:space="0" w:color="auto"/>
              <w:bottom w:val="single" w:sz="4" w:space="0" w:color="auto"/>
              <w:right w:val="single" w:sz="4" w:space="0" w:color="auto"/>
            </w:tcBorders>
          </w:tcPr>
          <w:p w14:paraId="2C378452"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340 (M+2)</w:t>
            </w:r>
          </w:p>
        </w:tc>
        <w:tc>
          <w:tcPr>
            <w:tcW w:w="1222" w:type="dxa"/>
            <w:tcBorders>
              <w:top w:val="single" w:sz="4" w:space="0" w:color="auto"/>
              <w:left w:val="single" w:sz="4" w:space="0" w:color="auto"/>
              <w:bottom w:val="single" w:sz="4" w:space="0" w:color="auto"/>
              <w:right w:val="single" w:sz="4" w:space="0" w:color="auto"/>
            </w:tcBorders>
          </w:tcPr>
          <w:p w14:paraId="68DC0305"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275 + 277</w:t>
            </w:r>
          </w:p>
        </w:tc>
        <w:tc>
          <w:tcPr>
            <w:tcW w:w="1222" w:type="dxa"/>
            <w:tcBorders>
              <w:top w:val="single" w:sz="4" w:space="0" w:color="auto"/>
              <w:left w:val="single" w:sz="4" w:space="0" w:color="auto"/>
              <w:bottom w:val="single" w:sz="4" w:space="0" w:color="auto"/>
              <w:right w:val="single" w:sz="4" w:space="0" w:color="auto"/>
            </w:tcBorders>
          </w:tcPr>
          <w:p w14:paraId="5B6CD0B9"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352 (M+2)</w:t>
            </w:r>
          </w:p>
        </w:tc>
        <w:tc>
          <w:tcPr>
            <w:tcW w:w="1222" w:type="dxa"/>
            <w:tcBorders>
              <w:top w:val="single" w:sz="4" w:space="0" w:color="auto"/>
              <w:left w:val="single" w:sz="4" w:space="0" w:color="auto"/>
              <w:bottom w:val="single" w:sz="4" w:space="0" w:color="auto"/>
              <w:right w:val="single" w:sz="4" w:space="0" w:color="auto"/>
            </w:tcBorders>
          </w:tcPr>
          <w:p w14:paraId="78903759"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286 + 288</w:t>
            </w:r>
          </w:p>
        </w:tc>
      </w:tr>
      <w:tr w:rsidR="00FC360C" w:rsidRPr="004A64B0" w14:paraId="68921275" w14:textId="77777777" w:rsidTr="002F237A">
        <w:trPr>
          <w:jc w:val="center"/>
        </w:trPr>
        <w:tc>
          <w:tcPr>
            <w:tcW w:w="0" w:type="auto"/>
            <w:tcBorders>
              <w:top w:val="single" w:sz="4" w:space="0" w:color="auto"/>
              <w:left w:val="single" w:sz="4" w:space="0" w:color="auto"/>
              <w:bottom w:val="single" w:sz="4" w:space="0" w:color="auto"/>
              <w:right w:val="single" w:sz="4" w:space="0" w:color="auto"/>
            </w:tcBorders>
          </w:tcPr>
          <w:p w14:paraId="075E05BE"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HxCDF</w:t>
            </w:r>
          </w:p>
        </w:tc>
        <w:tc>
          <w:tcPr>
            <w:tcW w:w="0" w:type="auto"/>
            <w:tcBorders>
              <w:top w:val="single" w:sz="4" w:space="0" w:color="auto"/>
              <w:left w:val="single" w:sz="4" w:space="0" w:color="auto"/>
              <w:bottom w:val="single" w:sz="4" w:space="0" w:color="auto"/>
              <w:right w:val="single" w:sz="4" w:space="0" w:color="auto"/>
            </w:tcBorders>
          </w:tcPr>
          <w:p w14:paraId="3D0F11A8"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374 (M+2)</w:t>
            </w:r>
          </w:p>
        </w:tc>
        <w:tc>
          <w:tcPr>
            <w:tcW w:w="1222" w:type="dxa"/>
            <w:tcBorders>
              <w:top w:val="single" w:sz="4" w:space="0" w:color="auto"/>
              <w:left w:val="single" w:sz="4" w:space="0" w:color="auto"/>
              <w:bottom w:val="single" w:sz="4" w:space="0" w:color="auto"/>
              <w:right w:val="single" w:sz="4" w:space="0" w:color="auto"/>
            </w:tcBorders>
          </w:tcPr>
          <w:p w14:paraId="06252663"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309 + 311</w:t>
            </w:r>
          </w:p>
        </w:tc>
        <w:tc>
          <w:tcPr>
            <w:tcW w:w="1222" w:type="dxa"/>
            <w:tcBorders>
              <w:top w:val="single" w:sz="4" w:space="0" w:color="auto"/>
              <w:left w:val="single" w:sz="4" w:space="0" w:color="auto"/>
              <w:bottom w:val="single" w:sz="4" w:space="0" w:color="auto"/>
              <w:right w:val="single" w:sz="4" w:space="0" w:color="auto"/>
            </w:tcBorders>
          </w:tcPr>
          <w:p w14:paraId="5A3E5AF6"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386 (M+2)</w:t>
            </w:r>
          </w:p>
        </w:tc>
        <w:tc>
          <w:tcPr>
            <w:tcW w:w="1222" w:type="dxa"/>
            <w:tcBorders>
              <w:top w:val="single" w:sz="4" w:space="0" w:color="auto"/>
              <w:left w:val="single" w:sz="4" w:space="0" w:color="auto"/>
              <w:bottom w:val="single" w:sz="4" w:space="0" w:color="auto"/>
              <w:right w:val="single" w:sz="4" w:space="0" w:color="auto"/>
            </w:tcBorders>
          </w:tcPr>
          <w:p w14:paraId="253475A5"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320 + 322</w:t>
            </w:r>
          </w:p>
        </w:tc>
      </w:tr>
      <w:tr w:rsidR="00FC360C" w:rsidRPr="004A64B0" w14:paraId="575E4AFD" w14:textId="77777777" w:rsidTr="002F237A">
        <w:trPr>
          <w:jc w:val="center"/>
        </w:trPr>
        <w:tc>
          <w:tcPr>
            <w:tcW w:w="0" w:type="auto"/>
            <w:tcBorders>
              <w:top w:val="single" w:sz="4" w:space="0" w:color="auto"/>
              <w:left w:val="single" w:sz="4" w:space="0" w:color="auto"/>
              <w:bottom w:val="single" w:sz="4" w:space="0" w:color="auto"/>
              <w:right w:val="single" w:sz="4" w:space="0" w:color="auto"/>
            </w:tcBorders>
          </w:tcPr>
          <w:p w14:paraId="46DAF256"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HpCDF</w:t>
            </w:r>
          </w:p>
        </w:tc>
        <w:tc>
          <w:tcPr>
            <w:tcW w:w="0" w:type="auto"/>
            <w:tcBorders>
              <w:top w:val="single" w:sz="4" w:space="0" w:color="auto"/>
              <w:left w:val="single" w:sz="4" w:space="0" w:color="auto"/>
              <w:bottom w:val="single" w:sz="4" w:space="0" w:color="auto"/>
              <w:right w:val="single" w:sz="4" w:space="0" w:color="auto"/>
            </w:tcBorders>
          </w:tcPr>
          <w:p w14:paraId="588FB34B"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408 (M+2)</w:t>
            </w:r>
          </w:p>
        </w:tc>
        <w:tc>
          <w:tcPr>
            <w:tcW w:w="1222" w:type="dxa"/>
            <w:tcBorders>
              <w:top w:val="single" w:sz="4" w:space="0" w:color="auto"/>
              <w:left w:val="single" w:sz="4" w:space="0" w:color="auto"/>
              <w:bottom w:val="single" w:sz="4" w:space="0" w:color="auto"/>
              <w:right w:val="single" w:sz="4" w:space="0" w:color="auto"/>
            </w:tcBorders>
          </w:tcPr>
          <w:p w14:paraId="1BDE2D39"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343 + 345</w:t>
            </w:r>
          </w:p>
        </w:tc>
        <w:tc>
          <w:tcPr>
            <w:tcW w:w="1222" w:type="dxa"/>
            <w:tcBorders>
              <w:top w:val="single" w:sz="4" w:space="0" w:color="auto"/>
              <w:left w:val="single" w:sz="4" w:space="0" w:color="auto"/>
              <w:bottom w:val="single" w:sz="4" w:space="0" w:color="auto"/>
              <w:right w:val="single" w:sz="4" w:space="0" w:color="auto"/>
            </w:tcBorders>
          </w:tcPr>
          <w:p w14:paraId="3579A98B"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420 (M+2)</w:t>
            </w:r>
          </w:p>
        </w:tc>
        <w:tc>
          <w:tcPr>
            <w:tcW w:w="1222" w:type="dxa"/>
            <w:tcBorders>
              <w:top w:val="single" w:sz="4" w:space="0" w:color="auto"/>
              <w:left w:val="single" w:sz="4" w:space="0" w:color="auto"/>
              <w:bottom w:val="single" w:sz="4" w:space="0" w:color="auto"/>
              <w:right w:val="single" w:sz="4" w:space="0" w:color="auto"/>
            </w:tcBorders>
          </w:tcPr>
          <w:p w14:paraId="1769F810"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354 + 356</w:t>
            </w:r>
          </w:p>
        </w:tc>
      </w:tr>
      <w:tr w:rsidR="00FC360C" w:rsidRPr="004A64B0" w14:paraId="2697D77E" w14:textId="77777777" w:rsidTr="002F237A">
        <w:trPr>
          <w:jc w:val="center"/>
        </w:trPr>
        <w:tc>
          <w:tcPr>
            <w:tcW w:w="0" w:type="auto"/>
            <w:tcBorders>
              <w:top w:val="single" w:sz="4" w:space="0" w:color="auto"/>
              <w:left w:val="single" w:sz="4" w:space="0" w:color="auto"/>
              <w:bottom w:val="single" w:sz="4" w:space="0" w:color="auto"/>
              <w:right w:val="single" w:sz="4" w:space="0" w:color="auto"/>
            </w:tcBorders>
          </w:tcPr>
          <w:p w14:paraId="576FA932"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OCDF</w:t>
            </w:r>
          </w:p>
        </w:tc>
        <w:tc>
          <w:tcPr>
            <w:tcW w:w="0" w:type="auto"/>
            <w:tcBorders>
              <w:top w:val="single" w:sz="4" w:space="0" w:color="auto"/>
              <w:left w:val="single" w:sz="4" w:space="0" w:color="auto"/>
              <w:bottom w:val="single" w:sz="4" w:space="0" w:color="auto"/>
              <w:right w:val="single" w:sz="4" w:space="0" w:color="auto"/>
            </w:tcBorders>
          </w:tcPr>
          <w:p w14:paraId="71BAC278"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444 (M+4)</w:t>
            </w:r>
          </w:p>
        </w:tc>
        <w:tc>
          <w:tcPr>
            <w:tcW w:w="1222" w:type="dxa"/>
            <w:tcBorders>
              <w:top w:val="single" w:sz="4" w:space="0" w:color="auto"/>
              <w:left w:val="single" w:sz="4" w:space="0" w:color="auto"/>
              <w:bottom w:val="single" w:sz="4" w:space="0" w:color="auto"/>
              <w:right w:val="single" w:sz="4" w:space="0" w:color="auto"/>
            </w:tcBorders>
          </w:tcPr>
          <w:p w14:paraId="24C37799"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379 + 381</w:t>
            </w:r>
          </w:p>
        </w:tc>
        <w:tc>
          <w:tcPr>
            <w:tcW w:w="1222" w:type="dxa"/>
            <w:tcBorders>
              <w:top w:val="single" w:sz="4" w:space="0" w:color="auto"/>
              <w:left w:val="single" w:sz="4" w:space="0" w:color="auto"/>
              <w:bottom w:val="single" w:sz="4" w:space="0" w:color="auto"/>
              <w:right w:val="single" w:sz="4" w:space="0" w:color="auto"/>
            </w:tcBorders>
          </w:tcPr>
          <w:p w14:paraId="79CFE1C0"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p>
        </w:tc>
        <w:tc>
          <w:tcPr>
            <w:tcW w:w="1222" w:type="dxa"/>
            <w:tcBorders>
              <w:top w:val="single" w:sz="4" w:space="0" w:color="auto"/>
              <w:left w:val="single" w:sz="4" w:space="0" w:color="auto"/>
              <w:bottom w:val="single" w:sz="4" w:space="0" w:color="auto"/>
              <w:right w:val="single" w:sz="4" w:space="0" w:color="auto"/>
            </w:tcBorders>
          </w:tcPr>
          <w:p w14:paraId="3714734B"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p>
        </w:tc>
      </w:tr>
      <w:tr w:rsidR="00FC360C" w:rsidRPr="004A64B0" w14:paraId="6F658ACD" w14:textId="77777777" w:rsidTr="002F237A">
        <w:trPr>
          <w:jc w:val="center"/>
        </w:trPr>
        <w:tc>
          <w:tcPr>
            <w:tcW w:w="0" w:type="auto"/>
            <w:tcBorders>
              <w:top w:val="single" w:sz="4" w:space="0" w:color="auto"/>
              <w:left w:val="single" w:sz="4" w:space="0" w:color="auto"/>
              <w:bottom w:val="single" w:sz="4" w:space="0" w:color="auto"/>
              <w:right w:val="single" w:sz="4" w:space="0" w:color="auto"/>
            </w:tcBorders>
          </w:tcPr>
          <w:p w14:paraId="2A32CF0C"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CB-81, 77</w:t>
            </w:r>
          </w:p>
        </w:tc>
        <w:tc>
          <w:tcPr>
            <w:tcW w:w="0" w:type="auto"/>
            <w:tcBorders>
              <w:top w:val="single" w:sz="4" w:space="0" w:color="auto"/>
              <w:left w:val="single" w:sz="4" w:space="0" w:color="auto"/>
              <w:bottom w:val="single" w:sz="4" w:space="0" w:color="auto"/>
              <w:right w:val="single" w:sz="4" w:space="0" w:color="auto"/>
            </w:tcBorders>
          </w:tcPr>
          <w:p w14:paraId="7A3DC3C4"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292 (M+2)</w:t>
            </w:r>
          </w:p>
        </w:tc>
        <w:tc>
          <w:tcPr>
            <w:tcW w:w="1222" w:type="dxa"/>
            <w:tcBorders>
              <w:top w:val="single" w:sz="4" w:space="0" w:color="auto"/>
              <w:left w:val="single" w:sz="4" w:space="0" w:color="auto"/>
              <w:bottom w:val="single" w:sz="4" w:space="0" w:color="auto"/>
              <w:right w:val="single" w:sz="4" w:space="0" w:color="auto"/>
            </w:tcBorders>
          </w:tcPr>
          <w:p w14:paraId="2E8C3030"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220 + 222</w:t>
            </w:r>
          </w:p>
        </w:tc>
        <w:tc>
          <w:tcPr>
            <w:tcW w:w="1222" w:type="dxa"/>
            <w:tcBorders>
              <w:top w:val="single" w:sz="4" w:space="0" w:color="auto"/>
              <w:left w:val="single" w:sz="4" w:space="0" w:color="auto"/>
              <w:bottom w:val="single" w:sz="4" w:space="0" w:color="auto"/>
              <w:right w:val="single" w:sz="4" w:space="0" w:color="auto"/>
            </w:tcBorders>
          </w:tcPr>
          <w:p w14:paraId="53217030"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304 (M+2)</w:t>
            </w:r>
          </w:p>
        </w:tc>
        <w:tc>
          <w:tcPr>
            <w:tcW w:w="1222" w:type="dxa"/>
            <w:tcBorders>
              <w:top w:val="single" w:sz="4" w:space="0" w:color="auto"/>
              <w:left w:val="single" w:sz="4" w:space="0" w:color="auto"/>
              <w:bottom w:val="single" w:sz="4" w:space="0" w:color="auto"/>
              <w:right w:val="single" w:sz="4" w:space="0" w:color="auto"/>
            </w:tcBorders>
          </w:tcPr>
          <w:p w14:paraId="44D9B79B"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232 + 234</w:t>
            </w:r>
          </w:p>
        </w:tc>
      </w:tr>
      <w:tr w:rsidR="00FC360C" w:rsidRPr="004A64B0" w14:paraId="551759FF" w14:textId="77777777" w:rsidTr="002F237A">
        <w:trPr>
          <w:jc w:val="center"/>
        </w:trPr>
        <w:tc>
          <w:tcPr>
            <w:tcW w:w="0" w:type="auto"/>
            <w:tcBorders>
              <w:top w:val="single" w:sz="4" w:space="0" w:color="auto"/>
              <w:left w:val="single" w:sz="4" w:space="0" w:color="auto"/>
              <w:bottom w:val="single" w:sz="4" w:space="0" w:color="auto"/>
              <w:right w:val="single" w:sz="4" w:space="0" w:color="auto"/>
            </w:tcBorders>
          </w:tcPr>
          <w:p w14:paraId="258ABDFB"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CB-123, 118, 114, 105, 126</w:t>
            </w:r>
          </w:p>
        </w:tc>
        <w:tc>
          <w:tcPr>
            <w:tcW w:w="0" w:type="auto"/>
            <w:tcBorders>
              <w:top w:val="single" w:sz="4" w:space="0" w:color="auto"/>
              <w:left w:val="single" w:sz="4" w:space="0" w:color="auto"/>
              <w:bottom w:val="single" w:sz="4" w:space="0" w:color="auto"/>
              <w:right w:val="single" w:sz="4" w:space="0" w:color="auto"/>
            </w:tcBorders>
          </w:tcPr>
          <w:p w14:paraId="56A7020D"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326 (M+2)</w:t>
            </w:r>
          </w:p>
        </w:tc>
        <w:tc>
          <w:tcPr>
            <w:tcW w:w="1222" w:type="dxa"/>
            <w:tcBorders>
              <w:top w:val="single" w:sz="4" w:space="0" w:color="auto"/>
              <w:left w:val="single" w:sz="4" w:space="0" w:color="auto"/>
              <w:bottom w:val="single" w:sz="4" w:space="0" w:color="auto"/>
              <w:right w:val="single" w:sz="4" w:space="0" w:color="auto"/>
            </w:tcBorders>
          </w:tcPr>
          <w:p w14:paraId="60068B95"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254 + 256</w:t>
            </w:r>
          </w:p>
        </w:tc>
        <w:tc>
          <w:tcPr>
            <w:tcW w:w="1222" w:type="dxa"/>
            <w:tcBorders>
              <w:top w:val="single" w:sz="4" w:space="0" w:color="auto"/>
              <w:left w:val="single" w:sz="4" w:space="0" w:color="auto"/>
              <w:bottom w:val="single" w:sz="4" w:space="0" w:color="auto"/>
              <w:right w:val="single" w:sz="4" w:space="0" w:color="auto"/>
            </w:tcBorders>
          </w:tcPr>
          <w:p w14:paraId="7625AB51"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338 (M+2)</w:t>
            </w:r>
          </w:p>
        </w:tc>
        <w:tc>
          <w:tcPr>
            <w:tcW w:w="1222" w:type="dxa"/>
            <w:tcBorders>
              <w:top w:val="single" w:sz="4" w:space="0" w:color="auto"/>
              <w:left w:val="single" w:sz="4" w:space="0" w:color="auto"/>
              <w:bottom w:val="single" w:sz="4" w:space="0" w:color="auto"/>
              <w:right w:val="single" w:sz="4" w:space="0" w:color="auto"/>
            </w:tcBorders>
          </w:tcPr>
          <w:p w14:paraId="1E2A3A9D"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266 + 268</w:t>
            </w:r>
          </w:p>
        </w:tc>
      </w:tr>
      <w:tr w:rsidR="00FC360C" w:rsidRPr="004A64B0" w14:paraId="1B365D0C" w14:textId="77777777" w:rsidTr="002F237A">
        <w:trPr>
          <w:jc w:val="center"/>
        </w:trPr>
        <w:tc>
          <w:tcPr>
            <w:tcW w:w="0" w:type="auto"/>
            <w:tcBorders>
              <w:top w:val="single" w:sz="4" w:space="0" w:color="auto"/>
              <w:left w:val="single" w:sz="4" w:space="0" w:color="auto"/>
              <w:bottom w:val="single" w:sz="4" w:space="0" w:color="auto"/>
              <w:right w:val="single" w:sz="4" w:space="0" w:color="auto"/>
            </w:tcBorders>
          </w:tcPr>
          <w:p w14:paraId="7BE477FB"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CB-167, 156, 157, 169</w:t>
            </w:r>
          </w:p>
        </w:tc>
        <w:tc>
          <w:tcPr>
            <w:tcW w:w="0" w:type="auto"/>
            <w:tcBorders>
              <w:top w:val="single" w:sz="4" w:space="0" w:color="auto"/>
              <w:left w:val="single" w:sz="4" w:space="0" w:color="auto"/>
              <w:bottom w:val="single" w:sz="4" w:space="0" w:color="auto"/>
              <w:right w:val="single" w:sz="4" w:space="0" w:color="auto"/>
            </w:tcBorders>
          </w:tcPr>
          <w:p w14:paraId="06DBCB0D"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360 (M+2)</w:t>
            </w:r>
          </w:p>
        </w:tc>
        <w:tc>
          <w:tcPr>
            <w:tcW w:w="1222" w:type="dxa"/>
            <w:tcBorders>
              <w:top w:val="single" w:sz="4" w:space="0" w:color="auto"/>
              <w:left w:val="single" w:sz="4" w:space="0" w:color="auto"/>
              <w:bottom w:val="single" w:sz="4" w:space="0" w:color="auto"/>
              <w:right w:val="single" w:sz="4" w:space="0" w:color="auto"/>
            </w:tcBorders>
          </w:tcPr>
          <w:p w14:paraId="390976BB"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288 + 290</w:t>
            </w:r>
          </w:p>
        </w:tc>
        <w:tc>
          <w:tcPr>
            <w:tcW w:w="1222" w:type="dxa"/>
            <w:tcBorders>
              <w:top w:val="single" w:sz="4" w:space="0" w:color="auto"/>
              <w:left w:val="single" w:sz="4" w:space="0" w:color="auto"/>
              <w:bottom w:val="single" w:sz="4" w:space="0" w:color="auto"/>
              <w:right w:val="single" w:sz="4" w:space="0" w:color="auto"/>
            </w:tcBorders>
          </w:tcPr>
          <w:p w14:paraId="3B1CC8F0"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372 (M+2)</w:t>
            </w:r>
          </w:p>
        </w:tc>
        <w:tc>
          <w:tcPr>
            <w:tcW w:w="1222" w:type="dxa"/>
            <w:tcBorders>
              <w:top w:val="single" w:sz="4" w:space="0" w:color="auto"/>
              <w:left w:val="single" w:sz="4" w:space="0" w:color="auto"/>
              <w:bottom w:val="single" w:sz="4" w:space="0" w:color="auto"/>
              <w:right w:val="single" w:sz="4" w:space="0" w:color="auto"/>
            </w:tcBorders>
          </w:tcPr>
          <w:p w14:paraId="5A557355"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300 + 302</w:t>
            </w:r>
          </w:p>
        </w:tc>
      </w:tr>
      <w:tr w:rsidR="00FC360C" w:rsidRPr="004A64B0" w14:paraId="6B6B57B6" w14:textId="77777777" w:rsidTr="002F237A">
        <w:trPr>
          <w:jc w:val="center"/>
        </w:trPr>
        <w:tc>
          <w:tcPr>
            <w:tcW w:w="0" w:type="auto"/>
            <w:tcBorders>
              <w:top w:val="single" w:sz="4" w:space="0" w:color="auto"/>
              <w:left w:val="single" w:sz="4" w:space="0" w:color="auto"/>
              <w:bottom w:val="single" w:sz="4" w:space="0" w:color="auto"/>
              <w:right w:val="single" w:sz="4" w:space="0" w:color="auto"/>
            </w:tcBorders>
          </w:tcPr>
          <w:p w14:paraId="0F9C4EAF"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CB-189</w:t>
            </w:r>
          </w:p>
        </w:tc>
        <w:tc>
          <w:tcPr>
            <w:tcW w:w="0" w:type="auto"/>
            <w:tcBorders>
              <w:top w:val="single" w:sz="4" w:space="0" w:color="auto"/>
              <w:left w:val="single" w:sz="4" w:space="0" w:color="auto"/>
              <w:bottom w:val="single" w:sz="4" w:space="0" w:color="auto"/>
              <w:right w:val="single" w:sz="4" w:space="0" w:color="auto"/>
            </w:tcBorders>
          </w:tcPr>
          <w:p w14:paraId="7A834153"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394 (M+2)</w:t>
            </w:r>
          </w:p>
        </w:tc>
        <w:tc>
          <w:tcPr>
            <w:tcW w:w="1222" w:type="dxa"/>
            <w:tcBorders>
              <w:top w:val="single" w:sz="4" w:space="0" w:color="auto"/>
              <w:left w:val="single" w:sz="4" w:space="0" w:color="auto"/>
              <w:bottom w:val="single" w:sz="4" w:space="0" w:color="auto"/>
              <w:right w:val="single" w:sz="4" w:space="0" w:color="auto"/>
            </w:tcBorders>
          </w:tcPr>
          <w:p w14:paraId="186DFE5F"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322 + 324</w:t>
            </w:r>
          </w:p>
        </w:tc>
        <w:tc>
          <w:tcPr>
            <w:tcW w:w="1222" w:type="dxa"/>
            <w:tcBorders>
              <w:top w:val="single" w:sz="4" w:space="0" w:color="auto"/>
              <w:left w:val="single" w:sz="4" w:space="0" w:color="auto"/>
              <w:bottom w:val="single" w:sz="4" w:space="0" w:color="auto"/>
              <w:right w:val="single" w:sz="4" w:space="0" w:color="auto"/>
            </w:tcBorders>
          </w:tcPr>
          <w:p w14:paraId="4EC447AC"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406 (M+2)</w:t>
            </w:r>
          </w:p>
        </w:tc>
        <w:tc>
          <w:tcPr>
            <w:tcW w:w="1222" w:type="dxa"/>
            <w:tcBorders>
              <w:top w:val="single" w:sz="4" w:space="0" w:color="auto"/>
              <w:left w:val="single" w:sz="4" w:space="0" w:color="auto"/>
              <w:bottom w:val="single" w:sz="4" w:space="0" w:color="auto"/>
              <w:right w:val="single" w:sz="4" w:space="0" w:color="auto"/>
            </w:tcBorders>
          </w:tcPr>
          <w:p w14:paraId="5AFE5E0F" w14:textId="77777777" w:rsidR="00FC360C" w:rsidRPr="00617246" w:rsidRDefault="00FC360C" w:rsidP="00617246">
            <w:pPr>
              <w:pStyle w:val="ListNumber2"/>
              <w:tabs>
                <w:tab w:val="clear" w:pos="720"/>
              </w:tabs>
              <w:spacing w:after="120" w:line="240" w:lineRule="auto"/>
              <w:ind w:left="0" w:firstLine="0"/>
              <w:contextualSpacing w:val="0"/>
              <w:rPr>
                <w:rFonts w:ascii="Calibri" w:hAnsi="Calibri" w:cs="Arial"/>
              </w:rPr>
            </w:pPr>
            <w:r w:rsidRPr="00617246">
              <w:rPr>
                <w:rFonts w:ascii="Calibri" w:hAnsi="Calibri" w:cs="Arial"/>
              </w:rPr>
              <w:t>334 + 336</w:t>
            </w:r>
          </w:p>
        </w:tc>
      </w:tr>
    </w:tbl>
    <w:p w14:paraId="1010E166" w14:textId="77777777" w:rsidR="00FC360C" w:rsidRPr="004A64B0" w:rsidRDefault="00FC360C" w:rsidP="00617246">
      <w:pPr>
        <w:pStyle w:val="Heading1"/>
      </w:pPr>
      <w:bookmarkStart w:id="349" w:name="_Toc511217627"/>
      <w:r w:rsidRPr="004A64B0">
        <w:t>6</w:t>
      </w:r>
      <w:r w:rsidRPr="004A64B0">
        <w:tab/>
        <w:t>Quality Assurance and Quality Control</w:t>
      </w:r>
      <w:bookmarkEnd w:id="349"/>
    </w:p>
    <w:p w14:paraId="72A3B854" w14:textId="77777777" w:rsidR="00FC360C" w:rsidRPr="004A64B0" w:rsidRDefault="00FC360C" w:rsidP="004A64B0">
      <w:pPr>
        <w:rPr>
          <w:rFonts w:asciiTheme="minorHAnsi" w:hAnsiTheme="minorHAnsi"/>
          <w:szCs w:val="22"/>
        </w:rPr>
      </w:pPr>
      <w:r w:rsidRPr="004A64B0">
        <w:rPr>
          <w:rFonts w:asciiTheme="minorHAnsi" w:hAnsiTheme="minorHAnsi"/>
          <w:szCs w:val="22"/>
        </w:rPr>
        <w:t xml:space="preserve">The laboratory is required to operate a formal quality assurance programme. Indicative values for accuracy and precision are given under “Verification method” in Table 9. An example of a comprehensive QA/QC approach is described in method 1613B by USEPA (1994). </w:t>
      </w:r>
    </w:p>
    <w:p w14:paraId="0DE36A27" w14:textId="77777777" w:rsidR="00FC360C" w:rsidRPr="004A64B0" w:rsidRDefault="00FC360C" w:rsidP="004A64B0">
      <w:pPr>
        <w:rPr>
          <w:rFonts w:asciiTheme="minorHAnsi" w:hAnsiTheme="minorHAnsi"/>
          <w:szCs w:val="22"/>
        </w:rPr>
      </w:pPr>
      <w:r w:rsidRPr="004A64B0">
        <w:rPr>
          <w:rFonts w:asciiTheme="minorHAnsi" w:hAnsiTheme="minorHAnsi"/>
          <w:szCs w:val="22"/>
        </w:rPr>
        <w:t>The analytical method requires high sensitivity and low detection limits, usually in the pg-range, for both PCDD/Fs and dl-PCB congeners (OSPAR, 2005), and should meet the requirements for LoQ specified in the monitoring programme. For individual PCDD/Fs, LoQ of 0.3 pg/g wet weight should be achievable, with the exception of OCDD (1 pg/g wet weight). For non-</w:t>
      </w:r>
      <w:r w:rsidRPr="004A64B0">
        <w:rPr>
          <w:rFonts w:asciiTheme="minorHAnsi" w:hAnsiTheme="minorHAnsi"/>
          <w:i/>
          <w:szCs w:val="22"/>
        </w:rPr>
        <w:t>ortho</w:t>
      </w:r>
      <w:r w:rsidRPr="004A64B0">
        <w:rPr>
          <w:rFonts w:asciiTheme="minorHAnsi" w:hAnsiTheme="minorHAnsi"/>
          <w:szCs w:val="22"/>
        </w:rPr>
        <w:t xml:space="preserve"> PCBs, LoQ should be as low as 5 pg/g wet weight, while for mono-</w:t>
      </w:r>
      <w:r w:rsidRPr="004A64B0">
        <w:rPr>
          <w:rFonts w:asciiTheme="minorHAnsi" w:hAnsiTheme="minorHAnsi"/>
          <w:i/>
          <w:szCs w:val="22"/>
        </w:rPr>
        <w:t>ortho</w:t>
      </w:r>
      <w:r w:rsidRPr="004A64B0">
        <w:rPr>
          <w:rFonts w:asciiTheme="minorHAnsi" w:hAnsiTheme="minorHAnsi"/>
          <w:szCs w:val="22"/>
        </w:rPr>
        <w:t xml:space="preserve"> PCBs requirements on LoQ are less strict as their concentrations in biota samples are usually higher, in particular concentrations of congeners CB-105, CB-118 and CB-156. The selectivity of the method should be sufficient to avoid interfering compounds, i.e. the individual congeners should be separated from each other and any interferences present. The recovery of the individual internal standards added prior to extraction should be between 60-120%. </w:t>
      </w:r>
    </w:p>
    <w:p w14:paraId="686C028D" w14:textId="77777777" w:rsidR="00FC360C" w:rsidRPr="004A64B0" w:rsidRDefault="00FC360C" w:rsidP="004A64B0">
      <w:pPr>
        <w:rPr>
          <w:rFonts w:asciiTheme="minorHAnsi" w:hAnsiTheme="minorHAnsi"/>
          <w:szCs w:val="22"/>
        </w:rPr>
      </w:pPr>
      <w:r w:rsidRPr="004A64B0">
        <w:rPr>
          <w:rFonts w:asciiTheme="minorHAnsi" w:hAnsiTheme="minorHAnsi"/>
          <w:szCs w:val="22"/>
        </w:rPr>
        <w:t xml:space="preserve">All sample series should include procedural blanks and measurements of certified/laboratory reference materials. Blanks should be as low as possible, at least below 20% of the lowest concentration of interest. Certified reference materials should be </w:t>
      </w:r>
      <w:r w:rsidR="006F0A4B" w:rsidRPr="004A64B0">
        <w:rPr>
          <w:rFonts w:asciiTheme="minorHAnsi" w:hAnsiTheme="minorHAnsi"/>
          <w:szCs w:val="22"/>
        </w:rPr>
        <w:t>analysed</w:t>
      </w:r>
      <w:r w:rsidRPr="004A64B0">
        <w:rPr>
          <w:rFonts w:asciiTheme="minorHAnsi" w:hAnsiTheme="minorHAnsi"/>
          <w:szCs w:val="22"/>
        </w:rPr>
        <w:t xml:space="preserve"> regularly, although only few are available for the determination of PCDD/Fs and dl-PCBs in biota, for example from NIST (cod liver oil), Cambridge Isotope Laboratories (fish) and the National Research Council Canada (fish) (De Boer and McGovern, 2001). The laboratory should further prove its competence by regular participation in relevant laboratory proficiency tests. It is essential that the matrix and concentration range of the proficiency testing samples are comparable with the samples routinely analysed within the monitoring programme (De Boer, 2001; Wells and de Boer, 2006).</w:t>
      </w:r>
    </w:p>
    <w:p w14:paraId="12AAD7C2" w14:textId="77777777" w:rsidR="00FC360C" w:rsidRPr="004A64B0" w:rsidRDefault="00FC360C" w:rsidP="00617246">
      <w:pPr>
        <w:pStyle w:val="Heading1"/>
      </w:pPr>
      <w:bookmarkStart w:id="350" w:name="_Toc511217628"/>
      <w:r w:rsidRPr="004A64B0">
        <w:t>7</w:t>
      </w:r>
      <w:r w:rsidRPr="004A64B0">
        <w:tab/>
        <w:t>Screening methods based on bioassays</w:t>
      </w:r>
      <w:bookmarkEnd w:id="350"/>
    </w:p>
    <w:p w14:paraId="3F23DC9B" w14:textId="77777777" w:rsidR="00FC360C" w:rsidRPr="004A64B0" w:rsidRDefault="00FC360C" w:rsidP="004A64B0">
      <w:pPr>
        <w:rPr>
          <w:rFonts w:asciiTheme="minorHAnsi" w:hAnsiTheme="minorHAnsi"/>
          <w:szCs w:val="22"/>
        </w:rPr>
      </w:pPr>
      <w:r w:rsidRPr="004A64B0">
        <w:rPr>
          <w:rFonts w:asciiTheme="minorHAnsi" w:hAnsiTheme="minorHAnsi"/>
          <w:szCs w:val="22"/>
        </w:rPr>
        <w:t>Bioassays are not currently applied in the monitoring under the OSPAR Co-ordinated Environmental Monitoring Programme (CEMP), but have been suggested as screening tools for monitoring PCDD/Fs and dl-PCBs in foodstuffs (COMMISSION DIRECTIVE 2002/69/EC), with the requirement to meet the criteria given in Table 9. Screening tools might be useful in, for instance, choice of sampling sites, and will therefore be briefly discussed in this guideline. Hurst et al. (2004) also emphasised that monitoring programmes were moving towards effect-based monitoring, with biological relevance becoming more important. The tool must be capable of rapid, inexpensive and high-throughput screening producing interpretable and meaningful results (Hurst et al., 2004).</w:t>
      </w:r>
    </w:p>
    <w:p w14:paraId="5DD309D0" w14:textId="77777777" w:rsidR="00FC360C" w:rsidRPr="004A64B0" w:rsidRDefault="00FC360C" w:rsidP="004A64B0">
      <w:pPr>
        <w:rPr>
          <w:rFonts w:asciiTheme="minorHAnsi" w:hAnsiTheme="minorHAnsi"/>
          <w:szCs w:val="22"/>
        </w:rPr>
      </w:pPr>
      <w:r w:rsidRPr="004A64B0">
        <w:rPr>
          <w:rFonts w:asciiTheme="minorHAnsi" w:hAnsiTheme="minorHAnsi"/>
          <w:b/>
          <w:szCs w:val="22"/>
        </w:rPr>
        <w:t>Table 9</w:t>
      </w:r>
      <w:r w:rsidR="00617246">
        <w:rPr>
          <w:rFonts w:asciiTheme="minorHAnsi" w:hAnsiTheme="minorHAnsi"/>
          <w:szCs w:val="22"/>
        </w:rPr>
        <w:t>:</w:t>
      </w:r>
      <w:r w:rsidRPr="004A64B0">
        <w:rPr>
          <w:rFonts w:asciiTheme="minorHAnsi" w:hAnsiTheme="minorHAnsi"/>
          <w:b/>
          <w:szCs w:val="22"/>
        </w:rPr>
        <w:tab/>
      </w:r>
      <w:r w:rsidRPr="004A64B0">
        <w:rPr>
          <w:rFonts w:asciiTheme="minorHAnsi" w:hAnsiTheme="minorHAnsi"/>
          <w:szCs w:val="22"/>
        </w:rPr>
        <w:t xml:space="preserve">Quality criteria for screening and verification methods (COMMISSION DIRECTIVE 2002/69/EC)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1949"/>
        <w:gridCol w:w="2300"/>
      </w:tblGrid>
      <w:tr w:rsidR="00FC360C" w:rsidRPr="004A64B0" w14:paraId="1D733E53" w14:textId="77777777" w:rsidTr="002F237A">
        <w:trPr>
          <w:jc w:val="center"/>
        </w:trPr>
        <w:tc>
          <w:tcPr>
            <w:tcW w:w="3259" w:type="dxa"/>
          </w:tcPr>
          <w:p w14:paraId="042C52CC" w14:textId="77777777" w:rsidR="00FC360C" w:rsidRPr="004A64B0" w:rsidRDefault="00FC360C" w:rsidP="004A64B0">
            <w:pPr>
              <w:rPr>
                <w:rFonts w:asciiTheme="minorHAnsi" w:hAnsiTheme="minorHAnsi" w:cs="Arial"/>
                <w:szCs w:val="22"/>
              </w:rPr>
            </w:pPr>
          </w:p>
        </w:tc>
        <w:tc>
          <w:tcPr>
            <w:tcW w:w="1949" w:type="dxa"/>
          </w:tcPr>
          <w:p w14:paraId="3371149B" w14:textId="77777777" w:rsidR="00FC360C" w:rsidRPr="004A64B0" w:rsidRDefault="00FC360C" w:rsidP="004A64B0">
            <w:pPr>
              <w:jc w:val="center"/>
              <w:rPr>
                <w:rFonts w:asciiTheme="minorHAnsi" w:hAnsiTheme="minorHAnsi" w:cs="Arial"/>
                <w:szCs w:val="22"/>
              </w:rPr>
            </w:pPr>
            <w:r w:rsidRPr="004A64B0">
              <w:rPr>
                <w:rFonts w:asciiTheme="minorHAnsi" w:hAnsiTheme="minorHAnsi" w:cs="Arial"/>
                <w:szCs w:val="22"/>
              </w:rPr>
              <w:t>Screening method</w:t>
            </w:r>
          </w:p>
        </w:tc>
        <w:tc>
          <w:tcPr>
            <w:tcW w:w="2300" w:type="dxa"/>
          </w:tcPr>
          <w:p w14:paraId="14305681" w14:textId="77777777" w:rsidR="00FC360C" w:rsidRPr="004A64B0" w:rsidRDefault="00FC360C" w:rsidP="004A64B0">
            <w:pPr>
              <w:jc w:val="center"/>
              <w:rPr>
                <w:rFonts w:asciiTheme="minorHAnsi" w:hAnsiTheme="minorHAnsi" w:cs="Arial"/>
                <w:szCs w:val="22"/>
              </w:rPr>
            </w:pPr>
            <w:r w:rsidRPr="004A64B0">
              <w:rPr>
                <w:rFonts w:asciiTheme="minorHAnsi" w:hAnsiTheme="minorHAnsi" w:cs="Arial"/>
                <w:szCs w:val="22"/>
              </w:rPr>
              <w:t>Verification method</w:t>
            </w:r>
          </w:p>
        </w:tc>
      </w:tr>
      <w:tr w:rsidR="00FC360C" w:rsidRPr="004A64B0" w14:paraId="65E3B83E" w14:textId="77777777" w:rsidTr="002F237A">
        <w:trPr>
          <w:jc w:val="center"/>
        </w:trPr>
        <w:tc>
          <w:tcPr>
            <w:tcW w:w="3259" w:type="dxa"/>
          </w:tcPr>
          <w:p w14:paraId="692AB71D" w14:textId="77777777" w:rsidR="00FC360C" w:rsidRPr="004A64B0" w:rsidRDefault="00FC360C" w:rsidP="004A64B0">
            <w:pPr>
              <w:rPr>
                <w:rFonts w:asciiTheme="minorHAnsi" w:hAnsiTheme="minorHAnsi" w:cs="Arial"/>
                <w:szCs w:val="22"/>
              </w:rPr>
            </w:pPr>
            <w:r w:rsidRPr="004A64B0">
              <w:rPr>
                <w:rFonts w:asciiTheme="minorHAnsi" w:hAnsiTheme="minorHAnsi" w:cs="Arial"/>
                <w:szCs w:val="22"/>
              </w:rPr>
              <w:t>False negatives</w:t>
            </w:r>
          </w:p>
        </w:tc>
        <w:tc>
          <w:tcPr>
            <w:tcW w:w="1949" w:type="dxa"/>
          </w:tcPr>
          <w:p w14:paraId="26BFBFE2" w14:textId="77777777" w:rsidR="00FC360C" w:rsidRPr="004A64B0" w:rsidRDefault="00FC360C" w:rsidP="004A64B0">
            <w:pPr>
              <w:jc w:val="center"/>
              <w:rPr>
                <w:rFonts w:asciiTheme="minorHAnsi" w:hAnsiTheme="minorHAnsi" w:cs="Arial"/>
                <w:szCs w:val="22"/>
              </w:rPr>
            </w:pPr>
            <w:r w:rsidRPr="004A64B0">
              <w:rPr>
                <w:rFonts w:asciiTheme="minorHAnsi" w:hAnsiTheme="minorHAnsi" w:cs="Arial"/>
                <w:szCs w:val="22"/>
              </w:rPr>
              <w:t>&lt; 1%</w:t>
            </w:r>
          </w:p>
        </w:tc>
        <w:tc>
          <w:tcPr>
            <w:tcW w:w="2300" w:type="dxa"/>
          </w:tcPr>
          <w:p w14:paraId="25310D9B" w14:textId="77777777" w:rsidR="00FC360C" w:rsidRPr="004A64B0" w:rsidRDefault="00FC360C" w:rsidP="004A64B0">
            <w:pPr>
              <w:jc w:val="center"/>
              <w:rPr>
                <w:rFonts w:asciiTheme="minorHAnsi" w:hAnsiTheme="minorHAnsi" w:cs="Arial"/>
                <w:szCs w:val="22"/>
              </w:rPr>
            </w:pPr>
          </w:p>
        </w:tc>
      </w:tr>
      <w:tr w:rsidR="00FC360C" w:rsidRPr="004A64B0" w14:paraId="05541C84" w14:textId="77777777" w:rsidTr="002F237A">
        <w:trPr>
          <w:jc w:val="center"/>
        </w:trPr>
        <w:tc>
          <w:tcPr>
            <w:tcW w:w="3259" w:type="dxa"/>
          </w:tcPr>
          <w:p w14:paraId="6C20008E" w14:textId="77777777" w:rsidR="00FC360C" w:rsidRPr="004A64B0" w:rsidRDefault="00FC360C" w:rsidP="004A64B0">
            <w:pPr>
              <w:rPr>
                <w:rFonts w:asciiTheme="minorHAnsi" w:hAnsiTheme="minorHAnsi" w:cs="Arial"/>
                <w:szCs w:val="22"/>
              </w:rPr>
            </w:pPr>
            <w:r w:rsidRPr="004A64B0">
              <w:rPr>
                <w:rFonts w:asciiTheme="minorHAnsi" w:hAnsiTheme="minorHAnsi" w:cs="Arial"/>
                <w:szCs w:val="22"/>
              </w:rPr>
              <w:t>Accuracy</w:t>
            </w:r>
          </w:p>
        </w:tc>
        <w:tc>
          <w:tcPr>
            <w:tcW w:w="1949" w:type="dxa"/>
          </w:tcPr>
          <w:p w14:paraId="22C24638" w14:textId="77777777" w:rsidR="00FC360C" w:rsidRPr="004A64B0" w:rsidRDefault="00FC360C" w:rsidP="004A64B0">
            <w:pPr>
              <w:jc w:val="center"/>
              <w:rPr>
                <w:rFonts w:asciiTheme="minorHAnsi" w:hAnsiTheme="minorHAnsi" w:cs="Arial"/>
                <w:szCs w:val="22"/>
              </w:rPr>
            </w:pPr>
          </w:p>
        </w:tc>
        <w:tc>
          <w:tcPr>
            <w:tcW w:w="2300" w:type="dxa"/>
          </w:tcPr>
          <w:p w14:paraId="120C84EC" w14:textId="77777777" w:rsidR="00FC360C" w:rsidRPr="004A64B0" w:rsidRDefault="00FC360C" w:rsidP="004A64B0">
            <w:pPr>
              <w:jc w:val="center"/>
              <w:rPr>
                <w:rFonts w:asciiTheme="minorHAnsi" w:hAnsiTheme="minorHAnsi" w:cs="Arial"/>
                <w:szCs w:val="22"/>
              </w:rPr>
            </w:pPr>
            <w:r w:rsidRPr="004A64B0">
              <w:rPr>
                <w:rFonts w:asciiTheme="minorHAnsi" w:hAnsiTheme="minorHAnsi" w:cs="Arial"/>
                <w:szCs w:val="22"/>
              </w:rPr>
              <w:sym w:font="Symbol" w:char="F0B1"/>
            </w:r>
            <w:r w:rsidRPr="004A64B0">
              <w:rPr>
                <w:rFonts w:asciiTheme="minorHAnsi" w:hAnsiTheme="minorHAnsi" w:cs="Arial"/>
                <w:szCs w:val="22"/>
              </w:rPr>
              <w:t xml:space="preserve"> 20%</w:t>
            </w:r>
          </w:p>
        </w:tc>
      </w:tr>
      <w:tr w:rsidR="00FC360C" w:rsidRPr="004A64B0" w14:paraId="272AED9E" w14:textId="77777777" w:rsidTr="002F237A">
        <w:trPr>
          <w:jc w:val="center"/>
        </w:trPr>
        <w:tc>
          <w:tcPr>
            <w:tcW w:w="3259" w:type="dxa"/>
          </w:tcPr>
          <w:p w14:paraId="06D6B213" w14:textId="77777777" w:rsidR="00FC360C" w:rsidRPr="004A64B0" w:rsidRDefault="00FC360C" w:rsidP="004A64B0">
            <w:pPr>
              <w:rPr>
                <w:rFonts w:asciiTheme="minorHAnsi" w:hAnsiTheme="minorHAnsi" w:cs="Arial"/>
                <w:szCs w:val="22"/>
              </w:rPr>
            </w:pPr>
            <w:r w:rsidRPr="004A64B0">
              <w:rPr>
                <w:rFonts w:asciiTheme="minorHAnsi" w:hAnsiTheme="minorHAnsi" w:cs="Arial"/>
                <w:szCs w:val="22"/>
              </w:rPr>
              <w:t>Precision (expressed as the coefficient of variation between repeated measurements)</w:t>
            </w:r>
          </w:p>
        </w:tc>
        <w:tc>
          <w:tcPr>
            <w:tcW w:w="1949" w:type="dxa"/>
          </w:tcPr>
          <w:p w14:paraId="757A2644" w14:textId="77777777" w:rsidR="00FC360C" w:rsidRPr="004A64B0" w:rsidRDefault="00FC360C" w:rsidP="004A64B0">
            <w:pPr>
              <w:jc w:val="center"/>
              <w:rPr>
                <w:rFonts w:asciiTheme="minorHAnsi" w:hAnsiTheme="minorHAnsi" w:cs="Arial"/>
                <w:szCs w:val="22"/>
              </w:rPr>
            </w:pPr>
            <w:r w:rsidRPr="004A64B0">
              <w:rPr>
                <w:rFonts w:asciiTheme="minorHAnsi" w:hAnsiTheme="minorHAnsi" w:cs="Arial"/>
                <w:szCs w:val="22"/>
              </w:rPr>
              <w:t>&lt; 30%</w:t>
            </w:r>
          </w:p>
        </w:tc>
        <w:tc>
          <w:tcPr>
            <w:tcW w:w="2300" w:type="dxa"/>
          </w:tcPr>
          <w:p w14:paraId="6A1AF4B7" w14:textId="77777777" w:rsidR="00FC360C" w:rsidRPr="004A64B0" w:rsidRDefault="00FC360C" w:rsidP="004A64B0">
            <w:pPr>
              <w:jc w:val="center"/>
              <w:rPr>
                <w:rFonts w:asciiTheme="minorHAnsi" w:hAnsiTheme="minorHAnsi" w:cs="Arial"/>
                <w:szCs w:val="22"/>
              </w:rPr>
            </w:pPr>
            <w:r w:rsidRPr="004A64B0">
              <w:rPr>
                <w:rFonts w:asciiTheme="minorHAnsi" w:hAnsiTheme="minorHAnsi" w:cs="Arial"/>
                <w:szCs w:val="22"/>
              </w:rPr>
              <w:t>&lt; 15%</w:t>
            </w:r>
          </w:p>
        </w:tc>
      </w:tr>
    </w:tbl>
    <w:p w14:paraId="34EA97C6" w14:textId="77777777" w:rsidR="00FC360C" w:rsidRPr="004A64B0" w:rsidRDefault="00FC360C" w:rsidP="004A64B0">
      <w:pPr>
        <w:rPr>
          <w:rFonts w:asciiTheme="minorHAnsi" w:hAnsiTheme="minorHAnsi"/>
          <w:szCs w:val="22"/>
        </w:rPr>
      </w:pPr>
      <w:r w:rsidRPr="004A64B0">
        <w:rPr>
          <w:rFonts w:asciiTheme="minorHAnsi" w:hAnsiTheme="minorHAnsi"/>
          <w:szCs w:val="22"/>
        </w:rPr>
        <w:t>The dioxin responsive chemically activated luciferase expression (DR-CALUX) assay is mechanism specific and utilises the interaction of compounds with the AhR. However, it is not compound specific and produces a response with all compounds capable of interactions with the AhR. COMMISSION DIRECTIVE 2002/69/EC demands that the TEQ-values determined by bioassays should be the sum of PCDD/Fs and dl-PCBs in the sample, however, Hurst et al. (2004) and Van Leeuwen et al. (2007) demonstrated some disagreement between the results of the bioassay and the conventional targeted HRGC/HRMS analysis. The differences may be caused by unknown compounds producing a dioxin-like response in the CALUX assay (e.g. brominated or mixed halogenated dioxin analogues, polychlorinated naphthalenes, PAHs etc.) – or compounds antagonising the AhR (e.g. di-ortho-substituted PCBs).</w:t>
      </w:r>
    </w:p>
    <w:p w14:paraId="26CD4473" w14:textId="77777777" w:rsidR="00FC360C" w:rsidRPr="004A64B0" w:rsidRDefault="00FC360C" w:rsidP="004A64B0">
      <w:pPr>
        <w:rPr>
          <w:rFonts w:asciiTheme="minorHAnsi" w:hAnsiTheme="minorHAnsi"/>
          <w:szCs w:val="22"/>
        </w:rPr>
      </w:pPr>
      <w:r w:rsidRPr="004A64B0">
        <w:rPr>
          <w:rFonts w:asciiTheme="minorHAnsi" w:hAnsiTheme="minorHAnsi"/>
          <w:szCs w:val="22"/>
        </w:rPr>
        <w:t>These deviations from results of chemical analysis were also considered as an advantage by Hurst et al. (2004), as the assay allows a more accurate assessment of the true potency of dioxin-like compounds present in the samples. In order to obtain specific responses to PCDD/Fs and dl-PCBs in the sample, the extracts require specific clean-up methods to exclude interferences from other dioxin-like compounds. As mentioned above, environmental monitoring aims at presenting concentrations of individaul compounds in the respective samples, rather than toxicity assessments.</w:t>
      </w:r>
    </w:p>
    <w:p w14:paraId="2BC7A820" w14:textId="77777777" w:rsidR="00FC360C" w:rsidRPr="004A64B0" w:rsidRDefault="00FC360C" w:rsidP="00617246">
      <w:pPr>
        <w:pStyle w:val="Heading1"/>
      </w:pPr>
      <w:bookmarkStart w:id="351" w:name="_Toc511217629"/>
      <w:r w:rsidRPr="004A64B0">
        <w:t>8</w:t>
      </w:r>
      <w:r w:rsidRPr="004A64B0">
        <w:tab/>
        <w:t>Safety</w:t>
      </w:r>
      <w:bookmarkEnd w:id="351"/>
    </w:p>
    <w:p w14:paraId="25899DE2" w14:textId="77777777" w:rsidR="00FC360C" w:rsidRPr="004A64B0" w:rsidRDefault="00FC360C" w:rsidP="004A64B0">
      <w:pPr>
        <w:rPr>
          <w:rFonts w:asciiTheme="minorHAnsi" w:hAnsiTheme="minorHAnsi"/>
          <w:szCs w:val="22"/>
        </w:rPr>
      </w:pPr>
      <w:r w:rsidRPr="004A64B0">
        <w:rPr>
          <w:rFonts w:asciiTheme="minorHAnsi" w:hAnsiTheme="minorHAnsi"/>
          <w:szCs w:val="22"/>
        </w:rPr>
        <w:t>The chemical compounds dealt with in this guideline are hazardous and must only be handled by trained personnel familiar with handling of PCDD/F and dl-PCBs, and associated risks as well as precautionary measures. USEPA (1994) recommends that laboratories purchase diluted standard solutions instead of preparing primary solutions.</w:t>
      </w:r>
    </w:p>
    <w:p w14:paraId="2B7A9ACE" w14:textId="77777777" w:rsidR="00FC360C" w:rsidRPr="004A64B0" w:rsidRDefault="00FC360C" w:rsidP="00617246">
      <w:pPr>
        <w:pStyle w:val="Heading1"/>
      </w:pPr>
      <w:bookmarkStart w:id="352" w:name="_Toc511217630"/>
      <w:r w:rsidRPr="004A64B0">
        <w:t>9</w:t>
      </w:r>
      <w:r w:rsidRPr="004A64B0">
        <w:tab/>
        <w:t>Data reporting</w:t>
      </w:r>
      <w:bookmarkEnd w:id="352"/>
    </w:p>
    <w:p w14:paraId="1991910D" w14:textId="77777777" w:rsidR="00FC360C" w:rsidRPr="004A64B0" w:rsidRDefault="00FC360C" w:rsidP="004A64B0">
      <w:pPr>
        <w:rPr>
          <w:rFonts w:asciiTheme="minorHAnsi" w:hAnsiTheme="minorHAnsi"/>
          <w:szCs w:val="22"/>
        </w:rPr>
      </w:pPr>
      <w:r w:rsidRPr="004A64B0">
        <w:rPr>
          <w:rFonts w:asciiTheme="minorHAnsi" w:hAnsiTheme="minorHAnsi"/>
          <w:szCs w:val="22"/>
        </w:rPr>
        <w:t xml:space="preserve">Results are reported in pg/g ww. The lipid content and water content of the samples should be reported as well. For normalizing purposes the total lipid content should be determined, rather than the extractable lipid content (De Boer, 1988). Concentrations are reported to two significant figures. Minimum performance criteria such as LoQ and measurement uncertainty along with information on blanks and reference materials should be included in the report. </w:t>
      </w:r>
    </w:p>
    <w:p w14:paraId="00766CC1" w14:textId="77777777" w:rsidR="00FC360C" w:rsidRPr="004A64B0" w:rsidRDefault="00FC360C" w:rsidP="00617246">
      <w:pPr>
        <w:pStyle w:val="Heading1"/>
      </w:pPr>
      <w:bookmarkStart w:id="353" w:name="_Toc511217631"/>
      <w:r w:rsidRPr="004A64B0">
        <w:t>10</w:t>
      </w:r>
      <w:r w:rsidRPr="004A64B0">
        <w:tab/>
        <w:t>References</w:t>
      </w:r>
      <w:bookmarkEnd w:id="353"/>
    </w:p>
    <w:p w14:paraId="5A36D119" w14:textId="77777777" w:rsidR="00FC360C" w:rsidRPr="004A64B0" w:rsidRDefault="00FC360C" w:rsidP="004A64B0">
      <w:pPr>
        <w:rPr>
          <w:rFonts w:asciiTheme="minorHAnsi" w:hAnsiTheme="minorHAnsi" w:cs="Arial"/>
          <w:szCs w:val="22"/>
        </w:rPr>
      </w:pPr>
      <w:r w:rsidRPr="004A64B0">
        <w:rPr>
          <w:rFonts w:asciiTheme="minorHAnsi" w:hAnsiTheme="minorHAnsi" w:cs="Arial"/>
          <w:szCs w:val="22"/>
        </w:rPr>
        <w:t xml:space="preserve">Bandh, C.; Ishaq, R.; Broman, D.; Näf, C.; Rönquist-Nii, Y.; Zebühr, Y. (1996). </w:t>
      </w:r>
      <w:proofErr w:type="gramStart"/>
      <w:r w:rsidRPr="004A64B0">
        <w:rPr>
          <w:rFonts w:asciiTheme="minorHAnsi" w:hAnsiTheme="minorHAnsi" w:cs="Arial"/>
          <w:szCs w:val="22"/>
        </w:rPr>
        <w:t>Separation for subsequent analysis of PCBs, PCDD/Fs, and PAHs according to aromaticity and planarity using a two-dimensional HPLC system.</w:t>
      </w:r>
      <w:proofErr w:type="gramEnd"/>
      <w:r w:rsidRPr="004A64B0">
        <w:rPr>
          <w:rFonts w:asciiTheme="minorHAnsi" w:hAnsiTheme="minorHAnsi" w:cs="Arial"/>
          <w:szCs w:val="22"/>
        </w:rPr>
        <w:t xml:space="preserve"> Environ. Sci. Technol. 30, 214-219.</w:t>
      </w:r>
    </w:p>
    <w:p w14:paraId="040093A3" w14:textId="77777777" w:rsidR="00FC360C" w:rsidRPr="004A64B0" w:rsidRDefault="00FC360C" w:rsidP="004A64B0">
      <w:pPr>
        <w:rPr>
          <w:rFonts w:asciiTheme="minorHAnsi" w:hAnsiTheme="minorHAnsi" w:cs="Arial"/>
          <w:szCs w:val="22"/>
        </w:rPr>
      </w:pPr>
      <w:proofErr w:type="gramStart"/>
      <w:r w:rsidRPr="004A64B0">
        <w:rPr>
          <w:rFonts w:asciiTheme="minorHAnsi" w:hAnsiTheme="minorHAnsi" w:cs="Arial"/>
          <w:szCs w:val="22"/>
        </w:rPr>
        <w:t>Björklund, E.; Sporring, S.; Wiberg, K.; Haglund, P.; von Holst, C. (2006).</w:t>
      </w:r>
      <w:proofErr w:type="gramEnd"/>
      <w:r w:rsidRPr="004A64B0">
        <w:rPr>
          <w:rFonts w:asciiTheme="minorHAnsi" w:hAnsiTheme="minorHAnsi" w:cs="Arial"/>
          <w:szCs w:val="22"/>
        </w:rPr>
        <w:t xml:space="preserve"> New strategies for extraction and clean-up of persistent organic pollutants from food and feed s</w:t>
      </w:r>
      <w:r w:rsidR="00B33CCD">
        <w:rPr>
          <w:rFonts w:asciiTheme="minorHAnsi" w:hAnsiTheme="minorHAnsi" w:cs="Arial"/>
          <w:szCs w:val="22"/>
        </w:rPr>
        <w:t>amples using selective pressuris</w:t>
      </w:r>
      <w:r w:rsidRPr="004A64B0">
        <w:rPr>
          <w:rFonts w:asciiTheme="minorHAnsi" w:hAnsiTheme="minorHAnsi" w:cs="Arial"/>
          <w:szCs w:val="22"/>
        </w:rPr>
        <w:t>ed liquid extraction. TrAC 25, 318-325.</w:t>
      </w:r>
    </w:p>
    <w:p w14:paraId="252C9435" w14:textId="77777777" w:rsidR="00FC360C" w:rsidRPr="004A64B0" w:rsidRDefault="00FC360C" w:rsidP="004A64B0">
      <w:pPr>
        <w:rPr>
          <w:rFonts w:asciiTheme="minorHAnsi" w:hAnsiTheme="minorHAnsi" w:cs="Arial"/>
          <w:szCs w:val="22"/>
        </w:rPr>
      </w:pPr>
      <w:proofErr w:type="gramStart"/>
      <w:r w:rsidRPr="004A64B0">
        <w:rPr>
          <w:rFonts w:asciiTheme="minorHAnsi" w:hAnsiTheme="minorHAnsi" w:cs="Arial"/>
          <w:szCs w:val="22"/>
        </w:rPr>
        <w:t>Bligh, E.G.; Dyer, W.J.</w:t>
      </w:r>
      <w:r w:rsidR="00B33CCD">
        <w:rPr>
          <w:rFonts w:asciiTheme="minorHAnsi" w:hAnsiTheme="minorHAnsi" w:cs="Arial"/>
          <w:szCs w:val="22"/>
        </w:rPr>
        <w:t xml:space="preserve"> </w:t>
      </w:r>
      <w:r w:rsidRPr="004A64B0">
        <w:rPr>
          <w:rFonts w:asciiTheme="minorHAnsi" w:hAnsiTheme="minorHAnsi" w:cs="Arial"/>
          <w:szCs w:val="22"/>
        </w:rPr>
        <w:t>(1959).</w:t>
      </w:r>
      <w:proofErr w:type="gramEnd"/>
      <w:r w:rsidRPr="004A64B0">
        <w:rPr>
          <w:rFonts w:asciiTheme="minorHAnsi" w:hAnsiTheme="minorHAnsi" w:cs="Arial"/>
          <w:szCs w:val="22"/>
        </w:rPr>
        <w:t xml:space="preserve"> </w:t>
      </w:r>
      <w:proofErr w:type="gramStart"/>
      <w:r w:rsidRPr="004A64B0">
        <w:rPr>
          <w:rFonts w:asciiTheme="minorHAnsi" w:hAnsiTheme="minorHAnsi" w:cs="Arial"/>
          <w:szCs w:val="22"/>
        </w:rPr>
        <w:t>A rapid method of total lipid extraction and purification.</w:t>
      </w:r>
      <w:proofErr w:type="gramEnd"/>
      <w:r w:rsidRPr="004A64B0">
        <w:rPr>
          <w:rFonts w:asciiTheme="minorHAnsi" w:hAnsiTheme="minorHAnsi" w:cs="Arial"/>
          <w:szCs w:val="22"/>
        </w:rPr>
        <w:t xml:space="preserve"> </w:t>
      </w:r>
      <w:proofErr w:type="gramStart"/>
      <w:r w:rsidRPr="004A64B0">
        <w:rPr>
          <w:rFonts w:asciiTheme="minorHAnsi" w:hAnsiTheme="minorHAnsi" w:cs="Arial"/>
          <w:szCs w:val="22"/>
        </w:rPr>
        <w:t>Can. J. Biochem.</w:t>
      </w:r>
      <w:proofErr w:type="gramEnd"/>
      <w:r w:rsidRPr="004A64B0">
        <w:rPr>
          <w:rFonts w:asciiTheme="minorHAnsi" w:hAnsiTheme="minorHAnsi" w:cs="Arial"/>
          <w:szCs w:val="22"/>
        </w:rPr>
        <w:t xml:space="preserve"> Physiol. 37, 911-917.</w:t>
      </w:r>
    </w:p>
    <w:p w14:paraId="3A3E6D60" w14:textId="77777777" w:rsidR="00FC360C" w:rsidRPr="004A64B0" w:rsidRDefault="00FC360C" w:rsidP="004A64B0">
      <w:pPr>
        <w:rPr>
          <w:rFonts w:asciiTheme="minorHAnsi" w:hAnsiTheme="minorHAnsi" w:cs="Arial"/>
          <w:szCs w:val="22"/>
        </w:rPr>
      </w:pPr>
      <w:proofErr w:type="gramStart"/>
      <w:r w:rsidRPr="004A64B0">
        <w:rPr>
          <w:rFonts w:asciiTheme="minorHAnsi" w:hAnsiTheme="minorHAnsi" w:cs="Arial"/>
          <w:szCs w:val="22"/>
        </w:rPr>
        <w:t>Cochran, J.; Dorman, F.; Stidsen, G.; Reese, S.; MacPherson, K.; Kolic, T.; Reiner, E.; Ryan, J.; Bradley, J.; Cray, D.; Priest, B. (2007).</w:t>
      </w:r>
      <w:proofErr w:type="gramEnd"/>
      <w:r w:rsidRPr="004A64B0">
        <w:rPr>
          <w:rFonts w:asciiTheme="minorHAnsi" w:hAnsiTheme="minorHAnsi" w:cs="Arial"/>
          <w:szCs w:val="22"/>
        </w:rPr>
        <w:t xml:space="preserve"> Retention times and coelutions for all 136 tetra- through octa- chlorinated dioxins and furans on a unique, low-bleed thermally-stable gas chromatography column. Organohalogen Compounds, 69, 1146-1149.</w:t>
      </w:r>
    </w:p>
    <w:p w14:paraId="07F6D797" w14:textId="77777777" w:rsidR="00FC360C" w:rsidRPr="004A64B0" w:rsidRDefault="00FC360C" w:rsidP="004A64B0">
      <w:pPr>
        <w:rPr>
          <w:rFonts w:asciiTheme="minorHAnsi" w:hAnsiTheme="minorHAnsi" w:cs="Arial"/>
          <w:szCs w:val="22"/>
        </w:rPr>
      </w:pPr>
      <w:proofErr w:type="gramStart"/>
      <w:r w:rsidRPr="004A64B0">
        <w:rPr>
          <w:rFonts w:asciiTheme="minorHAnsi" w:hAnsiTheme="minorHAnsi" w:cs="Arial"/>
          <w:bCs/>
          <w:szCs w:val="22"/>
        </w:rPr>
        <w:t>COMMISSION DIRECTIVE 2002/69/EC of 26 July 2002 laying down the sampling methods and the methods of analysis for the official control of dioxins and the determination of dioxin-like PCBs in foodstuffs.</w:t>
      </w:r>
      <w:proofErr w:type="gramEnd"/>
      <w:r w:rsidRPr="004A64B0">
        <w:rPr>
          <w:rFonts w:asciiTheme="minorHAnsi" w:hAnsiTheme="minorHAnsi" w:cs="Arial"/>
          <w:bCs/>
          <w:szCs w:val="22"/>
        </w:rPr>
        <w:t xml:space="preserve"> Off. J. Eur. Comm. L 209, 5-14, 06.08.2002</w:t>
      </w:r>
    </w:p>
    <w:p w14:paraId="23B97BEC" w14:textId="77777777" w:rsidR="00FC360C" w:rsidRPr="004A64B0" w:rsidRDefault="00FC360C" w:rsidP="004A64B0">
      <w:pPr>
        <w:rPr>
          <w:rFonts w:asciiTheme="minorHAnsi" w:hAnsiTheme="minorHAnsi" w:cs="Arial"/>
          <w:szCs w:val="22"/>
        </w:rPr>
      </w:pPr>
      <w:proofErr w:type="gramStart"/>
      <w:r w:rsidRPr="004A64B0">
        <w:rPr>
          <w:rFonts w:asciiTheme="minorHAnsi" w:hAnsiTheme="minorHAnsi" w:cs="Arial"/>
          <w:szCs w:val="22"/>
        </w:rPr>
        <w:t>Daelemans F.F.; Mehlum F.; Schepens P.J.C. (1992).</w:t>
      </w:r>
      <w:proofErr w:type="gramEnd"/>
      <w:r w:rsidRPr="004A64B0">
        <w:rPr>
          <w:rFonts w:asciiTheme="minorHAnsi" w:hAnsiTheme="minorHAnsi" w:cs="Arial"/>
          <w:szCs w:val="22"/>
        </w:rPr>
        <w:t xml:space="preserve"> </w:t>
      </w:r>
      <w:proofErr w:type="gramStart"/>
      <w:r w:rsidRPr="004A64B0">
        <w:rPr>
          <w:rFonts w:asciiTheme="minorHAnsi" w:hAnsiTheme="minorHAnsi" w:cs="Arial"/>
          <w:szCs w:val="22"/>
        </w:rPr>
        <w:t>Polychlorinated biphenyls in two species of Arctic seabirds from the Svalbard Area.</w:t>
      </w:r>
      <w:proofErr w:type="gramEnd"/>
      <w:r w:rsidRPr="004A64B0">
        <w:rPr>
          <w:rFonts w:asciiTheme="minorHAnsi" w:hAnsiTheme="minorHAnsi" w:cs="Arial"/>
          <w:szCs w:val="22"/>
        </w:rPr>
        <w:t xml:space="preserve"> Bull. Environ. </w:t>
      </w:r>
      <w:proofErr w:type="gramStart"/>
      <w:r w:rsidRPr="004A64B0">
        <w:rPr>
          <w:rFonts w:asciiTheme="minorHAnsi" w:hAnsiTheme="minorHAnsi" w:cs="Arial"/>
          <w:szCs w:val="22"/>
        </w:rPr>
        <w:t>Contam.</w:t>
      </w:r>
      <w:proofErr w:type="gramEnd"/>
      <w:r w:rsidRPr="004A64B0">
        <w:rPr>
          <w:rFonts w:asciiTheme="minorHAnsi" w:hAnsiTheme="minorHAnsi" w:cs="Arial"/>
          <w:szCs w:val="22"/>
        </w:rPr>
        <w:t xml:space="preserve"> </w:t>
      </w:r>
      <w:proofErr w:type="gramStart"/>
      <w:r w:rsidRPr="004A64B0">
        <w:rPr>
          <w:rFonts w:asciiTheme="minorHAnsi" w:hAnsiTheme="minorHAnsi" w:cs="Arial"/>
          <w:szCs w:val="22"/>
        </w:rPr>
        <w:t>Toxicol.</w:t>
      </w:r>
      <w:proofErr w:type="gramEnd"/>
      <w:r w:rsidRPr="004A64B0">
        <w:rPr>
          <w:rFonts w:asciiTheme="minorHAnsi" w:hAnsiTheme="minorHAnsi" w:cs="Arial"/>
          <w:szCs w:val="22"/>
        </w:rPr>
        <w:t xml:space="preserve"> 48, 828-834.</w:t>
      </w:r>
    </w:p>
    <w:p w14:paraId="1DD3CBD4" w14:textId="77777777" w:rsidR="00FC360C" w:rsidRPr="004A64B0" w:rsidRDefault="00FC360C" w:rsidP="004A64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Cs w:val="22"/>
          <w:lang w:eastAsia="nl-NL"/>
        </w:rPr>
      </w:pPr>
      <w:r w:rsidRPr="004A64B0">
        <w:rPr>
          <w:rFonts w:asciiTheme="minorHAnsi" w:hAnsiTheme="minorHAnsi" w:cs="Arial"/>
          <w:szCs w:val="22"/>
        </w:rPr>
        <w:t xml:space="preserve">De Boer, J. (1988). </w:t>
      </w:r>
      <w:proofErr w:type="gramStart"/>
      <w:r w:rsidRPr="004A64B0">
        <w:rPr>
          <w:rFonts w:asciiTheme="minorHAnsi" w:hAnsiTheme="minorHAnsi" w:cs="Arial"/>
          <w:szCs w:val="22"/>
        </w:rPr>
        <w:t>Chlorobiphenyls in bound and non-bound lipids of fishes; comparison of different extraction methods.</w:t>
      </w:r>
      <w:proofErr w:type="gramEnd"/>
      <w:r w:rsidRPr="004A64B0">
        <w:rPr>
          <w:rFonts w:asciiTheme="minorHAnsi" w:hAnsiTheme="minorHAnsi" w:cs="Arial"/>
          <w:szCs w:val="22"/>
        </w:rPr>
        <w:t xml:space="preserve"> Chemosphere 17, 1803-1810.</w:t>
      </w:r>
    </w:p>
    <w:p w14:paraId="613F353E" w14:textId="77777777" w:rsidR="00FC360C" w:rsidRPr="004A64B0" w:rsidRDefault="00FC360C" w:rsidP="004A64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bCs/>
          <w:szCs w:val="22"/>
        </w:rPr>
      </w:pPr>
      <w:r w:rsidRPr="004A64B0">
        <w:rPr>
          <w:rFonts w:asciiTheme="minorHAnsi" w:hAnsiTheme="minorHAnsi" w:cs="Arial"/>
          <w:bCs/>
          <w:szCs w:val="22"/>
        </w:rPr>
        <w:t xml:space="preserve">De Boer, J. (2001). </w:t>
      </w:r>
      <w:proofErr w:type="gramStart"/>
      <w:r w:rsidRPr="004A64B0">
        <w:rPr>
          <w:rFonts w:asciiTheme="minorHAnsi" w:hAnsiTheme="minorHAnsi" w:cs="Arial"/>
          <w:bCs/>
          <w:szCs w:val="22"/>
        </w:rPr>
        <w:t>Fresh materials.</w:t>
      </w:r>
      <w:proofErr w:type="gramEnd"/>
      <w:r w:rsidRPr="004A64B0">
        <w:rPr>
          <w:rFonts w:asciiTheme="minorHAnsi" w:hAnsiTheme="minorHAnsi" w:cs="Arial"/>
          <w:bCs/>
          <w:szCs w:val="22"/>
        </w:rPr>
        <w:t xml:space="preserve"> In: Reference materials for chemical analysis: certification, availability and proper usage, M. Stoeppler, W.R. Wolf, P.J. Jenks (eds.), J. Wiley &amp; Sons, New York, pp. 121-127.</w:t>
      </w:r>
    </w:p>
    <w:p w14:paraId="50EA7253" w14:textId="77777777" w:rsidR="00FC360C" w:rsidRPr="004A64B0" w:rsidRDefault="00FC360C" w:rsidP="004A64B0">
      <w:pPr>
        <w:rPr>
          <w:rFonts w:asciiTheme="minorHAnsi" w:hAnsiTheme="minorHAnsi" w:cs="Arial"/>
          <w:szCs w:val="22"/>
        </w:rPr>
      </w:pPr>
      <w:proofErr w:type="gramStart"/>
      <w:r w:rsidRPr="004A64B0">
        <w:rPr>
          <w:rFonts w:asciiTheme="minorHAnsi" w:hAnsiTheme="minorHAnsi" w:cs="Arial"/>
          <w:szCs w:val="22"/>
        </w:rPr>
        <w:t>De Boer, J.; McGovern, E. (2001).</w:t>
      </w:r>
      <w:proofErr w:type="gramEnd"/>
      <w:r w:rsidRPr="004A64B0">
        <w:rPr>
          <w:rFonts w:asciiTheme="minorHAnsi" w:hAnsiTheme="minorHAnsi" w:cs="Arial"/>
          <w:szCs w:val="22"/>
        </w:rPr>
        <w:t xml:space="preserve"> </w:t>
      </w:r>
      <w:proofErr w:type="gramStart"/>
      <w:r w:rsidRPr="004A64B0">
        <w:rPr>
          <w:rFonts w:asciiTheme="minorHAnsi" w:hAnsiTheme="minorHAnsi" w:cs="Arial"/>
          <w:szCs w:val="22"/>
        </w:rPr>
        <w:t>Certified reference materials for organic contaminants for use in monitoring of the aquatic environment.</w:t>
      </w:r>
      <w:proofErr w:type="gramEnd"/>
      <w:r w:rsidRPr="004A64B0">
        <w:rPr>
          <w:rFonts w:asciiTheme="minorHAnsi" w:hAnsiTheme="minorHAnsi" w:cs="Arial"/>
          <w:szCs w:val="22"/>
        </w:rPr>
        <w:t xml:space="preserve"> Trends Anal. Chem. 20, 140-159.</w:t>
      </w:r>
    </w:p>
    <w:p w14:paraId="4D30BC15" w14:textId="77777777" w:rsidR="00FC360C" w:rsidRPr="004A64B0" w:rsidRDefault="00FC360C" w:rsidP="004A64B0">
      <w:pPr>
        <w:rPr>
          <w:rFonts w:asciiTheme="minorHAnsi" w:hAnsiTheme="minorHAnsi" w:cs="Arial"/>
          <w:szCs w:val="22"/>
        </w:rPr>
      </w:pPr>
      <w:proofErr w:type="gramStart"/>
      <w:r w:rsidRPr="004A64B0">
        <w:rPr>
          <w:rFonts w:asciiTheme="minorHAnsi" w:hAnsiTheme="minorHAnsi" w:cs="Arial"/>
          <w:szCs w:val="22"/>
        </w:rPr>
        <w:t>De Boer, J.; Smedes, F. (1997).</w:t>
      </w:r>
      <w:proofErr w:type="gramEnd"/>
      <w:r w:rsidRPr="004A64B0">
        <w:rPr>
          <w:rFonts w:asciiTheme="minorHAnsi" w:hAnsiTheme="minorHAnsi" w:cs="Arial"/>
          <w:szCs w:val="22"/>
        </w:rPr>
        <w:t xml:space="preserve"> </w:t>
      </w:r>
      <w:proofErr w:type="gramStart"/>
      <w:r w:rsidRPr="004A64B0">
        <w:rPr>
          <w:rFonts w:asciiTheme="minorHAnsi" w:hAnsiTheme="minorHAnsi" w:cs="Arial"/>
          <w:szCs w:val="22"/>
        </w:rPr>
        <w:t>Effects of storage conditions of biological reference materials on the contents of organochlorine compounds and mercury.</w:t>
      </w:r>
      <w:proofErr w:type="gramEnd"/>
      <w:r w:rsidRPr="004A64B0">
        <w:rPr>
          <w:rFonts w:asciiTheme="minorHAnsi" w:hAnsiTheme="minorHAnsi" w:cs="Arial"/>
          <w:szCs w:val="22"/>
        </w:rPr>
        <w:t xml:space="preserve"> Mar. Pollut. Bull. 35, 93-108.</w:t>
      </w:r>
    </w:p>
    <w:p w14:paraId="61AC5AFA" w14:textId="77777777" w:rsidR="00FC360C" w:rsidRPr="004A64B0" w:rsidRDefault="00FC360C" w:rsidP="004A64B0">
      <w:pPr>
        <w:rPr>
          <w:rFonts w:asciiTheme="minorHAnsi" w:hAnsiTheme="minorHAnsi" w:cs="Arial"/>
          <w:szCs w:val="22"/>
        </w:rPr>
      </w:pPr>
      <w:r w:rsidRPr="004A64B0">
        <w:rPr>
          <w:rFonts w:asciiTheme="minorHAnsi" w:hAnsiTheme="minorHAnsi" w:cs="Arial"/>
          <w:szCs w:val="22"/>
        </w:rPr>
        <w:t>Dyke P.H.; Foan C.; Fiedler H. (2003). PCB and PAH releases from power stations and waste incineration processes in the UK. Chemosphere 50, 469-480.</w:t>
      </w:r>
    </w:p>
    <w:p w14:paraId="2C2B117F" w14:textId="77777777" w:rsidR="00FC360C" w:rsidRPr="004A64B0" w:rsidRDefault="00FC360C" w:rsidP="004A64B0">
      <w:pPr>
        <w:rPr>
          <w:rFonts w:asciiTheme="minorHAnsi" w:hAnsiTheme="minorHAnsi" w:cs="Arial"/>
          <w:szCs w:val="22"/>
        </w:rPr>
      </w:pPr>
      <w:r w:rsidRPr="004A64B0">
        <w:rPr>
          <w:rFonts w:asciiTheme="minorHAnsi" w:hAnsiTheme="minorHAnsi" w:cs="Arial"/>
          <w:szCs w:val="22"/>
        </w:rPr>
        <w:t xml:space="preserve">Echols, K. R.; Gale, R. W.; Felz, K.; O’Laughlin, J.; Tillitt, D. E.; Schwartz, T. R. (1998). </w:t>
      </w:r>
      <w:proofErr w:type="gramStart"/>
      <w:r w:rsidRPr="004A64B0">
        <w:rPr>
          <w:rFonts w:asciiTheme="minorHAnsi" w:hAnsiTheme="minorHAnsi" w:cs="Arial"/>
          <w:szCs w:val="22"/>
        </w:rPr>
        <w:t>Loading capacity and chromatographic behavior of a porous graphitic carbon column for polychlorinated biphenyls.</w:t>
      </w:r>
      <w:proofErr w:type="gramEnd"/>
      <w:r w:rsidRPr="004A64B0">
        <w:rPr>
          <w:rFonts w:asciiTheme="minorHAnsi" w:hAnsiTheme="minorHAnsi" w:cs="Arial"/>
          <w:szCs w:val="22"/>
        </w:rPr>
        <w:t xml:space="preserve"> Journal of Chromatography A, 811, 135-144.</w:t>
      </w:r>
    </w:p>
    <w:p w14:paraId="0B4B0577" w14:textId="77777777" w:rsidR="00FC360C" w:rsidRPr="004A64B0" w:rsidRDefault="00FC360C" w:rsidP="004A64B0">
      <w:pPr>
        <w:rPr>
          <w:rFonts w:asciiTheme="minorHAnsi" w:hAnsiTheme="minorHAnsi" w:cs="Arial"/>
          <w:szCs w:val="22"/>
        </w:rPr>
      </w:pPr>
      <w:proofErr w:type="gramStart"/>
      <w:r w:rsidRPr="004A64B0">
        <w:rPr>
          <w:rFonts w:asciiTheme="minorHAnsi" w:hAnsiTheme="minorHAnsi" w:cs="Arial"/>
          <w:szCs w:val="22"/>
        </w:rPr>
        <w:t>Eppe, G.; Focant, J-F.; Pirard, C.; De Pauw, E. (2004).</w:t>
      </w:r>
      <w:proofErr w:type="gramEnd"/>
      <w:r w:rsidRPr="004A64B0">
        <w:rPr>
          <w:rFonts w:asciiTheme="minorHAnsi" w:hAnsiTheme="minorHAnsi" w:cs="Arial"/>
          <w:szCs w:val="22"/>
        </w:rPr>
        <w:t xml:space="preserve"> PTV-LV-GC/MS/MS as screening and complementary method to HRMS for the monitoring of dioxin levels in food and feed. Talanta 63, 1135-1146.</w:t>
      </w:r>
    </w:p>
    <w:p w14:paraId="581D4EEA" w14:textId="77777777" w:rsidR="00FC360C" w:rsidRPr="004A64B0" w:rsidRDefault="00FC360C" w:rsidP="004A64B0">
      <w:pPr>
        <w:rPr>
          <w:rFonts w:asciiTheme="minorHAnsi" w:hAnsiTheme="minorHAnsi" w:cs="Arial"/>
          <w:szCs w:val="22"/>
        </w:rPr>
      </w:pPr>
      <w:proofErr w:type="gramStart"/>
      <w:r w:rsidRPr="004A64B0">
        <w:rPr>
          <w:rFonts w:asciiTheme="minorHAnsi" w:hAnsiTheme="minorHAnsi" w:cs="Arial"/>
          <w:szCs w:val="22"/>
        </w:rPr>
        <w:t>Fishman, V. N.; Martin G.D.; Lamparski (2007).</w:t>
      </w:r>
      <w:proofErr w:type="gramEnd"/>
      <w:r w:rsidRPr="004A64B0">
        <w:rPr>
          <w:rFonts w:asciiTheme="minorHAnsi" w:hAnsiTheme="minorHAnsi" w:cs="Arial"/>
          <w:szCs w:val="22"/>
        </w:rPr>
        <w:t xml:space="preserve"> </w:t>
      </w:r>
      <w:proofErr w:type="gramStart"/>
      <w:r w:rsidRPr="004A64B0">
        <w:rPr>
          <w:rFonts w:asciiTheme="minorHAnsi" w:hAnsiTheme="minorHAnsi" w:cs="Arial"/>
          <w:szCs w:val="22"/>
        </w:rPr>
        <w:t>Comparison of a variety of gas chromatographic columns with different polarities for the separation of chlorinated dibenzo-p-dioxins and dibenzofurans by high-resolution mass spectrometry.</w:t>
      </w:r>
      <w:proofErr w:type="gramEnd"/>
      <w:r w:rsidRPr="004A64B0">
        <w:rPr>
          <w:rFonts w:asciiTheme="minorHAnsi" w:hAnsiTheme="minorHAnsi" w:cs="Arial"/>
          <w:szCs w:val="22"/>
        </w:rPr>
        <w:t xml:space="preserve"> J. Chromatography A, 1139, 285-300.</w:t>
      </w:r>
    </w:p>
    <w:p w14:paraId="7769590C" w14:textId="77777777" w:rsidR="00FC360C" w:rsidRPr="004A64B0" w:rsidRDefault="00FC360C" w:rsidP="004A64B0">
      <w:pPr>
        <w:rPr>
          <w:rFonts w:asciiTheme="minorHAnsi" w:hAnsiTheme="minorHAnsi" w:cs="Arial"/>
          <w:szCs w:val="22"/>
        </w:rPr>
      </w:pPr>
      <w:proofErr w:type="gramStart"/>
      <w:r w:rsidRPr="004A64B0">
        <w:rPr>
          <w:rFonts w:asciiTheme="minorHAnsi" w:hAnsiTheme="minorHAnsi" w:cs="Arial"/>
          <w:szCs w:val="22"/>
        </w:rPr>
        <w:t>Focant, J-F.; Picard, C.; De Pauw, E. (2004).</w:t>
      </w:r>
      <w:proofErr w:type="gramEnd"/>
      <w:r w:rsidRPr="004A64B0">
        <w:rPr>
          <w:rFonts w:asciiTheme="minorHAnsi" w:hAnsiTheme="minorHAnsi" w:cs="Arial"/>
          <w:szCs w:val="22"/>
        </w:rPr>
        <w:t xml:space="preserve"> Automated sample preparation-fractionation for the measurement of dioxins and related compounds in biological matrices: a review. Talanta, 63, 1101-1113.</w:t>
      </w:r>
    </w:p>
    <w:p w14:paraId="1F8A0CBC" w14:textId="77777777" w:rsidR="00FC360C" w:rsidRPr="004A64B0" w:rsidRDefault="00FC360C" w:rsidP="004A64B0">
      <w:pPr>
        <w:rPr>
          <w:rFonts w:asciiTheme="minorHAnsi" w:hAnsiTheme="minorHAnsi" w:cs="Arial"/>
          <w:szCs w:val="22"/>
        </w:rPr>
      </w:pPr>
      <w:proofErr w:type="gramStart"/>
      <w:r w:rsidRPr="004A64B0">
        <w:rPr>
          <w:rFonts w:asciiTheme="minorHAnsi" w:hAnsiTheme="minorHAnsi" w:cs="Arial"/>
          <w:szCs w:val="22"/>
        </w:rPr>
        <w:t>Focant, J-F.; Picard, C.; Eppe, G.; De Pauw, E. (2005).</w:t>
      </w:r>
      <w:proofErr w:type="gramEnd"/>
      <w:r w:rsidRPr="004A64B0">
        <w:rPr>
          <w:rFonts w:asciiTheme="minorHAnsi" w:hAnsiTheme="minorHAnsi" w:cs="Arial"/>
          <w:szCs w:val="22"/>
        </w:rPr>
        <w:t xml:space="preserve"> Recent advances in mass spectrometric measurement of dioxins. J. Chromatography A, 1067, 265-275.</w:t>
      </w:r>
    </w:p>
    <w:p w14:paraId="0E174704" w14:textId="77777777" w:rsidR="00FC360C" w:rsidRPr="004A64B0" w:rsidRDefault="00FC360C" w:rsidP="004A64B0">
      <w:pPr>
        <w:rPr>
          <w:rFonts w:asciiTheme="minorHAnsi" w:hAnsiTheme="minorHAnsi" w:cs="Arial"/>
          <w:szCs w:val="22"/>
        </w:rPr>
      </w:pPr>
      <w:r w:rsidRPr="004A64B0">
        <w:rPr>
          <w:rFonts w:asciiTheme="minorHAnsi" w:hAnsiTheme="minorHAnsi" w:cs="Arial"/>
          <w:szCs w:val="22"/>
        </w:rPr>
        <w:t xml:space="preserve">Haglund, P.; Korytár, P.; Danielsson, C.; Diaz, J.; Wiberg, K.; Leonards, P.; Brinkman, U.A.T.; de Boer, J. (2008). GCxGC-ECD: a promising method for determination of dioxins and dioxin-like PCBs in food and feed. </w:t>
      </w:r>
      <w:proofErr w:type="gramStart"/>
      <w:r w:rsidRPr="004A64B0">
        <w:rPr>
          <w:rFonts w:asciiTheme="minorHAnsi" w:hAnsiTheme="minorHAnsi" w:cs="Arial"/>
          <w:szCs w:val="22"/>
        </w:rPr>
        <w:t>Anal.</w:t>
      </w:r>
      <w:proofErr w:type="gramEnd"/>
      <w:r w:rsidRPr="004A64B0">
        <w:rPr>
          <w:rFonts w:asciiTheme="minorHAnsi" w:hAnsiTheme="minorHAnsi" w:cs="Arial"/>
          <w:szCs w:val="22"/>
        </w:rPr>
        <w:t xml:space="preserve"> </w:t>
      </w:r>
      <w:proofErr w:type="gramStart"/>
      <w:r w:rsidRPr="004A64B0">
        <w:rPr>
          <w:rFonts w:asciiTheme="minorHAnsi" w:hAnsiTheme="minorHAnsi" w:cs="Arial"/>
          <w:szCs w:val="22"/>
        </w:rPr>
        <w:t>Bioanal.</w:t>
      </w:r>
      <w:proofErr w:type="gramEnd"/>
      <w:r w:rsidRPr="004A64B0">
        <w:rPr>
          <w:rFonts w:asciiTheme="minorHAnsi" w:hAnsiTheme="minorHAnsi" w:cs="Arial"/>
          <w:szCs w:val="22"/>
        </w:rPr>
        <w:t xml:space="preserve"> Chem. 390, 1815-1827.</w:t>
      </w:r>
    </w:p>
    <w:p w14:paraId="2E0C1934" w14:textId="53AAD914" w:rsidR="00FC360C" w:rsidRPr="004A64B0" w:rsidRDefault="00FC360C" w:rsidP="004A64B0">
      <w:pPr>
        <w:rPr>
          <w:rFonts w:asciiTheme="minorHAnsi" w:hAnsiTheme="minorHAnsi" w:cs="Arial"/>
          <w:szCs w:val="22"/>
        </w:rPr>
      </w:pPr>
      <w:proofErr w:type="gramStart"/>
      <w:r w:rsidRPr="004A64B0">
        <w:rPr>
          <w:rFonts w:asciiTheme="minorHAnsi" w:hAnsiTheme="minorHAnsi" w:cs="Arial"/>
          <w:szCs w:val="22"/>
        </w:rPr>
        <w:t>Hanson, S. W. F.; Olley, J. (1963).</w:t>
      </w:r>
      <w:proofErr w:type="gramEnd"/>
      <w:r w:rsidRPr="004A64B0">
        <w:rPr>
          <w:rFonts w:asciiTheme="minorHAnsi" w:hAnsiTheme="minorHAnsi" w:cs="Arial"/>
          <w:szCs w:val="22"/>
        </w:rPr>
        <w:t xml:space="preserve"> </w:t>
      </w:r>
      <w:proofErr w:type="gramStart"/>
      <w:r w:rsidRPr="004A64B0">
        <w:rPr>
          <w:rFonts w:asciiTheme="minorHAnsi" w:hAnsiTheme="minorHAnsi" w:cs="Arial"/>
          <w:szCs w:val="22"/>
        </w:rPr>
        <w:t>Application of the Bligh and Dyer method of lipid extraction to tissue hom</w:t>
      </w:r>
      <w:r w:rsidR="00AA7C8C">
        <w:rPr>
          <w:rFonts w:asciiTheme="minorHAnsi" w:hAnsiTheme="minorHAnsi" w:cs="Arial"/>
          <w:szCs w:val="22"/>
        </w:rPr>
        <w:t>ogenates.</w:t>
      </w:r>
      <w:proofErr w:type="gramEnd"/>
      <w:r w:rsidR="00AA7C8C">
        <w:rPr>
          <w:rFonts w:asciiTheme="minorHAnsi" w:hAnsiTheme="minorHAnsi" w:cs="Arial"/>
          <w:szCs w:val="22"/>
        </w:rPr>
        <w:t xml:space="preserve"> </w:t>
      </w:r>
      <w:proofErr w:type="gramStart"/>
      <w:r w:rsidR="00AA7C8C">
        <w:rPr>
          <w:rFonts w:asciiTheme="minorHAnsi" w:hAnsiTheme="minorHAnsi" w:cs="Arial"/>
          <w:szCs w:val="22"/>
        </w:rPr>
        <w:t>Biochem.</w:t>
      </w:r>
      <w:proofErr w:type="gramEnd"/>
      <w:r w:rsidR="00AA7C8C">
        <w:rPr>
          <w:rFonts w:asciiTheme="minorHAnsi" w:hAnsiTheme="minorHAnsi" w:cs="Arial"/>
          <w:szCs w:val="22"/>
        </w:rPr>
        <w:t xml:space="preserve"> J. 89, 101-</w:t>
      </w:r>
      <w:r w:rsidRPr="004A64B0">
        <w:rPr>
          <w:rFonts w:asciiTheme="minorHAnsi" w:hAnsiTheme="minorHAnsi" w:cs="Arial"/>
          <w:szCs w:val="22"/>
        </w:rPr>
        <w:t>102.</w:t>
      </w:r>
    </w:p>
    <w:p w14:paraId="212FB4F0" w14:textId="77777777" w:rsidR="00FC360C" w:rsidRPr="004A64B0" w:rsidRDefault="00FC360C" w:rsidP="004A64B0">
      <w:pPr>
        <w:rPr>
          <w:rFonts w:asciiTheme="minorHAnsi" w:hAnsiTheme="minorHAnsi" w:cs="Arial"/>
          <w:szCs w:val="22"/>
        </w:rPr>
      </w:pPr>
      <w:proofErr w:type="gramStart"/>
      <w:r w:rsidRPr="004A64B0">
        <w:rPr>
          <w:rFonts w:asciiTheme="minorHAnsi" w:hAnsiTheme="minorHAnsi" w:cs="Arial"/>
          <w:szCs w:val="22"/>
        </w:rPr>
        <w:t>Hurst, M.R.; Balaam, J.; Chan-Man, Y.L.; Thain, J.E.; Thomas, K.V. (2004).</w:t>
      </w:r>
      <w:proofErr w:type="gramEnd"/>
      <w:r w:rsidRPr="004A64B0">
        <w:rPr>
          <w:rFonts w:asciiTheme="minorHAnsi" w:hAnsiTheme="minorHAnsi" w:cs="Arial"/>
          <w:szCs w:val="22"/>
        </w:rPr>
        <w:t xml:space="preserve"> Determination of dioxin and dioxin-like compounds in sediments from UK estuaries using a bio-analytical approach: chemical-activated luciferase expression (CALUX) assay. Marine Pollution Bulletin 49, 548-658.</w:t>
      </w:r>
    </w:p>
    <w:p w14:paraId="3E3D14E2" w14:textId="77777777" w:rsidR="00FC360C" w:rsidRPr="004A64B0" w:rsidRDefault="00FC360C" w:rsidP="004A64B0">
      <w:pPr>
        <w:rPr>
          <w:rFonts w:asciiTheme="minorHAnsi" w:hAnsiTheme="minorHAnsi" w:cs="Arial"/>
          <w:szCs w:val="22"/>
        </w:rPr>
      </w:pPr>
      <w:proofErr w:type="gramStart"/>
      <w:r w:rsidRPr="004A64B0">
        <w:rPr>
          <w:rFonts w:asciiTheme="minorHAnsi" w:hAnsiTheme="minorHAnsi" w:cs="Arial"/>
          <w:szCs w:val="22"/>
        </w:rPr>
        <w:t>Malavia, J.; Santos, F.J.; Galceran, M.T. (2008).</w:t>
      </w:r>
      <w:proofErr w:type="gramEnd"/>
      <w:r w:rsidRPr="004A64B0">
        <w:rPr>
          <w:rFonts w:asciiTheme="minorHAnsi" w:hAnsiTheme="minorHAnsi" w:cs="Arial"/>
          <w:szCs w:val="22"/>
        </w:rPr>
        <w:t xml:space="preserve"> </w:t>
      </w:r>
      <w:proofErr w:type="gramStart"/>
      <w:r w:rsidRPr="004A64B0">
        <w:rPr>
          <w:rFonts w:asciiTheme="minorHAnsi" w:hAnsiTheme="minorHAnsi" w:cs="Arial"/>
          <w:szCs w:val="22"/>
        </w:rPr>
        <w:t>Comparison of gas chromatography-ion trap</w:t>
      </w:r>
      <w:proofErr w:type="gramEnd"/>
      <w:r w:rsidRPr="004A64B0">
        <w:rPr>
          <w:rFonts w:asciiTheme="minorHAnsi" w:hAnsiTheme="minorHAnsi" w:cs="Arial"/>
          <w:szCs w:val="22"/>
        </w:rPr>
        <w:t xml:space="preserve"> tandem mass spectrometry systems for the determination of polychlorinated dibenzo-p-dioxins, dibenzofurans and dioxin-like polychlorinated biphenyls. J. Chromatography </w:t>
      </w:r>
      <w:proofErr w:type="gramStart"/>
      <w:r w:rsidRPr="004A64B0">
        <w:rPr>
          <w:rFonts w:asciiTheme="minorHAnsi" w:hAnsiTheme="minorHAnsi" w:cs="Arial"/>
          <w:szCs w:val="22"/>
        </w:rPr>
        <w:t>A</w:t>
      </w:r>
      <w:proofErr w:type="gramEnd"/>
      <w:r w:rsidRPr="004A64B0">
        <w:rPr>
          <w:rFonts w:asciiTheme="minorHAnsi" w:hAnsiTheme="minorHAnsi" w:cs="Arial"/>
          <w:szCs w:val="22"/>
        </w:rPr>
        <w:t xml:space="preserve"> 1186, 302-311.</w:t>
      </w:r>
    </w:p>
    <w:p w14:paraId="4856F6B2" w14:textId="77777777" w:rsidR="00FC360C" w:rsidRPr="004A64B0" w:rsidRDefault="00FC360C" w:rsidP="004A64B0">
      <w:pPr>
        <w:rPr>
          <w:rFonts w:asciiTheme="minorHAnsi" w:hAnsiTheme="minorHAnsi" w:cs="Arial"/>
          <w:szCs w:val="22"/>
        </w:rPr>
      </w:pPr>
      <w:proofErr w:type="gramStart"/>
      <w:r w:rsidRPr="004A64B0">
        <w:rPr>
          <w:rFonts w:asciiTheme="minorHAnsi" w:hAnsiTheme="minorHAnsi" w:cs="Arial"/>
          <w:szCs w:val="22"/>
        </w:rPr>
        <w:t>Nebert, D.W.; Puga, A.; Vasiliou, V. (1993).</w:t>
      </w:r>
      <w:proofErr w:type="gramEnd"/>
      <w:r w:rsidRPr="004A64B0">
        <w:rPr>
          <w:rFonts w:asciiTheme="minorHAnsi" w:hAnsiTheme="minorHAnsi" w:cs="Arial"/>
          <w:szCs w:val="22"/>
        </w:rPr>
        <w:t xml:space="preserve"> </w:t>
      </w:r>
      <w:proofErr w:type="gramStart"/>
      <w:r w:rsidRPr="004A64B0">
        <w:rPr>
          <w:rFonts w:asciiTheme="minorHAnsi" w:hAnsiTheme="minorHAnsi" w:cs="Arial"/>
          <w:szCs w:val="22"/>
        </w:rPr>
        <w:t>Role of the Ah receptor and the dioxin-inducible (Ah) gene battery in toxicity, cancer and signal transduction.</w:t>
      </w:r>
      <w:proofErr w:type="gramEnd"/>
      <w:r w:rsidRPr="004A64B0">
        <w:rPr>
          <w:rFonts w:asciiTheme="minorHAnsi" w:hAnsiTheme="minorHAnsi" w:cs="Arial"/>
          <w:szCs w:val="22"/>
        </w:rPr>
        <w:t xml:space="preserve"> Ann. NY Acad. Sci. 685, 624-640.</w:t>
      </w:r>
    </w:p>
    <w:p w14:paraId="4B42E746" w14:textId="77777777" w:rsidR="00FC360C" w:rsidRPr="004A64B0" w:rsidRDefault="00FC360C" w:rsidP="004A64B0">
      <w:pPr>
        <w:rPr>
          <w:rFonts w:asciiTheme="minorHAnsi" w:hAnsiTheme="minorHAnsi" w:cs="Arial"/>
          <w:szCs w:val="22"/>
        </w:rPr>
      </w:pPr>
      <w:proofErr w:type="gramStart"/>
      <w:r w:rsidRPr="004A64B0">
        <w:rPr>
          <w:rFonts w:asciiTheme="minorHAnsi" w:hAnsiTheme="minorHAnsi" w:cs="Arial"/>
          <w:szCs w:val="22"/>
        </w:rPr>
        <w:t>OSPAR (2005).</w:t>
      </w:r>
      <w:proofErr w:type="gramEnd"/>
      <w:r w:rsidRPr="004A64B0">
        <w:rPr>
          <w:rFonts w:asciiTheme="minorHAnsi" w:hAnsiTheme="minorHAnsi" w:cs="Arial"/>
          <w:szCs w:val="22"/>
        </w:rPr>
        <w:t xml:space="preserve"> </w:t>
      </w:r>
      <w:proofErr w:type="gramStart"/>
      <w:r w:rsidRPr="004A64B0">
        <w:rPr>
          <w:rFonts w:asciiTheme="minorHAnsi" w:hAnsiTheme="minorHAnsi" w:cs="Arial"/>
          <w:szCs w:val="22"/>
        </w:rPr>
        <w:t>Background document on dioxins.</w:t>
      </w:r>
      <w:proofErr w:type="gramEnd"/>
      <w:r w:rsidRPr="004A64B0">
        <w:rPr>
          <w:rFonts w:asciiTheme="minorHAnsi" w:hAnsiTheme="minorHAnsi" w:cs="Arial"/>
          <w:szCs w:val="22"/>
        </w:rPr>
        <w:t xml:space="preserve"> </w:t>
      </w:r>
      <w:proofErr w:type="gramStart"/>
      <w:r w:rsidRPr="004A64B0">
        <w:rPr>
          <w:rFonts w:asciiTheme="minorHAnsi" w:hAnsiTheme="minorHAnsi" w:cs="Arial"/>
          <w:szCs w:val="22"/>
        </w:rPr>
        <w:t>Hazardous Substances Series.</w:t>
      </w:r>
      <w:proofErr w:type="gramEnd"/>
      <w:r w:rsidRPr="004A64B0">
        <w:rPr>
          <w:rFonts w:asciiTheme="minorHAnsi" w:hAnsiTheme="minorHAnsi" w:cs="Arial"/>
          <w:szCs w:val="22"/>
        </w:rPr>
        <w:t xml:space="preserve"> OSPAR Commission, update 2005.</w:t>
      </w:r>
    </w:p>
    <w:p w14:paraId="60AF55C0" w14:textId="77777777" w:rsidR="00FC360C" w:rsidRPr="004A64B0" w:rsidRDefault="00FC360C" w:rsidP="004A64B0">
      <w:pPr>
        <w:rPr>
          <w:rFonts w:asciiTheme="minorHAnsi" w:hAnsiTheme="minorHAnsi" w:cs="Arial"/>
          <w:szCs w:val="22"/>
        </w:rPr>
      </w:pPr>
      <w:proofErr w:type="gramStart"/>
      <w:r w:rsidRPr="004A64B0">
        <w:rPr>
          <w:rFonts w:asciiTheme="minorHAnsi" w:hAnsiTheme="minorHAnsi" w:cs="Arial"/>
          <w:szCs w:val="22"/>
        </w:rPr>
        <w:t>Reiner, E.J.; Clement, R.E.; Okey, A.B.; Marvin, C.H. (2006).</w:t>
      </w:r>
      <w:proofErr w:type="gramEnd"/>
      <w:r w:rsidRPr="004A64B0">
        <w:rPr>
          <w:rFonts w:asciiTheme="minorHAnsi" w:hAnsiTheme="minorHAnsi" w:cs="Arial"/>
          <w:szCs w:val="22"/>
        </w:rPr>
        <w:t xml:space="preserve"> </w:t>
      </w:r>
      <w:proofErr w:type="gramStart"/>
      <w:r w:rsidRPr="004A64B0">
        <w:rPr>
          <w:rFonts w:asciiTheme="minorHAnsi" w:hAnsiTheme="minorHAnsi" w:cs="Arial"/>
          <w:szCs w:val="22"/>
        </w:rPr>
        <w:t>Advances in analytical techniques for polychlorinated dibenzo-p-dioxins, polychlorinated dibenzofurans and dioxin-like PCBs. Anal.</w:t>
      </w:r>
      <w:proofErr w:type="gramEnd"/>
      <w:r w:rsidRPr="004A64B0">
        <w:rPr>
          <w:rFonts w:asciiTheme="minorHAnsi" w:hAnsiTheme="minorHAnsi" w:cs="Arial"/>
          <w:szCs w:val="22"/>
        </w:rPr>
        <w:t xml:space="preserve"> </w:t>
      </w:r>
      <w:proofErr w:type="gramStart"/>
      <w:r w:rsidRPr="004A64B0">
        <w:rPr>
          <w:rFonts w:asciiTheme="minorHAnsi" w:hAnsiTheme="minorHAnsi" w:cs="Arial"/>
          <w:szCs w:val="22"/>
        </w:rPr>
        <w:t>Bioanal.</w:t>
      </w:r>
      <w:proofErr w:type="gramEnd"/>
      <w:r w:rsidRPr="004A64B0">
        <w:rPr>
          <w:rFonts w:asciiTheme="minorHAnsi" w:hAnsiTheme="minorHAnsi" w:cs="Arial"/>
          <w:szCs w:val="22"/>
        </w:rPr>
        <w:t xml:space="preserve"> Chem. 386, 791-806.</w:t>
      </w:r>
    </w:p>
    <w:p w14:paraId="4179811D" w14:textId="77777777" w:rsidR="00FC360C" w:rsidRPr="004A64B0" w:rsidRDefault="00FC360C" w:rsidP="004A64B0">
      <w:pPr>
        <w:rPr>
          <w:rFonts w:asciiTheme="minorHAnsi" w:hAnsiTheme="minorHAnsi" w:cs="Arial"/>
          <w:szCs w:val="22"/>
        </w:rPr>
      </w:pPr>
      <w:proofErr w:type="gramStart"/>
      <w:r w:rsidRPr="004A64B0">
        <w:rPr>
          <w:rFonts w:asciiTheme="minorHAnsi" w:hAnsiTheme="minorHAnsi" w:cs="Arial"/>
          <w:szCs w:val="22"/>
        </w:rPr>
        <w:t>Skoczynska, E.; Korytár, P.; de Boer, J. (2008).</w:t>
      </w:r>
      <w:proofErr w:type="gramEnd"/>
      <w:r w:rsidRPr="004A64B0">
        <w:rPr>
          <w:rFonts w:asciiTheme="minorHAnsi" w:hAnsiTheme="minorHAnsi" w:cs="Arial"/>
          <w:szCs w:val="22"/>
        </w:rPr>
        <w:t xml:space="preserve"> </w:t>
      </w:r>
      <w:proofErr w:type="gramStart"/>
      <w:r w:rsidRPr="004A64B0">
        <w:rPr>
          <w:rFonts w:asciiTheme="minorHAnsi" w:hAnsiTheme="minorHAnsi" w:cs="Arial"/>
          <w:szCs w:val="22"/>
        </w:rPr>
        <w:t>Maximizing chromatographic information from environmental extracts by GCxGC-ToF-MS. Environ.</w:t>
      </w:r>
      <w:proofErr w:type="gramEnd"/>
      <w:r w:rsidRPr="004A64B0">
        <w:rPr>
          <w:rFonts w:asciiTheme="minorHAnsi" w:hAnsiTheme="minorHAnsi" w:cs="Arial"/>
          <w:szCs w:val="22"/>
        </w:rPr>
        <w:t xml:space="preserve"> </w:t>
      </w:r>
      <w:proofErr w:type="gramStart"/>
      <w:r w:rsidRPr="004A64B0">
        <w:rPr>
          <w:rFonts w:asciiTheme="minorHAnsi" w:hAnsiTheme="minorHAnsi" w:cs="Arial"/>
          <w:szCs w:val="22"/>
        </w:rPr>
        <w:t>Sci. Technol. 42, 6611-6618.</w:t>
      </w:r>
      <w:proofErr w:type="gramEnd"/>
    </w:p>
    <w:p w14:paraId="6D5B119F" w14:textId="712CE6B7" w:rsidR="00FC360C" w:rsidRPr="004A64B0" w:rsidRDefault="00FC360C" w:rsidP="004A64B0">
      <w:pPr>
        <w:rPr>
          <w:rFonts w:asciiTheme="minorHAnsi" w:hAnsiTheme="minorHAnsi" w:cs="Arial"/>
          <w:szCs w:val="22"/>
        </w:rPr>
      </w:pPr>
      <w:proofErr w:type="gramStart"/>
      <w:r w:rsidRPr="004A64B0">
        <w:rPr>
          <w:rFonts w:asciiTheme="minorHAnsi" w:hAnsiTheme="minorHAnsi" w:cs="Arial"/>
          <w:szCs w:val="22"/>
        </w:rPr>
        <w:t>Smedes, F. (1999).</w:t>
      </w:r>
      <w:proofErr w:type="gramEnd"/>
      <w:r w:rsidR="00B33CCD">
        <w:rPr>
          <w:rFonts w:asciiTheme="minorHAnsi" w:hAnsiTheme="minorHAnsi" w:cs="Arial"/>
          <w:szCs w:val="22"/>
        </w:rPr>
        <w:t xml:space="preserve"> </w:t>
      </w:r>
      <w:proofErr w:type="gramStart"/>
      <w:r w:rsidRPr="004A64B0">
        <w:rPr>
          <w:rFonts w:asciiTheme="minorHAnsi" w:hAnsiTheme="minorHAnsi" w:cs="Arial"/>
          <w:szCs w:val="22"/>
        </w:rPr>
        <w:t>Determination of total lipid using non-chlorinated solvents.</w:t>
      </w:r>
      <w:proofErr w:type="gramEnd"/>
      <w:r w:rsidR="00B33CCD">
        <w:rPr>
          <w:rFonts w:asciiTheme="minorHAnsi" w:hAnsiTheme="minorHAnsi" w:cs="Arial"/>
          <w:szCs w:val="22"/>
        </w:rPr>
        <w:t xml:space="preserve"> </w:t>
      </w:r>
      <w:r w:rsidR="00AA7C8C">
        <w:rPr>
          <w:rFonts w:asciiTheme="minorHAnsi" w:hAnsiTheme="minorHAnsi" w:cs="Arial"/>
          <w:szCs w:val="22"/>
        </w:rPr>
        <w:t>Analyst 124, 1711-</w:t>
      </w:r>
      <w:r w:rsidRPr="004A64B0">
        <w:rPr>
          <w:rFonts w:asciiTheme="minorHAnsi" w:hAnsiTheme="minorHAnsi" w:cs="Arial"/>
          <w:szCs w:val="22"/>
        </w:rPr>
        <w:t>1718.</w:t>
      </w:r>
    </w:p>
    <w:p w14:paraId="59BFE3AA" w14:textId="77777777" w:rsidR="00FC360C" w:rsidRPr="004A64B0" w:rsidRDefault="00FC360C" w:rsidP="004A64B0">
      <w:pPr>
        <w:rPr>
          <w:rFonts w:asciiTheme="minorHAnsi" w:hAnsiTheme="minorHAnsi" w:cs="Arial"/>
          <w:szCs w:val="22"/>
        </w:rPr>
      </w:pPr>
      <w:proofErr w:type="gramStart"/>
      <w:r w:rsidRPr="004A64B0">
        <w:rPr>
          <w:rFonts w:asciiTheme="minorHAnsi" w:hAnsiTheme="minorHAnsi" w:cs="Arial"/>
          <w:szCs w:val="22"/>
        </w:rPr>
        <w:t>USEPA (1994).</w:t>
      </w:r>
      <w:proofErr w:type="gramEnd"/>
      <w:r w:rsidRPr="004A64B0">
        <w:rPr>
          <w:rFonts w:asciiTheme="minorHAnsi" w:hAnsiTheme="minorHAnsi" w:cs="Arial"/>
          <w:szCs w:val="22"/>
        </w:rPr>
        <w:t xml:space="preserve"> </w:t>
      </w:r>
      <w:proofErr w:type="gramStart"/>
      <w:r w:rsidRPr="004A64B0">
        <w:rPr>
          <w:rFonts w:asciiTheme="minorHAnsi" w:hAnsiTheme="minorHAnsi" w:cs="Arial"/>
          <w:szCs w:val="22"/>
        </w:rPr>
        <w:t>Tetra- through Octa-chlorinated dioxins and furans by isotope dilution HRGC/HRMS.</w:t>
      </w:r>
      <w:proofErr w:type="gramEnd"/>
      <w:r w:rsidRPr="004A64B0">
        <w:rPr>
          <w:rFonts w:asciiTheme="minorHAnsi" w:hAnsiTheme="minorHAnsi" w:cs="Arial"/>
          <w:szCs w:val="22"/>
        </w:rPr>
        <w:t xml:space="preserve"> </w:t>
      </w:r>
      <w:proofErr w:type="gramStart"/>
      <w:r w:rsidRPr="004A64B0">
        <w:rPr>
          <w:rFonts w:asciiTheme="minorHAnsi" w:hAnsiTheme="minorHAnsi" w:cs="Arial"/>
          <w:szCs w:val="22"/>
        </w:rPr>
        <w:t>Method 1613.</w:t>
      </w:r>
      <w:proofErr w:type="gramEnd"/>
      <w:r w:rsidRPr="004A64B0">
        <w:rPr>
          <w:rFonts w:asciiTheme="minorHAnsi" w:hAnsiTheme="minorHAnsi" w:cs="Arial"/>
          <w:szCs w:val="22"/>
        </w:rPr>
        <w:t xml:space="preserve"> </w:t>
      </w:r>
      <w:proofErr w:type="gramStart"/>
      <w:r w:rsidRPr="004A64B0">
        <w:rPr>
          <w:rFonts w:asciiTheme="minorHAnsi" w:hAnsiTheme="minorHAnsi" w:cs="Arial"/>
          <w:szCs w:val="22"/>
        </w:rPr>
        <w:t>Revision B. US Environmental Protection Agency.</w:t>
      </w:r>
      <w:proofErr w:type="gramEnd"/>
      <w:r w:rsidRPr="004A64B0">
        <w:rPr>
          <w:rFonts w:asciiTheme="minorHAnsi" w:hAnsiTheme="minorHAnsi" w:cs="Arial"/>
          <w:szCs w:val="22"/>
        </w:rPr>
        <w:t xml:space="preserve"> Office of Water, Engineering and Analysis Division (4304), October 1994.</w:t>
      </w:r>
    </w:p>
    <w:p w14:paraId="318DE7F8" w14:textId="77777777" w:rsidR="00FC360C" w:rsidRPr="004A64B0" w:rsidRDefault="0098261C" w:rsidP="004A64B0">
      <w:pPr>
        <w:rPr>
          <w:rFonts w:asciiTheme="minorHAnsi" w:hAnsiTheme="minorHAnsi" w:cs="Arial"/>
          <w:szCs w:val="22"/>
        </w:rPr>
      </w:pPr>
      <w:hyperlink r:id="rId50" w:tgtFrame="wsr" w:history="1">
        <w:r w:rsidR="00FC360C" w:rsidRPr="004A64B0">
          <w:rPr>
            <w:rFonts w:asciiTheme="minorHAnsi" w:hAnsiTheme="minorHAnsi" w:cs="Arial"/>
            <w:szCs w:val="22"/>
          </w:rPr>
          <w:t>Van den Berg, M</w:t>
        </w:r>
      </w:hyperlink>
      <w:r w:rsidR="00FC360C" w:rsidRPr="004A64B0">
        <w:rPr>
          <w:rFonts w:asciiTheme="minorHAnsi" w:hAnsiTheme="minorHAnsi" w:cs="Arial"/>
          <w:szCs w:val="22"/>
        </w:rPr>
        <w:t xml:space="preserve">.; </w:t>
      </w:r>
      <w:hyperlink r:id="rId51" w:tgtFrame="wsr" w:history="1">
        <w:r w:rsidR="00FC360C" w:rsidRPr="004A64B0">
          <w:rPr>
            <w:rFonts w:asciiTheme="minorHAnsi" w:hAnsiTheme="minorHAnsi" w:cs="Arial"/>
            <w:szCs w:val="22"/>
          </w:rPr>
          <w:t>Birnbaum, L.S</w:t>
        </w:r>
      </w:hyperlink>
      <w:r w:rsidR="00FC360C" w:rsidRPr="004A64B0">
        <w:rPr>
          <w:rFonts w:asciiTheme="minorHAnsi" w:hAnsiTheme="minorHAnsi" w:cs="Arial"/>
          <w:szCs w:val="22"/>
        </w:rPr>
        <w:t xml:space="preserve">.; </w:t>
      </w:r>
      <w:hyperlink r:id="rId52" w:tgtFrame="wsr" w:history="1">
        <w:r w:rsidR="00FC360C" w:rsidRPr="004A64B0">
          <w:rPr>
            <w:rFonts w:asciiTheme="minorHAnsi" w:hAnsiTheme="minorHAnsi" w:cs="Arial"/>
            <w:szCs w:val="22"/>
          </w:rPr>
          <w:t>Denison, M</w:t>
        </w:r>
      </w:hyperlink>
      <w:r w:rsidR="00FC360C" w:rsidRPr="004A64B0">
        <w:rPr>
          <w:rFonts w:asciiTheme="minorHAnsi" w:hAnsiTheme="minorHAnsi" w:cs="Arial"/>
          <w:szCs w:val="22"/>
        </w:rPr>
        <w:t xml:space="preserve">.; </w:t>
      </w:r>
      <w:hyperlink r:id="rId53" w:tgtFrame="wsr" w:history="1">
        <w:r w:rsidR="00FC360C" w:rsidRPr="004A64B0">
          <w:rPr>
            <w:rFonts w:asciiTheme="minorHAnsi" w:hAnsiTheme="minorHAnsi" w:cs="Arial"/>
            <w:szCs w:val="22"/>
          </w:rPr>
          <w:t>De Vito, M</w:t>
        </w:r>
      </w:hyperlink>
      <w:r w:rsidR="00FC360C" w:rsidRPr="004A64B0">
        <w:rPr>
          <w:rFonts w:asciiTheme="minorHAnsi" w:hAnsiTheme="minorHAnsi" w:cs="Arial"/>
          <w:szCs w:val="22"/>
        </w:rPr>
        <w:t xml:space="preserve">.; </w:t>
      </w:r>
      <w:hyperlink r:id="rId54" w:tgtFrame="wsr" w:history="1">
        <w:r w:rsidR="00FC360C" w:rsidRPr="004A64B0">
          <w:rPr>
            <w:rFonts w:asciiTheme="minorHAnsi" w:hAnsiTheme="minorHAnsi" w:cs="Arial"/>
            <w:szCs w:val="22"/>
          </w:rPr>
          <w:t>Farland, W</w:t>
        </w:r>
      </w:hyperlink>
      <w:r w:rsidR="00FC360C" w:rsidRPr="004A64B0">
        <w:rPr>
          <w:rFonts w:asciiTheme="minorHAnsi" w:hAnsiTheme="minorHAnsi" w:cs="Arial"/>
          <w:szCs w:val="22"/>
        </w:rPr>
        <w:t xml:space="preserve">.; </w:t>
      </w:r>
      <w:hyperlink r:id="rId55" w:tgtFrame="wsr" w:history="1">
        <w:r w:rsidR="00FC360C" w:rsidRPr="004A64B0">
          <w:rPr>
            <w:rFonts w:asciiTheme="minorHAnsi" w:hAnsiTheme="minorHAnsi" w:cs="Arial"/>
            <w:szCs w:val="22"/>
          </w:rPr>
          <w:t>Feeley, M</w:t>
        </w:r>
      </w:hyperlink>
      <w:r w:rsidR="00FC360C" w:rsidRPr="004A64B0">
        <w:rPr>
          <w:rFonts w:asciiTheme="minorHAnsi" w:hAnsiTheme="minorHAnsi" w:cs="Arial"/>
          <w:szCs w:val="22"/>
        </w:rPr>
        <w:t xml:space="preserve">.; </w:t>
      </w:r>
      <w:hyperlink r:id="rId56" w:tgtFrame="wsr" w:history="1">
        <w:r w:rsidR="00FC360C" w:rsidRPr="004A64B0">
          <w:rPr>
            <w:rFonts w:asciiTheme="minorHAnsi" w:hAnsiTheme="minorHAnsi" w:cs="Arial"/>
            <w:szCs w:val="22"/>
          </w:rPr>
          <w:t>Fiedler, H</w:t>
        </w:r>
      </w:hyperlink>
      <w:r w:rsidR="00FC360C" w:rsidRPr="004A64B0">
        <w:rPr>
          <w:rFonts w:asciiTheme="minorHAnsi" w:hAnsiTheme="minorHAnsi" w:cs="Arial"/>
          <w:szCs w:val="22"/>
        </w:rPr>
        <w:t xml:space="preserve">.; </w:t>
      </w:r>
      <w:hyperlink r:id="rId57" w:tgtFrame="wsr" w:history="1">
        <w:r w:rsidR="00FC360C" w:rsidRPr="004A64B0">
          <w:rPr>
            <w:rFonts w:asciiTheme="minorHAnsi" w:hAnsiTheme="minorHAnsi" w:cs="Arial"/>
            <w:szCs w:val="22"/>
          </w:rPr>
          <w:t>Hakansson, H</w:t>
        </w:r>
      </w:hyperlink>
      <w:r w:rsidR="00FC360C" w:rsidRPr="004A64B0">
        <w:rPr>
          <w:rFonts w:asciiTheme="minorHAnsi" w:hAnsiTheme="minorHAnsi" w:cs="Arial"/>
          <w:szCs w:val="22"/>
        </w:rPr>
        <w:t xml:space="preserve">.; </w:t>
      </w:r>
      <w:hyperlink r:id="rId58" w:tgtFrame="wsr" w:history="1">
        <w:r w:rsidR="00FC360C" w:rsidRPr="004A64B0">
          <w:rPr>
            <w:rFonts w:asciiTheme="minorHAnsi" w:hAnsiTheme="minorHAnsi" w:cs="Arial"/>
            <w:szCs w:val="22"/>
          </w:rPr>
          <w:t>Hanberg, A</w:t>
        </w:r>
      </w:hyperlink>
      <w:r w:rsidR="00FC360C" w:rsidRPr="004A64B0">
        <w:rPr>
          <w:rFonts w:asciiTheme="minorHAnsi" w:hAnsiTheme="minorHAnsi" w:cs="Arial"/>
          <w:szCs w:val="22"/>
        </w:rPr>
        <w:t xml:space="preserve">.; </w:t>
      </w:r>
      <w:hyperlink r:id="rId59" w:tgtFrame="wsr" w:history="1">
        <w:r w:rsidR="00FC360C" w:rsidRPr="004A64B0">
          <w:rPr>
            <w:rFonts w:asciiTheme="minorHAnsi" w:hAnsiTheme="minorHAnsi" w:cs="Arial"/>
            <w:szCs w:val="22"/>
          </w:rPr>
          <w:t>Haws, L</w:t>
        </w:r>
      </w:hyperlink>
      <w:r w:rsidR="00FC360C" w:rsidRPr="004A64B0">
        <w:rPr>
          <w:rFonts w:asciiTheme="minorHAnsi" w:hAnsiTheme="minorHAnsi" w:cs="Arial"/>
          <w:szCs w:val="22"/>
        </w:rPr>
        <w:t xml:space="preserve">.; </w:t>
      </w:r>
      <w:hyperlink r:id="rId60" w:tgtFrame="wsr" w:history="1">
        <w:r w:rsidR="00FC360C" w:rsidRPr="004A64B0">
          <w:rPr>
            <w:rFonts w:asciiTheme="minorHAnsi" w:hAnsiTheme="minorHAnsi" w:cs="Arial"/>
            <w:szCs w:val="22"/>
          </w:rPr>
          <w:t>Rose, M</w:t>
        </w:r>
      </w:hyperlink>
      <w:r w:rsidR="00FC360C" w:rsidRPr="004A64B0">
        <w:rPr>
          <w:rFonts w:asciiTheme="minorHAnsi" w:hAnsiTheme="minorHAnsi" w:cs="Arial"/>
          <w:szCs w:val="22"/>
        </w:rPr>
        <w:t xml:space="preserve">.; </w:t>
      </w:r>
      <w:hyperlink r:id="rId61" w:tgtFrame="wsr" w:history="1">
        <w:r w:rsidR="00FC360C" w:rsidRPr="004A64B0">
          <w:rPr>
            <w:rFonts w:asciiTheme="minorHAnsi" w:hAnsiTheme="minorHAnsi" w:cs="Arial"/>
            <w:szCs w:val="22"/>
          </w:rPr>
          <w:t>Safe, S</w:t>
        </w:r>
      </w:hyperlink>
      <w:r w:rsidR="00FC360C" w:rsidRPr="004A64B0">
        <w:rPr>
          <w:rFonts w:asciiTheme="minorHAnsi" w:hAnsiTheme="minorHAnsi" w:cs="Arial"/>
          <w:szCs w:val="22"/>
        </w:rPr>
        <w:t xml:space="preserve">.; </w:t>
      </w:r>
      <w:hyperlink r:id="rId62" w:tgtFrame="wsr" w:history="1">
        <w:r w:rsidR="00FC360C" w:rsidRPr="004A64B0">
          <w:rPr>
            <w:rFonts w:asciiTheme="minorHAnsi" w:hAnsiTheme="minorHAnsi" w:cs="Arial"/>
            <w:szCs w:val="22"/>
          </w:rPr>
          <w:t>Schrenk, D</w:t>
        </w:r>
      </w:hyperlink>
      <w:r w:rsidR="00FC360C" w:rsidRPr="004A64B0">
        <w:rPr>
          <w:rFonts w:asciiTheme="minorHAnsi" w:hAnsiTheme="minorHAnsi" w:cs="Arial"/>
          <w:szCs w:val="22"/>
        </w:rPr>
        <w:t xml:space="preserve">.; </w:t>
      </w:r>
      <w:hyperlink r:id="rId63" w:tgtFrame="wsr" w:history="1">
        <w:r w:rsidR="00FC360C" w:rsidRPr="004A64B0">
          <w:rPr>
            <w:rFonts w:asciiTheme="minorHAnsi" w:hAnsiTheme="minorHAnsi" w:cs="Arial"/>
            <w:szCs w:val="22"/>
          </w:rPr>
          <w:t>Tohyama, C</w:t>
        </w:r>
      </w:hyperlink>
      <w:r w:rsidR="00FC360C" w:rsidRPr="004A64B0">
        <w:rPr>
          <w:rFonts w:asciiTheme="minorHAnsi" w:hAnsiTheme="minorHAnsi" w:cs="Arial"/>
          <w:szCs w:val="22"/>
        </w:rPr>
        <w:t xml:space="preserve">.; </w:t>
      </w:r>
      <w:hyperlink r:id="rId64" w:tgtFrame="wsr" w:history="1">
        <w:r w:rsidR="00FC360C" w:rsidRPr="004A64B0">
          <w:rPr>
            <w:rFonts w:asciiTheme="minorHAnsi" w:hAnsiTheme="minorHAnsi" w:cs="Arial"/>
            <w:szCs w:val="22"/>
          </w:rPr>
          <w:t>Tritscher, A</w:t>
        </w:r>
      </w:hyperlink>
      <w:r w:rsidR="00FC360C" w:rsidRPr="004A64B0">
        <w:rPr>
          <w:rFonts w:asciiTheme="minorHAnsi" w:hAnsiTheme="minorHAnsi" w:cs="Arial"/>
          <w:szCs w:val="22"/>
        </w:rPr>
        <w:t xml:space="preserve">.; </w:t>
      </w:r>
      <w:hyperlink r:id="rId65" w:tgtFrame="wsr" w:history="1">
        <w:r w:rsidR="00FC360C" w:rsidRPr="004A64B0">
          <w:rPr>
            <w:rFonts w:asciiTheme="minorHAnsi" w:hAnsiTheme="minorHAnsi" w:cs="Arial"/>
            <w:szCs w:val="22"/>
          </w:rPr>
          <w:t>Tuomisto, J</w:t>
        </w:r>
      </w:hyperlink>
      <w:r w:rsidR="00FC360C" w:rsidRPr="004A64B0">
        <w:rPr>
          <w:rFonts w:asciiTheme="minorHAnsi" w:hAnsiTheme="minorHAnsi" w:cs="Arial"/>
          <w:szCs w:val="22"/>
        </w:rPr>
        <w:t xml:space="preserve">.; </w:t>
      </w:r>
      <w:hyperlink r:id="rId66" w:tgtFrame="wsr" w:history="1">
        <w:r w:rsidR="00FC360C" w:rsidRPr="004A64B0">
          <w:rPr>
            <w:rFonts w:asciiTheme="minorHAnsi" w:hAnsiTheme="minorHAnsi" w:cs="Arial"/>
            <w:szCs w:val="22"/>
          </w:rPr>
          <w:t>Tysklind, M</w:t>
        </w:r>
      </w:hyperlink>
      <w:r w:rsidR="00FC360C" w:rsidRPr="004A64B0">
        <w:rPr>
          <w:rFonts w:asciiTheme="minorHAnsi" w:hAnsiTheme="minorHAnsi" w:cs="Arial"/>
          <w:szCs w:val="22"/>
        </w:rPr>
        <w:t xml:space="preserve">.; </w:t>
      </w:r>
      <w:hyperlink r:id="rId67" w:tgtFrame="wsr" w:history="1">
        <w:r w:rsidR="00FC360C" w:rsidRPr="004A64B0">
          <w:rPr>
            <w:rFonts w:asciiTheme="minorHAnsi" w:hAnsiTheme="minorHAnsi" w:cs="Arial"/>
            <w:szCs w:val="22"/>
          </w:rPr>
          <w:t>Walker, N</w:t>
        </w:r>
      </w:hyperlink>
      <w:r w:rsidR="00FC360C" w:rsidRPr="004A64B0">
        <w:rPr>
          <w:rFonts w:asciiTheme="minorHAnsi" w:hAnsiTheme="minorHAnsi" w:cs="Arial"/>
          <w:szCs w:val="22"/>
        </w:rPr>
        <w:t xml:space="preserve">.; </w:t>
      </w:r>
      <w:hyperlink r:id="rId68" w:tgtFrame="wsr" w:history="1">
        <w:r w:rsidR="00FC360C" w:rsidRPr="004A64B0">
          <w:rPr>
            <w:rFonts w:asciiTheme="minorHAnsi" w:hAnsiTheme="minorHAnsi" w:cs="Arial"/>
            <w:szCs w:val="22"/>
          </w:rPr>
          <w:t>Peterson, R.E</w:t>
        </w:r>
      </w:hyperlink>
      <w:r w:rsidR="00FC360C" w:rsidRPr="004A64B0">
        <w:rPr>
          <w:rFonts w:asciiTheme="minorHAnsi" w:hAnsiTheme="minorHAnsi" w:cs="Arial"/>
          <w:szCs w:val="22"/>
        </w:rPr>
        <w:t xml:space="preserve">. </w:t>
      </w:r>
      <w:proofErr w:type="gramStart"/>
      <w:r w:rsidR="00FC360C" w:rsidRPr="004A64B0">
        <w:rPr>
          <w:rFonts w:asciiTheme="minorHAnsi" w:hAnsiTheme="minorHAnsi" w:cs="Arial"/>
          <w:szCs w:val="22"/>
        </w:rPr>
        <w:t>(2006). The 2005 World Health Organization reevaluation of human and mammalian toxic equivalency factors for dioxins and dioxin-like compounds.</w:t>
      </w:r>
      <w:proofErr w:type="gramEnd"/>
      <w:r w:rsidR="00FC360C" w:rsidRPr="004A64B0">
        <w:rPr>
          <w:rFonts w:asciiTheme="minorHAnsi" w:hAnsiTheme="minorHAnsi" w:cs="Arial"/>
          <w:szCs w:val="22"/>
        </w:rPr>
        <w:t xml:space="preserve"> </w:t>
      </w:r>
      <w:proofErr w:type="gramStart"/>
      <w:r w:rsidR="00FC360C" w:rsidRPr="004A64B0">
        <w:rPr>
          <w:rFonts w:asciiTheme="minorHAnsi" w:hAnsiTheme="minorHAnsi" w:cs="Arial"/>
          <w:szCs w:val="22"/>
        </w:rPr>
        <w:t>Toxicol.</w:t>
      </w:r>
      <w:proofErr w:type="gramEnd"/>
      <w:r w:rsidR="00FC360C" w:rsidRPr="004A64B0">
        <w:rPr>
          <w:rFonts w:asciiTheme="minorHAnsi" w:hAnsiTheme="minorHAnsi" w:cs="Arial"/>
          <w:szCs w:val="22"/>
        </w:rPr>
        <w:t xml:space="preserve"> Sci. 93, 223-241.</w:t>
      </w:r>
    </w:p>
    <w:p w14:paraId="2C08EE8F" w14:textId="77777777" w:rsidR="00FC360C" w:rsidRPr="004A64B0" w:rsidRDefault="00FC360C" w:rsidP="004A64B0">
      <w:pPr>
        <w:rPr>
          <w:rFonts w:asciiTheme="minorHAnsi" w:hAnsiTheme="minorHAnsi" w:cs="Arial"/>
          <w:szCs w:val="22"/>
        </w:rPr>
      </w:pPr>
      <w:proofErr w:type="gramStart"/>
      <w:r w:rsidRPr="004A64B0">
        <w:rPr>
          <w:rFonts w:asciiTheme="minorHAnsi" w:hAnsiTheme="minorHAnsi" w:cs="Arial"/>
          <w:szCs w:val="22"/>
        </w:rPr>
        <w:t>Van Leeuwen, S.P.J.; Leonards, P.E.G.; Traag, W.A.; Hoogenboom, L.A.P.; de Boer, J. (2007).</w:t>
      </w:r>
      <w:proofErr w:type="gramEnd"/>
      <w:r w:rsidRPr="004A64B0">
        <w:rPr>
          <w:rFonts w:asciiTheme="minorHAnsi" w:hAnsiTheme="minorHAnsi" w:cs="Arial"/>
          <w:szCs w:val="22"/>
        </w:rPr>
        <w:t xml:space="preserve"> Polychlorinated dibenzo-p-dioxins, dibenzofurans and biphenyls in fish from The Netherlands: concentrations, profiles and comparison with DR CALUX</w:t>
      </w:r>
      <w:r w:rsidRPr="004A64B0">
        <w:rPr>
          <w:rFonts w:asciiTheme="minorHAnsi" w:hAnsiTheme="minorHAnsi" w:cs="Arial"/>
          <w:szCs w:val="22"/>
          <w:vertAlign w:val="superscript"/>
        </w:rPr>
        <w:t>®</w:t>
      </w:r>
      <w:r w:rsidRPr="004A64B0">
        <w:rPr>
          <w:rFonts w:asciiTheme="minorHAnsi" w:hAnsiTheme="minorHAnsi" w:cs="Arial"/>
          <w:szCs w:val="22"/>
        </w:rPr>
        <w:t xml:space="preserve"> bioassay results. </w:t>
      </w:r>
      <w:proofErr w:type="gramStart"/>
      <w:r w:rsidRPr="004A64B0">
        <w:rPr>
          <w:rFonts w:asciiTheme="minorHAnsi" w:hAnsiTheme="minorHAnsi" w:cs="Arial"/>
          <w:iCs/>
          <w:szCs w:val="22"/>
        </w:rPr>
        <w:t>Anal.</w:t>
      </w:r>
      <w:proofErr w:type="gramEnd"/>
      <w:r w:rsidRPr="004A64B0">
        <w:rPr>
          <w:rFonts w:asciiTheme="minorHAnsi" w:hAnsiTheme="minorHAnsi" w:cs="Arial"/>
          <w:iCs/>
          <w:szCs w:val="22"/>
        </w:rPr>
        <w:t xml:space="preserve"> </w:t>
      </w:r>
      <w:proofErr w:type="gramStart"/>
      <w:r w:rsidRPr="004A64B0">
        <w:rPr>
          <w:rFonts w:asciiTheme="minorHAnsi" w:hAnsiTheme="minorHAnsi" w:cs="Arial"/>
          <w:iCs/>
          <w:szCs w:val="22"/>
        </w:rPr>
        <w:t>Bioanal.</w:t>
      </w:r>
      <w:proofErr w:type="gramEnd"/>
      <w:r w:rsidRPr="004A64B0">
        <w:rPr>
          <w:rFonts w:asciiTheme="minorHAnsi" w:hAnsiTheme="minorHAnsi" w:cs="Arial"/>
          <w:iCs/>
          <w:szCs w:val="22"/>
        </w:rPr>
        <w:t xml:space="preserve"> Chem.</w:t>
      </w:r>
      <w:r w:rsidRPr="004A64B0">
        <w:rPr>
          <w:rFonts w:asciiTheme="minorHAnsi" w:hAnsiTheme="minorHAnsi" w:cs="Arial"/>
          <w:szCs w:val="22"/>
        </w:rPr>
        <w:t xml:space="preserve"> 216, 1352-1356.</w:t>
      </w:r>
    </w:p>
    <w:p w14:paraId="6DB4B924" w14:textId="77777777" w:rsidR="00FC360C" w:rsidRPr="004A64B0" w:rsidRDefault="00FC360C" w:rsidP="004A64B0">
      <w:pPr>
        <w:rPr>
          <w:rFonts w:asciiTheme="minorHAnsi" w:hAnsiTheme="minorHAnsi" w:cs="Arial"/>
          <w:szCs w:val="22"/>
        </w:rPr>
      </w:pPr>
      <w:r w:rsidRPr="004A64B0">
        <w:rPr>
          <w:rFonts w:asciiTheme="minorHAnsi" w:hAnsiTheme="minorHAnsi" w:cs="Arial"/>
          <w:szCs w:val="22"/>
        </w:rPr>
        <w:t>Van Loco, J.; Van Leeuwen, S.; Roos, P.; Carbonelle, S.; de Boer, J.; Goeyens, L.; Beernaert, H. (2004). The international validation of bio and chemical screening methods for dioxins and dioxin-like PCBs: The DIFFERENCE project round 1 and 2. Talanta 63, 1169-1182.</w:t>
      </w:r>
    </w:p>
    <w:p w14:paraId="492F8813" w14:textId="77777777" w:rsidR="00FC360C" w:rsidRPr="004A64B0" w:rsidRDefault="00FC360C" w:rsidP="004A64B0">
      <w:pPr>
        <w:rPr>
          <w:rFonts w:asciiTheme="minorHAnsi" w:hAnsiTheme="minorHAnsi" w:cs="Arial"/>
          <w:szCs w:val="22"/>
        </w:rPr>
      </w:pPr>
      <w:r w:rsidRPr="004A64B0">
        <w:rPr>
          <w:rFonts w:asciiTheme="minorHAnsi" w:hAnsiTheme="minorHAnsi" w:cs="Arial"/>
          <w:szCs w:val="22"/>
        </w:rPr>
        <w:t xml:space="preserve">Verta, M.; Salo, S.; Korhonen, M.; Assmuth, T.; Kiviranta, H.; Koistinen, J.; Ruokojärvi, P.; Isosaari, P.; Bergqvist, P.-A.; Tysklind, M.; Cato, I.; Vikelsøe, J.; Larsen, M.M. (2007). </w:t>
      </w:r>
      <w:proofErr w:type="gramStart"/>
      <w:r w:rsidRPr="004A64B0">
        <w:rPr>
          <w:rFonts w:asciiTheme="minorHAnsi" w:hAnsiTheme="minorHAnsi" w:cs="Arial"/>
          <w:szCs w:val="22"/>
        </w:rPr>
        <w:t>Dioxin concentrations in sediments of the Baltic Sea – a survey of existing data.</w:t>
      </w:r>
      <w:proofErr w:type="gramEnd"/>
      <w:r w:rsidRPr="004A64B0">
        <w:rPr>
          <w:rFonts w:asciiTheme="minorHAnsi" w:hAnsiTheme="minorHAnsi" w:cs="Arial"/>
          <w:szCs w:val="22"/>
        </w:rPr>
        <w:t xml:space="preserve"> Chemosphere 67, 1762-1775.</w:t>
      </w:r>
    </w:p>
    <w:p w14:paraId="3F840D41" w14:textId="77777777" w:rsidR="00FC360C" w:rsidRPr="004A64B0" w:rsidRDefault="00FC360C" w:rsidP="004A64B0">
      <w:pPr>
        <w:rPr>
          <w:rFonts w:asciiTheme="minorHAnsi" w:hAnsiTheme="minorHAnsi" w:cs="Arial"/>
          <w:szCs w:val="22"/>
        </w:rPr>
      </w:pPr>
      <w:proofErr w:type="gramStart"/>
      <w:r w:rsidRPr="004A64B0">
        <w:rPr>
          <w:rFonts w:asciiTheme="minorHAnsi" w:hAnsiTheme="minorHAnsi" w:cs="Arial"/>
          <w:szCs w:val="22"/>
        </w:rPr>
        <w:t>Wells, D.E.; de Boer, J. (2006).</w:t>
      </w:r>
      <w:proofErr w:type="gramEnd"/>
      <w:r w:rsidRPr="004A64B0">
        <w:rPr>
          <w:rFonts w:asciiTheme="minorHAnsi" w:hAnsiTheme="minorHAnsi" w:cs="Arial"/>
          <w:szCs w:val="22"/>
        </w:rPr>
        <w:t xml:space="preserve"> Evaluation of the quality of measurement of organochlorine contaminants in the marine environment: the QUASIMEME experience. Trends Anal. Chem. 25, 350-363.</w:t>
      </w:r>
    </w:p>
    <w:sectPr w:rsidR="00FC360C" w:rsidRPr="004A64B0" w:rsidSect="002F237A">
      <w:pgSz w:w="11907" w:h="16840" w:code="9"/>
      <w:pgMar w:top="1134" w:right="1134" w:bottom="1134" w:left="1134" w:header="567" w:footer="249" w:gutter="0"/>
      <w:cols w:space="720"/>
      <w:docGrid w:linePitch="299"/>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commentEx w15:paraId="72E2265E" w15:done="0"/>
  <w15:commentEx w15:paraId="58B69F95" w15:done="0"/>
  <w15:commentEx w15:paraId="68E6EACB" w15:done="0"/>
  <w15:commentEx w15:paraId="7DCA575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E9FEF" w14:textId="77777777" w:rsidR="0091176B" w:rsidRDefault="0091176B" w:rsidP="00C82F48">
      <w:pPr>
        <w:spacing w:after="0"/>
      </w:pPr>
      <w:r>
        <w:separator/>
      </w:r>
    </w:p>
  </w:endnote>
  <w:endnote w:type="continuationSeparator" w:id="0">
    <w:p w14:paraId="768B3A78" w14:textId="77777777" w:rsidR="0091176B" w:rsidRDefault="0091176B" w:rsidP="00C82F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Md BT">
    <w:altName w:val="Lucida Sans Unico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cript">
    <w:panose1 w:val="00000000000000000000"/>
    <w:charset w:val="FF"/>
    <w:family w:val="script"/>
    <w:notTrueType/>
    <w:pitch w:val="variable"/>
    <w:sig w:usb0="00000003"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C0868" w14:textId="77777777" w:rsidR="0001507E" w:rsidRDefault="0001507E" w:rsidP="002F237A">
    <w:pPr>
      <w:pStyle w:val="Footer"/>
      <w:tabs>
        <w:tab w:val="center" w:pos="4253"/>
        <w:tab w:val="right" w:pos="8505"/>
        <w:tab w:val="right" w:pos="14034"/>
      </w:tabs>
      <w:spacing w:before="60"/>
      <w:rPr>
        <w:rFonts w:cs="Arial"/>
        <w:sz w:val="18"/>
      </w:rPr>
    </w:pPr>
  </w:p>
  <w:p w14:paraId="11BB31DC" w14:textId="77777777" w:rsidR="0001507E" w:rsidRPr="00106618" w:rsidRDefault="0001507E" w:rsidP="002F237A">
    <w:pPr>
      <w:pStyle w:val="Footer"/>
      <w:tabs>
        <w:tab w:val="center" w:pos="7230"/>
        <w:tab w:val="right" w:pos="14034"/>
      </w:tabs>
      <w:jc w:val="center"/>
      <w:rPr>
        <w:rFonts w:cs="Arial"/>
        <w:sz w:val="18"/>
      </w:rPr>
    </w:pPr>
    <w:r w:rsidRPr="00106618">
      <w:rPr>
        <w:rFonts w:cs="Arial"/>
        <w:sz w:val="18"/>
      </w:rPr>
      <w:t>OSPAR Commission</w:t>
    </w:r>
    <w:r w:rsidRPr="00106618">
      <w:rPr>
        <w:rFonts w:cs="Arial"/>
        <w:sz w:val="18"/>
      </w:rPr>
      <w:tab/>
      <w:t>Monitoring guidelines</w:t>
    </w:r>
    <w:r w:rsidRPr="00106618">
      <w:rPr>
        <w:rFonts w:cs="Arial"/>
        <w:sz w:val="18"/>
      </w:rPr>
      <w:tab/>
      <w:t>Ref. No: 1999-2</w:t>
    </w:r>
  </w:p>
  <w:p w14:paraId="5574819D" w14:textId="77777777" w:rsidR="0001507E" w:rsidRPr="00943AED" w:rsidRDefault="0001507E" w:rsidP="002F23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7" w:type="dxa"/>
        <w:left w:w="0" w:type="dxa"/>
        <w:bottom w:w="57" w:type="dxa"/>
        <w:right w:w="0" w:type="dxa"/>
      </w:tblCellMar>
      <w:tblLook w:val="0000" w:firstRow="0" w:lastRow="0" w:firstColumn="0" w:lastColumn="0" w:noHBand="0" w:noVBand="0"/>
    </w:tblPr>
    <w:tblGrid>
      <w:gridCol w:w="2711"/>
      <w:gridCol w:w="3660"/>
      <w:gridCol w:w="2843"/>
    </w:tblGrid>
    <w:tr w:rsidR="0001507E" w:rsidRPr="00A44A89" w14:paraId="071078EE" w14:textId="77777777" w:rsidTr="005F22BA">
      <w:trPr>
        <w:cantSplit/>
        <w:trHeight w:hRule="exact" w:val="284"/>
      </w:trPr>
      <w:tc>
        <w:tcPr>
          <w:tcW w:w="1471" w:type="pct"/>
          <w:tcBorders>
            <w:bottom w:val="single" w:sz="4" w:space="0" w:color="auto"/>
          </w:tcBorders>
          <w:tcMar>
            <w:top w:w="0" w:type="dxa"/>
            <w:bottom w:w="0" w:type="dxa"/>
          </w:tcMar>
        </w:tcPr>
        <w:p w14:paraId="39194383" w14:textId="77777777" w:rsidR="0001507E" w:rsidRPr="00A44A89" w:rsidRDefault="0001507E" w:rsidP="005F22BA">
          <w:pPr>
            <w:pStyle w:val="Footer"/>
            <w:tabs>
              <w:tab w:val="left" w:pos="272"/>
            </w:tabs>
            <w:spacing w:line="240" w:lineRule="auto"/>
            <w:jc w:val="right"/>
            <w:rPr>
              <w:rFonts w:ascii="Calibri" w:hAnsi="Calibri"/>
              <w:sz w:val="20"/>
              <w:szCs w:val="18"/>
            </w:rPr>
          </w:pPr>
        </w:p>
      </w:tc>
      <w:tc>
        <w:tcPr>
          <w:tcW w:w="1986" w:type="pct"/>
          <w:tcBorders>
            <w:bottom w:val="single" w:sz="4" w:space="0" w:color="auto"/>
          </w:tcBorders>
          <w:tcMar>
            <w:top w:w="0" w:type="dxa"/>
            <w:bottom w:w="0" w:type="dxa"/>
          </w:tcMar>
        </w:tcPr>
        <w:p w14:paraId="193FCE89" w14:textId="77777777" w:rsidR="0001507E" w:rsidRPr="00A44A89" w:rsidRDefault="0001507E" w:rsidP="005F22BA">
          <w:pPr>
            <w:pStyle w:val="Footer"/>
            <w:tabs>
              <w:tab w:val="left" w:pos="272"/>
            </w:tabs>
            <w:spacing w:line="240" w:lineRule="auto"/>
            <w:jc w:val="right"/>
            <w:rPr>
              <w:rStyle w:val="PageNumber"/>
              <w:rFonts w:ascii="Calibri" w:hAnsi="Calibri"/>
              <w:sz w:val="20"/>
              <w:szCs w:val="18"/>
            </w:rPr>
          </w:pPr>
        </w:p>
      </w:tc>
      <w:tc>
        <w:tcPr>
          <w:tcW w:w="1544" w:type="pct"/>
          <w:tcBorders>
            <w:bottom w:val="single" w:sz="4" w:space="0" w:color="auto"/>
          </w:tcBorders>
          <w:tcMar>
            <w:top w:w="0" w:type="dxa"/>
            <w:bottom w:w="0" w:type="dxa"/>
          </w:tcMar>
        </w:tcPr>
        <w:p w14:paraId="3FE31E5C" w14:textId="77777777" w:rsidR="0001507E" w:rsidRPr="00A44A89" w:rsidRDefault="0001507E" w:rsidP="005F22BA">
          <w:pPr>
            <w:pStyle w:val="Footer"/>
            <w:tabs>
              <w:tab w:val="left" w:pos="272"/>
            </w:tabs>
            <w:spacing w:line="240" w:lineRule="auto"/>
            <w:jc w:val="right"/>
            <w:rPr>
              <w:rStyle w:val="PageNumber"/>
              <w:rFonts w:ascii="Calibri" w:hAnsi="Calibri"/>
              <w:sz w:val="20"/>
              <w:szCs w:val="18"/>
            </w:rPr>
          </w:pPr>
          <w:r w:rsidRPr="00A44A89">
            <w:rPr>
              <w:rStyle w:val="PageNumber"/>
              <w:rFonts w:ascii="Calibri" w:hAnsi="Calibri"/>
              <w:sz w:val="20"/>
              <w:szCs w:val="18"/>
            </w:rPr>
            <w:fldChar w:fldCharType="begin"/>
          </w:r>
          <w:r w:rsidRPr="00A44A89">
            <w:rPr>
              <w:rStyle w:val="PageNumber"/>
              <w:rFonts w:ascii="Calibri" w:hAnsi="Calibri"/>
              <w:sz w:val="20"/>
              <w:szCs w:val="18"/>
            </w:rPr>
            <w:instrText xml:space="preserve"> PAGE </w:instrText>
          </w:r>
          <w:r w:rsidRPr="00A44A89">
            <w:rPr>
              <w:rStyle w:val="PageNumber"/>
              <w:rFonts w:ascii="Calibri" w:hAnsi="Calibri"/>
              <w:sz w:val="20"/>
              <w:szCs w:val="18"/>
            </w:rPr>
            <w:fldChar w:fldCharType="separate"/>
          </w:r>
          <w:r w:rsidR="0098261C">
            <w:rPr>
              <w:rStyle w:val="PageNumber"/>
              <w:rFonts w:ascii="Calibri" w:hAnsi="Calibri"/>
              <w:noProof/>
              <w:sz w:val="20"/>
              <w:szCs w:val="18"/>
            </w:rPr>
            <w:t>22</w:t>
          </w:r>
          <w:r w:rsidRPr="00A44A89">
            <w:rPr>
              <w:rStyle w:val="PageNumber"/>
              <w:rFonts w:ascii="Calibri" w:hAnsi="Calibri"/>
              <w:sz w:val="20"/>
              <w:szCs w:val="18"/>
            </w:rPr>
            <w:fldChar w:fldCharType="end"/>
          </w:r>
          <w:r w:rsidRPr="00A44A89">
            <w:rPr>
              <w:rStyle w:val="PageNumber"/>
              <w:rFonts w:ascii="Calibri" w:hAnsi="Calibri"/>
              <w:sz w:val="20"/>
              <w:szCs w:val="18"/>
            </w:rPr>
            <w:t xml:space="preserve"> of </w:t>
          </w:r>
          <w:r w:rsidRPr="00A44A89">
            <w:rPr>
              <w:rStyle w:val="PageNumber"/>
              <w:rFonts w:ascii="Calibri" w:hAnsi="Calibri"/>
              <w:sz w:val="20"/>
              <w:szCs w:val="18"/>
            </w:rPr>
            <w:fldChar w:fldCharType="begin"/>
          </w:r>
          <w:r w:rsidRPr="00A44A89">
            <w:rPr>
              <w:rStyle w:val="PageNumber"/>
              <w:rFonts w:ascii="Calibri" w:hAnsi="Calibri"/>
              <w:sz w:val="20"/>
              <w:szCs w:val="18"/>
            </w:rPr>
            <w:instrText xml:space="preserve"> NUMPAGES </w:instrText>
          </w:r>
          <w:r w:rsidRPr="00A44A89">
            <w:rPr>
              <w:rStyle w:val="PageNumber"/>
              <w:rFonts w:ascii="Calibri" w:hAnsi="Calibri"/>
              <w:sz w:val="20"/>
              <w:szCs w:val="18"/>
            </w:rPr>
            <w:fldChar w:fldCharType="separate"/>
          </w:r>
          <w:r w:rsidR="0098261C">
            <w:rPr>
              <w:rStyle w:val="PageNumber"/>
              <w:rFonts w:ascii="Calibri" w:hAnsi="Calibri"/>
              <w:noProof/>
              <w:sz w:val="20"/>
              <w:szCs w:val="18"/>
            </w:rPr>
            <w:t>126</w:t>
          </w:r>
          <w:r w:rsidRPr="00A44A89">
            <w:rPr>
              <w:rStyle w:val="PageNumber"/>
              <w:rFonts w:ascii="Calibri" w:hAnsi="Calibri"/>
              <w:sz w:val="20"/>
              <w:szCs w:val="18"/>
            </w:rPr>
            <w:fldChar w:fldCharType="end"/>
          </w:r>
        </w:p>
      </w:tc>
    </w:tr>
    <w:tr w:rsidR="0001507E" w:rsidRPr="00A44A89" w14:paraId="78F6ECF4" w14:textId="77777777" w:rsidTr="005F22BA">
      <w:trPr>
        <w:cantSplit/>
      </w:trPr>
      <w:tc>
        <w:tcPr>
          <w:tcW w:w="1471" w:type="pct"/>
          <w:tcBorders>
            <w:top w:val="single" w:sz="4" w:space="0" w:color="auto"/>
          </w:tcBorders>
          <w:tcMar>
            <w:top w:w="0" w:type="dxa"/>
            <w:bottom w:w="0" w:type="dxa"/>
          </w:tcMar>
        </w:tcPr>
        <w:p w14:paraId="1DFBFD35" w14:textId="77777777" w:rsidR="0001507E" w:rsidRPr="00A44A89" w:rsidRDefault="0001507E" w:rsidP="005F22BA">
          <w:pPr>
            <w:pStyle w:val="Footer"/>
            <w:tabs>
              <w:tab w:val="left" w:pos="272"/>
            </w:tabs>
            <w:spacing w:line="240" w:lineRule="auto"/>
            <w:jc w:val="left"/>
            <w:rPr>
              <w:rFonts w:ascii="Calibri" w:hAnsi="Calibri"/>
              <w:sz w:val="20"/>
              <w:szCs w:val="18"/>
            </w:rPr>
          </w:pPr>
          <w:r w:rsidRPr="00A44A89">
            <w:rPr>
              <w:rFonts w:ascii="Calibri" w:hAnsi="Calibri"/>
              <w:sz w:val="20"/>
              <w:szCs w:val="18"/>
            </w:rPr>
            <w:t>OSPAR Commission</w:t>
          </w:r>
        </w:p>
      </w:tc>
      <w:tc>
        <w:tcPr>
          <w:tcW w:w="1986" w:type="pct"/>
          <w:tcBorders>
            <w:top w:val="single" w:sz="4" w:space="0" w:color="auto"/>
          </w:tcBorders>
          <w:tcMar>
            <w:top w:w="0" w:type="dxa"/>
            <w:bottom w:w="0" w:type="dxa"/>
          </w:tcMar>
        </w:tcPr>
        <w:p w14:paraId="672D9D50" w14:textId="77777777" w:rsidR="0001507E" w:rsidRPr="00A44A89" w:rsidRDefault="0001507E" w:rsidP="005F22BA">
          <w:pPr>
            <w:pStyle w:val="Footer"/>
            <w:tabs>
              <w:tab w:val="left" w:pos="272"/>
            </w:tabs>
            <w:spacing w:line="240" w:lineRule="auto"/>
            <w:jc w:val="right"/>
            <w:rPr>
              <w:rFonts w:ascii="Calibri" w:hAnsi="Calibri"/>
              <w:sz w:val="20"/>
              <w:szCs w:val="18"/>
            </w:rPr>
          </w:pPr>
        </w:p>
      </w:tc>
      <w:tc>
        <w:tcPr>
          <w:tcW w:w="1544" w:type="pct"/>
          <w:tcBorders>
            <w:top w:val="single" w:sz="4" w:space="0" w:color="auto"/>
          </w:tcBorders>
          <w:tcMar>
            <w:top w:w="0" w:type="dxa"/>
            <w:bottom w:w="0" w:type="dxa"/>
          </w:tcMar>
        </w:tcPr>
        <w:p w14:paraId="5BF8F5B4" w14:textId="38B9080A" w:rsidR="0001507E" w:rsidRPr="00A44A89" w:rsidRDefault="0001507E" w:rsidP="009D45F6">
          <w:pPr>
            <w:pStyle w:val="Footer"/>
            <w:tabs>
              <w:tab w:val="left" w:pos="272"/>
            </w:tabs>
            <w:spacing w:line="240" w:lineRule="auto"/>
            <w:jc w:val="right"/>
            <w:rPr>
              <w:rFonts w:ascii="Calibri" w:hAnsi="Calibri"/>
              <w:sz w:val="20"/>
              <w:szCs w:val="18"/>
              <w:lang w:val="en-GB"/>
            </w:rPr>
          </w:pPr>
          <w:r w:rsidRPr="00A44A89">
            <w:rPr>
              <w:rFonts w:ascii="Calibri" w:hAnsi="Calibri"/>
              <w:sz w:val="20"/>
              <w:szCs w:val="18"/>
            </w:rPr>
            <w:tab/>
          </w:r>
          <w:r w:rsidR="009D45F6">
            <w:rPr>
              <w:rFonts w:ascii="Calibri" w:hAnsi="Calibri"/>
              <w:sz w:val="20"/>
              <w:szCs w:val="18"/>
              <w:lang w:val="en-GB"/>
            </w:rPr>
            <w:t>Agreement 1999-02</w:t>
          </w:r>
        </w:p>
      </w:tc>
    </w:tr>
  </w:tbl>
  <w:p w14:paraId="33ED426E" w14:textId="77777777" w:rsidR="0001507E" w:rsidRDefault="000150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679308"/>
      <w:docPartObj>
        <w:docPartGallery w:val="Page Numbers (Bottom of Page)"/>
        <w:docPartUnique/>
      </w:docPartObj>
    </w:sdtPr>
    <w:sdtEndPr>
      <w:rPr>
        <w:noProof/>
      </w:rPr>
    </w:sdtEndPr>
    <w:sdtContent>
      <w:p w14:paraId="49286443" w14:textId="393F71EF" w:rsidR="009D45F6" w:rsidRDefault="009D45F6">
        <w:pPr>
          <w:pStyle w:val="Footer"/>
          <w:pBdr>
            <w:bottom w:val="single" w:sz="12" w:space="1" w:color="auto"/>
          </w:pBdr>
          <w:jc w:val="right"/>
        </w:pPr>
        <w:r>
          <w:fldChar w:fldCharType="begin"/>
        </w:r>
        <w:r>
          <w:instrText xml:space="preserve"> PAGE   \* MERGEFORMAT </w:instrText>
        </w:r>
        <w:r>
          <w:fldChar w:fldCharType="separate"/>
        </w:r>
        <w:r w:rsidR="0098261C">
          <w:rPr>
            <w:noProof/>
          </w:rPr>
          <w:t>1</w:t>
        </w:r>
        <w:r>
          <w:rPr>
            <w:noProof/>
          </w:rPr>
          <w:fldChar w:fldCharType="end"/>
        </w:r>
      </w:p>
    </w:sdtContent>
  </w:sdt>
  <w:p w14:paraId="4B2BD641" w14:textId="7E452EFD" w:rsidR="009D45F6" w:rsidRPr="009D45F6" w:rsidRDefault="009D45F6" w:rsidP="009D45F6">
    <w:pPr>
      <w:pStyle w:val="Footer"/>
      <w:tabs>
        <w:tab w:val="clear" w:pos="8306"/>
      </w:tabs>
      <w:jc w:val="left"/>
      <w:rPr>
        <w:lang w:val="en-GB"/>
      </w:rPr>
    </w:pPr>
    <w:r>
      <w:rPr>
        <w:lang w:val="en-GB"/>
      </w:rPr>
      <w:t>OSPAR Commission</w:t>
    </w:r>
    <w:r>
      <w:rPr>
        <w:lang w:val="en-GB"/>
      </w:rPr>
      <w:tab/>
    </w:r>
    <w:r>
      <w:rPr>
        <w:lang w:val="en-GB"/>
      </w:rPr>
      <w:tab/>
    </w:r>
    <w:r>
      <w:rPr>
        <w:lang w:val="en-GB"/>
      </w:rPr>
      <w:tab/>
    </w:r>
    <w:r>
      <w:rPr>
        <w:lang w:val="en-GB"/>
      </w:rPr>
      <w:tab/>
    </w:r>
    <w:r>
      <w:rPr>
        <w:lang w:val="en-GB"/>
      </w:rPr>
      <w:tab/>
    </w:r>
    <w:r>
      <w:rPr>
        <w:lang w:val="en-GB"/>
      </w:rPr>
      <w:tab/>
    </w:r>
    <w:r>
      <w:rPr>
        <w:lang w:val="en-GB"/>
      </w:rPr>
      <w:tab/>
      <w:t>Agreement 1999-02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563B08" w14:textId="77777777" w:rsidR="0091176B" w:rsidRDefault="0091176B" w:rsidP="00C82F48">
      <w:pPr>
        <w:spacing w:after="0"/>
      </w:pPr>
      <w:r>
        <w:separator/>
      </w:r>
    </w:p>
  </w:footnote>
  <w:footnote w:type="continuationSeparator" w:id="0">
    <w:p w14:paraId="5E83093D" w14:textId="77777777" w:rsidR="0091176B" w:rsidRDefault="0091176B" w:rsidP="00C82F48">
      <w:pPr>
        <w:spacing w:after="0"/>
      </w:pPr>
      <w:r>
        <w:continuationSeparator/>
      </w:r>
    </w:p>
  </w:footnote>
  <w:footnote w:id="1">
    <w:p w14:paraId="565F2DCB" w14:textId="77777777" w:rsidR="0033752F" w:rsidRDefault="0033752F" w:rsidP="0033752F">
      <w:pPr>
        <w:pStyle w:val="FootnoteText"/>
      </w:pPr>
      <w:r w:rsidRPr="00FC360C">
        <w:rPr>
          <w:rStyle w:val="FootnoteReference"/>
          <w:sz w:val="20"/>
        </w:rPr>
        <w:footnoteRef/>
      </w:r>
      <w:r>
        <w:t xml:space="preserve"> Revised in 2018</w:t>
      </w:r>
    </w:p>
    <w:p w14:paraId="1C6CB298" w14:textId="77777777" w:rsidR="0033752F" w:rsidRPr="00FC360C" w:rsidRDefault="0033752F" w:rsidP="0033752F">
      <w:pPr>
        <w:pStyle w:val="FootnoteText"/>
      </w:pPr>
      <w:r w:rsidRPr="00FC360C">
        <w:t xml:space="preserve">Addition of Technical Annexes 4 and 5 agreed in 2008. </w:t>
      </w:r>
    </w:p>
    <w:p w14:paraId="110C2FA3" w14:textId="77777777" w:rsidR="0033752F" w:rsidRPr="00FC360C" w:rsidRDefault="0033752F" w:rsidP="0033752F">
      <w:pPr>
        <w:pStyle w:val="FootnoteText"/>
      </w:pPr>
      <w:r w:rsidRPr="00FC360C">
        <w:t>Replacement of Technical Annex 3 (PAHs in biological materials) in 2009</w:t>
      </w:r>
    </w:p>
    <w:p w14:paraId="1B8C3F75" w14:textId="77777777" w:rsidR="0033752F" w:rsidRPr="00FC360C" w:rsidRDefault="0033752F" w:rsidP="0033752F">
      <w:pPr>
        <w:pStyle w:val="FootnoteText"/>
      </w:pPr>
      <w:r w:rsidRPr="00FC360C">
        <w:t>Addition of Technical Annexes 6 (perfluorinated compounds in biota) and 7 (organotin compounds in biota) agreed in 2009</w:t>
      </w:r>
    </w:p>
    <w:p w14:paraId="6E6B2AAA" w14:textId="77777777" w:rsidR="0033752F" w:rsidRPr="00FC360C" w:rsidRDefault="0033752F" w:rsidP="0033752F">
      <w:pPr>
        <w:pStyle w:val="FootnoteText"/>
      </w:pPr>
      <w:r w:rsidRPr="00FC360C">
        <w:t>Revised version of Technical Annex 1 agreed in 2010</w:t>
      </w:r>
    </w:p>
    <w:p w14:paraId="2050C0AF" w14:textId="77777777" w:rsidR="0033752F" w:rsidRPr="00FC360C" w:rsidRDefault="0033752F" w:rsidP="0033752F">
      <w:pPr>
        <w:pStyle w:val="FootnoteText"/>
      </w:pPr>
      <w:r w:rsidRPr="00FC360C">
        <w:t>Addition of</w:t>
      </w:r>
      <w:r>
        <w:t xml:space="preserve"> </w:t>
      </w:r>
      <w:r w:rsidRPr="00FC360C">
        <w:t>Technical Annexes 8 (chlorobiphenyls) and 9 (dioxins/furans and planar CBs) agreed in 2010</w:t>
      </w:r>
    </w:p>
    <w:p w14:paraId="54FCB5E4" w14:textId="77777777" w:rsidR="0033752F" w:rsidRPr="00FC360C" w:rsidRDefault="0033752F" w:rsidP="0033752F">
      <w:pPr>
        <w:pStyle w:val="FootnoteText"/>
      </w:pPr>
      <w:r w:rsidRPr="00FC360C">
        <w:t>Technical Annex 9 revised in 2010/2011</w:t>
      </w:r>
    </w:p>
    <w:p w14:paraId="7DDACE21" w14:textId="77777777" w:rsidR="0033752F" w:rsidRPr="00FC360C" w:rsidRDefault="0033752F" w:rsidP="0033752F">
      <w:pPr>
        <w:pStyle w:val="FootnoteText"/>
      </w:pPr>
      <w:r w:rsidRPr="00FC360C">
        <w:t xml:space="preserve">Guidelines revised in 2012 (see HASEC 12/13/1, Annex 7) </w:t>
      </w:r>
    </w:p>
    <w:p w14:paraId="4E22D42E" w14:textId="77777777" w:rsidR="0033752F" w:rsidRPr="00FC360C" w:rsidRDefault="0033752F" w:rsidP="0033752F">
      <w:pPr>
        <w:pStyle w:val="FootnoteText"/>
      </w:pPr>
      <w:r w:rsidRPr="00FC360C">
        <w:t>Revised technical annex 2 on Metals 2017, extending the methods description and newer references</w:t>
      </w:r>
    </w:p>
  </w:footnote>
  <w:footnote w:id="2">
    <w:p w14:paraId="409FD98C" w14:textId="77777777" w:rsidR="0001507E" w:rsidRDefault="0001507E" w:rsidP="00FC360C">
      <w:pPr>
        <w:pStyle w:val="FootnoteText"/>
        <w:tabs>
          <w:tab w:val="left" w:pos="142"/>
        </w:tabs>
        <w:spacing w:before="20" w:after="20"/>
        <w:ind w:left="284" w:hanging="284"/>
        <w:rPr>
          <w:sz w:val="18"/>
        </w:rPr>
      </w:pPr>
      <w:r>
        <w:rPr>
          <w:rStyle w:val="FootnoteReference"/>
        </w:rPr>
        <w:footnoteRef/>
      </w:r>
      <w:r>
        <w:rPr>
          <w:sz w:val="18"/>
        </w:rPr>
        <w:tab/>
      </w:r>
      <w:r>
        <w:rPr>
          <w:sz w:val="18"/>
        </w:rPr>
        <w:tab/>
        <w:t>“Narrow length range” means that the length of the individuals collected should be constant from year to year at each site or should at least fall within a very narrow range. The length range could however vary between sites and hence is not specified in the table.</w:t>
      </w:r>
    </w:p>
  </w:footnote>
  <w:footnote w:id="3">
    <w:p w14:paraId="4F69ABCC" w14:textId="77777777" w:rsidR="0001507E" w:rsidRDefault="0001507E" w:rsidP="00FC360C">
      <w:pPr>
        <w:pStyle w:val="FootnoteText"/>
        <w:tabs>
          <w:tab w:val="left" w:pos="142"/>
        </w:tabs>
        <w:spacing w:before="20" w:after="20"/>
        <w:ind w:left="284" w:hanging="284"/>
        <w:rPr>
          <w:sz w:val="18"/>
        </w:rPr>
      </w:pPr>
      <w:r>
        <w:rPr>
          <w:rStyle w:val="FootnoteReference"/>
        </w:rPr>
        <w:footnoteRef/>
      </w:r>
      <w:r>
        <w:rPr>
          <w:sz w:val="18"/>
        </w:rPr>
        <w:tab/>
      </w:r>
      <w:r>
        <w:rPr>
          <w:sz w:val="18"/>
        </w:rPr>
        <w:tab/>
        <w:t>The same sex should be sampled each year.</w:t>
      </w:r>
    </w:p>
  </w:footnote>
  <w:footnote w:id="4">
    <w:p w14:paraId="23F08615" w14:textId="77777777" w:rsidR="0001507E" w:rsidRDefault="0001507E" w:rsidP="00FC360C">
      <w:pPr>
        <w:pStyle w:val="FootnoteText"/>
        <w:tabs>
          <w:tab w:val="left" w:pos="142"/>
        </w:tabs>
        <w:spacing w:before="20" w:after="20"/>
        <w:ind w:left="284" w:hanging="284"/>
        <w:rPr>
          <w:sz w:val="18"/>
        </w:rPr>
      </w:pPr>
      <w:r>
        <w:rPr>
          <w:rStyle w:val="FootnoteReference"/>
        </w:rPr>
        <w:footnoteRef/>
      </w:r>
      <w:r>
        <w:rPr>
          <w:sz w:val="18"/>
        </w:rPr>
        <w:tab/>
      </w:r>
      <w:r>
        <w:rPr>
          <w:sz w:val="18"/>
        </w:rPr>
        <w:tab/>
        <w:t>One egg taken randomly from each of 10 clutches.</w:t>
      </w:r>
    </w:p>
  </w:footnote>
  <w:footnote w:id="5">
    <w:p w14:paraId="5D54865B" w14:textId="77777777" w:rsidR="0001507E" w:rsidRDefault="0001507E" w:rsidP="00FC360C">
      <w:pPr>
        <w:pStyle w:val="FootnoteText"/>
        <w:tabs>
          <w:tab w:val="left" w:pos="142"/>
        </w:tabs>
        <w:spacing w:before="20" w:after="20"/>
        <w:ind w:left="284" w:hanging="284"/>
        <w:rPr>
          <w:sz w:val="18"/>
        </w:rPr>
      </w:pPr>
      <w:r>
        <w:rPr>
          <w:rStyle w:val="FootnoteReference"/>
        </w:rPr>
        <w:footnoteRef/>
      </w:r>
      <w:r>
        <w:rPr>
          <w:sz w:val="18"/>
        </w:rPr>
        <w:tab/>
      </w:r>
      <w:r>
        <w:rPr>
          <w:sz w:val="18"/>
        </w:rPr>
        <w:tab/>
        <w:t>The eggs should be collected as early as possible to avoid collecting replacement eggs.</w:t>
      </w:r>
    </w:p>
  </w:footnote>
  <w:footnote w:id="6">
    <w:p w14:paraId="0EB329C7" w14:textId="77777777" w:rsidR="0001507E" w:rsidRPr="002F237A" w:rsidRDefault="0001507E" w:rsidP="00FC360C">
      <w:pPr>
        <w:pStyle w:val="FootnoteText"/>
        <w:tabs>
          <w:tab w:val="left" w:pos="540"/>
        </w:tabs>
      </w:pPr>
      <w:r w:rsidRPr="002F237A">
        <w:rPr>
          <w:rStyle w:val="FootnoteReference"/>
          <w:sz w:val="20"/>
        </w:rPr>
        <w:footnoteRef/>
      </w:r>
      <w:r>
        <w:t xml:space="preserve"> </w:t>
      </w:r>
      <w:r w:rsidRPr="002F237A">
        <w:t xml:space="preserve">Please use information on the actual timing of spawning in your sampling area. It is recommended to use Fishbase </w:t>
      </w:r>
      <w:hyperlink r:id="rId1" w:history="1">
        <w:r w:rsidRPr="002F237A">
          <w:rPr>
            <w:rStyle w:val="Hyperlink"/>
          </w:rPr>
          <w:t>www.fishbase.org</w:t>
        </w:r>
      </w:hyperlink>
      <w:r w:rsidRPr="002F237A">
        <w:t>:</w:t>
      </w:r>
    </w:p>
    <w:p w14:paraId="0A566D2C" w14:textId="77777777" w:rsidR="0001507E" w:rsidRPr="002F237A" w:rsidRDefault="0098261C" w:rsidP="00FC360C">
      <w:pPr>
        <w:spacing w:line="240" w:lineRule="auto"/>
        <w:rPr>
          <w:sz w:val="20"/>
          <w:lang w:val="en-US"/>
        </w:rPr>
      </w:pPr>
      <w:hyperlink r:id="rId2" w:history="1">
        <w:r w:rsidR="0001507E" w:rsidRPr="002F237A">
          <w:rPr>
            <w:color w:val="0000FF"/>
            <w:sz w:val="20"/>
            <w:u w:val="single"/>
          </w:rPr>
          <w:t>http://www.fishbase.org/Reproduction/SpawningList.php?ID=69&amp;GenusName=Gadus&amp;SpeciesName=morhua&amp;fc=183&amp;StockCode=79</w:t>
        </w:r>
      </w:hyperlink>
      <w:r w:rsidR="0001507E" w:rsidRPr="002F237A">
        <w:rPr>
          <w:sz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646BE"/>
    <w:lvl w:ilvl="0">
      <w:start w:val="1"/>
      <w:numFmt w:val="decimal"/>
      <w:pStyle w:val="ListNumber2"/>
      <w:lvlText w:val="%1."/>
      <w:lvlJc w:val="left"/>
      <w:pPr>
        <w:tabs>
          <w:tab w:val="num" w:pos="720"/>
        </w:tabs>
        <w:ind w:left="720" w:hanging="360"/>
      </w:pPr>
    </w:lvl>
  </w:abstractNum>
  <w:abstractNum w:abstractNumId="1">
    <w:nsid w:val="FFFFFF88"/>
    <w:multiLevelType w:val="singleLevel"/>
    <w:tmpl w:val="E42861D6"/>
    <w:lvl w:ilvl="0">
      <w:start w:val="1"/>
      <w:numFmt w:val="decimal"/>
      <w:pStyle w:val="EndnoteText"/>
      <w:lvlText w:val="%1."/>
      <w:lvlJc w:val="left"/>
      <w:pPr>
        <w:tabs>
          <w:tab w:val="num" w:pos="340"/>
        </w:tabs>
        <w:ind w:left="340" w:hanging="340"/>
      </w:pPr>
      <w:rPr>
        <w:rFonts w:hint="default"/>
        <w:b w:val="0"/>
        <w:i w:val="0"/>
        <w:color w:val="16288E"/>
        <w:sz w:val="20"/>
      </w:rPr>
    </w:lvl>
  </w:abstractNum>
  <w:abstractNum w:abstractNumId="2">
    <w:nsid w:val="FFFFFFFE"/>
    <w:multiLevelType w:val="singleLevel"/>
    <w:tmpl w:val="FFFFFFFF"/>
    <w:lvl w:ilvl="0">
      <w:numFmt w:val="decimal"/>
      <w:lvlText w:val="*"/>
      <w:lvlJc w:val="left"/>
    </w:lvl>
  </w:abstractNum>
  <w:abstractNum w:abstractNumId="3">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12B0DB8"/>
    <w:multiLevelType w:val="hybridMultilevel"/>
    <w:tmpl w:val="F1584F60"/>
    <w:lvl w:ilvl="0" w:tplc="FFFFFFFF">
      <w:start w:val="1"/>
      <w:numFmt w:val="bullet"/>
      <w:lvlText w:val=""/>
      <w:legacy w:legacy="1" w:legacySpace="0" w:legacyIndent="283"/>
      <w:lvlJc w:val="left"/>
      <w:pPr>
        <w:ind w:left="850"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1E54A5E"/>
    <w:multiLevelType w:val="hybridMultilevel"/>
    <w:tmpl w:val="8D823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1F242E2"/>
    <w:multiLevelType w:val="hybridMultilevel"/>
    <w:tmpl w:val="3B70BD32"/>
    <w:lvl w:ilvl="0" w:tplc="7766E82A">
      <w:start w:val="1"/>
      <w:numFmt w:val="lowerLetter"/>
      <w:lvlText w:val="%1."/>
      <w:lvlJc w:val="left"/>
      <w:pPr>
        <w:tabs>
          <w:tab w:val="num" w:pos="786"/>
        </w:tabs>
        <w:ind w:left="786"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FA678CF"/>
    <w:multiLevelType w:val="hybridMultilevel"/>
    <w:tmpl w:val="DE761146"/>
    <w:lvl w:ilvl="0" w:tplc="FFFFFFFF">
      <w:start w:val="1"/>
      <w:numFmt w:val="bullet"/>
      <w:lvlText w:val=""/>
      <w:legacy w:legacy="1" w:legacySpace="0" w:legacyIndent="283"/>
      <w:lvlJc w:val="left"/>
      <w:pPr>
        <w:ind w:left="850"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27F4574"/>
    <w:multiLevelType w:val="hybridMultilevel"/>
    <w:tmpl w:val="8E200D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307347F"/>
    <w:multiLevelType w:val="hybridMultilevel"/>
    <w:tmpl w:val="3C608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CC7441"/>
    <w:multiLevelType w:val="hybridMultilevel"/>
    <w:tmpl w:val="5CB26C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AB84169"/>
    <w:multiLevelType w:val="hybridMultilevel"/>
    <w:tmpl w:val="10F6F95A"/>
    <w:lvl w:ilvl="0" w:tplc="7982D60E">
      <w:start w:val="1"/>
      <w:numFmt w:val="bullet"/>
      <w:lvlText w:val=""/>
      <w:lvlJc w:val="left"/>
      <w:pPr>
        <w:ind w:left="1471" w:hanging="360"/>
      </w:pPr>
      <w:rPr>
        <w:rFonts w:ascii="Symbol" w:hAnsi="Symbol" w:hint="default"/>
      </w:rPr>
    </w:lvl>
    <w:lvl w:ilvl="1" w:tplc="08090003">
      <w:start w:val="1"/>
      <w:numFmt w:val="bullet"/>
      <w:lvlText w:val="o"/>
      <w:lvlJc w:val="left"/>
      <w:pPr>
        <w:ind w:left="2191" w:hanging="360"/>
      </w:pPr>
      <w:rPr>
        <w:rFonts w:ascii="Courier New" w:hAnsi="Courier New" w:cs="Courier New" w:hint="default"/>
      </w:rPr>
    </w:lvl>
    <w:lvl w:ilvl="2" w:tplc="08090005">
      <w:start w:val="1"/>
      <w:numFmt w:val="bullet"/>
      <w:lvlText w:val=""/>
      <w:lvlJc w:val="left"/>
      <w:pPr>
        <w:ind w:left="2911" w:hanging="360"/>
      </w:pPr>
      <w:rPr>
        <w:rFonts w:ascii="Wingdings" w:hAnsi="Wingdings" w:hint="default"/>
      </w:rPr>
    </w:lvl>
    <w:lvl w:ilvl="3" w:tplc="08090001">
      <w:start w:val="1"/>
      <w:numFmt w:val="bullet"/>
      <w:lvlText w:val=""/>
      <w:lvlJc w:val="left"/>
      <w:pPr>
        <w:ind w:left="3631" w:hanging="360"/>
      </w:pPr>
      <w:rPr>
        <w:rFonts w:ascii="Symbol" w:hAnsi="Symbol" w:hint="default"/>
      </w:rPr>
    </w:lvl>
    <w:lvl w:ilvl="4" w:tplc="08090003">
      <w:start w:val="1"/>
      <w:numFmt w:val="bullet"/>
      <w:lvlText w:val="o"/>
      <w:lvlJc w:val="left"/>
      <w:pPr>
        <w:ind w:left="4351" w:hanging="360"/>
      </w:pPr>
      <w:rPr>
        <w:rFonts w:ascii="Courier New" w:hAnsi="Courier New" w:cs="Courier New" w:hint="default"/>
      </w:rPr>
    </w:lvl>
    <w:lvl w:ilvl="5" w:tplc="08090005">
      <w:start w:val="1"/>
      <w:numFmt w:val="bullet"/>
      <w:lvlText w:val=""/>
      <w:lvlJc w:val="left"/>
      <w:pPr>
        <w:ind w:left="5071" w:hanging="360"/>
      </w:pPr>
      <w:rPr>
        <w:rFonts w:ascii="Wingdings" w:hAnsi="Wingdings" w:hint="default"/>
      </w:rPr>
    </w:lvl>
    <w:lvl w:ilvl="6" w:tplc="08090001">
      <w:start w:val="1"/>
      <w:numFmt w:val="bullet"/>
      <w:lvlText w:val=""/>
      <w:lvlJc w:val="left"/>
      <w:pPr>
        <w:ind w:left="5791" w:hanging="360"/>
      </w:pPr>
      <w:rPr>
        <w:rFonts w:ascii="Symbol" w:hAnsi="Symbol" w:hint="default"/>
      </w:rPr>
    </w:lvl>
    <w:lvl w:ilvl="7" w:tplc="08090003">
      <w:start w:val="1"/>
      <w:numFmt w:val="bullet"/>
      <w:lvlText w:val="o"/>
      <w:lvlJc w:val="left"/>
      <w:pPr>
        <w:ind w:left="6511" w:hanging="360"/>
      </w:pPr>
      <w:rPr>
        <w:rFonts w:ascii="Courier New" w:hAnsi="Courier New" w:cs="Courier New" w:hint="default"/>
      </w:rPr>
    </w:lvl>
    <w:lvl w:ilvl="8" w:tplc="08090005">
      <w:start w:val="1"/>
      <w:numFmt w:val="bullet"/>
      <w:lvlText w:val=""/>
      <w:lvlJc w:val="left"/>
      <w:pPr>
        <w:ind w:left="7231" w:hanging="360"/>
      </w:pPr>
      <w:rPr>
        <w:rFonts w:ascii="Wingdings" w:hAnsi="Wingdings" w:hint="default"/>
      </w:rPr>
    </w:lvl>
  </w:abstractNum>
  <w:abstractNum w:abstractNumId="12">
    <w:nsid w:val="1E1B2FE1"/>
    <w:multiLevelType w:val="hybridMultilevel"/>
    <w:tmpl w:val="03BA6A2C"/>
    <w:lvl w:ilvl="0" w:tplc="9B1623FE">
      <w:start w:val="1"/>
      <w:numFmt w:val="bullet"/>
      <w:pStyle w:val="Char"/>
      <w:lvlText w:val=""/>
      <w:lvlJc w:val="left"/>
      <w:pPr>
        <w:tabs>
          <w:tab w:val="num" w:pos="340"/>
        </w:tabs>
        <w:ind w:left="340" w:hanging="340"/>
      </w:pPr>
      <w:rPr>
        <w:rFonts w:ascii="Symbol" w:hAnsi="Symbol" w:hint="default"/>
        <w:color w:val="0C2677"/>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F5405BB"/>
    <w:multiLevelType w:val="hybridMultilevel"/>
    <w:tmpl w:val="EC2CEC44"/>
    <w:lvl w:ilvl="0" w:tplc="03229428">
      <w:start w:val="1"/>
      <w:numFmt w:val="decimal"/>
      <w:lvlText w:val="2.%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4">
    <w:nsid w:val="20A46853"/>
    <w:multiLevelType w:val="hybridMultilevel"/>
    <w:tmpl w:val="1EFC1D44"/>
    <w:lvl w:ilvl="0" w:tplc="5282C8A4">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6206067"/>
    <w:multiLevelType w:val="hybridMultilevel"/>
    <w:tmpl w:val="1C44B6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81F78E6"/>
    <w:multiLevelType w:val="singleLevel"/>
    <w:tmpl w:val="0AF81C54"/>
    <w:lvl w:ilvl="0">
      <w:start w:val="1"/>
      <w:numFmt w:val="bullet"/>
      <w:pStyle w:val="Heading0"/>
      <w:lvlText w:val=""/>
      <w:lvlJc w:val="left"/>
      <w:pPr>
        <w:tabs>
          <w:tab w:val="num" w:pos="1440"/>
        </w:tabs>
        <w:ind w:left="1440" w:hanging="360"/>
      </w:pPr>
      <w:rPr>
        <w:rFonts w:ascii="Symbol" w:hAnsi="Symbol" w:hint="default"/>
        <w:b w:val="0"/>
        <w:i w:val="0"/>
        <w:caps w:val="0"/>
        <w:strike w:val="0"/>
        <w:dstrike w:val="0"/>
        <w:outline w:val="0"/>
        <w:shadow w:val="0"/>
        <w:emboss w:val="0"/>
        <w:imprint w:val="0"/>
        <w:vanish w:val="0"/>
        <w:color w:val="auto"/>
        <w:sz w:val="20"/>
        <w:szCs w:val="20"/>
        <w:u w:val="none"/>
        <w:vertAlign w:val="baseline"/>
      </w:rPr>
    </w:lvl>
  </w:abstractNum>
  <w:abstractNum w:abstractNumId="17">
    <w:nsid w:val="2B69092B"/>
    <w:multiLevelType w:val="hybridMultilevel"/>
    <w:tmpl w:val="DDB2834A"/>
    <w:lvl w:ilvl="0" w:tplc="224046D4">
      <w:start w:val="1"/>
      <w:numFmt w:val="decimal"/>
      <w:pStyle w:val="ListBullet"/>
      <w:lvlText w:val="1.%1"/>
      <w:lvlJc w:val="left"/>
      <w:pPr>
        <w:ind w:left="720" w:hanging="360"/>
      </w:pPr>
      <w:rPr>
        <w:rFonts w:hint="default"/>
      </w:rPr>
    </w:lvl>
    <w:lvl w:ilvl="1" w:tplc="224046D4">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CBF5312"/>
    <w:multiLevelType w:val="hybridMultilevel"/>
    <w:tmpl w:val="4334B184"/>
    <w:lvl w:ilvl="0" w:tplc="FFFFFFFF">
      <w:start w:val="1"/>
      <w:numFmt w:val="bullet"/>
      <w:lvlText w:val=""/>
      <w:legacy w:legacy="1" w:legacySpace="0" w:legacyIndent="283"/>
      <w:lvlJc w:val="left"/>
      <w:pPr>
        <w:ind w:left="850"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D2B166A"/>
    <w:multiLevelType w:val="singleLevel"/>
    <w:tmpl w:val="FFFFFFFF"/>
    <w:lvl w:ilvl="0">
      <w:start w:val="1"/>
      <w:numFmt w:val="bullet"/>
      <w:lvlText w:val=""/>
      <w:legacy w:legacy="1" w:legacySpace="0" w:legacyIndent="283"/>
      <w:lvlJc w:val="left"/>
      <w:pPr>
        <w:ind w:left="850" w:hanging="283"/>
      </w:pPr>
      <w:rPr>
        <w:rFonts w:ascii="Symbol" w:hAnsi="Symbol" w:hint="default"/>
      </w:rPr>
    </w:lvl>
  </w:abstractNum>
  <w:abstractNum w:abstractNumId="20">
    <w:nsid w:val="2E6E7815"/>
    <w:multiLevelType w:val="hybridMultilevel"/>
    <w:tmpl w:val="C0D8D2B4"/>
    <w:lvl w:ilvl="0" w:tplc="08090001">
      <w:start w:val="1"/>
      <w:numFmt w:val="bullet"/>
      <w:lvlText w:val=""/>
      <w:lvlJc w:val="left"/>
      <w:pPr>
        <w:ind w:left="1141" w:hanging="360"/>
      </w:pPr>
      <w:rPr>
        <w:rFonts w:ascii="Symbol" w:hAnsi="Symbol" w:hint="default"/>
      </w:rPr>
    </w:lvl>
    <w:lvl w:ilvl="1" w:tplc="08090003" w:tentative="1">
      <w:start w:val="1"/>
      <w:numFmt w:val="bullet"/>
      <w:lvlText w:val="o"/>
      <w:lvlJc w:val="left"/>
      <w:pPr>
        <w:ind w:left="1861" w:hanging="360"/>
      </w:pPr>
      <w:rPr>
        <w:rFonts w:ascii="Courier New" w:hAnsi="Courier New" w:cs="Courier New" w:hint="default"/>
      </w:rPr>
    </w:lvl>
    <w:lvl w:ilvl="2" w:tplc="08090005" w:tentative="1">
      <w:start w:val="1"/>
      <w:numFmt w:val="bullet"/>
      <w:lvlText w:val=""/>
      <w:lvlJc w:val="left"/>
      <w:pPr>
        <w:ind w:left="2581" w:hanging="360"/>
      </w:pPr>
      <w:rPr>
        <w:rFonts w:ascii="Wingdings" w:hAnsi="Wingdings" w:hint="default"/>
      </w:rPr>
    </w:lvl>
    <w:lvl w:ilvl="3" w:tplc="08090001" w:tentative="1">
      <w:start w:val="1"/>
      <w:numFmt w:val="bullet"/>
      <w:lvlText w:val=""/>
      <w:lvlJc w:val="left"/>
      <w:pPr>
        <w:ind w:left="3301" w:hanging="360"/>
      </w:pPr>
      <w:rPr>
        <w:rFonts w:ascii="Symbol" w:hAnsi="Symbol" w:hint="default"/>
      </w:rPr>
    </w:lvl>
    <w:lvl w:ilvl="4" w:tplc="08090003" w:tentative="1">
      <w:start w:val="1"/>
      <w:numFmt w:val="bullet"/>
      <w:lvlText w:val="o"/>
      <w:lvlJc w:val="left"/>
      <w:pPr>
        <w:ind w:left="4021" w:hanging="360"/>
      </w:pPr>
      <w:rPr>
        <w:rFonts w:ascii="Courier New" w:hAnsi="Courier New" w:cs="Courier New" w:hint="default"/>
      </w:rPr>
    </w:lvl>
    <w:lvl w:ilvl="5" w:tplc="08090005" w:tentative="1">
      <w:start w:val="1"/>
      <w:numFmt w:val="bullet"/>
      <w:lvlText w:val=""/>
      <w:lvlJc w:val="left"/>
      <w:pPr>
        <w:ind w:left="4741" w:hanging="360"/>
      </w:pPr>
      <w:rPr>
        <w:rFonts w:ascii="Wingdings" w:hAnsi="Wingdings" w:hint="default"/>
      </w:rPr>
    </w:lvl>
    <w:lvl w:ilvl="6" w:tplc="08090001" w:tentative="1">
      <w:start w:val="1"/>
      <w:numFmt w:val="bullet"/>
      <w:lvlText w:val=""/>
      <w:lvlJc w:val="left"/>
      <w:pPr>
        <w:ind w:left="5461" w:hanging="360"/>
      </w:pPr>
      <w:rPr>
        <w:rFonts w:ascii="Symbol" w:hAnsi="Symbol" w:hint="default"/>
      </w:rPr>
    </w:lvl>
    <w:lvl w:ilvl="7" w:tplc="08090003" w:tentative="1">
      <w:start w:val="1"/>
      <w:numFmt w:val="bullet"/>
      <w:lvlText w:val="o"/>
      <w:lvlJc w:val="left"/>
      <w:pPr>
        <w:ind w:left="6181" w:hanging="360"/>
      </w:pPr>
      <w:rPr>
        <w:rFonts w:ascii="Courier New" w:hAnsi="Courier New" w:cs="Courier New" w:hint="default"/>
      </w:rPr>
    </w:lvl>
    <w:lvl w:ilvl="8" w:tplc="08090005" w:tentative="1">
      <w:start w:val="1"/>
      <w:numFmt w:val="bullet"/>
      <w:lvlText w:val=""/>
      <w:lvlJc w:val="left"/>
      <w:pPr>
        <w:ind w:left="6901" w:hanging="360"/>
      </w:pPr>
      <w:rPr>
        <w:rFonts w:ascii="Wingdings" w:hAnsi="Wingdings" w:hint="default"/>
      </w:rPr>
    </w:lvl>
  </w:abstractNum>
  <w:abstractNum w:abstractNumId="21">
    <w:nsid w:val="3418386A"/>
    <w:multiLevelType w:val="hybridMultilevel"/>
    <w:tmpl w:val="FD66E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5BC3371"/>
    <w:multiLevelType w:val="hybridMultilevel"/>
    <w:tmpl w:val="4F2CAAF6"/>
    <w:lvl w:ilvl="0" w:tplc="04070001">
      <w:start w:val="1"/>
      <w:numFmt w:val="bullet"/>
      <w:lvlText w:val=""/>
      <w:lvlJc w:val="left"/>
      <w:pPr>
        <w:ind w:left="1185" w:hanging="360"/>
      </w:pPr>
      <w:rPr>
        <w:rFonts w:ascii="Symbol" w:hAnsi="Symbol" w:hint="default"/>
      </w:rPr>
    </w:lvl>
    <w:lvl w:ilvl="1" w:tplc="04070003" w:tentative="1">
      <w:start w:val="1"/>
      <w:numFmt w:val="bullet"/>
      <w:lvlText w:val="o"/>
      <w:lvlJc w:val="left"/>
      <w:pPr>
        <w:ind w:left="1905" w:hanging="360"/>
      </w:pPr>
      <w:rPr>
        <w:rFonts w:ascii="Courier New" w:hAnsi="Courier New" w:cs="Courier New" w:hint="default"/>
      </w:rPr>
    </w:lvl>
    <w:lvl w:ilvl="2" w:tplc="04070005" w:tentative="1">
      <w:start w:val="1"/>
      <w:numFmt w:val="bullet"/>
      <w:lvlText w:val=""/>
      <w:lvlJc w:val="left"/>
      <w:pPr>
        <w:ind w:left="2625" w:hanging="360"/>
      </w:pPr>
      <w:rPr>
        <w:rFonts w:ascii="Wingdings" w:hAnsi="Wingdings" w:hint="default"/>
      </w:rPr>
    </w:lvl>
    <w:lvl w:ilvl="3" w:tplc="04070001" w:tentative="1">
      <w:start w:val="1"/>
      <w:numFmt w:val="bullet"/>
      <w:lvlText w:val=""/>
      <w:lvlJc w:val="left"/>
      <w:pPr>
        <w:ind w:left="3345" w:hanging="360"/>
      </w:pPr>
      <w:rPr>
        <w:rFonts w:ascii="Symbol" w:hAnsi="Symbol" w:hint="default"/>
      </w:rPr>
    </w:lvl>
    <w:lvl w:ilvl="4" w:tplc="04070003" w:tentative="1">
      <w:start w:val="1"/>
      <w:numFmt w:val="bullet"/>
      <w:lvlText w:val="o"/>
      <w:lvlJc w:val="left"/>
      <w:pPr>
        <w:ind w:left="4065" w:hanging="360"/>
      </w:pPr>
      <w:rPr>
        <w:rFonts w:ascii="Courier New" w:hAnsi="Courier New" w:cs="Courier New" w:hint="default"/>
      </w:rPr>
    </w:lvl>
    <w:lvl w:ilvl="5" w:tplc="04070005" w:tentative="1">
      <w:start w:val="1"/>
      <w:numFmt w:val="bullet"/>
      <w:lvlText w:val=""/>
      <w:lvlJc w:val="left"/>
      <w:pPr>
        <w:ind w:left="4785" w:hanging="360"/>
      </w:pPr>
      <w:rPr>
        <w:rFonts w:ascii="Wingdings" w:hAnsi="Wingdings" w:hint="default"/>
      </w:rPr>
    </w:lvl>
    <w:lvl w:ilvl="6" w:tplc="04070001" w:tentative="1">
      <w:start w:val="1"/>
      <w:numFmt w:val="bullet"/>
      <w:lvlText w:val=""/>
      <w:lvlJc w:val="left"/>
      <w:pPr>
        <w:ind w:left="5505" w:hanging="360"/>
      </w:pPr>
      <w:rPr>
        <w:rFonts w:ascii="Symbol" w:hAnsi="Symbol" w:hint="default"/>
      </w:rPr>
    </w:lvl>
    <w:lvl w:ilvl="7" w:tplc="04070003" w:tentative="1">
      <w:start w:val="1"/>
      <w:numFmt w:val="bullet"/>
      <w:lvlText w:val="o"/>
      <w:lvlJc w:val="left"/>
      <w:pPr>
        <w:ind w:left="6225" w:hanging="360"/>
      </w:pPr>
      <w:rPr>
        <w:rFonts w:ascii="Courier New" w:hAnsi="Courier New" w:cs="Courier New" w:hint="default"/>
      </w:rPr>
    </w:lvl>
    <w:lvl w:ilvl="8" w:tplc="04070005" w:tentative="1">
      <w:start w:val="1"/>
      <w:numFmt w:val="bullet"/>
      <w:lvlText w:val=""/>
      <w:lvlJc w:val="left"/>
      <w:pPr>
        <w:ind w:left="6945" w:hanging="360"/>
      </w:pPr>
      <w:rPr>
        <w:rFonts w:ascii="Wingdings" w:hAnsi="Wingdings" w:hint="default"/>
      </w:rPr>
    </w:lvl>
  </w:abstractNum>
  <w:abstractNum w:abstractNumId="23">
    <w:nsid w:val="3C1B162D"/>
    <w:multiLevelType w:val="hybridMultilevel"/>
    <w:tmpl w:val="E39A39F8"/>
    <w:lvl w:ilvl="0" w:tplc="FFFFFFFF">
      <w:start w:val="1"/>
      <w:numFmt w:val="bullet"/>
      <w:lvlText w:val=""/>
      <w:legacy w:legacy="1" w:legacySpace="0" w:legacyIndent="283"/>
      <w:lvlJc w:val="left"/>
      <w:pPr>
        <w:ind w:left="850"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C2D4171"/>
    <w:multiLevelType w:val="hybridMultilevel"/>
    <w:tmpl w:val="79486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E3B0B95"/>
    <w:multiLevelType w:val="hybridMultilevel"/>
    <w:tmpl w:val="19FE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55478A2"/>
    <w:multiLevelType w:val="hybridMultilevel"/>
    <w:tmpl w:val="7068B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CE23725"/>
    <w:multiLevelType w:val="hybridMultilevel"/>
    <w:tmpl w:val="CB0C097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nsid w:val="4E763C1A"/>
    <w:multiLevelType w:val="hybridMultilevel"/>
    <w:tmpl w:val="C05403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25B4035"/>
    <w:multiLevelType w:val="singleLevel"/>
    <w:tmpl w:val="FFFFFFFF"/>
    <w:lvl w:ilvl="0">
      <w:start w:val="1"/>
      <w:numFmt w:val="bullet"/>
      <w:lvlText w:val=""/>
      <w:legacy w:legacy="1" w:legacySpace="0" w:legacyIndent="283"/>
      <w:lvlJc w:val="left"/>
      <w:pPr>
        <w:ind w:left="850" w:hanging="283"/>
      </w:pPr>
      <w:rPr>
        <w:rFonts w:ascii="Symbol" w:hAnsi="Symbol" w:hint="default"/>
      </w:rPr>
    </w:lvl>
  </w:abstractNum>
  <w:abstractNum w:abstractNumId="30">
    <w:nsid w:val="56194167"/>
    <w:multiLevelType w:val="hybridMultilevel"/>
    <w:tmpl w:val="C3A63674"/>
    <w:lvl w:ilvl="0" w:tplc="98989ED4">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DCD44FA"/>
    <w:multiLevelType w:val="hybridMultilevel"/>
    <w:tmpl w:val="00AE88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3283E5B"/>
    <w:multiLevelType w:val="hybridMultilevel"/>
    <w:tmpl w:val="B43E4728"/>
    <w:lvl w:ilvl="0" w:tplc="FFFFFFFF">
      <w:start w:val="1"/>
      <w:numFmt w:val="bullet"/>
      <w:lvlText w:val=""/>
      <w:legacy w:legacy="1" w:legacySpace="0" w:legacyIndent="283"/>
      <w:lvlJc w:val="left"/>
      <w:pPr>
        <w:ind w:left="850"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64AA2926"/>
    <w:multiLevelType w:val="hybridMultilevel"/>
    <w:tmpl w:val="A32C6D82"/>
    <w:lvl w:ilvl="0" w:tplc="08090001">
      <w:start w:val="1"/>
      <w:numFmt w:val="bullet"/>
      <w:lvlText w:val=""/>
      <w:lvlJc w:val="left"/>
      <w:pPr>
        <w:ind w:left="1008" w:hanging="360"/>
      </w:pPr>
      <w:rPr>
        <w:rFonts w:ascii="Symbol" w:hAnsi="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hint="default"/>
      </w:rPr>
    </w:lvl>
    <w:lvl w:ilvl="3" w:tplc="08090001">
      <w:start w:val="1"/>
      <w:numFmt w:val="bullet"/>
      <w:lvlText w:val=""/>
      <w:lvlJc w:val="left"/>
      <w:pPr>
        <w:ind w:left="3168" w:hanging="360"/>
      </w:pPr>
      <w:rPr>
        <w:rFonts w:ascii="Symbol" w:hAnsi="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hint="default"/>
      </w:rPr>
    </w:lvl>
    <w:lvl w:ilvl="6" w:tplc="08090001">
      <w:start w:val="1"/>
      <w:numFmt w:val="bullet"/>
      <w:lvlText w:val=""/>
      <w:lvlJc w:val="left"/>
      <w:pPr>
        <w:ind w:left="5328" w:hanging="360"/>
      </w:pPr>
      <w:rPr>
        <w:rFonts w:ascii="Symbol" w:hAnsi="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hint="default"/>
      </w:rPr>
    </w:lvl>
  </w:abstractNum>
  <w:abstractNum w:abstractNumId="34">
    <w:nsid w:val="696763AA"/>
    <w:multiLevelType w:val="hybridMultilevel"/>
    <w:tmpl w:val="995040AC"/>
    <w:lvl w:ilvl="0" w:tplc="08090001">
      <w:start w:val="1"/>
      <w:numFmt w:val="bullet"/>
      <w:pStyle w:val="ListNumber"/>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D2449EE"/>
    <w:multiLevelType w:val="hybridMultilevel"/>
    <w:tmpl w:val="122471D8"/>
    <w:lvl w:ilvl="0" w:tplc="39FE2D8E">
      <w:numFmt w:val="bullet"/>
      <w:lvlText w:val=""/>
      <w:legacy w:legacy="1" w:legacySpace="0" w:legacyIndent="360"/>
      <w:lvlJc w:val="left"/>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DF7678B"/>
    <w:multiLevelType w:val="singleLevel"/>
    <w:tmpl w:val="FFFFFFFF"/>
    <w:lvl w:ilvl="0">
      <w:start w:val="1"/>
      <w:numFmt w:val="bullet"/>
      <w:lvlText w:val=""/>
      <w:legacy w:legacy="1" w:legacySpace="0" w:legacyIndent="283"/>
      <w:lvlJc w:val="left"/>
      <w:pPr>
        <w:ind w:left="850" w:hanging="283"/>
      </w:pPr>
      <w:rPr>
        <w:rFonts w:ascii="Symbol" w:hAnsi="Symbol" w:hint="default"/>
      </w:rPr>
    </w:lvl>
  </w:abstractNum>
  <w:abstractNum w:abstractNumId="37">
    <w:nsid w:val="6EE50746"/>
    <w:multiLevelType w:val="hybridMultilevel"/>
    <w:tmpl w:val="75E8BB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707E53C6"/>
    <w:multiLevelType w:val="hybridMultilevel"/>
    <w:tmpl w:val="43B863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4AD74E1"/>
    <w:multiLevelType w:val="singleLevel"/>
    <w:tmpl w:val="FFFFFFFF"/>
    <w:lvl w:ilvl="0">
      <w:start w:val="1"/>
      <w:numFmt w:val="bullet"/>
      <w:lvlText w:val=""/>
      <w:legacy w:legacy="1" w:legacySpace="0" w:legacyIndent="283"/>
      <w:lvlJc w:val="left"/>
      <w:pPr>
        <w:ind w:left="850" w:hanging="283"/>
      </w:pPr>
      <w:rPr>
        <w:rFonts w:ascii="Symbol" w:hAnsi="Symbol" w:hint="default"/>
      </w:rPr>
    </w:lvl>
  </w:abstractNum>
  <w:abstractNum w:abstractNumId="40">
    <w:nsid w:val="74FC458C"/>
    <w:multiLevelType w:val="hybridMultilevel"/>
    <w:tmpl w:val="7F6E07F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1">
    <w:nsid w:val="782E43A8"/>
    <w:multiLevelType w:val="hybridMultilevel"/>
    <w:tmpl w:val="CFBAB370"/>
    <w:lvl w:ilvl="0" w:tplc="0CCE8D86">
      <w:start w:val="1"/>
      <w:numFmt w:val="decimal"/>
      <w:pStyle w:val="Bullet"/>
      <w:lvlText w:val="3.%1"/>
      <w:lvlJc w:val="left"/>
      <w:pPr>
        <w:ind w:left="502" w:hanging="360"/>
      </w:pPr>
      <w:rPr>
        <w:rFonts w:hint="default"/>
        <w:color w:val="auto"/>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34"/>
  </w:num>
  <w:num w:numId="2">
    <w:abstractNumId w:val="17"/>
  </w:num>
  <w:num w:numId="3">
    <w:abstractNumId w:val="41"/>
  </w:num>
  <w:num w:numId="4">
    <w:abstractNumId w:val="30"/>
  </w:num>
  <w:num w:numId="5">
    <w:abstractNumId w:val="13"/>
  </w:num>
  <w:num w:numId="6">
    <w:abstractNumId w:val="14"/>
  </w:num>
  <w:num w:numId="7">
    <w:abstractNumId w:val="15"/>
  </w:num>
  <w:num w:numId="8">
    <w:abstractNumId w:val="9"/>
  </w:num>
  <w:num w:numId="9">
    <w:abstractNumId w:val="31"/>
  </w:num>
  <w:num w:numId="10">
    <w:abstractNumId w:val="1"/>
  </w:num>
  <w:num w:numId="11">
    <w:abstractNumId w:val="12"/>
  </w:num>
  <w:num w:numId="12">
    <w:abstractNumId w:val="16"/>
  </w:num>
  <w:num w:numId="13">
    <w:abstractNumId w:val="2"/>
    <w:lvlOverride w:ilvl="0">
      <w:lvl w:ilvl="0">
        <w:start w:val="1"/>
        <w:numFmt w:val="bullet"/>
        <w:lvlText w:val=""/>
        <w:legacy w:legacy="1" w:legacySpace="0" w:legacyIndent="283"/>
        <w:lvlJc w:val="left"/>
        <w:pPr>
          <w:ind w:left="850" w:hanging="283"/>
        </w:pPr>
        <w:rPr>
          <w:rFonts w:ascii="Symbol" w:hAnsi="Symbol" w:hint="default"/>
        </w:rPr>
      </w:lvl>
    </w:lvlOverride>
  </w:num>
  <w:num w:numId="14">
    <w:abstractNumId w:val="0"/>
  </w:num>
  <w:num w:numId="15">
    <w:abstractNumId w:val="36"/>
  </w:num>
  <w:num w:numId="16">
    <w:abstractNumId w:val="29"/>
  </w:num>
  <w:num w:numId="17">
    <w:abstractNumId w:val="39"/>
  </w:num>
  <w:num w:numId="18">
    <w:abstractNumId w:val="19"/>
  </w:num>
  <w:num w:numId="19">
    <w:abstractNumId w:val="35"/>
  </w:num>
  <w:num w:numId="20">
    <w:abstractNumId w:val="37"/>
  </w:num>
  <w:num w:numId="21">
    <w:abstractNumId w:val="5"/>
  </w:num>
  <w:num w:numId="22">
    <w:abstractNumId w:val="32"/>
  </w:num>
  <w:num w:numId="23">
    <w:abstractNumId w:val="7"/>
  </w:num>
  <w:num w:numId="24">
    <w:abstractNumId w:val="4"/>
  </w:num>
  <w:num w:numId="25">
    <w:abstractNumId w:val="23"/>
  </w:num>
  <w:num w:numId="26">
    <w:abstractNumId w:val="18"/>
  </w:num>
  <w:num w:numId="27">
    <w:abstractNumId w:val="38"/>
  </w:num>
  <w:num w:numId="28">
    <w:abstractNumId w:val="28"/>
  </w:num>
  <w:num w:numId="29">
    <w:abstractNumId w:val="10"/>
  </w:num>
  <w:num w:numId="30">
    <w:abstractNumId w:val="40"/>
  </w:num>
  <w:num w:numId="31">
    <w:abstractNumId w:val="33"/>
  </w:num>
  <w:num w:numId="32">
    <w:abstractNumId w:val="11"/>
  </w:num>
  <w:num w:numId="33">
    <w:abstractNumId w:val="25"/>
  </w:num>
  <w:num w:numId="34">
    <w:abstractNumId w:val="8"/>
  </w:num>
  <w:num w:numId="35">
    <w:abstractNumId w:val="26"/>
  </w:num>
  <w:num w:numId="36">
    <w:abstractNumId w:val="21"/>
  </w:num>
  <w:num w:numId="37">
    <w:abstractNumId w:val="2"/>
    <w:lvlOverride w:ilvl="0">
      <w:lvl w:ilvl="0">
        <w:start w:val="1"/>
        <w:numFmt w:val="bullet"/>
        <w:lvlText w:val=""/>
        <w:legacy w:legacy="1" w:legacySpace="0" w:legacyIndent="283"/>
        <w:lvlJc w:val="left"/>
        <w:pPr>
          <w:ind w:left="850" w:hanging="283"/>
        </w:pPr>
        <w:rPr>
          <w:rFonts w:ascii="Symbol" w:hAnsi="Symbol" w:hint="default"/>
        </w:rPr>
      </w:lvl>
    </w:lvlOverride>
  </w:num>
  <w:num w:numId="38">
    <w:abstractNumId w:val="6"/>
  </w:num>
  <w:num w:numId="39">
    <w:abstractNumId w:val="22"/>
  </w:num>
  <w:num w:numId="40">
    <w:abstractNumId w:val="27"/>
  </w:num>
  <w:num w:numId="41">
    <w:abstractNumId w:val="3"/>
  </w:num>
  <w:num w:numId="42">
    <w:abstractNumId w:val="20"/>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F48"/>
    <w:rsid w:val="0001507E"/>
    <w:rsid w:val="000539FA"/>
    <w:rsid w:val="0009083A"/>
    <w:rsid w:val="000B2293"/>
    <w:rsid w:val="000F2818"/>
    <w:rsid w:val="001A7778"/>
    <w:rsid w:val="001B20AB"/>
    <w:rsid w:val="001B30EB"/>
    <w:rsid w:val="001B3AF9"/>
    <w:rsid w:val="001D3823"/>
    <w:rsid w:val="002F237A"/>
    <w:rsid w:val="0033752F"/>
    <w:rsid w:val="003F0290"/>
    <w:rsid w:val="003F2F06"/>
    <w:rsid w:val="00495FBB"/>
    <w:rsid w:val="004A64B0"/>
    <w:rsid w:val="004B0E68"/>
    <w:rsid w:val="0055733C"/>
    <w:rsid w:val="00581D0F"/>
    <w:rsid w:val="005D6562"/>
    <w:rsid w:val="005F22BA"/>
    <w:rsid w:val="006123B0"/>
    <w:rsid w:val="00617246"/>
    <w:rsid w:val="0064018C"/>
    <w:rsid w:val="006D3BE7"/>
    <w:rsid w:val="006F0A4B"/>
    <w:rsid w:val="0073238F"/>
    <w:rsid w:val="00737BD2"/>
    <w:rsid w:val="0074258D"/>
    <w:rsid w:val="0075001C"/>
    <w:rsid w:val="0077403E"/>
    <w:rsid w:val="00776C13"/>
    <w:rsid w:val="007C1D17"/>
    <w:rsid w:val="007D149A"/>
    <w:rsid w:val="00812784"/>
    <w:rsid w:val="0089681E"/>
    <w:rsid w:val="008E614E"/>
    <w:rsid w:val="0091176B"/>
    <w:rsid w:val="00935187"/>
    <w:rsid w:val="0094705E"/>
    <w:rsid w:val="00953614"/>
    <w:rsid w:val="00975554"/>
    <w:rsid w:val="0098261C"/>
    <w:rsid w:val="009D45F6"/>
    <w:rsid w:val="00A01D86"/>
    <w:rsid w:val="00A44A89"/>
    <w:rsid w:val="00AA7C8C"/>
    <w:rsid w:val="00AB2B8C"/>
    <w:rsid w:val="00B32293"/>
    <w:rsid w:val="00B33CCD"/>
    <w:rsid w:val="00C82F48"/>
    <w:rsid w:val="00CE2106"/>
    <w:rsid w:val="00D06837"/>
    <w:rsid w:val="00E61617"/>
    <w:rsid w:val="00E9567F"/>
    <w:rsid w:val="00EB15DB"/>
    <w:rsid w:val="00EC3E9C"/>
    <w:rsid w:val="00F63BAF"/>
    <w:rsid w:val="00F73D36"/>
    <w:rsid w:val="00F90B60"/>
    <w:rsid w:val="00FB0229"/>
    <w:rsid w:val="00FC36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62BF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60C"/>
    <w:pPr>
      <w:tabs>
        <w:tab w:val="left" w:pos="567"/>
        <w:tab w:val="left" w:pos="1134"/>
        <w:tab w:val="left" w:pos="1701"/>
        <w:tab w:val="left" w:pos="2268"/>
      </w:tabs>
      <w:spacing w:after="120"/>
      <w:jc w:val="both"/>
    </w:pPr>
    <w:rPr>
      <w:rFonts w:ascii="Calibri" w:eastAsia="Times New Roman" w:hAnsi="Calibri" w:cs="Times New Roman"/>
      <w:szCs w:val="20"/>
      <w:lang w:eastAsia="en-GB"/>
    </w:rPr>
  </w:style>
  <w:style w:type="paragraph" w:styleId="Heading1">
    <w:name w:val="heading 1"/>
    <w:basedOn w:val="Normal"/>
    <w:next w:val="Normal"/>
    <w:link w:val="Heading1Char"/>
    <w:qFormat/>
    <w:rsid w:val="002F237A"/>
    <w:pPr>
      <w:spacing w:before="200"/>
      <w:outlineLvl w:val="0"/>
    </w:pPr>
    <w:rPr>
      <w:sz w:val="26"/>
      <w:szCs w:val="26"/>
    </w:rPr>
  </w:style>
  <w:style w:type="paragraph" w:styleId="Heading2">
    <w:name w:val="heading 2"/>
    <w:basedOn w:val="Normal"/>
    <w:next w:val="BodyText"/>
    <w:link w:val="Heading2Char"/>
    <w:qFormat/>
    <w:rsid w:val="002F237A"/>
    <w:pPr>
      <w:spacing w:before="120"/>
      <w:outlineLvl w:val="1"/>
    </w:pPr>
    <w:rPr>
      <w:b/>
      <w:lang w:val="en-US" w:eastAsia="en-US"/>
    </w:rPr>
  </w:style>
  <w:style w:type="paragraph" w:styleId="Heading3">
    <w:name w:val="heading 3"/>
    <w:basedOn w:val="Normal"/>
    <w:next w:val="BodyText"/>
    <w:link w:val="Heading3Char"/>
    <w:qFormat/>
    <w:rsid w:val="002F237A"/>
    <w:pPr>
      <w:spacing w:before="120"/>
      <w:outlineLvl w:val="2"/>
    </w:pPr>
    <w:rPr>
      <w:rFonts w:cs="Arial"/>
      <w:szCs w:val="22"/>
    </w:rPr>
  </w:style>
  <w:style w:type="paragraph" w:styleId="Heading4">
    <w:name w:val="heading 4"/>
    <w:basedOn w:val="BodyText"/>
    <w:next w:val="Normal"/>
    <w:link w:val="Heading4Char"/>
    <w:qFormat/>
    <w:rsid w:val="00935187"/>
    <w:pPr>
      <w:spacing w:after="120" w:line="276" w:lineRule="auto"/>
      <w:outlineLvl w:val="3"/>
    </w:pPr>
    <w:rPr>
      <w:rFonts w:ascii="Calibri" w:hAnsi="Calibri"/>
      <w:i/>
      <w:sz w:val="22"/>
      <w:szCs w:val="22"/>
    </w:rPr>
  </w:style>
  <w:style w:type="paragraph" w:styleId="Heading5">
    <w:name w:val="heading 5"/>
    <w:basedOn w:val="Heading1"/>
    <w:next w:val="Normal"/>
    <w:link w:val="Heading5Char"/>
    <w:qFormat/>
    <w:rsid w:val="00FC360C"/>
    <w:pPr>
      <w:tabs>
        <w:tab w:val="clear" w:pos="567"/>
        <w:tab w:val="clear" w:pos="1134"/>
        <w:tab w:val="clear" w:pos="1701"/>
        <w:tab w:val="clear" w:pos="2268"/>
        <w:tab w:val="num" w:pos="288"/>
        <w:tab w:val="left" w:pos="990"/>
        <w:tab w:val="left" w:pos="1260"/>
      </w:tabs>
      <w:spacing w:before="240" w:after="60" w:line="240" w:lineRule="auto"/>
      <w:jc w:val="left"/>
      <w:outlineLvl w:val="4"/>
    </w:pPr>
    <w:rPr>
      <w:rFonts w:ascii="Futura Md BT" w:hAnsi="Futura Md BT" w:cs="Arial"/>
      <w:b/>
      <w:iCs/>
      <w:spacing w:val="6"/>
      <w:kern w:val="32"/>
      <w:sz w:val="16"/>
      <w:szCs w:val="16"/>
      <w:lang w:val="da-DK" w:eastAsia="en-US"/>
    </w:rPr>
  </w:style>
  <w:style w:type="paragraph" w:styleId="Heading7">
    <w:name w:val="heading 7"/>
    <w:basedOn w:val="Normal"/>
    <w:next w:val="Normal"/>
    <w:link w:val="Heading7Char"/>
    <w:qFormat/>
    <w:rsid w:val="00FC360C"/>
    <w:pPr>
      <w:keepNext/>
      <w:tabs>
        <w:tab w:val="clear" w:pos="567"/>
        <w:tab w:val="clear" w:pos="1134"/>
        <w:tab w:val="clear" w:pos="1701"/>
        <w:tab w:val="clear" w:pos="2268"/>
      </w:tabs>
      <w:spacing w:before="120" w:after="0" w:line="240" w:lineRule="auto"/>
      <w:outlineLvl w:val="6"/>
    </w:pPr>
    <w:rPr>
      <w:rFonts w:ascii="Times New Roman" w:hAnsi="Times New Roman"/>
      <w:b/>
    </w:rPr>
  </w:style>
  <w:style w:type="paragraph" w:styleId="Heading8">
    <w:name w:val="heading 8"/>
    <w:basedOn w:val="Normal"/>
    <w:next w:val="Normal"/>
    <w:link w:val="Heading8Char"/>
    <w:qFormat/>
    <w:rsid w:val="00FC360C"/>
    <w:pPr>
      <w:keepNext/>
      <w:tabs>
        <w:tab w:val="clear" w:pos="567"/>
        <w:tab w:val="clear" w:pos="1134"/>
        <w:tab w:val="clear" w:pos="1701"/>
        <w:tab w:val="clear" w:pos="2268"/>
      </w:tabs>
      <w:spacing w:before="120" w:after="0" w:line="240" w:lineRule="auto"/>
      <w:jc w:val="center"/>
      <w:outlineLvl w:val="7"/>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37A"/>
    <w:rPr>
      <w:rFonts w:ascii="Calibri" w:eastAsia="Times New Roman" w:hAnsi="Calibri" w:cs="Times New Roman"/>
      <w:sz w:val="26"/>
      <w:szCs w:val="26"/>
      <w:lang w:eastAsia="en-GB"/>
    </w:rPr>
  </w:style>
  <w:style w:type="paragraph" w:styleId="Footer">
    <w:name w:val="footer"/>
    <w:aliases w:val="Footer1"/>
    <w:basedOn w:val="Normal"/>
    <w:link w:val="FooterChar"/>
    <w:uiPriority w:val="99"/>
    <w:rsid w:val="00C82F48"/>
    <w:pPr>
      <w:tabs>
        <w:tab w:val="center" w:pos="4153"/>
        <w:tab w:val="right" w:pos="8306"/>
      </w:tabs>
    </w:pPr>
    <w:rPr>
      <w:rFonts w:ascii="Times New Roman" w:hAnsi="Times New Roman"/>
      <w:lang w:val="x-none" w:eastAsia="x-none"/>
    </w:rPr>
  </w:style>
  <w:style w:type="character" w:customStyle="1" w:styleId="FooterChar">
    <w:name w:val="Footer Char"/>
    <w:aliases w:val="Footer1 Char"/>
    <w:basedOn w:val="DefaultParagraphFont"/>
    <w:link w:val="Footer"/>
    <w:uiPriority w:val="99"/>
    <w:rsid w:val="00C82F48"/>
    <w:rPr>
      <w:rFonts w:ascii="Times New Roman" w:eastAsia="Times New Roman" w:hAnsi="Times New Roman" w:cs="Times New Roman"/>
      <w:szCs w:val="20"/>
      <w:lang w:val="x-none" w:eastAsia="x-none"/>
    </w:rPr>
  </w:style>
  <w:style w:type="character" w:styleId="FootnoteReference">
    <w:name w:val="footnote reference"/>
    <w:aliases w:val="stylish"/>
    <w:semiHidden/>
    <w:rsid w:val="00C82F48"/>
    <w:rPr>
      <w:sz w:val="16"/>
      <w:vertAlign w:val="superscript"/>
    </w:rPr>
  </w:style>
  <w:style w:type="character" w:styleId="CommentReference">
    <w:name w:val="annotation reference"/>
    <w:semiHidden/>
    <w:rsid w:val="00C82F48"/>
    <w:rPr>
      <w:sz w:val="16"/>
      <w:szCs w:val="16"/>
    </w:rPr>
  </w:style>
  <w:style w:type="paragraph" w:styleId="CommentText">
    <w:name w:val="annotation text"/>
    <w:basedOn w:val="Normal"/>
    <w:link w:val="CommentTextChar"/>
    <w:rsid w:val="00C82F48"/>
    <w:rPr>
      <w:sz w:val="20"/>
    </w:rPr>
  </w:style>
  <w:style w:type="character" w:customStyle="1" w:styleId="CommentTextChar">
    <w:name w:val="Comment Text Char"/>
    <w:basedOn w:val="DefaultParagraphFont"/>
    <w:link w:val="CommentText"/>
    <w:rsid w:val="00C82F48"/>
    <w:rPr>
      <w:rFonts w:ascii="Calibri" w:eastAsia="Times New Roman" w:hAnsi="Calibri" w:cs="Times New Roman"/>
      <w:sz w:val="20"/>
      <w:szCs w:val="20"/>
      <w:lang w:eastAsia="en-GB"/>
    </w:rPr>
  </w:style>
  <w:style w:type="paragraph" w:styleId="Title">
    <w:name w:val="Title"/>
    <w:basedOn w:val="Heading1"/>
    <w:link w:val="TitleChar"/>
    <w:qFormat/>
    <w:rsid w:val="00FC360C"/>
    <w:pPr>
      <w:spacing w:before="240" w:after="240"/>
    </w:pPr>
    <w:rPr>
      <w:sz w:val="40"/>
      <w:szCs w:val="40"/>
      <w:lang w:eastAsia="x-none"/>
    </w:rPr>
  </w:style>
  <w:style w:type="character" w:customStyle="1" w:styleId="TitleChar">
    <w:name w:val="Title Char"/>
    <w:basedOn w:val="DefaultParagraphFont"/>
    <w:link w:val="Title"/>
    <w:rsid w:val="00FC360C"/>
    <w:rPr>
      <w:rFonts w:ascii="Calibri" w:eastAsia="Times New Roman" w:hAnsi="Calibri" w:cs="Times New Roman"/>
      <w:kern w:val="28"/>
      <w:sz w:val="40"/>
      <w:szCs w:val="40"/>
      <w:lang w:eastAsia="x-none"/>
    </w:rPr>
  </w:style>
  <w:style w:type="paragraph" w:styleId="BalloonText">
    <w:name w:val="Balloon Text"/>
    <w:basedOn w:val="Normal"/>
    <w:link w:val="BalloonTextChar"/>
    <w:semiHidden/>
    <w:unhideWhenUsed/>
    <w:rsid w:val="00C82F48"/>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C82F48"/>
    <w:rPr>
      <w:rFonts w:ascii="Tahoma" w:eastAsia="Times New Roman" w:hAnsi="Tahoma" w:cs="Tahoma"/>
      <w:sz w:val="16"/>
      <w:szCs w:val="16"/>
      <w:lang w:eastAsia="en-GB"/>
    </w:rPr>
  </w:style>
  <w:style w:type="paragraph" w:styleId="Header">
    <w:name w:val="header"/>
    <w:aliases w:val="Header1"/>
    <w:basedOn w:val="Normal"/>
    <w:link w:val="HeaderChar"/>
    <w:uiPriority w:val="99"/>
    <w:unhideWhenUsed/>
    <w:rsid w:val="00EC3E9C"/>
    <w:pPr>
      <w:tabs>
        <w:tab w:val="clear" w:pos="567"/>
        <w:tab w:val="clear" w:pos="1134"/>
        <w:tab w:val="clear" w:pos="1701"/>
        <w:tab w:val="clear" w:pos="2268"/>
        <w:tab w:val="center" w:pos="4513"/>
        <w:tab w:val="right" w:pos="9026"/>
      </w:tabs>
      <w:spacing w:after="0"/>
    </w:pPr>
  </w:style>
  <w:style w:type="character" w:customStyle="1" w:styleId="HeaderChar">
    <w:name w:val="Header Char"/>
    <w:aliases w:val="Header1 Char"/>
    <w:basedOn w:val="DefaultParagraphFont"/>
    <w:link w:val="Header"/>
    <w:uiPriority w:val="99"/>
    <w:rsid w:val="00EC3E9C"/>
    <w:rPr>
      <w:rFonts w:ascii="Calibri" w:eastAsia="Times New Roman" w:hAnsi="Calibri" w:cs="Times New Roman"/>
      <w:szCs w:val="20"/>
      <w:lang w:eastAsia="en-GB"/>
    </w:rPr>
  </w:style>
  <w:style w:type="paragraph" w:styleId="ListParagraph">
    <w:name w:val="List Paragraph"/>
    <w:basedOn w:val="Normal"/>
    <w:uiPriority w:val="34"/>
    <w:qFormat/>
    <w:rsid w:val="00EC3E9C"/>
    <w:pPr>
      <w:ind w:left="720"/>
      <w:contextualSpacing/>
    </w:pPr>
  </w:style>
  <w:style w:type="character" w:styleId="PageNumber">
    <w:name w:val="page number"/>
    <w:rsid w:val="00A44A89"/>
    <w:rPr>
      <w:rFonts w:ascii="Arial" w:hAnsi="Arial"/>
      <w:sz w:val="18"/>
    </w:rPr>
  </w:style>
  <w:style w:type="character" w:customStyle="1" w:styleId="Heading2Char">
    <w:name w:val="Heading 2 Char"/>
    <w:basedOn w:val="DefaultParagraphFont"/>
    <w:link w:val="Heading2"/>
    <w:rsid w:val="002F237A"/>
    <w:rPr>
      <w:rFonts w:ascii="Calibri" w:eastAsia="Times New Roman" w:hAnsi="Calibri" w:cs="Times New Roman"/>
      <w:b/>
      <w:szCs w:val="20"/>
      <w:lang w:val="en-US"/>
    </w:rPr>
  </w:style>
  <w:style w:type="character" w:customStyle="1" w:styleId="Heading3Char">
    <w:name w:val="Heading 3 Char"/>
    <w:basedOn w:val="DefaultParagraphFont"/>
    <w:link w:val="Heading3"/>
    <w:rsid w:val="002F237A"/>
    <w:rPr>
      <w:rFonts w:ascii="Calibri" w:eastAsia="Times New Roman" w:hAnsi="Calibri" w:cs="Arial"/>
      <w:lang w:eastAsia="en-GB"/>
    </w:rPr>
  </w:style>
  <w:style w:type="character" w:customStyle="1" w:styleId="Heading4Char">
    <w:name w:val="Heading 4 Char"/>
    <w:basedOn w:val="DefaultParagraphFont"/>
    <w:link w:val="Heading4"/>
    <w:rsid w:val="00935187"/>
    <w:rPr>
      <w:rFonts w:ascii="Calibri" w:eastAsia="Times New Roman" w:hAnsi="Calibri" w:cs="Times New Roman"/>
      <w:i/>
      <w:lang w:eastAsia="en-GB"/>
    </w:rPr>
  </w:style>
  <w:style w:type="character" w:customStyle="1" w:styleId="Heading5Char">
    <w:name w:val="Heading 5 Char"/>
    <w:basedOn w:val="DefaultParagraphFont"/>
    <w:link w:val="Heading5"/>
    <w:rsid w:val="00FC360C"/>
    <w:rPr>
      <w:rFonts w:ascii="Futura Md BT" w:eastAsia="Times New Roman" w:hAnsi="Futura Md BT" w:cs="Arial"/>
      <w:b/>
      <w:iCs/>
      <w:spacing w:val="6"/>
      <w:kern w:val="32"/>
      <w:sz w:val="16"/>
      <w:szCs w:val="16"/>
      <w:lang w:val="da-DK"/>
    </w:rPr>
  </w:style>
  <w:style w:type="character" w:customStyle="1" w:styleId="Heading7Char">
    <w:name w:val="Heading 7 Char"/>
    <w:basedOn w:val="DefaultParagraphFont"/>
    <w:link w:val="Heading7"/>
    <w:rsid w:val="00FC360C"/>
    <w:rPr>
      <w:rFonts w:ascii="Times New Roman" w:eastAsia="Times New Roman" w:hAnsi="Times New Roman" w:cs="Times New Roman"/>
      <w:b/>
      <w:szCs w:val="20"/>
      <w:lang w:eastAsia="en-GB"/>
    </w:rPr>
  </w:style>
  <w:style w:type="character" w:customStyle="1" w:styleId="Heading8Char">
    <w:name w:val="Heading 8 Char"/>
    <w:basedOn w:val="DefaultParagraphFont"/>
    <w:link w:val="Heading8"/>
    <w:rsid w:val="00FC360C"/>
    <w:rPr>
      <w:rFonts w:ascii="Times New Roman" w:eastAsia="Times New Roman" w:hAnsi="Times New Roman" w:cs="Times New Roman"/>
      <w:b/>
      <w:szCs w:val="20"/>
      <w:lang w:eastAsia="en-GB"/>
    </w:rPr>
  </w:style>
  <w:style w:type="paragraph" w:styleId="BodyText">
    <w:name w:val="Body Text"/>
    <w:basedOn w:val="Normal"/>
    <w:link w:val="BodyTextChar"/>
    <w:rsid w:val="00FC360C"/>
    <w:pPr>
      <w:tabs>
        <w:tab w:val="clear" w:pos="567"/>
        <w:tab w:val="clear" w:pos="1134"/>
        <w:tab w:val="clear" w:pos="1701"/>
        <w:tab w:val="clear" w:pos="2268"/>
        <w:tab w:val="left" w:pos="357"/>
      </w:tabs>
      <w:spacing w:after="140" w:line="280" w:lineRule="atLeast"/>
    </w:pPr>
    <w:rPr>
      <w:rFonts w:ascii="Arial" w:hAnsi="Arial"/>
      <w:sz w:val="20"/>
    </w:rPr>
  </w:style>
  <w:style w:type="character" w:customStyle="1" w:styleId="BodyTextChar">
    <w:name w:val="Body Text Char"/>
    <w:basedOn w:val="DefaultParagraphFont"/>
    <w:link w:val="BodyText"/>
    <w:rsid w:val="00FC360C"/>
    <w:rPr>
      <w:rFonts w:ascii="Arial" w:eastAsia="Times New Roman" w:hAnsi="Arial" w:cs="Times New Roman"/>
      <w:sz w:val="20"/>
      <w:szCs w:val="20"/>
      <w:lang w:eastAsia="en-GB"/>
    </w:rPr>
  </w:style>
  <w:style w:type="paragraph" w:styleId="TOC2">
    <w:name w:val="toc 2"/>
    <w:next w:val="Normal"/>
    <w:uiPriority w:val="39"/>
    <w:rsid w:val="00FC360C"/>
    <w:pPr>
      <w:tabs>
        <w:tab w:val="right" w:leader="dot" w:pos="9015"/>
      </w:tabs>
      <w:spacing w:after="0" w:line="280" w:lineRule="atLeast"/>
      <w:ind w:left="357"/>
    </w:pPr>
    <w:rPr>
      <w:rFonts w:ascii="Arial" w:eastAsia="Times New Roman" w:hAnsi="Arial" w:cs="Times New Roman"/>
      <w:noProof/>
      <w:sz w:val="20"/>
      <w:szCs w:val="20"/>
      <w:lang w:eastAsia="en-GB"/>
    </w:rPr>
  </w:style>
  <w:style w:type="paragraph" w:styleId="TOC3">
    <w:name w:val="toc 3"/>
    <w:basedOn w:val="BodyText"/>
    <w:next w:val="Normal"/>
    <w:uiPriority w:val="39"/>
    <w:rsid w:val="00FC360C"/>
    <w:pPr>
      <w:tabs>
        <w:tab w:val="clear" w:pos="357"/>
        <w:tab w:val="right" w:leader="dot" w:pos="9015"/>
      </w:tabs>
      <w:spacing w:after="0"/>
      <w:ind w:left="714"/>
    </w:pPr>
    <w:rPr>
      <w:noProof/>
    </w:rPr>
  </w:style>
  <w:style w:type="paragraph" w:customStyle="1" w:styleId="Char">
    <w:name w:val="Char"/>
    <w:basedOn w:val="Normal"/>
    <w:rsid w:val="00FC360C"/>
    <w:pPr>
      <w:numPr>
        <w:numId w:val="11"/>
      </w:numPr>
      <w:tabs>
        <w:tab w:val="clear" w:pos="340"/>
        <w:tab w:val="clear" w:pos="567"/>
        <w:tab w:val="clear" w:pos="1134"/>
        <w:tab w:val="clear" w:pos="1701"/>
        <w:tab w:val="clear" w:pos="2268"/>
      </w:tabs>
      <w:spacing w:after="160" w:line="240" w:lineRule="exact"/>
      <w:ind w:left="0" w:firstLine="0"/>
      <w:jc w:val="left"/>
    </w:pPr>
    <w:rPr>
      <w:rFonts w:ascii="Tahoma" w:hAnsi="Tahoma"/>
      <w:sz w:val="20"/>
      <w:lang w:val="en-US" w:eastAsia="en-US"/>
    </w:rPr>
  </w:style>
  <w:style w:type="paragraph" w:styleId="EndnoteText">
    <w:name w:val="endnote text"/>
    <w:basedOn w:val="Normal"/>
    <w:link w:val="EndnoteTextChar"/>
    <w:semiHidden/>
    <w:rsid w:val="00FC360C"/>
    <w:pPr>
      <w:numPr>
        <w:numId w:val="10"/>
      </w:numPr>
      <w:tabs>
        <w:tab w:val="clear" w:pos="340"/>
        <w:tab w:val="clear" w:pos="567"/>
        <w:tab w:val="clear" w:pos="1134"/>
        <w:tab w:val="clear" w:pos="1701"/>
        <w:tab w:val="clear" w:pos="2268"/>
        <w:tab w:val="left" w:pos="357"/>
      </w:tabs>
      <w:spacing w:after="140" w:line="280" w:lineRule="atLeast"/>
      <w:ind w:left="0" w:firstLine="0"/>
      <w:jc w:val="left"/>
    </w:pPr>
    <w:rPr>
      <w:rFonts w:ascii="Arial" w:hAnsi="Arial"/>
      <w:sz w:val="20"/>
    </w:rPr>
  </w:style>
  <w:style w:type="character" w:customStyle="1" w:styleId="EndnoteTextChar">
    <w:name w:val="Endnote Text Char"/>
    <w:basedOn w:val="DefaultParagraphFont"/>
    <w:link w:val="EndnoteText"/>
    <w:semiHidden/>
    <w:rsid w:val="00FC360C"/>
    <w:rPr>
      <w:rFonts w:ascii="Arial" w:eastAsia="Times New Roman" w:hAnsi="Arial" w:cs="Times New Roman"/>
      <w:sz w:val="20"/>
      <w:szCs w:val="20"/>
      <w:lang w:eastAsia="en-GB"/>
    </w:rPr>
  </w:style>
  <w:style w:type="paragraph" w:customStyle="1" w:styleId="Normalenkel">
    <w:name w:val="Normalenkel"/>
    <w:basedOn w:val="Normal"/>
    <w:rsid w:val="00FC360C"/>
    <w:pPr>
      <w:tabs>
        <w:tab w:val="clear" w:pos="567"/>
        <w:tab w:val="clear" w:pos="1134"/>
        <w:tab w:val="clear" w:pos="1701"/>
        <w:tab w:val="clear" w:pos="2268"/>
      </w:tabs>
      <w:spacing w:after="0" w:line="240" w:lineRule="auto"/>
      <w:jc w:val="left"/>
    </w:pPr>
    <w:rPr>
      <w:rFonts w:ascii="Times New Roman" w:hAnsi="Times New Roman"/>
      <w:sz w:val="24"/>
      <w:szCs w:val="22"/>
      <w:lang w:val="sv-SE" w:eastAsia="fr-FR"/>
    </w:rPr>
  </w:style>
  <w:style w:type="character" w:styleId="FollowedHyperlink">
    <w:name w:val="FollowedHyperlink"/>
    <w:uiPriority w:val="99"/>
    <w:rsid w:val="00FC360C"/>
    <w:rPr>
      <w:color w:val="808080"/>
      <w:u w:val="none"/>
    </w:rPr>
  </w:style>
  <w:style w:type="paragraph" w:styleId="FootnoteText">
    <w:name w:val="footnote text"/>
    <w:link w:val="FootnoteTextChar"/>
    <w:uiPriority w:val="99"/>
    <w:semiHidden/>
    <w:rsid w:val="00FC360C"/>
    <w:pPr>
      <w:spacing w:after="0" w:line="240" w:lineRule="auto"/>
      <w:jc w:val="both"/>
    </w:pPr>
    <w:rPr>
      <w:rFonts w:ascii="Calibri" w:eastAsia="Times New Roman" w:hAnsi="Calibri" w:cs="Times New Roman"/>
      <w:noProof/>
      <w:sz w:val="20"/>
      <w:szCs w:val="20"/>
      <w:lang w:eastAsia="en-GB"/>
    </w:rPr>
  </w:style>
  <w:style w:type="character" w:customStyle="1" w:styleId="FootnoteTextChar">
    <w:name w:val="Footnote Text Char"/>
    <w:basedOn w:val="DefaultParagraphFont"/>
    <w:link w:val="FootnoteText"/>
    <w:uiPriority w:val="99"/>
    <w:semiHidden/>
    <w:rsid w:val="00FC360C"/>
    <w:rPr>
      <w:rFonts w:ascii="Calibri" w:eastAsia="Times New Roman" w:hAnsi="Calibri" w:cs="Times New Roman"/>
      <w:noProof/>
      <w:sz w:val="20"/>
      <w:szCs w:val="20"/>
      <w:lang w:eastAsia="en-GB"/>
    </w:rPr>
  </w:style>
  <w:style w:type="character" w:styleId="Hyperlink">
    <w:name w:val="Hyperlink"/>
    <w:rsid w:val="00FC360C"/>
    <w:rPr>
      <w:color w:val="16288E"/>
      <w:u w:val="none"/>
    </w:rPr>
  </w:style>
  <w:style w:type="paragraph" w:customStyle="1" w:styleId="Introduction">
    <w:name w:val="Introduction"/>
    <w:basedOn w:val="BodyText"/>
    <w:next w:val="BodyText"/>
    <w:rsid w:val="00FC360C"/>
    <w:rPr>
      <w:b/>
      <w:color w:val="16288E"/>
    </w:rPr>
  </w:style>
  <w:style w:type="paragraph" w:styleId="ListBullet">
    <w:name w:val="List Bullet"/>
    <w:basedOn w:val="Normal"/>
    <w:rsid w:val="00FC360C"/>
    <w:pPr>
      <w:numPr>
        <w:numId w:val="2"/>
      </w:numPr>
      <w:tabs>
        <w:tab w:val="clear" w:pos="567"/>
        <w:tab w:val="clear" w:pos="1134"/>
        <w:tab w:val="clear" w:pos="1701"/>
        <w:tab w:val="clear" w:pos="2268"/>
      </w:tabs>
      <w:spacing w:after="140" w:line="280" w:lineRule="atLeast"/>
    </w:pPr>
    <w:rPr>
      <w:rFonts w:ascii="Arial" w:hAnsi="Arial"/>
      <w:sz w:val="20"/>
    </w:rPr>
  </w:style>
  <w:style w:type="paragraph" w:styleId="ListNumber">
    <w:name w:val="List Number"/>
    <w:basedOn w:val="Normal"/>
    <w:rsid w:val="00FC360C"/>
    <w:pPr>
      <w:numPr>
        <w:numId w:val="1"/>
      </w:numPr>
      <w:tabs>
        <w:tab w:val="clear" w:pos="567"/>
        <w:tab w:val="clear" w:pos="1134"/>
        <w:tab w:val="clear" w:pos="1701"/>
        <w:tab w:val="clear" w:pos="2268"/>
      </w:tabs>
      <w:spacing w:after="140" w:line="280" w:lineRule="atLeast"/>
      <w:jc w:val="left"/>
    </w:pPr>
    <w:rPr>
      <w:rFonts w:ascii="Arial" w:hAnsi="Arial"/>
      <w:sz w:val="20"/>
    </w:rPr>
  </w:style>
  <w:style w:type="paragraph" w:styleId="Subtitle">
    <w:name w:val="Subtitle"/>
    <w:link w:val="SubtitleChar"/>
    <w:qFormat/>
    <w:rsid w:val="00FC360C"/>
    <w:pPr>
      <w:spacing w:after="0" w:line="240" w:lineRule="auto"/>
    </w:pPr>
    <w:rPr>
      <w:rFonts w:ascii="Arial" w:eastAsia="Times New Roman" w:hAnsi="Arial" w:cs="Times New Roman"/>
      <w:noProof/>
      <w:color w:val="008CFF"/>
      <w:sz w:val="48"/>
      <w:szCs w:val="20"/>
      <w:lang w:eastAsia="en-GB"/>
    </w:rPr>
  </w:style>
  <w:style w:type="character" w:customStyle="1" w:styleId="SubtitleChar">
    <w:name w:val="Subtitle Char"/>
    <w:basedOn w:val="DefaultParagraphFont"/>
    <w:link w:val="Subtitle"/>
    <w:rsid w:val="00FC360C"/>
    <w:rPr>
      <w:rFonts w:ascii="Arial" w:eastAsia="Times New Roman" w:hAnsi="Arial" w:cs="Times New Roman"/>
      <w:noProof/>
      <w:color w:val="008CFF"/>
      <w:sz w:val="48"/>
      <w:szCs w:val="20"/>
      <w:lang w:eastAsia="en-GB"/>
    </w:rPr>
  </w:style>
  <w:style w:type="paragraph" w:styleId="TOC1">
    <w:name w:val="toc 1"/>
    <w:basedOn w:val="Normal"/>
    <w:next w:val="Normal"/>
    <w:uiPriority w:val="39"/>
    <w:rsid w:val="00FC360C"/>
    <w:pPr>
      <w:tabs>
        <w:tab w:val="clear" w:pos="567"/>
        <w:tab w:val="clear" w:pos="1134"/>
        <w:tab w:val="clear" w:pos="1701"/>
        <w:tab w:val="clear" w:pos="2268"/>
        <w:tab w:val="right" w:leader="dot" w:pos="9015"/>
      </w:tabs>
      <w:spacing w:before="60" w:after="0" w:line="280" w:lineRule="atLeast"/>
      <w:jc w:val="left"/>
    </w:pPr>
    <w:rPr>
      <w:rFonts w:ascii="Arial" w:hAnsi="Arial"/>
      <w:b/>
      <w:sz w:val="20"/>
    </w:rPr>
  </w:style>
  <w:style w:type="character" w:styleId="EndnoteReference">
    <w:name w:val="endnote reference"/>
    <w:semiHidden/>
    <w:rsid w:val="00FC360C"/>
    <w:rPr>
      <w:vertAlign w:val="superscript"/>
    </w:rPr>
  </w:style>
  <w:style w:type="paragraph" w:customStyle="1" w:styleId="CarCar1">
    <w:name w:val="Car Car1"/>
    <w:basedOn w:val="Normal"/>
    <w:rsid w:val="00FC360C"/>
    <w:pPr>
      <w:tabs>
        <w:tab w:val="clear" w:pos="567"/>
        <w:tab w:val="clear" w:pos="1134"/>
        <w:tab w:val="clear" w:pos="1701"/>
        <w:tab w:val="clear" w:pos="2268"/>
      </w:tabs>
      <w:spacing w:after="160" w:line="240" w:lineRule="exact"/>
      <w:jc w:val="left"/>
    </w:pPr>
    <w:rPr>
      <w:rFonts w:ascii="Tahoma" w:hAnsi="Tahoma"/>
      <w:sz w:val="20"/>
      <w:lang w:val="en-US" w:eastAsia="en-US"/>
    </w:rPr>
  </w:style>
  <w:style w:type="paragraph" w:customStyle="1" w:styleId="Style1">
    <w:name w:val="Style1"/>
    <w:basedOn w:val="Heading4"/>
    <w:rsid w:val="00FC360C"/>
    <w:rPr>
      <w:b/>
      <w:i w:val="0"/>
    </w:rPr>
  </w:style>
  <w:style w:type="paragraph" w:customStyle="1" w:styleId="StyleHeading2After6pt">
    <w:name w:val="Style Heading 2 + After:  6 pt"/>
    <w:basedOn w:val="Heading2"/>
    <w:rsid w:val="00FC360C"/>
    <w:pPr>
      <w:spacing w:before="240"/>
    </w:pPr>
  </w:style>
  <w:style w:type="paragraph" w:styleId="BodyText2">
    <w:name w:val="Body Text 2"/>
    <w:basedOn w:val="Normal"/>
    <w:link w:val="BodyText2Char"/>
    <w:rsid w:val="00FC360C"/>
    <w:pPr>
      <w:tabs>
        <w:tab w:val="clear" w:pos="567"/>
        <w:tab w:val="clear" w:pos="1134"/>
        <w:tab w:val="clear" w:pos="1701"/>
        <w:tab w:val="clear" w:pos="2268"/>
        <w:tab w:val="left" w:pos="357"/>
      </w:tabs>
      <w:spacing w:line="480" w:lineRule="auto"/>
      <w:jc w:val="left"/>
    </w:pPr>
    <w:rPr>
      <w:rFonts w:ascii="Arial" w:hAnsi="Arial"/>
      <w:sz w:val="20"/>
    </w:rPr>
  </w:style>
  <w:style w:type="character" w:customStyle="1" w:styleId="BodyText2Char">
    <w:name w:val="Body Text 2 Char"/>
    <w:basedOn w:val="DefaultParagraphFont"/>
    <w:link w:val="BodyText2"/>
    <w:rsid w:val="00FC360C"/>
    <w:rPr>
      <w:rFonts w:ascii="Arial" w:eastAsia="Times New Roman" w:hAnsi="Arial" w:cs="Times New Roman"/>
      <w:sz w:val="20"/>
      <w:szCs w:val="20"/>
      <w:lang w:eastAsia="en-GB"/>
    </w:rPr>
  </w:style>
  <w:style w:type="paragraph" w:customStyle="1" w:styleId="Stan">
    <w:name w:val="Stan"/>
    <w:basedOn w:val="Normal"/>
    <w:rsid w:val="00FC360C"/>
    <w:pPr>
      <w:tabs>
        <w:tab w:val="clear" w:pos="567"/>
        <w:tab w:val="clear" w:pos="1134"/>
        <w:tab w:val="clear" w:pos="1701"/>
        <w:tab w:val="clear" w:pos="2268"/>
      </w:tabs>
      <w:spacing w:after="0" w:line="240" w:lineRule="auto"/>
      <w:jc w:val="left"/>
    </w:pPr>
    <w:rPr>
      <w:rFonts w:ascii="Script" w:hAnsi="Script"/>
      <w:sz w:val="20"/>
    </w:rPr>
  </w:style>
  <w:style w:type="paragraph" w:customStyle="1" w:styleId="doc-number">
    <w:name w:val="doc-number"/>
    <w:basedOn w:val="Normal"/>
    <w:next w:val="Normal"/>
    <w:rsid w:val="00FC360C"/>
    <w:pPr>
      <w:tabs>
        <w:tab w:val="clear" w:pos="567"/>
        <w:tab w:val="clear" w:pos="1134"/>
        <w:tab w:val="clear" w:pos="1701"/>
        <w:tab w:val="clear" w:pos="2268"/>
      </w:tabs>
      <w:spacing w:after="0" w:line="240" w:lineRule="auto"/>
    </w:pPr>
    <w:rPr>
      <w:rFonts w:ascii="Times New Roman" w:hAnsi="Times New Roman"/>
      <w:sz w:val="24"/>
    </w:rPr>
  </w:style>
  <w:style w:type="paragraph" w:customStyle="1" w:styleId="hdg1">
    <w:name w:val="hdg1"/>
    <w:basedOn w:val="Normal"/>
    <w:rsid w:val="00FC360C"/>
    <w:pPr>
      <w:tabs>
        <w:tab w:val="clear" w:pos="567"/>
        <w:tab w:val="clear" w:pos="1134"/>
        <w:tab w:val="clear" w:pos="1701"/>
        <w:tab w:val="clear" w:pos="2268"/>
      </w:tabs>
      <w:spacing w:before="360" w:after="0" w:line="240" w:lineRule="auto"/>
    </w:pPr>
    <w:rPr>
      <w:rFonts w:ascii="Times New Roman" w:hAnsi="Times New Roman"/>
      <w:b/>
      <w:sz w:val="30"/>
    </w:rPr>
  </w:style>
  <w:style w:type="paragraph" w:customStyle="1" w:styleId="Body">
    <w:name w:val="Body"/>
    <w:aliases w:val="Text,Indent"/>
    <w:basedOn w:val="BodyText"/>
    <w:rsid w:val="00FC360C"/>
    <w:pPr>
      <w:tabs>
        <w:tab w:val="clear" w:pos="357"/>
      </w:tabs>
      <w:spacing w:before="120" w:after="120" w:line="240" w:lineRule="auto"/>
    </w:pPr>
    <w:rPr>
      <w:rFonts w:ascii="Times New Roman" w:hAnsi="Times New Roman"/>
      <w:sz w:val="22"/>
    </w:rPr>
  </w:style>
  <w:style w:type="paragraph" w:customStyle="1" w:styleId="hdg2">
    <w:name w:val="hdg2"/>
    <w:basedOn w:val="Normal"/>
    <w:rsid w:val="00FC360C"/>
    <w:pPr>
      <w:tabs>
        <w:tab w:val="clear" w:pos="567"/>
        <w:tab w:val="clear" w:pos="1134"/>
        <w:tab w:val="clear" w:pos="1701"/>
        <w:tab w:val="clear" w:pos="2268"/>
      </w:tabs>
      <w:spacing w:before="120" w:after="0" w:line="240" w:lineRule="auto"/>
    </w:pPr>
    <w:rPr>
      <w:rFonts w:ascii="Times New Roman" w:hAnsi="Times New Roman"/>
      <w:b/>
      <w:sz w:val="26"/>
    </w:rPr>
  </w:style>
  <w:style w:type="paragraph" w:customStyle="1" w:styleId="hdg3">
    <w:name w:val="hdg3"/>
    <w:basedOn w:val="Heading3"/>
    <w:rsid w:val="00FC360C"/>
    <w:pPr>
      <w:spacing w:before="360" w:after="0" w:line="240" w:lineRule="auto"/>
      <w:ind w:left="567" w:hanging="567"/>
      <w:outlineLvl w:val="9"/>
    </w:pPr>
    <w:rPr>
      <w:rFonts w:ascii="Times New Roman" w:hAnsi="Times New Roman"/>
    </w:rPr>
  </w:style>
  <w:style w:type="paragraph" w:customStyle="1" w:styleId="Standard">
    <w:name w:val="Standard"/>
    <w:rsid w:val="00FC360C"/>
    <w:pPr>
      <w:spacing w:after="0" w:line="240" w:lineRule="auto"/>
    </w:pPr>
    <w:rPr>
      <w:rFonts w:ascii="Times" w:eastAsia="Times New Roman" w:hAnsi="Times" w:cs="Times New Roman"/>
      <w:noProof/>
      <w:sz w:val="24"/>
      <w:szCs w:val="20"/>
      <w:lang w:eastAsia="en-GB"/>
    </w:rPr>
  </w:style>
  <w:style w:type="paragraph" w:customStyle="1" w:styleId="Acknowledge">
    <w:name w:val="Acknowledge"/>
    <w:basedOn w:val="Normal"/>
    <w:rsid w:val="00FC360C"/>
    <w:pPr>
      <w:tabs>
        <w:tab w:val="clear" w:pos="567"/>
        <w:tab w:val="clear" w:pos="1134"/>
        <w:tab w:val="clear" w:pos="1701"/>
        <w:tab w:val="clear" w:pos="2268"/>
      </w:tabs>
      <w:spacing w:after="284" w:line="240" w:lineRule="auto"/>
      <w:ind w:left="992" w:hanging="992"/>
      <w:jc w:val="left"/>
    </w:pPr>
    <w:rPr>
      <w:rFonts w:ascii="Times New Roman" w:hAnsi="Times New Roman"/>
      <w:b/>
      <w:caps/>
      <w:sz w:val="20"/>
      <w:lang w:val="en-US"/>
    </w:rPr>
  </w:style>
  <w:style w:type="paragraph" w:customStyle="1" w:styleId="table">
    <w:name w:val="table"/>
    <w:next w:val="Normal"/>
    <w:rsid w:val="00FC360C"/>
    <w:pPr>
      <w:spacing w:before="60" w:after="60" w:line="240" w:lineRule="auto"/>
    </w:pPr>
    <w:rPr>
      <w:rFonts w:ascii="Times New Roman" w:eastAsia="Times New Roman" w:hAnsi="Times New Roman" w:cs="Times New Roman"/>
      <w:noProof/>
      <w:sz w:val="18"/>
      <w:szCs w:val="20"/>
      <w:lang w:eastAsia="en-GB"/>
    </w:rPr>
  </w:style>
  <w:style w:type="paragraph" w:customStyle="1" w:styleId="Normal1">
    <w:name w:val="Normal1"/>
    <w:basedOn w:val="Normal"/>
    <w:rsid w:val="00FC360C"/>
    <w:pPr>
      <w:tabs>
        <w:tab w:val="clear" w:pos="567"/>
        <w:tab w:val="clear" w:pos="1134"/>
        <w:tab w:val="clear" w:pos="1701"/>
        <w:tab w:val="clear" w:pos="2268"/>
      </w:tabs>
      <w:spacing w:after="0" w:line="240" w:lineRule="auto"/>
    </w:pPr>
    <w:rPr>
      <w:rFonts w:ascii="Times New Roman" w:hAnsi="Times New Roman"/>
    </w:rPr>
  </w:style>
  <w:style w:type="paragraph" w:styleId="List">
    <w:name w:val="List"/>
    <w:basedOn w:val="Normal"/>
    <w:rsid w:val="00FC360C"/>
    <w:pPr>
      <w:tabs>
        <w:tab w:val="clear" w:pos="567"/>
        <w:tab w:val="clear" w:pos="1134"/>
        <w:tab w:val="clear" w:pos="1701"/>
        <w:tab w:val="clear" w:pos="2268"/>
      </w:tabs>
      <w:spacing w:after="142" w:line="240" w:lineRule="auto"/>
      <w:ind w:left="284" w:hanging="284"/>
    </w:pPr>
    <w:rPr>
      <w:rFonts w:ascii="Times New Roman" w:hAnsi="Times New Roman"/>
      <w:sz w:val="20"/>
    </w:rPr>
  </w:style>
  <w:style w:type="paragraph" w:styleId="BodyText3">
    <w:name w:val="Body Text 3"/>
    <w:basedOn w:val="Normal"/>
    <w:link w:val="BodyText3Char"/>
    <w:rsid w:val="00FC360C"/>
    <w:pPr>
      <w:tabs>
        <w:tab w:val="clear" w:pos="567"/>
        <w:tab w:val="clear" w:pos="1134"/>
        <w:tab w:val="clear" w:pos="1701"/>
        <w:tab w:val="clear" w:pos="2268"/>
      </w:tabs>
      <w:spacing w:after="0" w:line="240" w:lineRule="auto"/>
      <w:jc w:val="center"/>
    </w:pPr>
    <w:rPr>
      <w:rFonts w:ascii="Times New Roman" w:hAnsi="Times New Roman"/>
      <w:sz w:val="16"/>
    </w:rPr>
  </w:style>
  <w:style w:type="character" w:customStyle="1" w:styleId="BodyText3Char">
    <w:name w:val="Body Text 3 Char"/>
    <w:basedOn w:val="DefaultParagraphFont"/>
    <w:link w:val="BodyText3"/>
    <w:rsid w:val="00FC360C"/>
    <w:rPr>
      <w:rFonts w:ascii="Times New Roman" w:eastAsia="Times New Roman" w:hAnsi="Times New Roman" w:cs="Times New Roman"/>
      <w:sz w:val="16"/>
      <w:szCs w:val="20"/>
      <w:lang w:eastAsia="en-GB"/>
    </w:rPr>
  </w:style>
  <w:style w:type="paragraph" w:styleId="BlockText">
    <w:name w:val="Block Text"/>
    <w:basedOn w:val="Normal"/>
    <w:rsid w:val="00FC360C"/>
    <w:pPr>
      <w:tabs>
        <w:tab w:val="clear" w:pos="567"/>
        <w:tab w:val="clear" w:pos="1134"/>
        <w:tab w:val="clear" w:pos="1701"/>
        <w:tab w:val="clear" w:pos="2268"/>
        <w:tab w:val="left" w:pos="601"/>
        <w:tab w:val="left" w:pos="1168"/>
        <w:tab w:val="left" w:pos="1735"/>
        <w:tab w:val="left" w:pos="2019"/>
        <w:tab w:val="right" w:leader="dot" w:pos="7122"/>
      </w:tabs>
      <w:spacing w:after="0" w:line="240" w:lineRule="auto"/>
      <w:ind w:left="601" w:right="2160"/>
    </w:pPr>
    <w:rPr>
      <w:rFonts w:ascii="Times New Roman" w:hAnsi="Times New Roman"/>
    </w:rPr>
  </w:style>
  <w:style w:type="paragraph" w:customStyle="1" w:styleId="Heading0">
    <w:name w:val="Heading 0"/>
    <w:basedOn w:val="Heading1"/>
    <w:next w:val="Normal"/>
    <w:rsid w:val="00FC360C"/>
    <w:pPr>
      <w:numPr>
        <w:numId w:val="12"/>
      </w:numPr>
      <w:tabs>
        <w:tab w:val="clear" w:pos="567"/>
        <w:tab w:val="clear" w:pos="1134"/>
        <w:tab w:val="clear" w:pos="1440"/>
        <w:tab w:val="clear" w:pos="1701"/>
        <w:tab w:val="clear" w:pos="2268"/>
        <w:tab w:val="left" w:pos="360"/>
      </w:tabs>
      <w:spacing w:before="240" w:after="60" w:line="288" w:lineRule="auto"/>
      <w:ind w:left="567" w:hanging="567"/>
      <w:jc w:val="center"/>
      <w:outlineLvl w:val="9"/>
    </w:pPr>
    <w:rPr>
      <w:rFonts w:ascii="Arial" w:hAnsi="Arial"/>
      <w:b/>
      <w:color w:val="000000"/>
      <w:szCs w:val="20"/>
      <w:lang w:val="en-US"/>
    </w:rPr>
  </w:style>
  <w:style w:type="paragraph" w:customStyle="1" w:styleId="numlist">
    <w:name w:val="numlist"/>
    <w:basedOn w:val="Normal"/>
    <w:rsid w:val="00FC360C"/>
    <w:pPr>
      <w:widowControl w:val="0"/>
      <w:tabs>
        <w:tab w:val="clear" w:pos="1134"/>
        <w:tab w:val="clear" w:pos="1701"/>
        <w:tab w:val="clear" w:pos="2268"/>
      </w:tabs>
      <w:spacing w:after="140" w:line="288" w:lineRule="auto"/>
      <w:ind w:left="567" w:hanging="567"/>
      <w:jc w:val="left"/>
    </w:pPr>
    <w:rPr>
      <w:rFonts w:ascii="Times New Roman" w:hAnsi="Times New Roman"/>
      <w:sz w:val="24"/>
      <w:lang w:val="en-US"/>
    </w:rPr>
  </w:style>
  <w:style w:type="paragraph" w:styleId="Caption">
    <w:name w:val="caption"/>
    <w:basedOn w:val="Normal"/>
    <w:next w:val="Normal"/>
    <w:qFormat/>
    <w:rsid w:val="00FC360C"/>
    <w:pPr>
      <w:widowControl w:val="0"/>
      <w:tabs>
        <w:tab w:val="clear" w:pos="567"/>
        <w:tab w:val="clear" w:pos="1134"/>
        <w:tab w:val="clear" w:pos="1701"/>
        <w:tab w:val="clear" w:pos="2268"/>
      </w:tabs>
      <w:spacing w:before="120" w:line="288" w:lineRule="auto"/>
      <w:jc w:val="left"/>
    </w:pPr>
    <w:rPr>
      <w:rFonts w:ascii="Times New Roman" w:hAnsi="Times New Roman"/>
      <w:b/>
      <w:sz w:val="24"/>
      <w:lang w:val="en-US"/>
    </w:rPr>
  </w:style>
  <w:style w:type="paragraph" w:customStyle="1" w:styleId="Formulapargraph">
    <w:name w:val="Formula pargraph"/>
    <w:basedOn w:val="Normal"/>
    <w:next w:val="Normal"/>
    <w:rsid w:val="00FC360C"/>
    <w:pPr>
      <w:widowControl w:val="0"/>
      <w:tabs>
        <w:tab w:val="clear" w:pos="567"/>
        <w:tab w:val="clear" w:pos="1134"/>
        <w:tab w:val="clear" w:pos="1701"/>
        <w:tab w:val="clear" w:pos="2268"/>
        <w:tab w:val="right" w:leader="dot" w:pos="8505"/>
      </w:tabs>
      <w:spacing w:after="0" w:line="288" w:lineRule="auto"/>
      <w:jc w:val="left"/>
    </w:pPr>
    <w:rPr>
      <w:rFonts w:ascii="Times New Roman" w:hAnsi="Times New Roman"/>
      <w:sz w:val="24"/>
      <w:lang w:val="en-US"/>
    </w:rPr>
  </w:style>
  <w:style w:type="paragraph" w:customStyle="1" w:styleId="Reference">
    <w:name w:val="Reference"/>
    <w:basedOn w:val="Normal"/>
    <w:link w:val="ReferenceChar"/>
    <w:rsid w:val="00FC360C"/>
    <w:pPr>
      <w:tabs>
        <w:tab w:val="clear" w:pos="567"/>
        <w:tab w:val="clear" w:pos="1134"/>
        <w:tab w:val="clear" w:pos="1701"/>
        <w:tab w:val="clear" w:pos="2268"/>
      </w:tabs>
      <w:spacing w:after="0" w:line="240" w:lineRule="auto"/>
      <w:ind w:left="360" w:hanging="360"/>
    </w:pPr>
    <w:rPr>
      <w:rFonts w:ascii="Times New Roman" w:hAnsi="Times New Roman"/>
      <w:sz w:val="20"/>
      <w:szCs w:val="24"/>
      <w:lang w:eastAsia="en-US"/>
    </w:rPr>
  </w:style>
  <w:style w:type="character" w:customStyle="1" w:styleId="ReferenceChar">
    <w:name w:val="Reference Char"/>
    <w:link w:val="Reference"/>
    <w:rsid w:val="00FC360C"/>
    <w:rPr>
      <w:rFonts w:ascii="Times New Roman" w:eastAsia="Times New Roman" w:hAnsi="Times New Roman" w:cs="Times New Roman"/>
      <w:sz w:val="20"/>
      <w:szCs w:val="24"/>
    </w:rPr>
  </w:style>
  <w:style w:type="paragraph" w:customStyle="1" w:styleId="TableCaption">
    <w:name w:val="Table Caption"/>
    <w:basedOn w:val="Caption"/>
    <w:next w:val="Normal"/>
    <w:rsid w:val="00FC360C"/>
    <w:pPr>
      <w:keepNext/>
      <w:keepLines/>
      <w:widowControl/>
      <w:spacing w:after="240" w:line="240" w:lineRule="auto"/>
      <w:jc w:val="both"/>
    </w:pPr>
    <w:rPr>
      <w:rFonts w:ascii="Times New Roman Bold" w:hAnsi="Times New Roman Bold"/>
      <w:bCs/>
      <w:sz w:val="18"/>
      <w:szCs w:val="18"/>
      <w:lang w:val="en-GB" w:eastAsia="en-US"/>
    </w:rPr>
  </w:style>
  <w:style w:type="paragraph" w:customStyle="1" w:styleId="TableNotes">
    <w:name w:val="Table Notes"/>
    <w:basedOn w:val="Normal"/>
    <w:rsid w:val="00FC360C"/>
    <w:pPr>
      <w:tabs>
        <w:tab w:val="clear" w:pos="567"/>
        <w:tab w:val="clear" w:pos="1134"/>
        <w:tab w:val="clear" w:pos="1701"/>
        <w:tab w:val="clear" w:pos="2268"/>
      </w:tabs>
      <w:spacing w:before="60" w:after="60" w:line="240" w:lineRule="auto"/>
      <w:jc w:val="left"/>
    </w:pPr>
    <w:rPr>
      <w:rFonts w:ascii="Times New Roman" w:hAnsi="Times New Roman"/>
      <w:b/>
      <w:sz w:val="16"/>
      <w:szCs w:val="16"/>
      <w:lang w:eastAsia="en-US"/>
    </w:rPr>
  </w:style>
  <w:style w:type="paragraph" w:customStyle="1" w:styleId="TableTop">
    <w:name w:val="Table Top"/>
    <w:basedOn w:val="table"/>
    <w:rsid w:val="00FC360C"/>
    <w:pPr>
      <w:keepNext/>
      <w:spacing w:before="30" w:after="30"/>
      <w:jc w:val="center"/>
    </w:pPr>
    <w:rPr>
      <w:rFonts w:ascii="Times New Roman Bold" w:hAnsi="Times New Roman Bold"/>
      <w:b/>
      <w:bCs/>
      <w:smallCaps/>
      <w:sz w:val="15"/>
      <w:szCs w:val="15"/>
      <w:lang w:eastAsia="en-US"/>
    </w:rPr>
  </w:style>
  <w:style w:type="paragraph" w:customStyle="1" w:styleId="Bullet">
    <w:name w:val="Bullet"/>
    <w:rsid w:val="00FC360C"/>
    <w:pPr>
      <w:numPr>
        <w:numId w:val="3"/>
      </w:numPr>
      <w:tabs>
        <w:tab w:val="num" w:pos="720"/>
      </w:tabs>
      <w:spacing w:before="60" w:after="60" w:line="240" w:lineRule="auto"/>
      <w:ind w:left="720" w:right="302" w:hanging="432"/>
      <w:jc w:val="both"/>
    </w:pPr>
    <w:rPr>
      <w:rFonts w:ascii="Times New Roman" w:eastAsia="Times New Roman" w:hAnsi="Times New Roman" w:cs="Times New Roman"/>
      <w:sz w:val="20"/>
      <w:szCs w:val="20"/>
    </w:rPr>
  </w:style>
  <w:style w:type="paragraph" w:styleId="NormalIndent">
    <w:name w:val="Normal Indent"/>
    <w:basedOn w:val="Normal"/>
    <w:rsid w:val="00FC360C"/>
    <w:pPr>
      <w:tabs>
        <w:tab w:val="clear" w:pos="567"/>
        <w:tab w:val="clear" w:pos="1134"/>
        <w:tab w:val="clear" w:pos="1701"/>
        <w:tab w:val="clear" w:pos="2268"/>
      </w:tabs>
      <w:spacing w:after="284" w:line="240" w:lineRule="auto"/>
      <w:ind w:left="284" w:hanging="284"/>
    </w:pPr>
    <w:rPr>
      <w:rFonts w:ascii="Times New Roman" w:hAnsi="Times New Roman"/>
      <w:sz w:val="20"/>
      <w:lang w:eastAsia="en-US"/>
    </w:rPr>
  </w:style>
  <w:style w:type="paragraph" w:customStyle="1" w:styleId="Formatvorlage1">
    <w:name w:val="Formatvorlage1"/>
    <w:basedOn w:val="Normal"/>
    <w:rsid w:val="00FC360C"/>
    <w:pPr>
      <w:tabs>
        <w:tab w:val="clear" w:pos="567"/>
        <w:tab w:val="clear" w:pos="1134"/>
        <w:tab w:val="clear" w:pos="1701"/>
        <w:tab w:val="clear" w:pos="2268"/>
      </w:tabs>
      <w:spacing w:after="0" w:line="240" w:lineRule="auto"/>
      <w:jc w:val="left"/>
    </w:pPr>
    <w:rPr>
      <w:rFonts w:ascii="Arial" w:hAnsi="Arial"/>
      <w:sz w:val="24"/>
      <w:szCs w:val="24"/>
      <w:lang w:val="de-DE" w:eastAsia="de-DE"/>
    </w:rPr>
  </w:style>
  <w:style w:type="paragraph" w:styleId="ListNumber2">
    <w:name w:val="List Number 2"/>
    <w:basedOn w:val="Normal"/>
    <w:rsid w:val="00FC360C"/>
    <w:pPr>
      <w:numPr>
        <w:numId w:val="14"/>
      </w:numPr>
      <w:tabs>
        <w:tab w:val="clear" w:pos="567"/>
        <w:tab w:val="clear" w:pos="1134"/>
        <w:tab w:val="clear" w:pos="1701"/>
        <w:tab w:val="clear" w:pos="2268"/>
        <w:tab w:val="left" w:pos="357"/>
      </w:tabs>
      <w:spacing w:after="0" w:line="280" w:lineRule="atLeast"/>
      <w:contextualSpacing/>
      <w:jc w:val="left"/>
    </w:pPr>
    <w:rPr>
      <w:rFonts w:ascii="Arial" w:hAnsi="Arial"/>
      <w:sz w:val="20"/>
    </w:rPr>
  </w:style>
  <w:style w:type="paragraph" w:styleId="List2">
    <w:name w:val="List 2"/>
    <w:basedOn w:val="Normal"/>
    <w:unhideWhenUsed/>
    <w:rsid w:val="00FC360C"/>
    <w:pPr>
      <w:tabs>
        <w:tab w:val="clear" w:pos="567"/>
        <w:tab w:val="clear" w:pos="1134"/>
        <w:tab w:val="clear" w:pos="1701"/>
        <w:tab w:val="clear" w:pos="2268"/>
      </w:tabs>
      <w:spacing w:line="240" w:lineRule="auto"/>
      <w:ind w:left="566" w:hanging="283"/>
      <w:jc w:val="left"/>
    </w:pPr>
    <w:rPr>
      <w:rFonts w:ascii="Times New Roman" w:hAnsi="Times New Roman"/>
      <w:sz w:val="20"/>
      <w:szCs w:val="22"/>
      <w:lang w:val="en-CA" w:eastAsia="en-US"/>
    </w:rPr>
  </w:style>
  <w:style w:type="paragraph" w:styleId="List3">
    <w:name w:val="List 3"/>
    <w:basedOn w:val="Normal"/>
    <w:unhideWhenUsed/>
    <w:rsid w:val="00FC360C"/>
    <w:pPr>
      <w:tabs>
        <w:tab w:val="clear" w:pos="567"/>
        <w:tab w:val="clear" w:pos="1134"/>
        <w:tab w:val="clear" w:pos="1701"/>
        <w:tab w:val="clear" w:pos="2268"/>
      </w:tabs>
      <w:spacing w:line="240" w:lineRule="auto"/>
      <w:ind w:left="849" w:hanging="283"/>
      <w:jc w:val="left"/>
    </w:pPr>
    <w:rPr>
      <w:rFonts w:ascii="Times New Roman" w:hAnsi="Times New Roman"/>
      <w:sz w:val="20"/>
      <w:szCs w:val="22"/>
      <w:lang w:val="en-CA" w:eastAsia="en-US"/>
    </w:rPr>
  </w:style>
  <w:style w:type="paragraph" w:styleId="DocumentMap">
    <w:name w:val="Document Map"/>
    <w:basedOn w:val="Normal"/>
    <w:link w:val="DocumentMapChar"/>
    <w:unhideWhenUsed/>
    <w:rsid w:val="00FC360C"/>
    <w:pPr>
      <w:tabs>
        <w:tab w:val="clear" w:pos="567"/>
        <w:tab w:val="clear" w:pos="1134"/>
        <w:tab w:val="clear" w:pos="1701"/>
        <w:tab w:val="clear" w:pos="2268"/>
      </w:tabs>
      <w:spacing w:line="240" w:lineRule="auto"/>
      <w:jc w:val="left"/>
    </w:pPr>
    <w:rPr>
      <w:rFonts w:ascii="Tahoma" w:hAnsi="Tahoma" w:cs="Tahoma"/>
      <w:sz w:val="16"/>
      <w:szCs w:val="16"/>
      <w:lang w:val="en-CA" w:eastAsia="en-US"/>
    </w:rPr>
  </w:style>
  <w:style w:type="character" w:customStyle="1" w:styleId="DocumentMapChar">
    <w:name w:val="Document Map Char"/>
    <w:basedOn w:val="DefaultParagraphFont"/>
    <w:link w:val="DocumentMap"/>
    <w:rsid w:val="00FC360C"/>
    <w:rPr>
      <w:rFonts w:ascii="Tahoma" w:eastAsia="Times New Roman" w:hAnsi="Tahoma" w:cs="Tahoma"/>
      <w:sz w:val="16"/>
      <w:szCs w:val="16"/>
      <w:lang w:val="en-CA"/>
    </w:rPr>
  </w:style>
  <w:style w:type="paragraph" w:customStyle="1" w:styleId="ZchnZchn1CharCharCarCar">
    <w:name w:val="Zchn Zchn1 Char Char Car Car"/>
    <w:basedOn w:val="Normal"/>
    <w:rsid w:val="00FC360C"/>
    <w:pPr>
      <w:tabs>
        <w:tab w:val="clear" w:pos="567"/>
        <w:tab w:val="clear" w:pos="1134"/>
        <w:tab w:val="clear" w:pos="1701"/>
        <w:tab w:val="clear" w:pos="2268"/>
      </w:tabs>
      <w:spacing w:after="160" w:line="240" w:lineRule="exact"/>
      <w:jc w:val="left"/>
    </w:pPr>
    <w:rPr>
      <w:rFonts w:ascii="Tahoma" w:hAnsi="Tahoma"/>
      <w:sz w:val="20"/>
      <w:lang w:val="en-US" w:eastAsia="en-US"/>
    </w:rPr>
  </w:style>
  <w:style w:type="paragraph" w:customStyle="1" w:styleId="Hheading2">
    <w:name w:val="Hheading 2"/>
    <w:next w:val="Normal"/>
    <w:rsid w:val="00FC360C"/>
    <w:pPr>
      <w:keepNext/>
      <w:spacing w:before="240" w:after="120" w:line="240" w:lineRule="auto"/>
    </w:pPr>
    <w:rPr>
      <w:rFonts w:ascii="Futura Md BT" w:eastAsia="Times New Roman" w:hAnsi="Futura Md BT" w:cs="Arial"/>
      <w:b/>
      <w:bCs/>
      <w:spacing w:val="10"/>
      <w:kern w:val="32"/>
      <w:sz w:val="20"/>
      <w:szCs w:val="20"/>
    </w:rPr>
  </w:style>
  <w:style w:type="paragraph" w:customStyle="1" w:styleId="Hheading3">
    <w:name w:val="Hheading 3"/>
    <w:next w:val="Normal"/>
    <w:rsid w:val="00FC360C"/>
    <w:pPr>
      <w:keepNext/>
      <w:spacing w:before="240" w:after="120" w:line="240" w:lineRule="auto"/>
    </w:pPr>
    <w:rPr>
      <w:rFonts w:ascii="Futura Md BT" w:eastAsia="Times New Roman" w:hAnsi="Futura Md BT" w:cs="Arial"/>
      <w:b/>
      <w:bCs/>
      <w:spacing w:val="6"/>
      <w:kern w:val="32"/>
      <w:sz w:val="18"/>
      <w:szCs w:val="18"/>
    </w:rPr>
  </w:style>
  <w:style w:type="paragraph" w:customStyle="1" w:styleId="IllustrationCaption">
    <w:name w:val="Illustration Caption"/>
    <w:basedOn w:val="Normal"/>
    <w:next w:val="Normal"/>
    <w:rsid w:val="00FC360C"/>
    <w:pPr>
      <w:keepLines/>
      <w:tabs>
        <w:tab w:val="clear" w:pos="567"/>
        <w:tab w:val="clear" w:pos="1134"/>
        <w:tab w:val="clear" w:pos="1701"/>
        <w:tab w:val="clear" w:pos="2268"/>
      </w:tabs>
      <w:spacing w:before="120" w:after="240" w:line="240" w:lineRule="auto"/>
    </w:pPr>
    <w:rPr>
      <w:rFonts w:ascii="Palatino Linotype" w:hAnsi="Palatino Linotype"/>
      <w:b/>
      <w:sz w:val="17"/>
      <w:szCs w:val="18"/>
      <w:lang w:eastAsia="en-US"/>
    </w:rPr>
  </w:style>
  <w:style w:type="paragraph" w:customStyle="1" w:styleId="Listenabsatz">
    <w:name w:val="Listenabsatz"/>
    <w:basedOn w:val="Normal"/>
    <w:qFormat/>
    <w:rsid w:val="00FC360C"/>
    <w:pPr>
      <w:tabs>
        <w:tab w:val="clear" w:pos="567"/>
        <w:tab w:val="clear" w:pos="1134"/>
        <w:tab w:val="clear" w:pos="1701"/>
        <w:tab w:val="clear" w:pos="2268"/>
      </w:tabs>
      <w:spacing w:line="240" w:lineRule="auto"/>
      <w:ind w:left="720"/>
      <w:contextualSpacing/>
      <w:jc w:val="left"/>
    </w:pPr>
    <w:rPr>
      <w:rFonts w:ascii="Times New Roman" w:eastAsia="Calibri" w:hAnsi="Times New Roman"/>
      <w:sz w:val="20"/>
      <w:szCs w:val="22"/>
      <w:lang w:val="de-DE" w:eastAsia="en-US"/>
    </w:rPr>
  </w:style>
  <w:style w:type="table" w:styleId="TableGrid">
    <w:name w:val="Table Grid"/>
    <w:basedOn w:val="TableNormal"/>
    <w:rsid w:val="00FC360C"/>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FC360C"/>
    <w:pPr>
      <w:tabs>
        <w:tab w:val="clear" w:pos="567"/>
        <w:tab w:val="clear" w:pos="1134"/>
        <w:tab w:val="clear" w:pos="1701"/>
        <w:tab w:val="clear" w:pos="2268"/>
        <w:tab w:val="left" w:pos="357"/>
      </w:tabs>
      <w:spacing w:after="0" w:line="280" w:lineRule="atLeast"/>
      <w:jc w:val="left"/>
    </w:pPr>
    <w:rPr>
      <w:rFonts w:ascii="Arial" w:hAnsi="Arial"/>
      <w:b/>
      <w:bCs/>
    </w:rPr>
  </w:style>
  <w:style w:type="character" w:customStyle="1" w:styleId="CommentSubjectChar">
    <w:name w:val="Comment Subject Char"/>
    <w:basedOn w:val="CommentTextChar"/>
    <w:link w:val="CommentSubject"/>
    <w:rsid w:val="00FC360C"/>
    <w:rPr>
      <w:rFonts w:ascii="Arial" w:eastAsia="Times New Roman" w:hAnsi="Arial" w:cs="Times New Roman"/>
      <w:b/>
      <w:bCs/>
      <w:sz w:val="20"/>
      <w:szCs w:val="20"/>
      <w:lang w:eastAsia="en-GB"/>
    </w:rPr>
  </w:style>
  <w:style w:type="paragraph" w:styleId="TOC4">
    <w:name w:val="toc 4"/>
    <w:basedOn w:val="Normal"/>
    <w:next w:val="Normal"/>
    <w:autoRedefine/>
    <w:uiPriority w:val="39"/>
    <w:unhideWhenUsed/>
    <w:rsid w:val="00FC360C"/>
    <w:pPr>
      <w:tabs>
        <w:tab w:val="clear" w:pos="567"/>
        <w:tab w:val="clear" w:pos="1134"/>
        <w:tab w:val="clear" w:pos="1701"/>
        <w:tab w:val="clear" w:pos="2268"/>
      </w:tabs>
      <w:spacing w:after="100"/>
      <w:ind w:left="660"/>
      <w:jc w:val="left"/>
    </w:pPr>
    <w:rPr>
      <w:szCs w:val="22"/>
    </w:rPr>
  </w:style>
  <w:style w:type="paragraph" w:styleId="TOC5">
    <w:name w:val="toc 5"/>
    <w:basedOn w:val="Normal"/>
    <w:next w:val="Normal"/>
    <w:autoRedefine/>
    <w:uiPriority w:val="39"/>
    <w:unhideWhenUsed/>
    <w:rsid w:val="00FC360C"/>
    <w:pPr>
      <w:tabs>
        <w:tab w:val="clear" w:pos="567"/>
        <w:tab w:val="clear" w:pos="1134"/>
        <w:tab w:val="clear" w:pos="1701"/>
        <w:tab w:val="clear" w:pos="2268"/>
      </w:tabs>
      <w:spacing w:after="100"/>
      <w:ind w:left="880"/>
      <w:jc w:val="left"/>
    </w:pPr>
    <w:rPr>
      <w:szCs w:val="22"/>
    </w:rPr>
  </w:style>
  <w:style w:type="paragraph" w:styleId="TOC6">
    <w:name w:val="toc 6"/>
    <w:basedOn w:val="Normal"/>
    <w:next w:val="Normal"/>
    <w:autoRedefine/>
    <w:uiPriority w:val="39"/>
    <w:unhideWhenUsed/>
    <w:rsid w:val="00FC360C"/>
    <w:pPr>
      <w:tabs>
        <w:tab w:val="clear" w:pos="567"/>
        <w:tab w:val="clear" w:pos="1134"/>
        <w:tab w:val="clear" w:pos="1701"/>
        <w:tab w:val="clear" w:pos="2268"/>
      </w:tabs>
      <w:spacing w:after="100"/>
      <w:ind w:left="1100"/>
      <w:jc w:val="left"/>
    </w:pPr>
    <w:rPr>
      <w:szCs w:val="22"/>
    </w:rPr>
  </w:style>
  <w:style w:type="paragraph" w:styleId="TOC7">
    <w:name w:val="toc 7"/>
    <w:basedOn w:val="Normal"/>
    <w:next w:val="Normal"/>
    <w:autoRedefine/>
    <w:uiPriority w:val="39"/>
    <w:unhideWhenUsed/>
    <w:rsid w:val="00FC360C"/>
    <w:pPr>
      <w:tabs>
        <w:tab w:val="clear" w:pos="567"/>
        <w:tab w:val="clear" w:pos="1134"/>
        <w:tab w:val="clear" w:pos="1701"/>
        <w:tab w:val="clear" w:pos="2268"/>
      </w:tabs>
      <w:spacing w:after="100"/>
      <w:ind w:left="1320"/>
      <w:jc w:val="left"/>
    </w:pPr>
    <w:rPr>
      <w:szCs w:val="22"/>
    </w:rPr>
  </w:style>
  <w:style w:type="paragraph" w:styleId="TOC8">
    <w:name w:val="toc 8"/>
    <w:basedOn w:val="Normal"/>
    <w:next w:val="Normal"/>
    <w:autoRedefine/>
    <w:uiPriority w:val="39"/>
    <w:unhideWhenUsed/>
    <w:rsid w:val="00FC360C"/>
    <w:pPr>
      <w:tabs>
        <w:tab w:val="clear" w:pos="567"/>
        <w:tab w:val="clear" w:pos="1134"/>
        <w:tab w:val="clear" w:pos="1701"/>
        <w:tab w:val="clear" w:pos="2268"/>
      </w:tabs>
      <w:spacing w:after="100"/>
      <w:ind w:left="1540"/>
      <w:jc w:val="left"/>
    </w:pPr>
    <w:rPr>
      <w:szCs w:val="22"/>
    </w:rPr>
  </w:style>
  <w:style w:type="paragraph" w:styleId="TOC9">
    <w:name w:val="toc 9"/>
    <w:basedOn w:val="Normal"/>
    <w:next w:val="Normal"/>
    <w:autoRedefine/>
    <w:uiPriority w:val="39"/>
    <w:unhideWhenUsed/>
    <w:rsid w:val="00FC360C"/>
    <w:pPr>
      <w:tabs>
        <w:tab w:val="clear" w:pos="567"/>
        <w:tab w:val="clear" w:pos="1134"/>
        <w:tab w:val="clear" w:pos="1701"/>
        <w:tab w:val="clear" w:pos="2268"/>
      </w:tabs>
      <w:spacing w:after="100"/>
      <w:ind w:left="1760"/>
      <w:jc w:val="left"/>
    </w:pPr>
    <w:rPr>
      <w:szCs w:val="22"/>
    </w:rPr>
  </w:style>
  <w:style w:type="paragraph" w:customStyle="1" w:styleId="Default">
    <w:name w:val="Default"/>
    <w:rsid w:val="00FC360C"/>
    <w:pPr>
      <w:autoSpaceDE w:val="0"/>
      <w:autoSpaceDN w:val="0"/>
      <w:adjustRightInd w:val="0"/>
      <w:spacing w:after="0" w:line="240" w:lineRule="auto"/>
    </w:pPr>
    <w:rPr>
      <w:rFonts w:ascii="Times New Roman" w:eastAsia="Times New Roman" w:hAnsi="Times New Roman" w:cs="Times New Roman"/>
      <w:color w:val="000000"/>
      <w:sz w:val="24"/>
      <w:szCs w:val="24"/>
      <w:lang w:val="da-DK" w:eastAsia="da-DK"/>
    </w:rPr>
  </w:style>
  <w:style w:type="character" w:styleId="SubtleEmphasis">
    <w:name w:val="Subtle Emphasis"/>
    <w:uiPriority w:val="65"/>
    <w:qFormat/>
    <w:rsid w:val="00FC360C"/>
    <w:rPr>
      <w:i/>
      <w:iCs/>
      <w:color w:val="404040"/>
    </w:rPr>
  </w:style>
  <w:style w:type="character" w:styleId="IntenseEmphasis">
    <w:name w:val="Intense Emphasis"/>
    <w:uiPriority w:val="66"/>
    <w:qFormat/>
    <w:rsid w:val="00FC360C"/>
    <w:rPr>
      <w:i/>
      <w:iCs/>
      <w:color w:val="5B9BD5"/>
    </w:rPr>
  </w:style>
  <w:style w:type="character" w:styleId="SubtleReference">
    <w:name w:val="Subtle Reference"/>
    <w:uiPriority w:val="67"/>
    <w:qFormat/>
    <w:rsid w:val="00FC360C"/>
    <w:rPr>
      <w:smallCaps/>
      <w:color w:val="5A5A5A"/>
    </w:rPr>
  </w:style>
  <w:style w:type="character" w:styleId="IntenseReference">
    <w:name w:val="Intense Reference"/>
    <w:uiPriority w:val="68"/>
    <w:qFormat/>
    <w:rsid w:val="00FC360C"/>
    <w:rPr>
      <w:b/>
      <w:bCs/>
      <w:smallCaps/>
      <w:color w:val="5B9BD5"/>
      <w:spacing w:val="5"/>
    </w:rPr>
  </w:style>
  <w:style w:type="character" w:styleId="Emphasis">
    <w:name w:val="Emphasis"/>
    <w:qFormat/>
    <w:rsid w:val="00FC360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60C"/>
    <w:pPr>
      <w:tabs>
        <w:tab w:val="left" w:pos="567"/>
        <w:tab w:val="left" w:pos="1134"/>
        <w:tab w:val="left" w:pos="1701"/>
        <w:tab w:val="left" w:pos="2268"/>
      </w:tabs>
      <w:spacing w:after="120"/>
      <w:jc w:val="both"/>
    </w:pPr>
    <w:rPr>
      <w:rFonts w:ascii="Calibri" w:eastAsia="Times New Roman" w:hAnsi="Calibri" w:cs="Times New Roman"/>
      <w:szCs w:val="20"/>
      <w:lang w:eastAsia="en-GB"/>
    </w:rPr>
  </w:style>
  <w:style w:type="paragraph" w:styleId="Heading1">
    <w:name w:val="heading 1"/>
    <w:basedOn w:val="Normal"/>
    <w:next w:val="Normal"/>
    <w:link w:val="Heading1Char"/>
    <w:qFormat/>
    <w:rsid w:val="002F237A"/>
    <w:pPr>
      <w:spacing w:before="200"/>
      <w:outlineLvl w:val="0"/>
    </w:pPr>
    <w:rPr>
      <w:sz w:val="26"/>
      <w:szCs w:val="26"/>
    </w:rPr>
  </w:style>
  <w:style w:type="paragraph" w:styleId="Heading2">
    <w:name w:val="heading 2"/>
    <w:basedOn w:val="Normal"/>
    <w:next w:val="BodyText"/>
    <w:link w:val="Heading2Char"/>
    <w:qFormat/>
    <w:rsid w:val="002F237A"/>
    <w:pPr>
      <w:spacing w:before="120"/>
      <w:outlineLvl w:val="1"/>
    </w:pPr>
    <w:rPr>
      <w:b/>
      <w:lang w:val="en-US" w:eastAsia="en-US"/>
    </w:rPr>
  </w:style>
  <w:style w:type="paragraph" w:styleId="Heading3">
    <w:name w:val="heading 3"/>
    <w:basedOn w:val="Normal"/>
    <w:next w:val="BodyText"/>
    <w:link w:val="Heading3Char"/>
    <w:qFormat/>
    <w:rsid w:val="002F237A"/>
    <w:pPr>
      <w:spacing w:before="120"/>
      <w:outlineLvl w:val="2"/>
    </w:pPr>
    <w:rPr>
      <w:rFonts w:cs="Arial"/>
      <w:szCs w:val="22"/>
    </w:rPr>
  </w:style>
  <w:style w:type="paragraph" w:styleId="Heading4">
    <w:name w:val="heading 4"/>
    <w:basedOn w:val="BodyText"/>
    <w:next w:val="Normal"/>
    <w:link w:val="Heading4Char"/>
    <w:qFormat/>
    <w:rsid w:val="00935187"/>
    <w:pPr>
      <w:spacing w:after="120" w:line="276" w:lineRule="auto"/>
      <w:outlineLvl w:val="3"/>
    </w:pPr>
    <w:rPr>
      <w:rFonts w:ascii="Calibri" w:hAnsi="Calibri"/>
      <w:i/>
      <w:sz w:val="22"/>
      <w:szCs w:val="22"/>
    </w:rPr>
  </w:style>
  <w:style w:type="paragraph" w:styleId="Heading5">
    <w:name w:val="heading 5"/>
    <w:basedOn w:val="Heading1"/>
    <w:next w:val="Normal"/>
    <w:link w:val="Heading5Char"/>
    <w:qFormat/>
    <w:rsid w:val="00FC360C"/>
    <w:pPr>
      <w:tabs>
        <w:tab w:val="clear" w:pos="567"/>
        <w:tab w:val="clear" w:pos="1134"/>
        <w:tab w:val="clear" w:pos="1701"/>
        <w:tab w:val="clear" w:pos="2268"/>
        <w:tab w:val="num" w:pos="288"/>
        <w:tab w:val="left" w:pos="990"/>
        <w:tab w:val="left" w:pos="1260"/>
      </w:tabs>
      <w:spacing w:before="240" w:after="60" w:line="240" w:lineRule="auto"/>
      <w:jc w:val="left"/>
      <w:outlineLvl w:val="4"/>
    </w:pPr>
    <w:rPr>
      <w:rFonts w:ascii="Futura Md BT" w:hAnsi="Futura Md BT" w:cs="Arial"/>
      <w:b/>
      <w:iCs/>
      <w:spacing w:val="6"/>
      <w:kern w:val="32"/>
      <w:sz w:val="16"/>
      <w:szCs w:val="16"/>
      <w:lang w:val="da-DK" w:eastAsia="en-US"/>
    </w:rPr>
  </w:style>
  <w:style w:type="paragraph" w:styleId="Heading7">
    <w:name w:val="heading 7"/>
    <w:basedOn w:val="Normal"/>
    <w:next w:val="Normal"/>
    <w:link w:val="Heading7Char"/>
    <w:qFormat/>
    <w:rsid w:val="00FC360C"/>
    <w:pPr>
      <w:keepNext/>
      <w:tabs>
        <w:tab w:val="clear" w:pos="567"/>
        <w:tab w:val="clear" w:pos="1134"/>
        <w:tab w:val="clear" w:pos="1701"/>
        <w:tab w:val="clear" w:pos="2268"/>
      </w:tabs>
      <w:spacing w:before="120" w:after="0" w:line="240" w:lineRule="auto"/>
      <w:outlineLvl w:val="6"/>
    </w:pPr>
    <w:rPr>
      <w:rFonts w:ascii="Times New Roman" w:hAnsi="Times New Roman"/>
      <w:b/>
    </w:rPr>
  </w:style>
  <w:style w:type="paragraph" w:styleId="Heading8">
    <w:name w:val="heading 8"/>
    <w:basedOn w:val="Normal"/>
    <w:next w:val="Normal"/>
    <w:link w:val="Heading8Char"/>
    <w:qFormat/>
    <w:rsid w:val="00FC360C"/>
    <w:pPr>
      <w:keepNext/>
      <w:tabs>
        <w:tab w:val="clear" w:pos="567"/>
        <w:tab w:val="clear" w:pos="1134"/>
        <w:tab w:val="clear" w:pos="1701"/>
        <w:tab w:val="clear" w:pos="2268"/>
      </w:tabs>
      <w:spacing w:before="120" w:after="0" w:line="240" w:lineRule="auto"/>
      <w:jc w:val="center"/>
      <w:outlineLvl w:val="7"/>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37A"/>
    <w:rPr>
      <w:rFonts w:ascii="Calibri" w:eastAsia="Times New Roman" w:hAnsi="Calibri" w:cs="Times New Roman"/>
      <w:sz w:val="26"/>
      <w:szCs w:val="26"/>
      <w:lang w:eastAsia="en-GB"/>
    </w:rPr>
  </w:style>
  <w:style w:type="paragraph" w:styleId="Footer">
    <w:name w:val="footer"/>
    <w:aliases w:val="Footer1"/>
    <w:basedOn w:val="Normal"/>
    <w:link w:val="FooterChar"/>
    <w:uiPriority w:val="99"/>
    <w:rsid w:val="00C82F48"/>
    <w:pPr>
      <w:tabs>
        <w:tab w:val="center" w:pos="4153"/>
        <w:tab w:val="right" w:pos="8306"/>
      </w:tabs>
    </w:pPr>
    <w:rPr>
      <w:rFonts w:ascii="Times New Roman" w:hAnsi="Times New Roman"/>
      <w:lang w:val="x-none" w:eastAsia="x-none"/>
    </w:rPr>
  </w:style>
  <w:style w:type="character" w:customStyle="1" w:styleId="FooterChar">
    <w:name w:val="Footer Char"/>
    <w:aliases w:val="Footer1 Char"/>
    <w:basedOn w:val="DefaultParagraphFont"/>
    <w:link w:val="Footer"/>
    <w:uiPriority w:val="99"/>
    <w:rsid w:val="00C82F48"/>
    <w:rPr>
      <w:rFonts w:ascii="Times New Roman" w:eastAsia="Times New Roman" w:hAnsi="Times New Roman" w:cs="Times New Roman"/>
      <w:szCs w:val="20"/>
      <w:lang w:val="x-none" w:eastAsia="x-none"/>
    </w:rPr>
  </w:style>
  <w:style w:type="character" w:styleId="FootnoteReference">
    <w:name w:val="footnote reference"/>
    <w:aliases w:val="stylish"/>
    <w:semiHidden/>
    <w:rsid w:val="00C82F48"/>
    <w:rPr>
      <w:sz w:val="16"/>
      <w:vertAlign w:val="superscript"/>
    </w:rPr>
  </w:style>
  <w:style w:type="character" w:styleId="CommentReference">
    <w:name w:val="annotation reference"/>
    <w:semiHidden/>
    <w:rsid w:val="00C82F48"/>
    <w:rPr>
      <w:sz w:val="16"/>
      <w:szCs w:val="16"/>
    </w:rPr>
  </w:style>
  <w:style w:type="paragraph" w:styleId="CommentText">
    <w:name w:val="annotation text"/>
    <w:basedOn w:val="Normal"/>
    <w:link w:val="CommentTextChar"/>
    <w:rsid w:val="00C82F48"/>
    <w:rPr>
      <w:sz w:val="20"/>
    </w:rPr>
  </w:style>
  <w:style w:type="character" w:customStyle="1" w:styleId="CommentTextChar">
    <w:name w:val="Comment Text Char"/>
    <w:basedOn w:val="DefaultParagraphFont"/>
    <w:link w:val="CommentText"/>
    <w:rsid w:val="00C82F48"/>
    <w:rPr>
      <w:rFonts w:ascii="Calibri" w:eastAsia="Times New Roman" w:hAnsi="Calibri" w:cs="Times New Roman"/>
      <w:sz w:val="20"/>
      <w:szCs w:val="20"/>
      <w:lang w:eastAsia="en-GB"/>
    </w:rPr>
  </w:style>
  <w:style w:type="paragraph" w:styleId="Title">
    <w:name w:val="Title"/>
    <w:basedOn w:val="Heading1"/>
    <w:link w:val="TitleChar"/>
    <w:qFormat/>
    <w:rsid w:val="00FC360C"/>
    <w:pPr>
      <w:spacing w:before="240" w:after="240"/>
    </w:pPr>
    <w:rPr>
      <w:sz w:val="40"/>
      <w:szCs w:val="40"/>
      <w:lang w:eastAsia="x-none"/>
    </w:rPr>
  </w:style>
  <w:style w:type="character" w:customStyle="1" w:styleId="TitleChar">
    <w:name w:val="Title Char"/>
    <w:basedOn w:val="DefaultParagraphFont"/>
    <w:link w:val="Title"/>
    <w:rsid w:val="00FC360C"/>
    <w:rPr>
      <w:rFonts w:ascii="Calibri" w:eastAsia="Times New Roman" w:hAnsi="Calibri" w:cs="Times New Roman"/>
      <w:kern w:val="28"/>
      <w:sz w:val="40"/>
      <w:szCs w:val="40"/>
      <w:lang w:eastAsia="x-none"/>
    </w:rPr>
  </w:style>
  <w:style w:type="paragraph" w:styleId="BalloonText">
    <w:name w:val="Balloon Text"/>
    <w:basedOn w:val="Normal"/>
    <w:link w:val="BalloonTextChar"/>
    <w:semiHidden/>
    <w:unhideWhenUsed/>
    <w:rsid w:val="00C82F48"/>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C82F48"/>
    <w:rPr>
      <w:rFonts w:ascii="Tahoma" w:eastAsia="Times New Roman" w:hAnsi="Tahoma" w:cs="Tahoma"/>
      <w:sz w:val="16"/>
      <w:szCs w:val="16"/>
      <w:lang w:eastAsia="en-GB"/>
    </w:rPr>
  </w:style>
  <w:style w:type="paragraph" w:styleId="Header">
    <w:name w:val="header"/>
    <w:aliases w:val="Header1"/>
    <w:basedOn w:val="Normal"/>
    <w:link w:val="HeaderChar"/>
    <w:uiPriority w:val="99"/>
    <w:unhideWhenUsed/>
    <w:rsid w:val="00EC3E9C"/>
    <w:pPr>
      <w:tabs>
        <w:tab w:val="clear" w:pos="567"/>
        <w:tab w:val="clear" w:pos="1134"/>
        <w:tab w:val="clear" w:pos="1701"/>
        <w:tab w:val="clear" w:pos="2268"/>
        <w:tab w:val="center" w:pos="4513"/>
        <w:tab w:val="right" w:pos="9026"/>
      </w:tabs>
      <w:spacing w:after="0"/>
    </w:pPr>
  </w:style>
  <w:style w:type="character" w:customStyle="1" w:styleId="HeaderChar">
    <w:name w:val="Header Char"/>
    <w:aliases w:val="Header1 Char"/>
    <w:basedOn w:val="DefaultParagraphFont"/>
    <w:link w:val="Header"/>
    <w:uiPriority w:val="99"/>
    <w:rsid w:val="00EC3E9C"/>
    <w:rPr>
      <w:rFonts w:ascii="Calibri" w:eastAsia="Times New Roman" w:hAnsi="Calibri" w:cs="Times New Roman"/>
      <w:szCs w:val="20"/>
      <w:lang w:eastAsia="en-GB"/>
    </w:rPr>
  </w:style>
  <w:style w:type="paragraph" w:styleId="ListParagraph">
    <w:name w:val="List Paragraph"/>
    <w:basedOn w:val="Normal"/>
    <w:uiPriority w:val="34"/>
    <w:qFormat/>
    <w:rsid w:val="00EC3E9C"/>
    <w:pPr>
      <w:ind w:left="720"/>
      <w:contextualSpacing/>
    </w:pPr>
  </w:style>
  <w:style w:type="character" w:styleId="PageNumber">
    <w:name w:val="page number"/>
    <w:rsid w:val="00A44A89"/>
    <w:rPr>
      <w:rFonts w:ascii="Arial" w:hAnsi="Arial"/>
      <w:sz w:val="18"/>
    </w:rPr>
  </w:style>
  <w:style w:type="character" w:customStyle="1" w:styleId="Heading2Char">
    <w:name w:val="Heading 2 Char"/>
    <w:basedOn w:val="DefaultParagraphFont"/>
    <w:link w:val="Heading2"/>
    <w:rsid w:val="002F237A"/>
    <w:rPr>
      <w:rFonts w:ascii="Calibri" w:eastAsia="Times New Roman" w:hAnsi="Calibri" w:cs="Times New Roman"/>
      <w:b/>
      <w:szCs w:val="20"/>
      <w:lang w:val="en-US"/>
    </w:rPr>
  </w:style>
  <w:style w:type="character" w:customStyle="1" w:styleId="Heading3Char">
    <w:name w:val="Heading 3 Char"/>
    <w:basedOn w:val="DefaultParagraphFont"/>
    <w:link w:val="Heading3"/>
    <w:rsid w:val="002F237A"/>
    <w:rPr>
      <w:rFonts w:ascii="Calibri" w:eastAsia="Times New Roman" w:hAnsi="Calibri" w:cs="Arial"/>
      <w:lang w:eastAsia="en-GB"/>
    </w:rPr>
  </w:style>
  <w:style w:type="character" w:customStyle="1" w:styleId="Heading4Char">
    <w:name w:val="Heading 4 Char"/>
    <w:basedOn w:val="DefaultParagraphFont"/>
    <w:link w:val="Heading4"/>
    <w:rsid w:val="00935187"/>
    <w:rPr>
      <w:rFonts w:ascii="Calibri" w:eastAsia="Times New Roman" w:hAnsi="Calibri" w:cs="Times New Roman"/>
      <w:i/>
      <w:lang w:eastAsia="en-GB"/>
    </w:rPr>
  </w:style>
  <w:style w:type="character" w:customStyle="1" w:styleId="Heading5Char">
    <w:name w:val="Heading 5 Char"/>
    <w:basedOn w:val="DefaultParagraphFont"/>
    <w:link w:val="Heading5"/>
    <w:rsid w:val="00FC360C"/>
    <w:rPr>
      <w:rFonts w:ascii="Futura Md BT" w:eastAsia="Times New Roman" w:hAnsi="Futura Md BT" w:cs="Arial"/>
      <w:b/>
      <w:iCs/>
      <w:spacing w:val="6"/>
      <w:kern w:val="32"/>
      <w:sz w:val="16"/>
      <w:szCs w:val="16"/>
      <w:lang w:val="da-DK"/>
    </w:rPr>
  </w:style>
  <w:style w:type="character" w:customStyle="1" w:styleId="Heading7Char">
    <w:name w:val="Heading 7 Char"/>
    <w:basedOn w:val="DefaultParagraphFont"/>
    <w:link w:val="Heading7"/>
    <w:rsid w:val="00FC360C"/>
    <w:rPr>
      <w:rFonts w:ascii="Times New Roman" w:eastAsia="Times New Roman" w:hAnsi="Times New Roman" w:cs="Times New Roman"/>
      <w:b/>
      <w:szCs w:val="20"/>
      <w:lang w:eastAsia="en-GB"/>
    </w:rPr>
  </w:style>
  <w:style w:type="character" w:customStyle="1" w:styleId="Heading8Char">
    <w:name w:val="Heading 8 Char"/>
    <w:basedOn w:val="DefaultParagraphFont"/>
    <w:link w:val="Heading8"/>
    <w:rsid w:val="00FC360C"/>
    <w:rPr>
      <w:rFonts w:ascii="Times New Roman" w:eastAsia="Times New Roman" w:hAnsi="Times New Roman" w:cs="Times New Roman"/>
      <w:b/>
      <w:szCs w:val="20"/>
      <w:lang w:eastAsia="en-GB"/>
    </w:rPr>
  </w:style>
  <w:style w:type="paragraph" w:styleId="BodyText">
    <w:name w:val="Body Text"/>
    <w:basedOn w:val="Normal"/>
    <w:link w:val="BodyTextChar"/>
    <w:rsid w:val="00FC360C"/>
    <w:pPr>
      <w:tabs>
        <w:tab w:val="clear" w:pos="567"/>
        <w:tab w:val="clear" w:pos="1134"/>
        <w:tab w:val="clear" w:pos="1701"/>
        <w:tab w:val="clear" w:pos="2268"/>
        <w:tab w:val="left" w:pos="357"/>
      </w:tabs>
      <w:spacing w:after="140" w:line="280" w:lineRule="atLeast"/>
    </w:pPr>
    <w:rPr>
      <w:rFonts w:ascii="Arial" w:hAnsi="Arial"/>
      <w:sz w:val="20"/>
    </w:rPr>
  </w:style>
  <w:style w:type="character" w:customStyle="1" w:styleId="BodyTextChar">
    <w:name w:val="Body Text Char"/>
    <w:basedOn w:val="DefaultParagraphFont"/>
    <w:link w:val="BodyText"/>
    <w:rsid w:val="00FC360C"/>
    <w:rPr>
      <w:rFonts w:ascii="Arial" w:eastAsia="Times New Roman" w:hAnsi="Arial" w:cs="Times New Roman"/>
      <w:sz w:val="20"/>
      <w:szCs w:val="20"/>
      <w:lang w:eastAsia="en-GB"/>
    </w:rPr>
  </w:style>
  <w:style w:type="paragraph" w:styleId="TOC2">
    <w:name w:val="toc 2"/>
    <w:next w:val="Normal"/>
    <w:uiPriority w:val="39"/>
    <w:rsid w:val="00FC360C"/>
    <w:pPr>
      <w:tabs>
        <w:tab w:val="right" w:leader="dot" w:pos="9015"/>
      </w:tabs>
      <w:spacing w:after="0" w:line="280" w:lineRule="atLeast"/>
      <w:ind w:left="357"/>
    </w:pPr>
    <w:rPr>
      <w:rFonts w:ascii="Arial" w:eastAsia="Times New Roman" w:hAnsi="Arial" w:cs="Times New Roman"/>
      <w:noProof/>
      <w:sz w:val="20"/>
      <w:szCs w:val="20"/>
      <w:lang w:eastAsia="en-GB"/>
    </w:rPr>
  </w:style>
  <w:style w:type="paragraph" w:styleId="TOC3">
    <w:name w:val="toc 3"/>
    <w:basedOn w:val="BodyText"/>
    <w:next w:val="Normal"/>
    <w:uiPriority w:val="39"/>
    <w:rsid w:val="00FC360C"/>
    <w:pPr>
      <w:tabs>
        <w:tab w:val="clear" w:pos="357"/>
        <w:tab w:val="right" w:leader="dot" w:pos="9015"/>
      </w:tabs>
      <w:spacing w:after="0"/>
      <w:ind w:left="714"/>
    </w:pPr>
    <w:rPr>
      <w:noProof/>
    </w:rPr>
  </w:style>
  <w:style w:type="paragraph" w:customStyle="1" w:styleId="Char">
    <w:name w:val="Char"/>
    <w:basedOn w:val="Normal"/>
    <w:rsid w:val="00FC360C"/>
    <w:pPr>
      <w:numPr>
        <w:numId w:val="11"/>
      </w:numPr>
      <w:tabs>
        <w:tab w:val="clear" w:pos="340"/>
        <w:tab w:val="clear" w:pos="567"/>
        <w:tab w:val="clear" w:pos="1134"/>
        <w:tab w:val="clear" w:pos="1701"/>
        <w:tab w:val="clear" w:pos="2268"/>
      </w:tabs>
      <w:spacing w:after="160" w:line="240" w:lineRule="exact"/>
      <w:ind w:left="0" w:firstLine="0"/>
      <w:jc w:val="left"/>
    </w:pPr>
    <w:rPr>
      <w:rFonts w:ascii="Tahoma" w:hAnsi="Tahoma"/>
      <w:sz w:val="20"/>
      <w:lang w:val="en-US" w:eastAsia="en-US"/>
    </w:rPr>
  </w:style>
  <w:style w:type="paragraph" w:styleId="EndnoteText">
    <w:name w:val="endnote text"/>
    <w:basedOn w:val="Normal"/>
    <w:link w:val="EndnoteTextChar"/>
    <w:semiHidden/>
    <w:rsid w:val="00FC360C"/>
    <w:pPr>
      <w:numPr>
        <w:numId w:val="10"/>
      </w:numPr>
      <w:tabs>
        <w:tab w:val="clear" w:pos="340"/>
        <w:tab w:val="clear" w:pos="567"/>
        <w:tab w:val="clear" w:pos="1134"/>
        <w:tab w:val="clear" w:pos="1701"/>
        <w:tab w:val="clear" w:pos="2268"/>
        <w:tab w:val="left" w:pos="357"/>
      </w:tabs>
      <w:spacing w:after="140" w:line="280" w:lineRule="atLeast"/>
      <w:ind w:left="0" w:firstLine="0"/>
      <w:jc w:val="left"/>
    </w:pPr>
    <w:rPr>
      <w:rFonts w:ascii="Arial" w:hAnsi="Arial"/>
      <w:sz w:val="20"/>
    </w:rPr>
  </w:style>
  <w:style w:type="character" w:customStyle="1" w:styleId="EndnoteTextChar">
    <w:name w:val="Endnote Text Char"/>
    <w:basedOn w:val="DefaultParagraphFont"/>
    <w:link w:val="EndnoteText"/>
    <w:semiHidden/>
    <w:rsid w:val="00FC360C"/>
    <w:rPr>
      <w:rFonts w:ascii="Arial" w:eastAsia="Times New Roman" w:hAnsi="Arial" w:cs="Times New Roman"/>
      <w:sz w:val="20"/>
      <w:szCs w:val="20"/>
      <w:lang w:eastAsia="en-GB"/>
    </w:rPr>
  </w:style>
  <w:style w:type="paragraph" w:customStyle="1" w:styleId="Normalenkel">
    <w:name w:val="Normalenkel"/>
    <w:basedOn w:val="Normal"/>
    <w:rsid w:val="00FC360C"/>
    <w:pPr>
      <w:tabs>
        <w:tab w:val="clear" w:pos="567"/>
        <w:tab w:val="clear" w:pos="1134"/>
        <w:tab w:val="clear" w:pos="1701"/>
        <w:tab w:val="clear" w:pos="2268"/>
      </w:tabs>
      <w:spacing w:after="0" w:line="240" w:lineRule="auto"/>
      <w:jc w:val="left"/>
    </w:pPr>
    <w:rPr>
      <w:rFonts w:ascii="Times New Roman" w:hAnsi="Times New Roman"/>
      <w:sz w:val="24"/>
      <w:szCs w:val="22"/>
      <w:lang w:val="sv-SE" w:eastAsia="fr-FR"/>
    </w:rPr>
  </w:style>
  <w:style w:type="character" w:styleId="FollowedHyperlink">
    <w:name w:val="FollowedHyperlink"/>
    <w:uiPriority w:val="99"/>
    <w:rsid w:val="00FC360C"/>
    <w:rPr>
      <w:color w:val="808080"/>
      <w:u w:val="none"/>
    </w:rPr>
  </w:style>
  <w:style w:type="paragraph" w:styleId="FootnoteText">
    <w:name w:val="footnote text"/>
    <w:link w:val="FootnoteTextChar"/>
    <w:uiPriority w:val="99"/>
    <w:semiHidden/>
    <w:rsid w:val="00FC360C"/>
    <w:pPr>
      <w:spacing w:after="0" w:line="240" w:lineRule="auto"/>
      <w:jc w:val="both"/>
    </w:pPr>
    <w:rPr>
      <w:rFonts w:ascii="Calibri" w:eastAsia="Times New Roman" w:hAnsi="Calibri" w:cs="Times New Roman"/>
      <w:noProof/>
      <w:sz w:val="20"/>
      <w:szCs w:val="20"/>
      <w:lang w:eastAsia="en-GB"/>
    </w:rPr>
  </w:style>
  <w:style w:type="character" w:customStyle="1" w:styleId="FootnoteTextChar">
    <w:name w:val="Footnote Text Char"/>
    <w:basedOn w:val="DefaultParagraphFont"/>
    <w:link w:val="FootnoteText"/>
    <w:uiPriority w:val="99"/>
    <w:semiHidden/>
    <w:rsid w:val="00FC360C"/>
    <w:rPr>
      <w:rFonts w:ascii="Calibri" w:eastAsia="Times New Roman" w:hAnsi="Calibri" w:cs="Times New Roman"/>
      <w:noProof/>
      <w:sz w:val="20"/>
      <w:szCs w:val="20"/>
      <w:lang w:eastAsia="en-GB"/>
    </w:rPr>
  </w:style>
  <w:style w:type="character" w:styleId="Hyperlink">
    <w:name w:val="Hyperlink"/>
    <w:rsid w:val="00FC360C"/>
    <w:rPr>
      <w:color w:val="16288E"/>
      <w:u w:val="none"/>
    </w:rPr>
  </w:style>
  <w:style w:type="paragraph" w:customStyle="1" w:styleId="Introduction">
    <w:name w:val="Introduction"/>
    <w:basedOn w:val="BodyText"/>
    <w:next w:val="BodyText"/>
    <w:rsid w:val="00FC360C"/>
    <w:rPr>
      <w:b/>
      <w:color w:val="16288E"/>
    </w:rPr>
  </w:style>
  <w:style w:type="paragraph" w:styleId="ListBullet">
    <w:name w:val="List Bullet"/>
    <w:basedOn w:val="Normal"/>
    <w:rsid w:val="00FC360C"/>
    <w:pPr>
      <w:numPr>
        <w:numId w:val="2"/>
      </w:numPr>
      <w:tabs>
        <w:tab w:val="clear" w:pos="567"/>
        <w:tab w:val="clear" w:pos="1134"/>
        <w:tab w:val="clear" w:pos="1701"/>
        <w:tab w:val="clear" w:pos="2268"/>
      </w:tabs>
      <w:spacing w:after="140" w:line="280" w:lineRule="atLeast"/>
    </w:pPr>
    <w:rPr>
      <w:rFonts w:ascii="Arial" w:hAnsi="Arial"/>
      <w:sz w:val="20"/>
    </w:rPr>
  </w:style>
  <w:style w:type="paragraph" w:styleId="ListNumber">
    <w:name w:val="List Number"/>
    <w:basedOn w:val="Normal"/>
    <w:rsid w:val="00FC360C"/>
    <w:pPr>
      <w:numPr>
        <w:numId w:val="1"/>
      </w:numPr>
      <w:tabs>
        <w:tab w:val="clear" w:pos="567"/>
        <w:tab w:val="clear" w:pos="1134"/>
        <w:tab w:val="clear" w:pos="1701"/>
        <w:tab w:val="clear" w:pos="2268"/>
      </w:tabs>
      <w:spacing w:after="140" w:line="280" w:lineRule="atLeast"/>
      <w:jc w:val="left"/>
    </w:pPr>
    <w:rPr>
      <w:rFonts w:ascii="Arial" w:hAnsi="Arial"/>
      <w:sz w:val="20"/>
    </w:rPr>
  </w:style>
  <w:style w:type="paragraph" w:styleId="Subtitle">
    <w:name w:val="Subtitle"/>
    <w:link w:val="SubtitleChar"/>
    <w:qFormat/>
    <w:rsid w:val="00FC360C"/>
    <w:pPr>
      <w:spacing w:after="0" w:line="240" w:lineRule="auto"/>
    </w:pPr>
    <w:rPr>
      <w:rFonts w:ascii="Arial" w:eastAsia="Times New Roman" w:hAnsi="Arial" w:cs="Times New Roman"/>
      <w:noProof/>
      <w:color w:val="008CFF"/>
      <w:sz w:val="48"/>
      <w:szCs w:val="20"/>
      <w:lang w:eastAsia="en-GB"/>
    </w:rPr>
  </w:style>
  <w:style w:type="character" w:customStyle="1" w:styleId="SubtitleChar">
    <w:name w:val="Subtitle Char"/>
    <w:basedOn w:val="DefaultParagraphFont"/>
    <w:link w:val="Subtitle"/>
    <w:rsid w:val="00FC360C"/>
    <w:rPr>
      <w:rFonts w:ascii="Arial" w:eastAsia="Times New Roman" w:hAnsi="Arial" w:cs="Times New Roman"/>
      <w:noProof/>
      <w:color w:val="008CFF"/>
      <w:sz w:val="48"/>
      <w:szCs w:val="20"/>
      <w:lang w:eastAsia="en-GB"/>
    </w:rPr>
  </w:style>
  <w:style w:type="paragraph" w:styleId="TOC1">
    <w:name w:val="toc 1"/>
    <w:basedOn w:val="Normal"/>
    <w:next w:val="Normal"/>
    <w:uiPriority w:val="39"/>
    <w:rsid w:val="00FC360C"/>
    <w:pPr>
      <w:tabs>
        <w:tab w:val="clear" w:pos="567"/>
        <w:tab w:val="clear" w:pos="1134"/>
        <w:tab w:val="clear" w:pos="1701"/>
        <w:tab w:val="clear" w:pos="2268"/>
        <w:tab w:val="right" w:leader="dot" w:pos="9015"/>
      </w:tabs>
      <w:spacing w:before="60" w:after="0" w:line="280" w:lineRule="atLeast"/>
      <w:jc w:val="left"/>
    </w:pPr>
    <w:rPr>
      <w:rFonts w:ascii="Arial" w:hAnsi="Arial"/>
      <w:b/>
      <w:sz w:val="20"/>
    </w:rPr>
  </w:style>
  <w:style w:type="character" w:styleId="EndnoteReference">
    <w:name w:val="endnote reference"/>
    <w:semiHidden/>
    <w:rsid w:val="00FC360C"/>
    <w:rPr>
      <w:vertAlign w:val="superscript"/>
    </w:rPr>
  </w:style>
  <w:style w:type="paragraph" w:customStyle="1" w:styleId="CarCar1">
    <w:name w:val="Car Car1"/>
    <w:basedOn w:val="Normal"/>
    <w:rsid w:val="00FC360C"/>
    <w:pPr>
      <w:tabs>
        <w:tab w:val="clear" w:pos="567"/>
        <w:tab w:val="clear" w:pos="1134"/>
        <w:tab w:val="clear" w:pos="1701"/>
        <w:tab w:val="clear" w:pos="2268"/>
      </w:tabs>
      <w:spacing w:after="160" w:line="240" w:lineRule="exact"/>
      <w:jc w:val="left"/>
    </w:pPr>
    <w:rPr>
      <w:rFonts w:ascii="Tahoma" w:hAnsi="Tahoma"/>
      <w:sz w:val="20"/>
      <w:lang w:val="en-US" w:eastAsia="en-US"/>
    </w:rPr>
  </w:style>
  <w:style w:type="paragraph" w:customStyle="1" w:styleId="Style1">
    <w:name w:val="Style1"/>
    <w:basedOn w:val="Heading4"/>
    <w:rsid w:val="00FC360C"/>
    <w:rPr>
      <w:b/>
      <w:i w:val="0"/>
    </w:rPr>
  </w:style>
  <w:style w:type="paragraph" w:customStyle="1" w:styleId="StyleHeading2After6pt">
    <w:name w:val="Style Heading 2 + After:  6 pt"/>
    <w:basedOn w:val="Heading2"/>
    <w:rsid w:val="00FC360C"/>
    <w:pPr>
      <w:spacing w:before="240"/>
    </w:pPr>
  </w:style>
  <w:style w:type="paragraph" w:styleId="BodyText2">
    <w:name w:val="Body Text 2"/>
    <w:basedOn w:val="Normal"/>
    <w:link w:val="BodyText2Char"/>
    <w:rsid w:val="00FC360C"/>
    <w:pPr>
      <w:tabs>
        <w:tab w:val="clear" w:pos="567"/>
        <w:tab w:val="clear" w:pos="1134"/>
        <w:tab w:val="clear" w:pos="1701"/>
        <w:tab w:val="clear" w:pos="2268"/>
        <w:tab w:val="left" w:pos="357"/>
      </w:tabs>
      <w:spacing w:line="480" w:lineRule="auto"/>
      <w:jc w:val="left"/>
    </w:pPr>
    <w:rPr>
      <w:rFonts w:ascii="Arial" w:hAnsi="Arial"/>
      <w:sz w:val="20"/>
    </w:rPr>
  </w:style>
  <w:style w:type="character" w:customStyle="1" w:styleId="BodyText2Char">
    <w:name w:val="Body Text 2 Char"/>
    <w:basedOn w:val="DefaultParagraphFont"/>
    <w:link w:val="BodyText2"/>
    <w:rsid w:val="00FC360C"/>
    <w:rPr>
      <w:rFonts w:ascii="Arial" w:eastAsia="Times New Roman" w:hAnsi="Arial" w:cs="Times New Roman"/>
      <w:sz w:val="20"/>
      <w:szCs w:val="20"/>
      <w:lang w:eastAsia="en-GB"/>
    </w:rPr>
  </w:style>
  <w:style w:type="paragraph" w:customStyle="1" w:styleId="Stan">
    <w:name w:val="Stan"/>
    <w:basedOn w:val="Normal"/>
    <w:rsid w:val="00FC360C"/>
    <w:pPr>
      <w:tabs>
        <w:tab w:val="clear" w:pos="567"/>
        <w:tab w:val="clear" w:pos="1134"/>
        <w:tab w:val="clear" w:pos="1701"/>
        <w:tab w:val="clear" w:pos="2268"/>
      </w:tabs>
      <w:spacing w:after="0" w:line="240" w:lineRule="auto"/>
      <w:jc w:val="left"/>
    </w:pPr>
    <w:rPr>
      <w:rFonts w:ascii="Script" w:hAnsi="Script"/>
      <w:sz w:val="20"/>
    </w:rPr>
  </w:style>
  <w:style w:type="paragraph" w:customStyle="1" w:styleId="doc-number">
    <w:name w:val="doc-number"/>
    <w:basedOn w:val="Normal"/>
    <w:next w:val="Normal"/>
    <w:rsid w:val="00FC360C"/>
    <w:pPr>
      <w:tabs>
        <w:tab w:val="clear" w:pos="567"/>
        <w:tab w:val="clear" w:pos="1134"/>
        <w:tab w:val="clear" w:pos="1701"/>
        <w:tab w:val="clear" w:pos="2268"/>
      </w:tabs>
      <w:spacing w:after="0" w:line="240" w:lineRule="auto"/>
    </w:pPr>
    <w:rPr>
      <w:rFonts w:ascii="Times New Roman" w:hAnsi="Times New Roman"/>
      <w:sz w:val="24"/>
    </w:rPr>
  </w:style>
  <w:style w:type="paragraph" w:customStyle="1" w:styleId="hdg1">
    <w:name w:val="hdg1"/>
    <w:basedOn w:val="Normal"/>
    <w:rsid w:val="00FC360C"/>
    <w:pPr>
      <w:tabs>
        <w:tab w:val="clear" w:pos="567"/>
        <w:tab w:val="clear" w:pos="1134"/>
        <w:tab w:val="clear" w:pos="1701"/>
        <w:tab w:val="clear" w:pos="2268"/>
      </w:tabs>
      <w:spacing w:before="360" w:after="0" w:line="240" w:lineRule="auto"/>
    </w:pPr>
    <w:rPr>
      <w:rFonts w:ascii="Times New Roman" w:hAnsi="Times New Roman"/>
      <w:b/>
      <w:sz w:val="30"/>
    </w:rPr>
  </w:style>
  <w:style w:type="paragraph" w:customStyle="1" w:styleId="Body">
    <w:name w:val="Body"/>
    <w:aliases w:val="Text,Indent"/>
    <w:basedOn w:val="BodyText"/>
    <w:rsid w:val="00FC360C"/>
    <w:pPr>
      <w:tabs>
        <w:tab w:val="clear" w:pos="357"/>
      </w:tabs>
      <w:spacing w:before="120" w:after="120" w:line="240" w:lineRule="auto"/>
    </w:pPr>
    <w:rPr>
      <w:rFonts w:ascii="Times New Roman" w:hAnsi="Times New Roman"/>
      <w:sz w:val="22"/>
    </w:rPr>
  </w:style>
  <w:style w:type="paragraph" w:customStyle="1" w:styleId="hdg2">
    <w:name w:val="hdg2"/>
    <w:basedOn w:val="Normal"/>
    <w:rsid w:val="00FC360C"/>
    <w:pPr>
      <w:tabs>
        <w:tab w:val="clear" w:pos="567"/>
        <w:tab w:val="clear" w:pos="1134"/>
        <w:tab w:val="clear" w:pos="1701"/>
        <w:tab w:val="clear" w:pos="2268"/>
      </w:tabs>
      <w:spacing w:before="120" w:after="0" w:line="240" w:lineRule="auto"/>
    </w:pPr>
    <w:rPr>
      <w:rFonts w:ascii="Times New Roman" w:hAnsi="Times New Roman"/>
      <w:b/>
      <w:sz w:val="26"/>
    </w:rPr>
  </w:style>
  <w:style w:type="paragraph" w:customStyle="1" w:styleId="hdg3">
    <w:name w:val="hdg3"/>
    <w:basedOn w:val="Heading3"/>
    <w:rsid w:val="00FC360C"/>
    <w:pPr>
      <w:spacing w:before="360" w:after="0" w:line="240" w:lineRule="auto"/>
      <w:ind w:left="567" w:hanging="567"/>
      <w:outlineLvl w:val="9"/>
    </w:pPr>
    <w:rPr>
      <w:rFonts w:ascii="Times New Roman" w:hAnsi="Times New Roman"/>
    </w:rPr>
  </w:style>
  <w:style w:type="paragraph" w:customStyle="1" w:styleId="Standard">
    <w:name w:val="Standard"/>
    <w:rsid w:val="00FC360C"/>
    <w:pPr>
      <w:spacing w:after="0" w:line="240" w:lineRule="auto"/>
    </w:pPr>
    <w:rPr>
      <w:rFonts w:ascii="Times" w:eastAsia="Times New Roman" w:hAnsi="Times" w:cs="Times New Roman"/>
      <w:noProof/>
      <w:sz w:val="24"/>
      <w:szCs w:val="20"/>
      <w:lang w:eastAsia="en-GB"/>
    </w:rPr>
  </w:style>
  <w:style w:type="paragraph" w:customStyle="1" w:styleId="Acknowledge">
    <w:name w:val="Acknowledge"/>
    <w:basedOn w:val="Normal"/>
    <w:rsid w:val="00FC360C"/>
    <w:pPr>
      <w:tabs>
        <w:tab w:val="clear" w:pos="567"/>
        <w:tab w:val="clear" w:pos="1134"/>
        <w:tab w:val="clear" w:pos="1701"/>
        <w:tab w:val="clear" w:pos="2268"/>
      </w:tabs>
      <w:spacing w:after="284" w:line="240" w:lineRule="auto"/>
      <w:ind w:left="992" w:hanging="992"/>
      <w:jc w:val="left"/>
    </w:pPr>
    <w:rPr>
      <w:rFonts w:ascii="Times New Roman" w:hAnsi="Times New Roman"/>
      <w:b/>
      <w:caps/>
      <w:sz w:val="20"/>
      <w:lang w:val="en-US"/>
    </w:rPr>
  </w:style>
  <w:style w:type="paragraph" w:customStyle="1" w:styleId="table">
    <w:name w:val="table"/>
    <w:next w:val="Normal"/>
    <w:rsid w:val="00FC360C"/>
    <w:pPr>
      <w:spacing w:before="60" w:after="60" w:line="240" w:lineRule="auto"/>
    </w:pPr>
    <w:rPr>
      <w:rFonts w:ascii="Times New Roman" w:eastAsia="Times New Roman" w:hAnsi="Times New Roman" w:cs="Times New Roman"/>
      <w:noProof/>
      <w:sz w:val="18"/>
      <w:szCs w:val="20"/>
      <w:lang w:eastAsia="en-GB"/>
    </w:rPr>
  </w:style>
  <w:style w:type="paragraph" w:customStyle="1" w:styleId="Normal1">
    <w:name w:val="Normal1"/>
    <w:basedOn w:val="Normal"/>
    <w:rsid w:val="00FC360C"/>
    <w:pPr>
      <w:tabs>
        <w:tab w:val="clear" w:pos="567"/>
        <w:tab w:val="clear" w:pos="1134"/>
        <w:tab w:val="clear" w:pos="1701"/>
        <w:tab w:val="clear" w:pos="2268"/>
      </w:tabs>
      <w:spacing w:after="0" w:line="240" w:lineRule="auto"/>
    </w:pPr>
    <w:rPr>
      <w:rFonts w:ascii="Times New Roman" w:hAnsi="Times New Roman"/>
    </w:rPr>
  </w:style>
  <w:style w:type="paragraph" w:styleId="List">
    <w:name w:val="List"/>
    <w:basedOn w:val="Normal"/>
    <w:rsid w:val="00FC360C"/>
    <w:pPr>
      <w:tabs>
        <w:tab w:val="clear" w:pos="567"/>
        <w:tab w:val="clear" w:pos="1134"/>
        <w:tab w:val="clear" w:pos="1701"/>
        <w:tab w:val="clear" w:pos="2268"/>
      </w:tabs>
      <w:spacing w:after="142" w:line="240" w:lineRule="auto"/>
      <w:ind w:left="284" w:hanging="284"/>
    </w:pPr>
    <w:rPr>
      <w:rFonts w:ascii="Times New Roman" w:hAnsi="Times New Roman"/>
      <w:sz w:val="20"/>
    </w:rPr>
  </w:style>
  <w:style w:type="paragraph" w:styleId="BodyText3">
    <w:name w:val="Body Text 3"/>
    <w:basedOn w:val="Normal"/>
    <w:link w:val="BodyText3Char"/>
    <w:rsid w:val="00FC360C"/>
    <w:pPr>
      <w:tabs>
        <w:tab w:val="clear" w:pos="567"/>
        <w:tab w:val="clear" w:pos="1134"/>
        <w:tab w:val="clear" w:pos="1701"/>
        <w:tab w:val="clear" w:pos="2268"/>
      </w:tabs>
      <w:spacing w:after="0" w:line="240" w:lineRule="auto"/>
      <w:jc w:val="center"/>
    </w:pPr>
    <w:rPr>
      <w:rFonts w:ascii="Times New Roman" w:hAnsi="Times New Roman"/>
      <w:sz w:val="16"/>
    </w:rPr>
  </w:style>
  <w:style w:type="character" w:customStyle="1" w:styleId="BodyText3Char">
    <w:name w:val="Body Text 3 Char"/>
    <w:basedOn w:val="DefaultParagraphFont"/>
    <w:link w:val="BodyText3"/>
    <w:rsid w:val="00FC360C"/>
    <w:rPr>
      <w:rFonts w:ascii="Times New Roman" w:eastAsia="Times New Roman" w:hAnsi="Times New Roman" w:cs="Times New Roman"/>
      <w:sz w:val="16"/>
      <w:szCs w:val="20"/>
      <w:lang w:eastAsia="en-GB"/>
    </w:rPr>
  </w:style>
  <w:style w:type="paragraph" w:styleId="BlockText">
    <w:name w:val="Block Text"/>
    <w:basedOn w:val="Normal"/>
    <w:rsid w:val="00FC360C"/>
    <w:pPr>
      <w:tabs>
        <w:tab w:val="clear" w:pos="567"/>
        <w:tab w:val="clear" w:pos="1134"/>
        <w:tab w:val="clear" w:pos="1701"/>
        <w:tab w:val="clear" w:pos="2268"/>
        <w:tab w:val="left" w:pos="601"/>
        <w:tab w:val="left" w:pos="1168"/>
        <w:tab w:val="left" w:pos="1735"/>
        <w:tab w:val="left" w:pos="2019"/>
        <w:tab w:val="right" w:leader="dot" w:pos="7122"/>
      </w:tabs>
      <w:spacing w:after="0" w:line="240" w:lineRule="auto"/>
      <w:ind w:left="601" w:right="2160"/>
    </w:pPr>
    <w:rPr>
      <w:rFonts w:ascii="Times New Roman" w:hAnsi="Times New Roman"/>
    </w:rPr>
  </w:style>
  <w:style w:type="paragraph" w:customStyle="1" w:styleId="Heading0">
    <w:name w:val="Heading 0"/>
    <w:basedOn w:val="Heading1"/>
    <w:next w:val="Normal"/>
    <w:rsid w:val="00FC360C"/>
    <w:pPr>
      <w:numPr>
        <w:numId w:val="12"/>
      </w:numPr>
      <w:tabs>
        <w:tab w:val="clear" w:pos="567"/>
        <w:tab w:val="clear" w:pos="1134"/>
        <w:tab w:val="clear" w:pos="1440"/>
        <w:tab w:val="clear" w:pos="1701"/>
        <w:tab w:val="clear" w:pos="2268"/>
        <w:tab w:val="left" w:pos="360"/>
      </w:tabs>
      <w:spacing w:before="240" w:after="60" w:line="288" w:lineRule="auto"/>
      <w:ind w:left="567" w:hanging="567"/>
      <w:jc w:val="center"/>
      <w:outlineLvl w:val="9"/>
    </w:pPr>
    <w:rPr>
      <w:rFonts w:ascii="Arial" w:hAnsi="Arial"/>
      <w:b/>
      <w:color w:val="000000"/>
      <w:szCs w:val="20"/>
      <w:lang w:val="en-US"/>
    </w:rPr>
  </w:style>
  <w:style w:type="paragraph" w:customStyle="1" w:styleId="numlist">
    <w:name w:val="numlist"/>
    <w:basedOn w:val="Normal"/>
    <w:rsid w:val="00FC360C"/>
    <w:pPr>
      <w:widowControl w:val="0"/>
      <w:tabs>
        <w:tab w:val="clear" w:pos="1134"/>
        <w:tab w:val="clear" w:pos="1701"/>
        <w:tab w:val="clear" w:pos="2268"/>
      </w:tabs>
      <w:spacing w:after="140" w:line="288" w:lineRule="auto"/>
      <w:ind w:left="567" w:hanging="567"/>
      <w:jc w:val="left"/>
    </w:pPr>
    <w:rPr>
      <w:rFonts w:ascii="Times New Roman" w:hAnsi="Times New Roman"/>
      <w:sz w:val="24"/>
      <w:lang w:val="en-US"/>
    </w:rPr>
  </w:style>
  <w:style w:type="paragraph" w:styleId="Caption">
    <w:name w:val="caption"/>
    <w:basedOn w:val="Normal"/>
    <w:next w:val="Normal"/>
    <w:qFormat/>
    <w:rsid w:val="00FC360C"/>
    <w:pPr>
      <w:widowControl w:val="0"/>
      <w:tabs>
        <w:tab w:val="clear" w:pos="567"/>
        <w:tab w:val="clear" w:pos="1134"/>
        <w:tab w:val="clear" w:pos="1701"/>
        <w:tab w:val="clear" w:pos="2268"/>
      </w:tabs>
      <w:spacing w:before="120" w:line="288" w:lineRule="auto"/>
      <w:jc w:val="left"/>
    </w:pPr>
    <w:rPr>
      <w:rFonts w:ascii="Times New Roman" w:hAnsi="Times New Roman"/>
      <w:b/>
      <w:sz w:val="24"/>
      <w:lang w:val="en-US"/>
    </w:rPr>
  </w:style>
  <w:style w:type="paragraph" w:customStyle="1" w:styleId="Formulapargraph">
    <w:name w:val="Formula pargraph"/>
    <w:basedOn w:val="Normal"/>
    <w:next w:val="Normal"/>
    <w:rsid w:val="00FC360C"/>
    <w:pPr>
      <w:widowControl w:val="0"/>
      <w:tabs>
        <w:tab w:val="clear" w:pos="567"/>
        <w:tab w:val="clear" w:pos="1134"/>
        <w:tab w:val="clear" w:pos="1701"/>
        <w:tab w:val="clear" w:pos="2268"/>
        <w:tab w:val="right" w:leader="dot" w:pos="8505"/>
      </w:tabs>
      <w:spacing w:after="0" w:line="288" w:lineRule="auto"/>
      <w:jc w:val="left"/>
    </w:pPr>
    <w:rPr>
      <w:rFonts w:ascii="Times New Roman" w:hAnsi="Times New Roman"/>
      <w:sz w:val="24"/>
      <w:lang w:val="en-US"/>
    </w:rPr>
  </w:style>
  <w:style w:type="paragraph" w:customStyle="1" w:styleId="Reference">
    <w:name w:val="Reference"/>
    <w:basedOn w:val="Normal"/>
    <w:link w:val="ReferenceChar"/>
    <w:rsid w:val="00FC360C"/>
    <w:pPr>
      <w:tabs>
        <w:tab w:val="clear" w:pos="567"/>
        <w:tab w:val="clear" w:pos="1134"/>
        <w:tab w:val="clear" w:pos="1701"/>
        <w:tab w:val="clear" w:pos="2268"/>
      </w:tabs>
      <w:spacing w:after="0" w:line="240" w:lineRule="auto"/>
      <w:ind w:left="360" w:hanging="360"/>
    </w:pPr>
    <w:rPr>
      <w:rFonts w:ascii="Times New Roman" w:hAnsi="Times New Roman"/>
      <w:sz w:val="20"/>
      <w:szCs w:val="24"/>
      <w:lang w:eastAsia="en-US"/>
    </w:rPr>
  </w:style>
  <w:style w:type="character" w:customStyle="1" w:styleId="ReferenceChar">
    <w:name w:val="Reference Char"/>
    <w:link w:val="Reference"/>
    <w:rsid w:val="00FC360C"/>
    <w:rPr>
      <w:rFonts w:ascii="Times New Roman" w:eastAsia="Times New Roman" w:hAnsi="Times New Roman" w:cs="Times New Roman"/>
      <w:sz w:val="20"/>
      <w:szCs w:val="24"/>
    </w:rPr>
  </w:style>
  <w:style w:type="paragraph" w:customStyle="1" w:styleId="TableCaption">
    <w:name w:val="Table Caption"/>
    <w:basedOn w:val="Caption"/>
    <w:next w:val="Normal"/>
    <w:rsid w:val="00FC360C"/>
    <w:pPr>
      <w:keepNext/>
      <w:keepLines/>
      <w:widowControl/>
      <w:spacing w:after="240" w:line="240" w:lineRule="auto"/>
      <w:jc w:val="both"/>
    </w:pPr>
    <w:rPr>
      <w:rFonts w:ascii="Times New Roman Bold" w:hAnsi="Times New Roman Bold"/>
      <w:bCs/>
      <w:sz w:val="18"/>
      <w:szCs w:val="18"/>
      <w:lang w:val="en-GB" w:eastAsia="en-US"/>
    </w:rPr>
  </w:style>
  <w:style w:type="paragraph" w:customStyle="1" w:styleId="TableNotes">
    <w:name w:val="Table Notes"/>
    <w:basedOn w:val="Normal"/>
    <w:rsid w:val="00FC360C"/>
    <w:pPr>
      <w:tabs>
        <w:tab w:val="clear" w:pos="567"/>
        <w:tab w:val="clear" w:pos="1134"/>
        <w:tab w:val="clear" w:pos="1701"/>
        <w:tab w:val="clear" w:pos="2268"/>
      </w:tabs>
      <w:spacing w:before="60" w:after="60" w:line="240" w:lineRule="auto"/>
      <w:jc w:val="left"/>
    </w:pPr>
    <w:rPr>
      <w:rFonts w:ascii="Times New Roman" w:hAnsi="Times New Roman"/>
      <w:b/>
      <w:sz w:val="16"/>
      <w:szCs w:val="16"/>
      <w:lang w:eastAsia="en-US"/>
    </w:rPr>
  </w:style>
  <w:style w:type="paragraph" w:customStyle="1" w:styleId="TableTop">
    <w:name w:val="Table Top"/>
    <w:basedOn w:val="table"/>
    <w:rsid w:val="00FC360C"/>
    <w:pPr>
      <w:keepNext/>
      <w:spacing w:before="30" w:after="30"/>
      <w:jc w:val="center"/>
    </w:pPr>
    <w:rPr>
      <w:rFonts w:ascii="Times New Roman Bold" w:hAnsi="Times New Roman Bold"/>
      <w:b/>
      <w:bCs/>
      <w:smallCaps/>
      <w:sz w:val="15"/>
      <w:szCs w:val="15"/>
      <w:lang w:eastAsia="en-US"/>
    </w:rPr>
  </w:style>
  <w:style w:type="paragraph" w:customStyle="1" w:styleId="Bullet">
    <w:name w:val="Bullet"/>
    <w:rsid w:val="00FC360C"/>
    <w:pPr>
      <w:numPr>
        <w:numId w:val="3"/>
      </w:numPr>
      <w:tabs>
        <w:tab w:val="num" w:pos="720"/>
      </w:tabs>
      <w:spacing w:before="60" w:after="60" w:line="240" w:lineRule="auto"/>
      <w:ind w:left="720" w:right="302" w:hanging="432"/>
      <w:jc w:val="both"/>
    </w:pPr>
    <w:rPr>
      <w:rFonts w:ascii="Times New Roman" w:eastAsia="Times New Roman" w:hAnsi="Times New Roman" w:cs="Times New Roman"/>
      <w:sz w:val="20"/>
      <w:szCs w:val="20"/>
    </w:rPr>
  </w:style>
  <w:style w:type="paragraph" w:styleId="NormalIndent">
    <w:name w:val="Normal Indent"/>
    <w:basedOn w:val="Normal"/>
    <w:rsid w:val="00FC360C"/>
    <w:pPr>
      <w:tabs>
        <w:tab w:val="clear" w:pos="567"/>
        <w:tab w:val="clear" w:pos="1134"/>
        <w:tab w:val="clear" w:pos="1701"/>
        <w:tab w:val="clear" w:pos="2268"/>
      </w:tabs>
      <w:spacing w:after="284" w:line="240" w:lineRule="auto"/>
      <w:ind w:left="284" w:hanging="284"/>
    </w:pPr>
    <w:rPr>
      <w:rFonts w:ascii="Times New Roman" w:hAnsi="Times New Roman"/>
      <w:sz w:val="20"/>
      <w:lang w:eastAsia="en-US"/>
    </w:rPr>
  </w:style>
  <w:style w:type="paragraph" w:customStyle="1" w:styleId="Formatvorlage1">
    <w:name w:val="Formatvorlage1"/>
    <w:basedOn w:val="Normal"/>
    <w:rsid w:val="00FC360C"/>
    <w:pPr>
      <w:tabs>
        <w:tab w:val="clear" w:pos="567"/>
        <w:tab w:val="clear" w:pos="1134"/>
        <w:tab w:val="clear" w:pos="1701"/>
        <w:tab w:val="clear" w:pos="2268"/>
      </w:tabs>
      <w:spacing w:after="0" w:line="240" w:lineRule="auto"/>
      <w:jc w:val="left"/>
    </w:pPr>
    <w:rPr>
      <w:rFonts w:ascii="Arial" w:hAnsi="Arial"/>
      <w:sz w:val="24"/>
      <w:szCs w:val="24"/>
      <w:lang w:val="de-DE" w:eastAsia="de-DE"/>
    </w:rPr>
  </w:style>
  <w:style w:type="paragraph" w:styleId="ListNumber2">
    <w:name w:val="List Number 2"/>
    <w:basedOn w:val="Normal"/>
    <w:rsid w:val="00FC360C"/>
    <w:pPr>
      <w:numPr>
        <w:numId w:val="14"/>
      </w:numPr>
      <w:tabs>
        <w:tab w:val="clear" w:pos="567"/>
        <w:tab w:val="clear" w:pos="1134"/>
        <w:tab w:val="clear" w:pos="1701"/>
        <w:tab w:val="clear" w:pos="2268"/>
        <w:tab w:val="left" w:pos="357"/>
      </w:tabs>
      <w:spacing w:after="0" w:line="280" w:lineRule="atLeast"/>
      <w:contextualSpacing/>
      <w:jc w:val="left"/>
    </w:pPr>
    <w:rPr>
      <w:rFonts w:ascii="Arial" w:hAnsi="Arial"/>
      <w:sz w:val="20"/>
    </w:rPr>
  </w:style>
  <w:style w:type="paragraph" w:styleId="List2">
    <w:name w:val="List 2"/>
    <w:basedOn w:val="Normal"/>
    <w:unhideWhenUsed/>
    <w:rsid w:val="00FC360C"/>
    <w:pPr>
      <w:tabs>
        <w:tab w:val="clear" w:pos="567"/>
        <w:tab w:val="clear" w:pos="1134"/>
        <w:tab w:val="clear" w:pos="1701"/>
        <w:tab w:val="clear" w:pos="2268"/>
      </w:tabs>
      <w:spacing w:line="240" w:lineRule="auto"/>
      <w:ind w:left="566" w:hanging="283"/>
      <w:jc w:val="left"/>
    </w:pPr>
    <w:rPr>
      <w:rFonts w:ascii="Times New Roman" w:hAnsi="Times New Roman"/>
      <w:sz w:val="20"/>
      <w:szCs w:val="22"/>
      <w:lang w:val="en-CA" w:eastAsia="en-US"/>
    </w:rPr>
  </w:style>
  <w:style w:type="paragraph" w:styleId="List3">
    <w:name w:val="List 3"/>
    <w:basedOn w:val="Normal"/>
    <w:unhideWhenUsed/>
    <w:rsid w:val="00FC360C"/>
    <w:pPr>
      <w:tabs>
        <w:tab w:val="clear" w:pos="567"/>
        <w:tab w:val="clear" w:pos="1134"/>
        <w:tab w:val="clear" w:pos="1701"/>
        <w:tab w:val="clear" w:pos="2268"/>
      </w:tabs>
      <w:spacing w:line="240" w:lineRule="auto"/>
      <w:ind w:left="849" w:hanging="283"/>
      <w:jc w:val="left"/>
    </w:pPr>
    <w:rPr>
      <w:rFonts w:ascii="Times New Roman" w:hAnsi="Times New Roman"/>
      <w:sz w:val="20"/>
      <w:szCs w:val="22"/>
      <w:lang w:val="en-CA" w:eastAsia="en-US"/>
    </w:rPr>
  </w:style>
  <w:style w:type="paragraph" w:styleId="DocumentMap">
    <w:name w:val="Document Map"/>
    <w:basedOn w:val="Normal"/>
    <w:link w:val="DocumentMapChar"/>
    <w:unhideWhenUsed/>
    <w:rsid w:val="00FC360C"/>
    <w:pPr>
      <w:tabs>
        <w:tab w:val="clear" w:pos="567"/>
        <w:tab w:val="clear" w:pos="1134"/>
        <w:tab w:val="clear" w:pos="1701"/>
        <w:tab w:val="clear" w:pos="2268"/>
      </w:tabs>
      <w:spacing w:line="240" w:lineRule="auto"/>
      <w:jc w:val="left"/>
    </w:pPr>
    <w:rPr>
      <w:rFonts w:ascii="Tahoma" w:hAnsi="Tahoma" w:cs="Tahoma"/>
      <w:sz w:val="16"/>
      <w:szCs w:val="16"/>
      <w:lang w:val="en-CA" w:eastAsia="en-US"/>
    </w:rPr>
  </w:style>
  <w:style w:type="character" w:customStyle="1" w:styleId="DocumentMapChar">
    <w:name w:val="Document Map Char"/>
    <w:basedOn w:val="DefaultParagraphFont"/>
    <w:link w:val="DocumentMap"/>
    <w:rsid w:val="00FC360C"/>
    <w:rPr>
      <w:rFonts w:ascii="Tahoma" w:eastAsia="Times New Roman" w:hAnsi="Tahoma" w:cs="Tahoma"/>
      <w:sz w:val="16"/>
      <w:szCs w:val="16"/>
      <w:lang w:val="en-CA"/>
    </w:rPr>
  </w:style>
  <w:style w:type="paragraph" w:customStyle="1" w:styleId="ZchnZchn1CharCharCarCar">
    <w:name w:val="Zchn Zchn1 Char Char Car Car"/>
    <w:basedOn w:val="Normal"/>
    <w:rsid w:val="00FC360C"/>
    <w:pPr>
      <w:tabs>
        <w:tab w:val="clear" w:pos="567"/>
        <w:tab w:val="clear" w:pos="1134"/>
        <w:tab w:val="clear" w:pos="1701"/>
        <w:tab w:val="clear" w:pos="2268"/>
      </w:tabs>
      <w:spacing w:after="160" w:line="240" w:lineRule="exact"/>
      <w:jc w:val="left"/>
    </w:pPr>
    <w:rPr>
      <w:rFonts w:ascii="Tahoma" w:hAnsi="Tahoma"/>
      <w:sz w:val="20"/>
      <w:lang w:val="en-US" w:eastAsia="en-US"/>
    </w:rPr>
  </w:style>
  <w:style w:type="paragraph" w:customStyle="1" w:styleId="Hheading2">
    <w:name w:val="Hheading 2"/>
    <w:next w:val="Normal"/>
    <w:rsid w:val="00FC360C"/>
    <w:pPr>
      <w:keepNext/>
      <w:spacing w:before="240" w:after="120" w:line="240" w:lineRule="auto"/>
    </w:pPr>
    <w:rPr>
      <w:rFonts w:ascii="Futura Md BT" w:eastAsia="Times New Roman" w:hAnsi="Futura Md BT" w:cs="Arial"/>
      <w:b/>
      <w:bCs/>
      <w:spacing w:val="10"/>
      <w:kern w:val="32"/>
      <w:sz w:val="20"/>
      <w:szCs w:val="20"/>
    </w:rPr>
  </w:style>
  <w:style w:type="paragraph" w:customStyle="1" w:styleId="Hheading3">
    <w:name w:val="Hheading 3"/>
    <w:next w:val="Normal"/>
    <w:rsid w:val="00FC360C"/>
    <w:pPr>
      <w:keepNext/>
      <w:spacing w:before="240" w:after="120" w:line="240" w:lineRule="auto"/>
    </w:pPr>
    <w:rPr>
      <w:rFonts w:ascii="Futura Md BT" w:eastAsia="Times New Roman" w:hAnsi="Futura Md BT" w:cs="Arial"/>
      <w:b/>
      <w:bCs/>
      <w:spacing w:val="6"/>
      <w:kern w:val="32"/>
      <w:sz w:val="18"/>
      <w:szCs w:val="18"/>
    </w:rPr>
  </w:style>
  <w:style w:type="paragraph" w:customStyle="1" w:styleId="IllustrationCaption">
    <w:name w:val="Illustration Caption"/>
    <w:basedOn w:val="Normal"/>
    <w:next w:val="Normal"/>
    <w:rsid w:val="00FC360C"/>
    <w:pPr>
      <w:keepLines/>
      <w:tabs>
        <w:tab w:val="clear" w:pos="567"/>
        <w:tab w:val="clear" w:pos="1134"/>
        <w:tab w:val="clear" w:pos="1701"/>
        <w:tab w:val="clear" w:pos="2268"/>
      </w:tabs>
      <w:spacing w:before="120" w:after="240" w:line="240" w:lineRule="auto"/>
    </w:pPr>
    <w:rPr>
      <w:rFonts w:ascii="Palatino Linotype" w:hAnsi="Palatino Linotype"/>
      <w:b/>
      <w:sz w:val="17"/>
      <w:szCs w:val="18"/>
      <w:lang w:eastAsia="en-US"/>
    </w:rPr>
  </w:style>
  <w:style w:type="paragraph" w:customStyle="1" w:styleId="Listenabsatz">
    <w:name w:val="Listenabsatz"/>
    <w:basedOn w:val="Normal"/>
    <w:qFormat/>
    <w:rsid w:val="00FC360C"/>
    <w:pPr>
      <w:tabs>
        <w:tab w:val="clear" w:pos="567"/>
        <w:tab w:val="clear" w:pos="1134"/>
        <w:tab w:val="clear" w:pos="1701"/>
        <w:tab w:val="clear" w:pos="2268"/>
      </w:tabs>
      <w:spacing w:line="240" w:lineRule="auto"/>
      <w:ind w:left="720"/>
      <w:contextualSpacing/>
      <w:jc w:val="left"/>
    </w:pPr>
    <w:rPr>
      <w:rFonts w:ascii="Times New Roman" w:eastAsia="Calibri" w:hAnsi="Times New Roman"/>
      <w:sz w:val="20"/>
      <w:szCs w:val="22"/>
      <w:lang w:val="de-DE" w:eastAsia="en-US"/>
    </w:rPr>
  </w:style>
  <w:style w:type="table" w:styleId="TableGrid">
    <w:name w:val="Table Grid"/>
    <w:basedOn w:val="TableNormal"/>
    <w:rsid w:val="00FC360C"/>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FC360C"/>
    <w:pPr>
      <w:tabs>
        <w:tab w:val="clear" w:pos="567"/>
        <w:tab w:val="clear" w:pos="1134"/>
        <w:tab w:val="clear" w:pos="1701"/>
        <w:tab w:val="clear" w:pos="2268"/>
        <w:tab w:val="left" w:pos="357"/>
      </w:tabs>
      <w:spacing w:after="0" w:line="280" w:lineRule="atLeast"/>
      <w:jc w:val="left"/>
    </w:pPr>
    <w:rPr>
      <w:rFonts w:ascii="Arial" w:hAnsi="Arial"/>
      <w:b/>
      <w:bCs/>
    </w:rPr>
  </w:style>
  <w:style w:type="character" w:customStyle="1" w:styleId="CommentSubjectChar">
    <w:name w:val="Comment Subject Char"/>
    <w:basedOn w:val="CommentTextChar"/>
    <w:link w:val="CommentSubject"/>
    <w:rsid w:val="00FC360C"/>
    <w:rPr>
      <w:rFonts w:ascii="Arial" w:eastAsia="Times New Roman" w:hAnsi="Arial" w:cs="Times New Roman"/>
      <w:b/>
      <w:bCs/>
      <w:sz w:val="20"/>
      <w:szCs w:val="20"/>
      <w:lang w:eastAsia="en-GB"/>
    </w:rPr>
  </w:style>
  <w:style w:type="paragraph" w:styleId="TOC4">
    <w:name w:val="toc 4"/>
    <w:basedOn w:val="Normal"/>
    <w:next w:val="Normal"/>
    <w:autoRedefine/>
    <w:uiPriority w:val="39"/>
    <w:unhideWhenUsed/>
    <w:rsid w:val="00FC360C"/>
    <w:pPr>
      <w:tabs>
        <w:tab w:val="clear" w:pos="567"/>
        <w:tab w:val="clear" w:pos="1134"/>
        <w:tab w:val="clear" w:pos="1701"/>
        <w:tab w:val="clear" w:pos="2268"/>
      </w:tabs>
      <w:spacing w:after="100"/>
      <w:ind w:left="660"/>
      <w:jc w:val="left"/>
    </w:pPr>
    <w:rPr>
      <w:szCs w:val="22"/>
    </w:rPr>
  </w:style>
  <w:style w:type="paragraph" w:styleId="TOC5">
    <w:name w:val="toc 5"/>
    <w:basedOn w:val="Normal"/>
    <w:next w:val="Normal"/>
    <w:autoRedefine/>
    <w:uiPriority w:val="39"/>
    <w:unhideWhenUsed/>
    <w:rsid w:val="00FC360C"/>
    <w:pPr>
      <w:tabs>
        <w:tab w:val="clear" w:pos="567"/>
        <w:tab w:val="clear" w:pos="1134"/>
        <w:tab w:val="clear" w:pos="1701"/>
        <w:tab w:val="clear" w:pos="2268"/>
      </w:tabs>
      <w:spacing w:after="100"/>
      <w:ind w:left="880"/>
      <w:jc w:val="left"/>
    </w:pPr>
    <w:rPr>
      <w:szCs w:val="22"/>
    </w:rPr>
  </w:style>
  <w:style w:type="paragraph" w:styleId="TOC6">
    <w:name w:val="toc 6"/>
    <w:basedOn w:val="Normal"/>
    <w:next w:val="Normal"/>
    <w:autoRedefine/>
    <w:uiPriority w:val="39"/>
    <w:unhideWhenUsed/>
    <w:rsid w:val="00FC360C"/>
    <w:pPr>
      <w:tabs>
        <w:tab w:val="clear" w:pos="567"/>
        <w:tab w:val="clear" w:pos="1134"/>
        <w:tab w:val="clear" w:pos="1701"/>
        <w:tab w:val="clear" w:pos="2268"/>
      </w:tabs>
      <w:spacing w:after="100"/>
      <w:ind w:left="1100"/>
      <w:jc w:val="left"/>
    </w:pPr>
    <w:rPr>
      <w:szCs w:val="22"/>
    </w:rPr>
  </w:style>
  <w:style w:type="paragraph" w:styleId="TOC7">
    <w:name w:val="toc 7"/>
    <w:basedOn w:val="Normal"/>
    <w:next w:val="Normal"/>
    <w:autoRedefine/>
    <w:uiPriority w:val="39"/>
    <w:unhideWhenUsed/>
    <w:rsid w:val="00FC360C"/>
    <w:pPr>
      <w:tabs>
        <w:tab w:val="clear" w:pos="567"/>
        <w:tab w:val="clear" w:pos="1134"/>
        <w:tab w:val="clear" w:pos="1701"/>
        <w:tab w:val="clear" w:pos="2268"/>
      </w:tabs>
      <w:spacing w:after="100"/>
      <w:ind w:left="1320"/>
      <w:jc w:val="left"/>
    </w:pPr>
    <w:rPr>
      <w:szCs w:val="22"/>
    </w:rPr>
  </w:style>
  <w:style w:type="paragraph" w:styleId="TOC8">
    <w:name w:val="toc 8"/>
    <w:basedOn w:val="Normal"/>
    <w:next w:val="Normal"/>
    <w:autoRedefine/>
    <w:uiPriority w:val="39"/>
    <w:unhideWhenUsed/>
    <w:rsid w:val="00FC360C"/>
    <w:pPr>
      <w:tabs>
        <w:tab w:val="clear" w:pos="567"/>
        <w:tab w:val="clear" w:pos="1134"/>
        <w:tab w:val="clear" w:pos="1701"/>
        <w:tab w:val="clear" w:pos="2268"/>
      </w:tabs>
      <w:spacing w:after="100"/>
      <w:ind w:left="1540"/>
      <w:jc w:val="left"/>
    </w:pPr>
    <w:rPr>
      <w:szCs w:val="22"/>
    </w:rPr>
  </w:style>
  <w:style w:type="paragraph" w:styleId="TOC9">
    <w:name w:val="toc 9"/>
    <w:basedOn w:val="Normal"/>
    <w:next w:val="Normal"/>
    <w:autoRedefine/>
    <w:uiPriority w:val="39"/>
    <w:unhideWhenUsed/>
    <w:rsid w:val="00FC360C"/>
    <w:pPr>
      <w:tabs>
        <w:tab w:val="clear" w:pos="567"/>
        <w:tab w:val="clear" w:pos="1134"/>
        <w:tab w:val="clear" w:pos="1701"/>
        <w:tab w:val="clear" w:pos="2268"/>
      </w:tabs>
      <w:spacing w:after="100"/>
      <w:ind w:left="1760"/>
      <w:jc w:val="left"/>
    </w:pPr>
    <w:rPr>
      <w:szCs w:val="22"/>
    </w:rPr>
  </w:style>
  <w:style w:type="paragraph" w:customStyle="1" w:styleId="Default">
    <w:name w:val="Default"/>
    <w:rsid w:val="00FC360C"/>
    <w:pPr>
      <w:autoSpaceDE w:val="0"/>
      <w:autoSpaceDN w:val="0"/>
      <w:adjustRightInd w:val="0"/>
      <w:spacing w:after="0" w:line="240" w:lineRule="auto"/>
    </w:pPr>
    <w:rPr>
      <w:rFonts w:ascii="Times New Roman" w:eastAsia="Times New Roman" w:hAnsi="Times New Roman" w:cs="Times New Roman"/>
      <w:color w:val="000000"/>
      <w:sz w:val="24"/>
      <w:szCs w:val="24"/>
      <w:lang w:val="da-DK" w:eastAsia="da-DK"/>
    </w:rPr>
  </w:style>
  <w:style w:type="character" w:styleId="SubtleEmphasis">
    <w:name w:val="Subtle Emphasis"/>
    <w:uiPriority w:val="65"/>
    <w:qFormat/>
    <w:rsid w:val="00FC360C"/>
    <w:rPr>
      <w:i/>
      <w:iCs/>
      <w:color w:val="404040"/>
    </w:rPr>
  </w:style>
  <w:style w:type="character" w:styleId="IntenseEmphasis">
    <w:name w:val="Intense Emphasis"/>
    <w:uiPriority w:val="66"/>
    <w:qFormat/>
    <w:rsid w:val="00FC360C"/>
    <w:rPr>
      <w:i/>
      <w:iCs/>
      <w:color w:val="5B9BD5"/>
    </w:rPr>
  </w:style>
  <w:style w:type="character" w:styleId="SubtleReference">
    <w:name w:val="Subtle Reference"/>
    <w:uiPriority w:val="67"/>
    <w:qFormat/>
    <w:rsid w:val="00FC360C"/>
    <w:rPr>
      <w:smallCaps/>
      <w:color w:val="5A5A5A"/>
    </w:rPr>
  </w:style>
  <w:style w:type="character" w:styleId="IntenseReference">
    <w:name w:val="Intense Reference"/>
    <w:uiPriority w:val="68"/>
    <w:qFormat/>
    <w:rsid w:val="00FC360C"/>
    <w:rPr>
      <w:b/>
      <w:bCs/>
      <w:smallCaps/>
      <w:color w:val="5B9BD5"/>
      <w:spacing w:val="5"/>
    </w:rPr>
  </w:style>
  <w:style w:type="character" w:styleId="Emphasis">
    <w:name w:val="Emphasis"/>
    <w:qFormat/>
    <w:rsid w:val="00FC36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shbase.org/search.php" TargetMode="External"/><Relationship Id="rId18" Type="http://schemas.openxmlformats.org/officeDocument/2006/relationships/hyperlink" Target="http://www.fishbase.org/Reproduction/SpawningList.php?ID=1341&amp;GenusName=Platichthys&amp;SpeciesName=flesus&amp;fc=440&amp;StockCode=1359" TargetMode="External"/><Relationship Id="rId26" Type="http://schemas.openxmlformats.org/officeDocument/2006/relationships/image" Target="media/image3.png"/><Relationship Id="rId39" Type="http://schemas.openxmlformats.org/officeDocument/2006/relationships/image" Target="media/image12.wmf"/><Relationship Id="rId21" Type="http://schemas.openxmlformats.org/officeDocument/2006/relationships/hyperlink" Target="http://www.fishbase.org/Reproduction/SpawningList.php?ID=30&amp;GenusName=Merluccius&amp;SpeciesName=merluccius&amp;fc=184&amp;StockCode=40" TargetMode="External"/><Relationship Id="rId34" Type="http://schemas.openxmlformats.org/officeDocument/2006/relationships/oleObject" Target="embeddings/Microsoft_PowerPoint_97-2003_Presentation1.ppt"/><Relationship Id="rId42" Type="http://schemas.openxmlformats.org/officeDocument/2006/relationships/oleObject" Target="embeddings/Microsoft_PowerPoint_97-2003_Presentation5.ppt"/><Relationship Id="rId47" Type="http://schemas.openxmlformats.org/officeDocument/2006/relationships/hyperlink" Target="http://www.quasimeme.org/" TargetMode="External"/><Relationship Id="rId50" Type="http://schemas.openxmlformats.org/officeDocument/2006/relationships/hyperlink" Target="http://web5.silverplatter.com/webspirs/doLS.ws?ss=Van-den-Berg-M+in+AU" TargetMode="External"/><Relationship Id="rId55" Type="http://schemas.openxmlformats.org/officeDocument/2006/relationships/hyperlink" Target="http://web5.silverplatter.com/webspirs/doLS.ws?ss=Feeley-M+in+AU" TargetMode="External"/><Relationship Id="rId63" Type="http://schemas.openxmlformats.org/officeDocument/2006/relationships/hyperlink" Target="http://web5.silverplatter.com/webspirs/doLS.ws?ss=Tohyama-C+in+AU" TargetMode="External"/><Relationship Id="rId68" Type="http://schemas.openxmlformats.org/officeDocument/2006/relationships/hyperlink" Target="http://web5.silverplatter.com/webspirs/doLS.ws?ss=Peterson-RE+in+A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fishbase.org/Reproduction/SpawningList.php?ID=695&amp;GenusName=Limanda&amp;SpeciesName=limanda&amp;fc=440&amp;StockCode=711"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ices.dk/indexfla.asp" TargetMode="External"/><Relationship Id="rId32" Type="http://schemas.openxmlformats.org/officeDocument/2006/relationships/hyperlink" Target="http://www.nordicinnovation.net/nordtestfiler/tec499.pdf" TargetMode="External"/><Relationship Id="rId37" Type="http://schemas.openxmlformats.org/officeDocument/2006/relationships/image" Target="media/image11.wmf"/><Relationship Id="rId40" Type="http://schemas.openxmlformats.org/officeDocument/2006/relationships/oleObject" Target="embeddings/Microsoft_PowerPoint_97-2003_Presentation4.ppt"/><Relationship Id="rId45" Type="http://schemas.openxmlformats.org/officeDocument/2006/relationships/image" Target="media/image16.wmf"/><Relationship Id="rId53" Type="http://schemas.openxmlformats.org/officeDocument/2006/relationships/hyperlink" Target="http://web5.silverplatter.com/webspirs/doLS.ws?ss=De-Vito-M+in+AU" TargetMode="External"/><Relationship Id="rId58" Type="http://schemas.openxmlformats.org/officeDocument/2006/relationships/hyperlink" Target="http://web5.silverplatter.com/webspirs/doLS.ws?ss=Hanberg-A+in+AU" TargetMode="External"/><Relationship Id="rId66" Type="http://schemas.openxmlformats.org/officeDocument/2006/relationships/hyperlink" Target="http://web5.silverplatter.com/webspirs/doLS.ws?ss=Tysklind-M+in+AU" TargetMode="External"/><Relationship Id="rId5" Type="http://schemas.openxmlformats.org/officeDocument/2006/relationships/settings" Target="settings.xml"/><Relationship Id="rId15" Type="http://schemas.openxmlformats.org/officeDocument/2006/relationships/hyperlink" Target="http://www.fao.org/fishery/culturedspecies/Crassostrea_gigas/en" TargetMode="External"/><Relationship Id="rId23" Type="http://schemas.openxmlformats.org/officeDocument/2006/relationships/hyperlink" Target="http://eur-lex.europa.eu/LexUriServ/LexUriServ.do?uri=OJ:L:2008:164:0019:0040:EN:PDF" TargetMode="External"/><Relationship Id="rId28" Type="http://schemas.openxmlformats.org/officeDocument/2006/relationships/image" Target="media/image5.png"/><Relationship Id="rId36" Type="http://schemas.openxmlformats.org/officeDocument/2006/relationships/oleObject" Target="embeddings/Microsoft_PowerPoint_97-2003_Presentation2.ppt"/><Relationship Id="rId49" Type="http://schemas.openxmlformats.org/officeDocument/2006/relationships/image" Target="media/image19.png"/><Relationship Id="rId57" Type="http://schemas.openxmlformats.org/officeDocument/2006/relationships/hyperlink" Target="http://web5.silverplatter.com/webspirs/doLS.ws?ss=Hakansson-H+in+AU" TargetMode="External"/><Relationship Id="rId61" Type="http://schemas.openxmlformats.org/officeDocument/2006/relationships/hyperlink" Target="http://web5.silverplatter.com/webspirs/doLS.ws?ss=Safe-S+in+AU" TargetMode="External"/><Relationship Id="rId10" Type="http://schemas.openxmlformats.org/officeDocument/2006/relationships/footer" Target="footer1.xml"/><Relationship Id="rId19" Type="http://schemas.openxmlformats.org/officeDocument/2006/relationships/hyperlink" Target="http://www.fishbase.org/Reproduction/SpawningList.php?ID=69&amp;GenusName=Gadus&amp;SpeciesName=morhua&amp;fc=183&amp;StockCode=79" TargetMode="External"/><Relationship Id="rId31" Type="http://schemas.openxmlformats.org/officeDocument/2006/relationships/image" Target="media/image8.png"/><Relationship Id="rId44" Type="http://schemas.openxmlformats.org/officeDocument/2006/relationships/image" Target="media/image15.wmf"/><Relationship Id="rId52" Type="http://schemas.openxmlformats.org/officeDocument/2006/relationships/hyperlink" Target="http://web5.silverplatter.com/webspirs/doLS.ws?ss=Denison-M+in+AU" TargetMode="External"/><Relationship Id="rId60" Type="http://schemas.openxmlformats.org/officeDocument/2006/relationships/hyperlink" Target="http://web5.silverplatter.com/webspirs/doLS.ws?ss=Rose-M+in+AU" TargetMode="External"/><Relationship Id="rId65" Type="http://schemas.openxmlformats.org/officeDocument/2006/relationships/hyperlink" Target="http://web5.silverplatter.com/webspirs/doLS.ws?ss=Tuomisto-J+in+AU" TargetMode="External"/><Relationship Id="rId73"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ukmarinesac.org.uk/communities/biogenic-reefs/br4_4.htm" TargetMode="External"/><Relationship Id="rId22" Type="http://schemas.openxmlformats.org/officeDocument/2006/relationships/hyperlink" Target="http://eur-lex.europa.eu/LexUriServ/LexUriServ.do?uri=OJ:L:2000:327:0001:0072:EN:PDF"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image" Target="media/image18.wmf"/><Relationship Id="rId56" Type="http://schemas.openxmlformats.org/officeDocument/2006/relationships/hyperlink" Target="http://web5.silverplatter.com/webspirs/doLS.ws?ss=Fiedler-H+in+AU" TargetMode="External"/><Relationship Id="rId64" Type="http://schemas.openxmlformats.org/officeDocument/2006/relationships/hyperlink" Target="http://web5.silverplatter.com/webspirs/doLS.ws?ss=Tritscher-A+in+AU"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eb5.silverplatter.com/webspirs/doLS.ws?ss=Birnbaum-LS+in+AU"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fishbase.org/Reproduction/SpawningList.php?ID=1342&amp;GenusName=Pleuronectes&amp;SpeciesName=platessa&amp;fc=440&amp;StockCode=1360" TargetMode="External"/><Relationship Id="rId25" Type="http://schemas.openxmlformats.org/officeDocument/2006/relationships/image" Target="media/image2.png"/><Relationship Id="rId33" Type="http://schemas.openxmlformats.org/officeDocument/2006/relationships/image" Target="media/image9.wmf"/><Relationship Id="rId38" Type="http://schemas.openxmlformats.org/officeDocument/2006/relationships/oleObject" Target="embeddings/Microsoft_PowerPoint_97-2003_Presentation3.ppt"/><Relationship Id="rId46" Type="http://schemas.openxmlformats.org/officeDocument/2006/relationships/image" Target="media/image17.wmf"/><Relationship Id="rId59" Type="http://schemas.openxmlformats.org/officeDocument/2006/relationships/hyperlink" Target="http://web5.silverplatter.com/webspirs/doLS.ws?ss=Haws-L+in+AU" TargetMode="External"/><Relationship Id="rId67" Type="http://schemas.openxmlformats.org/officeDocument/2006/relationships/hyperlink" Target="http://web5.silverplatter.com/webspirs/doLS.ws?ss=Walker-N+in+AU" TargetMode="External"/><Relationship Id="rId20" Type="http://schemas.openxmlformats.org/officeDocument/2006/relationships/hyperlink" Target="http://www.fishbase.org/Reproduction/SpawningList.php?ID=29&amp;GenusName=Merlangius&amp;SpeciesName=merlangus&amp;fc=183&amp;StockCode=39" TargetMode="External"/><Relationship Id="rId41" Type="http://schemas.openxmlformats.org/officeDocument/2006/relationships/image" Target="media/image13.wmf"/><Relationship Id="rId54" Type="http://schemas.openxmlformats.org/officeDocument/2006/relationships/hyperlink" Target="http://web5.silverplatter.com/webspirs/doLS.ws?ss=Farland-W+in+AU" TargetMode="External"/><Relationship Id="rId62" Type="http://schemas.openxmlformats.org/officeDocument/2006/relationships/hyperlink" Target="http://web5.silverplatter.com/webspirs/doLS.ws?ss=Schrenk-D+in+AU"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fishbase.org/Reproduction/SpawningList.php?ID=69&amp;GenusName=Gadus&amp;SpeciesName=morhua&amp;fc=183&amp;StockCode=79" TargetMode="External"/><Relationship Id="rId1" Type="http://schemas.openxmlformats.org/officeDocument/2006/relationships/hyperlink" Target="http://www.fishbas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FDB5E-1D64-43E3-B332-530E2F611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126</Pages>
  <Words>53751</Words>
  <Characters>306387</Characters>
  <Application>Microsoft Office Word</Application>
  <DocSecurity>0</DocSecurity>
  <Lines>2553</Lines>
  <Paragraphs>718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359420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Foden</dc:creator>
  <cp:lastModifiedBy>Barbara Middleton</cp:lastModifiedBy>
  <cp:revision>5</cp:revision>
  <dcterms:created xsi:type="dcterms:W3CDTF">2018-07-27T12:55:00Z</dcterms:created>
  <dcterms:modified xsi:type="dcterms:W3CDTF">2018-08-20T09:38:00Z</dcterms:modified>
</cp:coreProperties>
</file>