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0B" w:rsidRDefault="0004770B" w:rsidP="0004770B">
      <w:pPr>
        <w:pStyle w:val="Title"/>
        <w:jc w:val="right"/>
      </w:pPr>
      <w:bookmarkStart w:id="0" w:name="_Toc65047572"/>
      <w:bookmarkStart w:id="1" w:name="_Toc65047913"/>
      <w:r>
        <w:rPr>
          <w:noProof/>
        </w:rPr>
        <w:drawing>
          <wp:inline distT="0" distB="0" distL="0" distR="0" wp14:anchorId="67A6C06D">
            <wp:extent cx="23812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pic:spPr>
                </pic:pic>
              </a:graphicData>
            </a:graphic>
          </wp:inline>
        </w:drawing>
      </w:r>
    </w:p>
    <w:p w:rsidR="00B27AB4" w:rsidRPr="00474235" w:rsidRDefault="003F4FE1" w:rsidP="00552FB8">
      <w:pPr>
        <w:pStyle w:val="Title"/>
      </w:pPr>
      <w:r w:rsidRPr="00474235">
        <w:t>Agreement on contaminants’ criteria and methods for the Intermediate Assessment 2017</w:t>
      </w:r>
      <w:bookmarkEnd w:id="0"/>
      <w:bookmarkEnd w:id="1"/>
    </w:p>
    <w:p w:rsidR="0004770B" w:rsidRDefault="0004770B" w:rsidP="00552FB8">
      <w:pPr>
        <w:pStyle w:val="Heading1"/>
        <w:rPr>
          <w:rFonts w:ascii="Calibri" w:hAnsi="Calibri"/>
        </w:rPr>
      </w:pPr>
      <w:bookmarkStart w:id="2" w:name="_Toc486935797"/>
      <w:r>
        <w:rPr>
          <w:rFonts w:ascii="Calibri" w:hAnsi="Calibri"/>
        </w:rPr>
        <w:t>(OSPAR Agreement 2017-01)</w:t>
      </w:r>
      <w:r>
        <w:rPr>
          <w:rStyle w:val="FootnoteReference"/>
          <w:rFonts w:ascii="Calibri" w:hAnsi="Calibri"/>
        </w:rPr>
        <w:footnoteReference w:id="1"/>
      </w:r>
    </w:p>
    <w:p w:rsidR="005E10D0" w:rsidRPr="00474235" w:rsidRDefault="00303DD1" w:rsidP="00552FB8">
      <w:pPr>
        <w:pStyle w:val="Heading1"/>
        <w:rPr>
          <w:rFonts w:ascii="Calibri" w:hAnsi="Calibri"/>
        </w:rPr>
      </w:pPr>
      <w:r w:rsidRPr="00474235">
        <w:rPr>
          <w:rFonts w:ascii="Calibri" w:hAnsi="Calibri"/>
        </w:rPr>
        <w:t>Contents</w:t>
      </w:r>
      <w:bookmarkEnd w:id="2"/>
    </w:p>
    <w:p w:rsidR="00FE159C" w:rsidRPr="00474235" w:rsidRDefault="005E10D0">
      <w:pPr>
        <w:pStyle w:val="TOC1"/>
        <w:rPr>
          <w:rFonts w:asciiTheme="minorHAnsi" w:hAnsiTheme="minorHAnsi"/>
          <w:szCs w:val="22"/>
          <w:lang w:val="en-GB" w:eastAsia="en-GB"/>
        </w:rPr>
      </w:pPr>
      <w:r w:rsidRPr="00474235">
        <w:rPr>
          <w:lang w:val="en-GB"/>
        </w:rPr>
        <w:fldChar w:fldCharType="begin"/>
      </w:r>
      <w:r w:rsidRPr="00474235">
        <w:rPr>
          <w:lang w:val="en-GB"/>
        </w:rPr>
        <w:instrText xml:space="preserve"> TOC \o "1-3" </w:instrText>
      </w:r>
      <w:r w:rsidRPr="00474235">
        <w:rPr>
          <w:lang w:val="en-GB"/>
        </w:rPr>
        <w:fldChar w:fldCharType="separate"/>
      </w:r>
      <w:r w:rsidR="00FE159C" w:rsidRPr="00474235">
        <w:rPr>
          <w:lang w:val="en-GB"/>
        </w:rPr>
        <w:t>Annex 1</w:t>
      </w:r>
      <w:r w:rsidR="00FE159C" w:rsidRPr="00474235">
        <w:rPr>
          <w:lang w:val="en-GB"/>
        </w:rPr>
        <w:tab/>
      </w:r>
      <w:r w:rsidR="00FE159C" w:rsidRPr="00474235">
        <w:rPr>
          <w:lang w:val="en-GB"/>
        </w:rPr>
        <w:fldChar w:fldCharType="begin"/>
      </w:r>
      <w:r w:rsidR="00FE159C" w:rsidRPr="00474235">
        <w:rPr>
          <w:lang w:val="en-GB"/>
        </w:rPr>
        <w:instrText xml:space="preserve"> PAGEREF _Toc486935796 \h </w:instrText>
      </w:r>
      <w:r w:rsidR="00FE159C" w:rsidRPr="00474235">
        <w:rPr>
          <w:lang w:val="en-GB"/>
        </w:rPr>
      </w:r>
      <w:r w:rsidR="00FE159C" w:rsidRPr="00474235">
        <w:rPr>
          <w:lang w:val="en-GB"/>
        </w:rPr>
        <w:fldChar w:fldCharType="separate"/>
      </w:r>
      <w:r w:rsidR="00FE159C" w:rsidRPr="00474235">
        <w:rPr>
          <w:lang w:val="en-GB"/>
        </w:rPr>
        <w:t>1</w:t>
      </w:r>
      <w:r w:rsidR="00FE159C"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Contents</w:t>
      </w:r>
      <w:r w:rsidRPr="00474235">
        <w:rPr>
          <w:lang w:val="en-GB"/>
        </w:rPr>
        <w:tab/>
      </w:r>
      <w:r w:rsidRPr="00474235">
        <w:rPr>
          <w:lang w:val="en-GB"/>
        </w:rPr>
        <w:fldChar w:fldCharType="begin"/>
      </w:r>
      <w:r w:rsidRPr="00474235">
        <w:rPr>
          <w:lang w:val="en-GB"/>
        </w:rPr>
        <w:instrText xml:space="preserve"> PAGEREF _Toc486935797 \h </w:instrText>
      </w:r>
      <w:r w:rsidRPr="00474235">
        <w:rPr>
          <w:lang w:val="en-GB"/>
        </w:rPr>
      </w:r>
      <w:r w:rsidRPr="00474235">
        <w:rPr>
          <w:lang w:val="en-GB"/>
        </w:rPr>
        <w:fldChar w:fldCharType="separate"/>
      </w:r>
      <w:r w:rsidRPr="00474235">
        <w:rPr>
          <w:lang w:val="en-GB"/>
        </w:rPr>
        <w:t>1</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Assessment methodology used in OSPAR assessment 2016</w:t>
      </w:r>
      <w:r w:rsidRPr="00474235">
        <w:rPr>
          <w:lang w:val="en-GB"/>
        </w:rPr>
        <w:tab/>
      </w:r>
      <w:r w:rsidRPr="00474235">
        <w:rPr>
          <w:lang w:val="en-GB"/>
        </w:rPr>
        <w:fldChar w:fldCharType="begin"/>
      </w:r>
      <w:r w:rsidRPr="00474235">
        <w:rPr>
          <w:lang w:val="en-GB"/>
        </w:rPr>
        <w:instrText xml:space="preserve"> PAGEREF _Toc486935798 \h </w:instrText>
      </w:r>
      <w:r w:rsidRPr="00474235">
        <w:rPr>
          <w:lang w:val="en-GB"/>
        </w:rPr>
      </w:r>
      <w:r w:rsidRPr="00474235">
        <w:rPr>
          <w:lang w:val="en-GB"/>
        </w:rPr>
        <w:fldChar w:fldCharType="separate"/>
      </w:r>
      <w:r w:rsidRPr="00474235">
        <w:rPr>
          <w:lang w:val="en-GB"/>
        </w:rPr>
        <w:t>3</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Assessment methodology for contaminants in biota</w:t>
      </w:r>
      <w:r w:rsidRPr="00474235">
        <w:rPr>
          <w:lang w:val="en-GB"/>
        </w:rPr>
        <w:tab/>
      </w:r>
      <w:r w:rsidRPr="00474235">
        <w:rPr>
          <w:lang w:val="en-GB"/>
        </w:rPr>
        <w:fldChar w:fldCharType="begin"/>
      </w:r>
      <w:r w:rsidRPr="00474235">
        <w:rPr>
          <w:lang w:val="en-GB"/>
        </w:rPr>
        <w:instrText xml:space="preserve"> PAGEREF _Toc486935799 \h </w:instrText>
      </w:r>
      <w:r w:rsidRPr="00474235">
        <w:rPr>
          <w:lang w:val="en-GB"/>
        </w:rPr>
      </w:r>
      <w:r w:rsidRPr="00474235">
        <w:rPr>
          <w:lang w:val="en-GB"/>
        </w:rPr>
        <w:fldChar w:fldCharType="separate"/>
      </w:r>
      <w:r w:rsidRPr="00474235">
        <w:rPr>
          <w:lang w:val="en-GB"/>
        </w:rPr>
        <w:t>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Overview for status assessments</w:t>
      </w:r>
      <w:r w:rsidRPr="00474235">
        <w:rPr>
          <w:lang w:val="en-GB"/>
        </w:rPr>
        <w:tab/>
      </w:r>
      <w:r w:rsidRPr="00474235">
        <w:rPr>
          <w:lang w:val="en-GB"/>
        </w:rPr>
        <w:fldChar w:fldCharType="begin"/>
      </w:r>
      <w:r w:rsidRPr="00474235">
        <w:rPr>
          <w:lang w:val="en-GB"/>
        </w:rPr>
        <w:instrText xml:space="preserve"> PAGEREF _Toc486935800 \h </w:instrText>
      </w:r>
      <w:r w:rsidRPr="00474235">
        <w:rPr>
          <w:lang w:val="en-GB"/>
        </w:rPr>
      </w:r>
      <w:r w:rsidRPr="00474235">
        <w:rPr>
          <w:lang w:val="en-GB"/>
        </w:rPr>
        <w:fldChar w:fldCharType="separate"/>
      </w:r>
      <w:r w:rsidRPr="00474235">
        <w:rPr>
          <w:lang w:val="en-GB"/>
        </w:rPr>
        <w:t>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Overview for time series</w:t>
      </w:r>
      <w:r w:rsidRPr="00474235">
        <w:rPr>
          <w:lang w:val="en-GB"/>
        </w:rPr>
        <w:tab/>
      </w:r>
      <w:r w:rsidRPr="00474235">
        <w:rPr>
          <w:lang w:val="en-GB"/>
        </w:rPr>
        <w:fldChar w:fldCharType="begin"/>
      </w:r>
      <w:r w:rsidRPr="00474235">
        <w:rPr>
          <w:lang w:val="en-GB"/>
        </w:rPr>
        <w:instrText xml:space="preserve"> PAGEREF _Toc486935801 \h </w:instrText>
      </w:r>
      <w:r w:rsidRPr="00474235">
        <w:rPr>
          <w:lang w:val="en-GB"/>
        </w:rPr>
      </w:r>
      <w:r w:rsidRPr="00474235">
        <w:rPr>
          <w:lang w:val="en-GB"/>
        </w:rPr>
        <w:fldChar w:fldCharType="separate"/>
      </w:r>
      <w:r w:rsidRPr="00474235">
        <w:rPr>
          <w:lang w:val="en-GB"/>
        </w:rPr>
        <w:t>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Modelling changes in log concentration over time</w:t>
      </w:r>
      <w:r w:rsidRPr="00474235">
        <w:rPr>
          <w:lang w:val="en-GB"/>
        </w:rPr>
        <w:tab/>
      </w:r>
      <w:r w:rsidRPr="00474235">
        <w:rPr>
          <w:lang w:val="en-GB"/>
        </w:rPr>
        <w:fldChar w:fldCharType="begin"/>
      </w:r>
      <w:r w:rsidRPr="00474235">
        <w:rPr>
          <w:lang w:val="en-GB"/>
        </w:rPr>
        <w:instrText xml:space="preserve"> PAGEREF _Toc486935802 \h </w:instrText>
      </w:r>
      <w:r w:rsidRPr="00474235">
        <w:rPr>
          <w:lang w:val="en-GB"/>
        </w:rPr>
      </w:r>
      <w:r w:rsidRPr="00474235">
        <w:rPr>
          <w:lang w:val="en-GB"/>
        </w:rPr>
        <w:fldChar w:fldCharType="separate"/>
      </w:r>
      <w:r w:rsidRPr="00474235">
        <w:rPr>
          <w:lang w:val="en-GB"/>
        </w:rPr>
        <w:t>4</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Assessing environmental status and temporal trends</w:t>
      </w:r>
      <w:r w:rsidRPr="00474235">
        <w:rPr>
          <w:lang w:val="en-GB"/>
        </w:rPr>
        <w:tab/>
      </w:r>
      <w:r w:rsidRPr="00474235">
        <w:rPr>
          <w:lang w:val="en-GB"/>
        </w:rPr>
        <w:fldChar w:fldCharType="begin"/>
      </w:r>
      <w:r w:rsidRPr="00474235">
        <w:rPr>
          <w:lang w:val="en-GB"/>
        </w:rPr>
        <w:instrText xml:space="preserve"> PAGEREF _Toc486935803 \h </w:instrText>
      </w:r>
      <w:r w:rsidRPr="00474235">
        <w:rPr>
          <w:lang w:val="en-GB"/>
        </w:rPr>
      </w:r>
      <w:r w:rsidRPr="00474235">
        <w:rPr>
          <w:lang w:val="en-GB"/>
        </w:rPr>
        <w:fldChar w:fldCharType="separate"/>
      </w:r>
      <w:r w:rsidRPr="00474235">
        <w:rPr>
          <w:lang w:val="en-GB"/>
        </w:rPr>
        <w:t>6</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Metals in biota</w:t>
      </w:r>
      <w:r w:rsidRPr="00474235">
        <w:rPr>
          <w:lang w:val="en-GB"/>
        </w:rPr>
        <w:tab/>
      </w:r>
      <w:r w:rsidRPr="00474235">
        <w:rPr>
          <w:lang w:val="en-GB"/>
        </w:rPr>
        <w:fldChar w:fldCharType="begin"/>
      </w:r>
      <w:r w:rsidRPr="00474235">
        <w:rPr>
          <w:lang w:val="en-GB"/>
        </w:rPr>
        <w:instrText xml:space="preserve"> PAGEREF _Toc486935804 \h </w:instrText>
      </w:r>
      <w:r w:rsidRPr="00474235">
        <w:rPr>
          <w:lang w:val="en-GB"/>
        </w:rPr>
      </w:r>
      <w:r w:rsidRPr="00474235">
        <w:rPr>
          <w:lang w:val="en-GB"/>
        </w:rPr>
        <w:fldChar w:fldCharType="separate"/>
      </w:r>
      <w:r w:rsidRPr="00474235">
        <w:rPr>
          <w:lang w:val="en-GB"/>
        </w:rPr>
        <w:t>7</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PAHs in biota</w:t>
      </w:r>
      <w:r w:rsidRPr="00474235">
        <w:rPr>
          <w:lang w:val="en-GB"/>
        </w:rPr>
        <w:tab/>
      </w:r>
      <w:r w:rsidRPr="00474235">
        <w:rPr>
          <w:lang w:val="en-GB"/>
        </w:rPr>
        <w:fldChar w:fldCharType="begin"/>
      </w:r>
      <w:r w:rsidRPr="00474235">
        <w:rPr>
          <w:lang w:val="en-GB"/>
        </w:rPr>
        <w:instrText xml:space="preserve"> PAGEREF _Toc486935805 \h </w:instrText>
      </w:r>
      <w:r w:rsidRPr="00474235">
        <w:rPr>
          <w:lang w:val="en-GB"/>
        </w:rPr>
      </w:r>
      <w:r w:rsidRPr="00474235">
        <w:rPr>
          <w:lang w:val="en-GB"/>
        </w:rPr>
        <w:fldChar w:fldCharType="separate"/>
      </w:r>
      <w:r w:rsidRPr="00474235">
        <w:rPr>
          <w:lang w:val="en-GB"/>
        </w:rPr>
        <w:t>8</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CBs in biota</w:t>
      </w:r>
      <w:r w:rsidRPr="00474235">
        <w:rPr>
          <w:lang w:val="en-GB"/>
        </w:rPr>
        <w:tab/>
      </w:r>
      <w:r w:rsidRPr="00474235">
        <w:rPr>
          <w:lang w:val="en-GB"/>
        </w:rPr>
        <w:fldChar w:fldCharType="begin"/>
      </w:r>
      <w:r w:rsidRPr="00474235">
        <w:rPr>
          <w:lang w:val="en-GB"/>
        </w:rPr>
        <w:instrText xml:space="preserve"> PAGEREF _Toc486935806 \h </w:instrText>
      </w:r>
      <w:r w:rsidRPr="00474235">
        <w:rPr>
          <w:lang w:val="en-GB"/>
        </w:rPr>
      </w:r>
      <w:r w:rsidRPr="00474235">
        <w:rPr>
          <w:lang w:val="en-GB"/>
        </w:rPr>
        <w:fldChar w:fldCharType="separate"/>
      </w:r>
      <w:r w:rsidRPr="00474235">
        <w:rPr>
          <w:lang w:val="en-GB"/>
        </w:rPr>
        <w:t>9</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Pesticides in biota</w:t>
      </w:r>
      <w:r w:rsidRPr="00474235">
        <w:rPr>
          <w:lang w:val="en-GB"/>
        </w:rPr>
        <w:tab/>
      </w:r>
      <w:r w:rsidRPr="00474235">
        <w:rPr>
          <w:lang w:val="en-GB"/>
        </w:rPr>
        <w:fldChar w:fldCharType="begin"/>
      </w:r>
      <w:r w:rsidRPr="00474235">
        <w:rPr>
          <w:lang w:val="en-GB"/>
        </w:rPr>
        <w:instrText xml:space="preserve"> PAGEREF _Toc486935807 \h </w:instrText>
      </w:r>
      <w:r w:rsidRPr="00474235">
        <w:rPr>
          <w:lang w:val="en-GB"/>
        </w:rPr>
      </w:r>
      <w:r w:rsidRPr="00474235">
        <w:rPr>
          <w:lang w:val="en-GB"/>
        </w:rPr>
        <w:fldChar w:fldCharType="separate"/>
      </w:r>
      <w:r w:rsidRPr="00474235">
        <w:rPr>
          <w:lang w:val="en-GB"/>
        </w:rPr>
        <w:t>10</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Organo-metals in biota</w:t>
      </w:r>
      <w:r w:rsidRPr="00474235">
        <w:rPr>
          <w:lang w:val="en-GB"/>
        </w:rPr>
        <w:tab/>
      </w:r>
      <w:r w:rsidRPr="00474235">
        <w:rPr>
          <w:lang w:val="en-GB"/>
        </w:rPr>
        <w:fldChar w:fldCharType="begin"/>
      </w:r>
      <w:r w:rsidRPr="00474235">
        <w:rPr>
          <w:lang w:val="en-GB"/>
        </w:rPr>
        <w:instrText xml:space="preserve"> PAGEREF _Toc486935808 \h </w:instrText>
      </w:r>
      <w:r w:rsidRPr="00474235">
        <w:rPr>
          <w:lang w:val="en-GB"/>
        </w:rPr>
      </w:r>
      <w:r w:rsidRPr="00474235">
        <w:rPr>
          <w:lang w:val="en-GB"/>
        </w:rPr>
        <w:fldChar w:fldCharType="separate"/>
      </w:r>
      <w:r w:rsidRPr="00474235">
        <w:rPr>
          <w:lang w:val="en-GB"/>
        </w:rPr>
        <w:t>11</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Organo-bromines in biota</w:t>
      </w:r>
      <w:r w:rsidRPr="00474235">
        <w:rPr>
          <w:lang w:val="en-GB"/>
        </w:rPr>
        <w:tab/>
      </w:r>
      <w:r w:rsidRPr="00474235">
        <w:rPr>
          <w:lang w:val="en-GB"/>
        </w:rPr>
        <w:fldChar w:fldCharType="begin"/>
      </w:r>
      <w:r w:rsidRPr="00474235">
        <w:rPr>
          <w:lang w:val="en-GB"/>
        </w:rPr>
        <w:instrText xml:space="preserve"> PAGEREF _Toc486935809 \h </w:instrText>
      </w:r>
      <w:r w:rsidRPr="00474235">
        <w:rPr>
          <w:lang w:val="en-GB"/>
        </w:rPr>
      </w:r>
      <w:r w:rsidRPr="00474235">
        <w:rPr>
          <w:lang w:val="en-GB"/>
        </w:rPr>
        <w:fldChar w:fldCharType="separate"/>
      </w:r>
      <w:r w:rsidRPr="00474235">
        <w:rPr>
          <w:lang w:val="en-GB"/>
        </w:rPr>
        <w:t>12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Dioxins and Furans in biota</w:t>
      </w:r>
      <w:r w:rsidRPr="00474235">
        <w:rPr>
          <w:lang w:val="en-GB"/>
        </w:rPr>
        <w:tab/>
      </w:r>
      <w:r w:rsidRPr="00474235">
        <w:rPr>
          <w:lang w:val="en-GB"/>
        </w:rPr>
        <w:fldChar w:fldCharType="begin"/>
      </w:r>
      <w:r w:rsidRPr="00474235">
        <w:rPr>
          <w:lang w:val="en-GB"/>
        </w:rPr>
        <w:instrText xml:space="preserve"> PAGEREF _Toc486935810 \h </w:instrText>
      </w:r>
      <w:r w:rsidRPr="00474235">
        <w:rPr>
          <w:lang w:val="en-GB"/>
        </w:rPr>
      </w:r>
      <w:r w:rsidRPr="00474235">
        <w:rPr>
          <w:lang w:val="en-GB"/>
        </w:rPr>
        <w:fldChar w:fldCharType="separate"/>
      </w:r>
      <w:r w:rsidRPr="00474235">
        <w:rPr>
          <w:lang w:val="en-GB"/>
        </w:rPr>
        <w:t>12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Persistent organic pollutants in biota</w:t>
      </w:r>
      <w:r w:rsidRPr="00474235">
        <w:rPr>
          <w:lang w:val="en-GB"/>
        </w:rPr>
        <w:tab/>
      </w:r>
      <w:r w:rsidRPr="00474235">
        <w:rPr>
          <w:lang w:val="en-GB"/>
        </w:rPr>
        <w:fldChar w:fldCharType="begin"/>
      </w:r>
      <w:r w:rsidRPr="00474235">
        <w:rPr>
          <w:lang w:val="en-GB"/>
        </w:rPr>
        <w:instrText xml:space="preserve"> PAGEREF _Toc486935811 \h </w:instrText>
      </w:r>
      <w:r w:rsidRPr="00474235">
        <w:rPr>
          <w:lang w:val="en-GB"/>
        </w:rPr>
      </w:r>
      <w:r w:rsidRPr="00474235">
        <w:rPr>
          <w:lang w:val="en-GB"/>
        </w:rPr>
        <w:fldChar w:fldCharType="separate"/>
      </w:r>
      <w:r w:rsidRPr="00474235">
        <w:rPr>
          <w:lang w:val="en-GB"/>
        </w:rPr>
        <w:t>12</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Assessment methodology for biological effects</w:t>
      </w:r>
      <w:r w:rsidRPr="00474235">
        <w:rPr>
          <w:lang w:val="en-GB"/>
        </w:rPr>
        <w:tab/>
      </w:r>
      <w:r w:rsidRPr="00474235">
        <w:rPr>
          <w:lang w:val="en-GB"/>
        </w:rPr>
        <w:fldChar w:fldCharType="begin"/>
      </w:r>
      <w:r w:rsidRPr="00474235">
        <w:rPr>
          <w:lang w:val="en-GB"/>
        </w:rPr>
        <w:instrText xml:space="preserve"> PAGEREF _Toc486935812 \h </w:instrText>
      </w:r>
      <w:r w:rsidRPr="00474235">
        <w:rPr>
          <w:lang w:val="en-GB"/>
        </w:rPr>
      </w:r>
      <w:r w:rsidRPr="00474235">
        <w:rPr>
          <w:lang w:val="en-GB"/>
        </w:rPr>
        <w:fldChar w:fldCharType="separate"/>
      </w:r>
      <w:r w:rsidRPr="00474235">
        <w:rPr>
          <w:lang w:val="en-GB"/>
        </w:rPr>
        <w:t>12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Biological effects</w:t>
      </w:r>
      <w:r w:rsidRPr="00474235">
        <w:rPr>
          <w:lang w:val="en-GB"/>
        </w:rPr>
        <w:tab/>
      </w:r>
      <w:r w:rsidRPr="00474235">
        <w:rPr>
          <w:lang w:val="en-GB"/>
        </w:rPr>
        <w:fldChar w:fldCharType="begin"/>
      </w:r>
      <w:r w:rsidRPr="00474235">
        <w:rPr>
          <w:lang w:val="en-GB"/>
        </w:rPr>
        <w:instrText xml:space="preserve"> PAGEREF _Toc486935813 \h </w:instrText>
      </w:r>
      <w:r w:rsidRPr="00474235">
        <w:rPr>
          <w:lang w:val="en-GB"/>
        </w:rPr>
      </w:r>
      <w:r w:rsidRPr="00474235">
        <w:rPr>
          <w:lang w:val="en-GB"/>
        </w:rPr>
        <w:fldChar w:fldCharType="separate"/>
      </w:r>
      <w:r w:rsidRPr="00474235">
        <w:rPr>
          <w:lang w:val="en-GB"/>
        </w:rPr>
        <w:t>13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EROD</w:t>
      </w:r>
      <w:r w:rsidRPr="00474235">
        <w:rPr>
          <w:lang w:val="en-GB"/>
        </w:rPr>
        <w:tab/>
      </w:r>
      <w:r w:rsidRPr="00474235">
        <w:rPr>
          <w:lang w:val="en-GB"/>
        </w:rPr>
        <w:fldChar w:fldCharType="begin"/>
      </w:r>
      <w:r w:rsidRPr="00474235">
        <w:rPr>
          <w:lang w:val="en-GB"/>
        </w:rPr>
        <w:instrText xml:space="preserve"> PAGEREF _Toc486935814 \h </w:instrText>
      </w:r>
      <w:r w:rsidRPr="00474235">
        <w:rPr>
          <w:lang w:val="en-GB"/>
        </w:rPr>
      </w:r>
      <w:r w:rsidRPr="00474235">
        <w:rPr>
          <w:lang w:val="en-GB"/>
        </w:rPr>
        <w:fldChar w:fldCharType="separate"/>
      </w:r>
      <w:r w:rsidRPr="00474235">
        <w:rPr>
          <w:lang w:val="en-GB"/>
        </w:rPr>
        <w:t>13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Bile metabolites</w:t>
      </w:r>
      <w:r w:rsidRPr="00474235">
        <w:rPr>
          <w:lang w:val="en-GB"/>
        </w:rPr>
        <w:tab/>
      </w:r>
      <w:r w:rsidRPr="00474235">
        <w:rPr>
          <w:lang w:val="en-GB"/>
        </w:rPr>
        <w:fldChar w:fldCharType="begin"/>
      </w:r>
      <w:r w:rsidRPr="00474235">
        <w:rPr>
          <w:lang w:val="en-GB"/>
        </w:rPr>
        <w:instrText xml:space="preserve"> PAGEREF _Toc486935815 \h </w:instrText>
      </w:r>
      <w:r w:rsidRPr="00474235">
        <w:rPr>
          <w:lang w:val="en-GB"/>
        </w:rPr>
      </w:r>
      <w:r w:rsidRPr="00474235">
        <w:rPr>
          <w:lang w:val="en-GB"/>
        </w:rPr>
        <w:fldChar w:fldCharType="separate"/>
      </w:r>
      <w:r w:rsidRPr="00474235">
        <w:rPr>
          <w:lang w:val="en-GB"/>
        </w:rPr>
        <w:t>14</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Scope for growth</w:t>
      </w:r>
      <w:r w:rsidRPr="00474235">
        <w:rPr>
          <w:lang w:val="en-GB"/>
        </w:rPr>
        <w:tab/>
      </w:r>
      <w:r w:rsidRPr="00474235">
        <w:rPr>
          <w:lang w:val="en-GB"/>
        </w:rPr>
        <w:fldChar w:fldCharType="begin"/>
      </w:r>
      <w:r w:rsidRPr="00474235">
        <w:rPr>
          <w:lang w:val="en-GB"/>
        </w:rPr>
        <w:instrText xml:space="preserve"> PAGEREF _Toc486935816 \h </w:instrText>
      </w:r>
      <w:r w:rsidRPr="00474235">
        <w:rPr>
          <w:lang w:val="en-GB"/>
        </w:rPr>
      </w:r>
      <w:r w:rsidRPr="00474235">
        <w:rPr>
          <w:lang w:val="en-GB"/>
        </w:rPr>
        <w:fldChar w:fldCharType="separate"/>
      </w:r>
      <w:r w:rsidRPr="00474235">
        <w:rPr>
          <w:lang w:val="en-GB"/>
        </w:rPr>
        <w:t>15</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Assessment methodology for imposex</w:t>
      </w:r>
      <w:r w:rsidRPr="00474235">
        <w:rPr>
          <w:lang w:val="en-GB"/>
        </w:rPr>
        <w:tab/>
      </w:r>
      <w:r w:rsidRPr="00474235">
        <w:rPr>
          <w:lang w:val="en-GB"/>
        </w:rPr>
        <w:fldChar w:fldCharType="begin"/>
      </w:r>
      <w:r w:rsidRPr="00474235">
        <w:rPr>
          <w:lang w:val="en-GB"/>
        </w:rPr>
        <w:instrText xml:space="preserve"> PAGEREF _Toc486935817 \h </w:instrText>
      </w:r>
      <w:r w:rsidRPr="00474235">
        <w:rPr>
          <w:lang w:val="en-GB"/>
        </w:rPr>
      </w:r>
      <w:r w:rsidRPr="00474235">
        <w:rPr>
          <w:lang w:val="en-GB"/>
        </w:rPr>
        <w:fldChar w:fldCharType="separate"/>
      </w:r>
      <w:r w:rsidRPr="00474235">
        <w:rPr>
          <w:lang w:val="en-GB"/>
        </w:rPr>
        <w:t>15</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Proportional odds model</w:t>
      </w:r>
      <w:r w:rsidRPr="00474235">
        <w:rPr>
          <w:lang w:val="en-GB"/>
        </w:rPr>
        <w:tab/>
      </w:r>
      <w:r w:rsidRPr="00474235">
        <w:rPr>
          <w:lang w:val="en-GB"/>
        </w:rPr>
        <w:fldChar w:fldCharType="begin"/>
      </w:r>
      <w:r w:rsidRPr="00474235">
        <w:rPr>
          <w:lang w:val="en-GB"/>
        </w:rPr>
        <w:instrText xml:space="preserve"> PAGEREF _Toc486935818 \h </w:instrText>
      </w:r>
      <w:r w:rsidRPr="00474235">
        <w:rPr>
          <w:lang w:val="en-GB"/>
        </w:rPr>
      </w:r>
      <w:r w:rsidRPr="00474235">
        <w:rPr>
          <w:lang w:val="en-GB"/>
        </w:rPr>
        <w:fldChar w:fldCharType="separate"/>
      </w:r>
      <w:r w:rsidRPr="00474235">
        <w:rPr>
          <w:lang w:val="en-GB"/>
        </w:rPr>
        <w:t>15</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lastRenderedPageBreak/>
        <w:t>Form of f(t)</w:t>
      </w:r>
      <w:r w:rsidRPr="00474235">
        <w:rPr>
          <w:lang w:val="en-GB"/>
        </w:rPr>
        <w:tab/>
      </w:r>
      <w:r w:rsidRPr="00474235">
        <w:rPr>
          <w:lang w:val="en-GB"/>
        </w:rPr>
        <w:fldChar w:fldCharType="begin"/>
      </w:r>
      <w:r w:rsidRPr="00474235">
        <w:rPr>
          <w:lang w:val="en-GB"/>
        </w:rPr>
        <w:instrText xml:space="preserve"> PAGEREF _Toc486935819 \h </w:instrText>
      </w:r>
      <w:r w:rsidRPr="00474235">
        <w:rPr>
          <w:lang w:val="en-GB"/>
        </w:rPr>
      </w:r>
      <w:r w:rsidRPr="00474235">
        <w:rPr>
          <w:lang w:val="en-GB"/>
        </w:rPr>
        <w:fldChar w:fldCharType="separate"/>
      </w:r>
      <w:r w:rsidRPr="00474235">
        <w:rPr>
          <w:lang w:val="en-GB"/>
        </w:rPr>
        <w:t>16</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Estimating the cut-points</w:t>
      </w:r>
      <w:r w:rsidRPr="00474235">
        <w:rPr>
          <w:lang w:val="en-GB"/>
        </w:rPr>
        <w:tab/>
      </w:r>
      <w:r w:rsidRPr="00474235">
        <w:rPr>
          <w:lang w:val="en-GB"/>
        </w:rPr>
        <w:fldChar w:fldCharType="begin"/>
      </w:r>
      <w:r w:rsidRPr="00474235">
        <w:rPr>
          <w:lang w:val="en-GB"/>
        </w:rPr>
        <w:instrText xml:space="preserve"> PAGEREF _Toc486935820 \h </w:instrText>
      </w:r>
      <w:r w:rsidRPr="00474235">
        <w:rPr>
          <w:lang w:val="en-GB"/>
        </w:rPr>
      </w:r>
      <w:r w:rsidRPr="00474235">
        <w:rPr>
          <w:lang w:val="en-GB"/>
        </w:rPr>
        <w:fldChar w:fldCharType="separate"/>
      </w:r>
      <w:r w:rsidRPr="00474235">
        <w:rPr>
          <w:lang w:val="en-GB"/>
        </w:rPr>
        <w:t>19</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Estimating the mean VDS class</w:t>
      </w:r>
      <w:r w:rsidRPr="00474235">
        <w:rPr>
          <w:lang w:val="en-GB"/>
        </w:rPr>
        <w:tab/>
      </w:r>
      <w:r w:rsidRPr="00474235">
        <w:rPr>
          <w:lang w:val="en-GB"/>
        </w:rPr>
        <w:fldChar w:fldCharType="begin"/>
      </w:r>
      <w:r w:rsidRPr="00474235">
        <w:rPr>
          <w:lang w:val="en-GB"/>
        </w:rPr>
        <w:instrText xml:space="preserve"> PAGEREF _Toc486935821 \h </w:instrText>
      </w:r>
      <w:r w:rsidRPr="00474235">
        <w:rPr>
          <w:lang w:val="en-GB"/>
        </w:rPr>
      </w:r>
      <w:r w:rsidRPr="00474235">
        <w:rPr>
          <w:lang w:val="en-GB"/>
        </w:rPr>
        <w:fldChar w:fldCharType="separate"/>
      </w:r>
      <w:r w:rsidRPr="00474235">
        <w:rPr>
          <w:lang w:val="en-GB"/>
        </w:rPr>
        <w:t>20</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Assessing environmental status and temporal trends</w:t>
      </w:r>
      <w:r w:rsidRPr="00474235">
        <w:rPr>
          <w:lang w:val="en-GB"/>
        </w:rPr>
        <w:tab/>
      </w:r>
      <w:r w:rsidRPr="00474235">
        <w:rPr>
          <w:lang w:val="en-GB"/>
        </w:rPr>
        <w:fldChar w:fldCharType="begin"/>
      </w:r>
      <w:r w:rsidRPr="00474235">
        <w:rPr>
          <w:lang w:val="en-GB"/>
        </w:rPr>
        <w:instrText xml:space="preserve"> PAGEREF _Toc486935822 \h </w:instrText>
      </w:r>
      <w:r w:rsidRPr="00474235">
        <w:rPr>
          <w:lang w:val="en-GB"/>
        </w:rPr>
      </w:r>
      <w:r w:rsidRPr="00474235">
        <w:rPr>
          <w:lang w:val="en-GB"/>
        </w:rPr>
        <w:fldChar w:fldCharType="separate"/>
      </w:r>
      <w:r w:rsidRPr="00474235">
        <w:rPr>
          <w:lang w:val="en-GB"/>
        </w:rPr>
        <w:t>20</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Imposex</w:t>
      </w:r>
      <w:r w:rsidRPr="00474235">
        <w:rPr>
          <w:lang w:val="en-GB"/>
        </w:rPr>
        <w:tab/>
      </w:r>
      <w:r w:rsidRPr="00474235">
        <w:rPr>
          <w:lang w:val="en-GB"/>
        </w:rPr>
        <w:fldChar w:fldCharType="begin"/>
      </w:r>
      <w:r w:rsidRPr="00474235">
        <w:rPr>
          <w:lang w:val="en-GB"/>
        </w:rPr>
        <w:instrText xml:space="preserve"> PAGEREF _Toc486935823 \h </w:instrText>
      </w:r>
      <w:r w:rsidRPr="00474235">
        <w:rPr>
          <w:lang w:val="en-GB"/>
        </w:rPr>
      </w:r>
      <w:r w:rsidRPr="00474235">
        <w:rPr>
          <w:lang w:val="en-GB"/>
        </w:rPr>
        <w:fldChar w:fldCharType="separate"/>
      </w:r>
      <w:r w:rsidRPr="00474235">
        <w:rPr>
          <w:lang w:val="en-GB"/>
        </w:rPr>
        <w:t>21</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Assessment methodology for contaminants in sediment</w:t>
      </w:r>
      <w:r w:rsidRPr="00474235">
        <w:rPr>
          <w:lang w:val="en-GB"/>
        </w:rPr>
        <w:tab/>
      </w:r>
      <w:r w:rsidRPr="00474235">
        <w:rPr>
          <w:lang w:val="en-GB"/>
        </w:rPr>
        <w:fldChar w:fldCharType="begin"/>
      </w:r>
      <w:r w:rsidRPr="00474235">
        <w:rPr>
          <w:lang w:val="en-GB"/>
        </w:rPr>
        <w:instrText xml:space="preserve"> PAGEREF _Toc486935824 \h </w:instrText>
      </w:r>
      <w:r w:rsidRPr="00474235">
        <w:rPr>
          <w:lang w:val="en-GB"/>
        </w:rPr>
      </w:r>
      <w:r w:rsidRPr="00474235">
        <w:rPr>
          <w:lang w:val="en-GB"/>
        </w:rPr>
        <w:fldChar w:fldCharType="separate"/>
      </w:r>
      <w:r w:rsidRPr="00474235">
        <w:rPr>
          <w:lang w:val="en-GB"/>
        </w:rPr>
        <w:t>22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Overview</w:t>
      </w:r>
      <w:r w:rsidRPr="00474235">
        <w:rPr>
          <w:lang w:val="en-GB"/>
        </w:rPr>
        <w:tab/>
      </w:r>
      <w:r w:rsidRPr="00474235">
        <w:rPr>
          <w:lang w:val="en-GB"/>
        </w:rPr>
        <w:fldChar w:fldCharType="begin"/>
      </w:r>
      <w:r w:rsidRPr="00474235">
        <w:rPr>
          <w:lang w:val="en-GB"/>
        </w:rPr>
        <w:instrText xml:space="preserve"> PAGEREF _Toc486935825 \h </w:instrText>
      </w:r>
      <w:r w:rsidRPr="00474235">
        <w:rPr>
          <w:lang w:val="en-GB"/>
        </w:rPr>
      </w:r>
      <w:r w:rsidRPr="00474235">
        <w:rPr>
          <w:lang w:val="en-GB"/>
        </w:rPr>
        <w:fldChar w:fldCharType="separate"/>
      </w:r>
      <w:r w:rsidRPr="00474235">
        <w:rPr>
          <w:lang w:val="en-GB"/>
        </w:rPr>
        <w:t>22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Normalisation</w:t>
      </w:r>
      <w:r w:rsidRPr="00474235">
        <w:rPr>
          <w:lang w:val="en-GB"/>
        </w:rPr>
        <w:tab/>
      </w:r>
      <w:r w:rsidRPr="00474235">
        <w:rPr>
          <w:lang w:val="en-GB"/>
        </w:rPr>
        <w:fldChar w:fldCharType="begin"/>
      </w:r>
      <w:r w:rsidRPr="00474235">
        <w:rPr>
          <w:lang w:val="en-GB"/>
        </w:rPr>
        <w:instrText xml:space="preserve"> PAGEREF _Toc486935826 \h </w:instrText>
      </w:r>
      <w:r w:rsidRPr="00474235">
        <w:rPr>
          <w:lang w:val="en-GB"/>
        </w:rPr>
      </w:r>
      <w:r w:rsidRPr="00474235">
        <w:rPr>
          <w:lang w:val="en-GB"/>
        </w:rPr>
        <w:fldChar w:fldCharType="separate"/>
      </w:r>
      <w:r w:rsidRPr="00474235">
        <w:rPr>
          <w:lang w:val="en-GB"/>
        </w:rPr>
        <w:t>22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Modelling changes in log concentration over time</w:t>
      </w:r>
      <w:r w:rsidRPr="00474235">
        <w:rPr>
          <w:lang w:val="en-GB"/>
        </w:rPr>
        <w:tab/>
      </w:r>
      <w:r w:rsidRPr="00474235">
        <w:rPr>
          <w:lang w:val="en-GB"/>
        </w:rPr>
        <w:fldChar w:fldCharType="begin"/>
      </w:r>
      <w:r w:rsidRPr="00474235">
        <w:rPr>
          <w:lang w:val="en-GB"/>
        </w:rPr>
        <w:instrText xml:space="preserve"> PAGEREF _Toc486935827 \h </w:instrText>
      </w:r>
      <w:r w:rsidRPr="00474235">
        <w:rPr>
          <w:lang w:val="en-GB"/>
        </w:rPr>
      </w:r>
      <w:r w:rsidRPr="00474235">
        <w:rPr>
          <w:lang w:val="en-GB"/>
        </w:rPr>
        <w:fldChar w:fldCharType="separate"/>
      </w:r>
      <w:r w:rsidRPr="00474235">
        <w:rPr>
          <w:lang w:val="en-GB"/>
        </w:rPr>
        <w:t>23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Assessing environmental status and temporal trends</w:t>
      </w:r>
      <w:r w:rsidRPr="00474235">
        <w:rPr>
          <w:lang w:val="en-GB"/>
        </w:rPr>
        <w:tab/>
      </w:r>
      <w:r w:rsidRPr="00474235">
        <w:rPr>
          <w:lang w:val="en-GB"/>
        </w:rPr>
        <w:fldChar w:fldCharType="begin"/>
      </w:r>
      <w:r w:rsidRPr="00474235">
        <w:rPr>
          <w:lang w:val="en-GB"/>
        </w:rPr>
        <w:instrText xml:space="preserve"> PAGEREF _Toc486935828 \h </w:instrText>
      </w:r>
      <w:r w:rsidRPr="00474235">
        <w:rPr>
          <w:lang w:val="en-GB"/>
        </w:rPr>
      </w:r>
      <w:r w:rsidRPr="00474235">
        <w:rPr>
          <w:lang w:val="en-GB"/>
        </w:rPr>
        <w:fldChar w:fldCharType="separate"/>
      </w:r>
      <w:r w:rsidRPr="00474235">
        <w:rPr>
          <w:lang w:val="en-GB"/>
        </w:rPr>
        <w:t>25</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Metals in sediment</w:t>
      </w:r>
      <w:r w:rsidRPr="00474235">
        <w:rPr>
          <w:lang w:val="en-GB"/>
        </w:rPr>
        <w:tab/>
      </w:r>
      <w:r w:rsidRPr="00474235">
        <w:rPr>
          <w:lang w:val="en-GB"/>
        </w:rPr>
        <w:fldChar w:fldCharType="begin"/>
      </w:r>
      <w:r w:rsidRPr="00474235">
        <w:rPr>
          <w:lang w:val="en-GB"/>
        </w:rPr>
        <w:instrText xml:space="preserve"> PAGEREF _Toc486935829 \h </w:instrText>
      </w:r>
      <w:r w:rsidRPr="00474235">
        <w:rPr>
          <w:lang w:val="en-GB"/>
        </w:rPr>
      </w:r>
      <w:r w:rsidRPr="00474235">
        <w:rPr>
          <w:lang w:val="en-GB"/>
        </w:rPr>
        <w:fldChar w:fldCharType="separate"/>
      </w:r>
      <w:r w:rsidRPr="00474235">
        <w:rPr>
          <w:lang w:val="en-GB"/>
        </w:rPr>
        <w:t>26</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PAHs in sediment</w:t>
      </w:r>
      <w:r w:rsidRPr="00474235">
        <w:rPr>
          <w:lang w:val="en-GB"/>
        </w:rPr>
        <w:tab/>
      </w:r>
      <w:r w:rsidRPr="00474235">
        <w:rPr>
          <w:lang w:val="en-GB"/>
        </w:rPr>
        <w:fldChar w:fldCharType="begin"/>
      </w:r>
      <w:r w:rsidRPr="00474235">
        <w:rPr>
          <w:lang w:val="en-GB"/>
        </w:rPr>
        <w:instrText xml:space="preserve"> PAGEREF _Toc486935830 \h </w:instrText>
      </w:r>
      <w:r w:rsidRPr="00474235">
        <w:rPr>
          <w:lang w:val="en-GB"/>
        </w:rPr>
      </w:r>
      <w:r w:rsidRPr="00474235">
        <w:rPr>
          <w:lang w:val="en-GB"/>
        </w:rPr>
        <w:fldChar w:fldCharType="separate"/>
      </w:r>
      <w:r w:rsidRPr="00474235">
        <w:rPr>
          <w:lang w:val="en-GB"/>
        </w:rPr>
        <w:t>28</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CBs in sediment</w:t>
      </w:r>
      <w:r w:rsidRPr="00474235">
        <w:rPr>
          <w:lang w:val="en-GB"/>
        </w:rPr>
        <w:tab/>
      </w:r>
      <w:r w:rsidRPr="00474235">
        <w:rPr>
          <w:lang w:val="en-GB"/>
        </w:rPr>
        <w:fldChar w:fldCharType="begin"/>
      </w:r>
      <w:r w:rsidRPr="00474235">
        <w:rPr>
          <w:lang w:val="en-GB"/>
        </w:rPr>
        <w:instrText xml:space="preserve"> PAGEREF _Toc486935831 \h </w:instrText>
      </w:r>
      <w:r w:rsidRPr="00474235">
        <w:rPr>
          <w:lang w:val="en-GB"/>
        </w:rPr>
      </w:r>
      <w:r w:rsidRPr="00474235">
        <w:rPr>
          <w:lang w:val="en-GB"/>
        </w:rPr>
        <w:fldChar w:fldCharType="separate"/>
      </w:r>
      <w:r w:rsidRPr="00474235">
        <w:rPr>
          <w:lang w:val="en-GB"/>
        </w:rPr>
        <w:t>29</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Organo-metals in sediment</w:t>
      </w:r>
      <w:r w:rsidRPr="00474235">
        <w:rPr>
          <w:lang w:val="en-GB"/>
        </w:rPr>
        <w:tab/>
      </w:r>
      <w:r w:rsidRPr="00474235">
        <w:rPr>
          <w:lang w:val="en-GB"/>
        </w:rPr>
        <w:fldChar w:fldCharType="begin"/>
      </w:r>
      <w:r w:rsidRPr="00474235">
        <w:rPr>
          <w:lang w:val="en-GB"/>
        </w:rPr>
        <w:instrText xml:space="preserve"> PAGEREF _Toc486935832 \h </w:instrText>
      </w:r>
      <w:r w:rsidRPr="00474235">
        <w:rPr>
          <w:lang w:val="en-GB"/>
        </w:rPr>
      </w:r>
      <w:r w:rsidRPr="00474235">
        <w:rPr>
          <w:lang w:val="en-GB"/>
        </w:rPr>
        <w:fldChar w:fldCharType="separate"/>
      </w:r>
      <w:r w:rsidRPr="00474235">
        <w:rPr>
          <w:lang w:val="en-GB"/>
        </w:rPr>
        <w:t>29</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 Organo-bromines in sediment</w:t>
      </w:r>
      <w:r w:rsidRPr="00474235">
        <w:rPr>
          <w:lang w:val="en-GB"/>
        </w:rPr>
        <w:tab/>
      </w:r>
      <w:r w:rsidRPr="00474235">
        <w:rPr>
          <w:lang w:val="en-GB"/>
        </w:rPr>
        <w:fldChar w:fldCharType="begin"/>
      </w:r>
      <w:r w:rsidRPr="00474235">
        <w:rPr>
          <w:lang w:val="en-GB"/>
        </w:rPr>
        <w:instrText xml:space="preserve"> PAGEREF _Toc486935833 \h </w:instrText>
      </w:r>
      <w:r w:rsidRPr="00474235">
        <w:rPr>
          <w:lang w:val="en-GB"/>
        </w:rPr>
      </w:r>
      <w:r w:rsidRPr="00474235">
        <w:rPr>
          <w:lang w:val="en-GB"/>
        </w:rPr>
        <w:fldChar w:fldCharType="separate"/>
      </w:r>
      <w:r w:rsidRPr="00474235">
        <w:rPr>
          <w:lang w:val="en-GB"/>
        </w:rPr>
        <w:t>30</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Appendix 1</w:t>
      </w:r>
      <w:r w:rsidRPr="00474235">
        <w:rPr>
          <w:lang w:val="en-GB"/>
        </w:rPr>
        <w:tab/>
      </w:r>
      <w:r w:rsidRPr="00474235">
        <w:rPr>
          <w:lang w:val="en-GB"/>
        </w:rPr>
        <w:fldChar w:fldCharType="begin"/>
      </w:r>
      <w:r w:rsidRPr="00474235">
        <w:rPr>
          <w:lang w:val="en-GB"/>
        </w:rPr>
        <w:instrText xml:space="preserve"> PAGEREF _Toc486935834 \h </w:instrText>
      </w:r>
      <w:r w:rsidRPr="00474235">
        <w:rPr>
          <w:lang w:val="en-GB"/>
        </w:rPr>
      </w:r>
      <w:r w:rsidRPr="00474235">
        <w:rPr>
          <w:lang w:val="en-GB"/>
        </w:rPr>
        <w:fldChar w:fldCharType="separate"/>
      </w:r>
      <w:r w:rsidRPr="00474235">
        <w:rPr>
          <w:lang w:val="en-GB"/>
        </w:rPr>
        <w:t>31</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Changes to the assessment methodolgy</w:t>
      </w:r>
      <w:r w:rsidRPr="00474235">
        <w:rPr>
          <w:lang w:val="en-GB"/>
        </w:rPr>
        <w:tab/>
      </w:r>
      <w:r w:rsidRPr="00474235">
        <w:rPr>
          <w:lang w:val="en-GB"/>
        </w:rPr>
        <w:fldChar w:fldCharType="begin"/>
      </w:r>
      <w:r w:rsidRPr="00474235">
        <w:rPr>
          <w:lang w:val="en-GB"/>
        </w:rPr>
        <w:instrText xml:space="preserve"> PAGEREF _Toc486935835 \h </w:instrText>
      </w:r>
      <w:r w:rsidRPr="00474235">
        <w:rPr>
          <w:lang w:val="en-GB"/>
        </w:rPr>
      </w:r>
      <w:r w:rsidRPr="00474235">
        <w:rPr>
          <w:lang w:val="en-GB"/>
        </w:rPr>
        <w:fldChar w:fldCharType="separate"/>
      </w:r>
      <w:r w:rsidRPr="00474235">
        <w:rPr>
          <w:lang w:val="en-GB"/>
        </w:rPr>
        <w:t>31</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2016 Assessment Modelling of contaminants and biological effects</w:t>
      </w:r>
      <w:r w:rsidRPr="00474235">
        <w:rPr>
          <w:lang w:val="en-GB"/>
        </w:rPr>
        <w:tab/>
      </w:r>
      <w:r w:rsidRPr="00474235">
        <w:rPr>
          <w:lang w:val="en-GB"/>
        </w:rPr>
        <w:fldChar w:fldCharType="begin"/>
      </w:r>
      <w:r w:rsidRPr="00474235">
        <w:rPr>
          <w:lang w:val="en-GB"/>
        </w:rPr>
        <w:instrText xml:space="preserve"> PAGEREF _Toc486935836 \h </w:instrText>
      </w:r>
      <w:r w:rsidRPr="00474235">
        <w:rPr>
          <w:lang w:val="en-GB"/>
        </w:rPr>
      </w:r>
      <w:r w:rsidRPr="00474235">
        <w:rPr>
          <w:lang w:val="en-GB"/>
        </w:rPr>
        <w:fldChar w:fldCharType="separate"/>
      </w:r>
      <w:r w:rsidRPr="00474235">
        <w:rPr>
          <w:lang w:val="en-GB"/>
        </w:rPr>
        <w:t>31</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2015 Assessment</w:t>
      </w:r>
      <w:r w:rsidRPr="00474235">
        <w:rPr>
          <w:lang w:val="en-GB"/>
        </w:rPr>
        <w:tab/>
      </w:r>
      <w:r w:rsidRPr="00474235">
        <w:rPr>
          <w:lang w:val="en-GB"/>
        </w:rPr>
        <w:fldChar w:fldCharType="begin"/>
      </w:r>
      <w:r w:rsidRPr="00474235">
        <w:rPr>
          <w:lang w:val="en-GB"/>
        </w:rPr>
        <w:instrText xml:space="preserve"> PAGEREF _Toc486935837 \h </w:instrText>
      </w:r>
      <w:r w:rsidRPr="00474235">
        <w:rPr>
          <w:lang w:val="en-GB"/>
        </w:rPr>
      </w:r>
      <w:r w:rsidRPr="00474235">
        <w:rPr>
          <w:lang w:val="en-GB"/>
        </w:rPr>
        <w:fldChar w:fldCharType="separate"/>
      </w:r>
      <w:r w:rsidRPr="00474235">
        <w:rPr>
          <w:lang w:val="en-GB"/>
        </w:rPr>
        <w:t>32</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Determinands</w:t>
      </w:r>
      <w:r w:rsidRPr="00474235">
        <w:rPr>
          <w:lang w:val="en-GB"/>
        </w:rPr>
        <w:tab/>
      </w:r>
      <w:r w:rsidRPr="00474235">
        <w:rPr>
          <w:lang w:val="en-GB"/>
        </w:rPr>
        <w:fldChar w:fldCharType="begin"/>
      </w:r>
      <w:r w:rsidRPr="00474235">
        <w:rPr>
          <w:lang w:val="en-GB"/>
        </w:rPr>
        <w:instrText xml:space="preserve"> PAGEREF _Toc486935838 \h </w:instrText>
      </w:r>
      <w:r w:rsidRPr="00474235">
        <w:rPr>
          <w:lang w:val="en-GB"/>
        </w:rPr>
      </w:r>
      <w:r w:rsidRPr="00474235">
        <w:rPr>
          <w:lang w:val="en-GB"/>
        </w:rPr>
        <w:fldChar w:fldCharType="separate"/>
      </w:r>
      <w:r w:rsidRPr="00474235">
        <w:rPr>
          <w:lang w:val="en-GB"/>
        </w:rPr>
        <w:t>33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Assessment criteria</w:t>
      </w:r>
      <w:r w:rsidRPr="00474235">
        <w:rPr>
          <w:lang w:val="en-GB"/>
        </w:rPr>
        <w:tab/>
      </w:r>
      <w:r w:rsidRPr="00474235">
        <w:rPr>
          <w:lang w:val="en-GB"/>
        </w:rPr>
        <w:fldChar w:fldCharType="begin"/>
      </w:r>
      <w:r w:rsidRPr="00474235">
        <w:rPr>
          <w:lang w:val="en-GB"/>
        </w:rPr>
        <w:instrText xml:space="preserve"> PAGEREF _Toc486935839 \h </w:instrText>
      </w:r>
      <w:r w:rsidRPr="00474235">
        <w:rPr>
          <w:lang w:val="en-GB"/>
        </w:rPr>
      </w:r>
      <w:r w:rsidRPr="00474235">
        <w:rPr>
          <w:lang w:val="en-GB"/>
        </w:rPr>
        <w:fldChar w:fldCharType="separate"/>
      </w:r>
      <w:r w:rsidRPr="00474235">
        <w:rPr>
          <w:lang w:val="en-GB"/>
        </w:rPr>
        <w:t>33</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Assessing status of imposex</w:t>
      </w:r>
      <w:r w:rsidRPr="00474235">
        <w:rPr>
          <w:lang w:val="en-GB"/>
        </w:rPr>
        <w:tab/>
      </w:r>
      <w:r w:rsidRPr="00474235">
        <w:rPr>
          <w:lang w:val="en-GB"/>
        </w:rPr>
        <w:fldChar w:fldCharType="begin"/>
      </w:r>
      <w:r w:rsidRPr="00474235">
        <w:rPr>
          <w:lang w:val="en-GB"/>
        </w:rPr>
        <w:instrText xml:space="preserve"> PAGEREF _Toc486935840 \h </w:instrText>
      </w:r>
      <w:r w:rsidRPr="00474235">
        <w:rPr>
          <w:lang w:val="en-GB"/>
        </w:rPr>
      </w:r>
      <w:r w:rsidRPr="00474235">
        <w:rPr>
          <w:lang w:val="en-GB"/>
        </w:rPr>
        <w:fldChar w:fldCharType="separate"/>
      </w:r>
      <w:r w:rsidRPr="00474235">
        <w:rPr>
          <w:lang w:val="en-GB"/>
        </w:rPr>
        <w:t>33</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Appendix 2</w:t>
      </w:r>
      <w:r w:rsidRPr="00474235">
        <w:rPr>
          <w:lang w:val="en-GB"/>
        </w:rPr>
        <w:tab/>
      </w:r>
      <w:r w:rsidRPr="00474235">
        <w:rPr>
          <w:lang w:val="en-GB"/>
        </w:rPr>
        <w:fldChar w:fldCharType="begin"/>
      </w:r>
      <w:r w:rsidRPr="00474235">
        <w:rPr>
          <w:lang w:val="en-GB"/>
        </w:rPr>
        <w:instrText xml:space="preserve"> PAGEREF _Toc486935841 \h </w:instrText>
      </w:r>
      <w:r w:rsidRPr="00474235">
        <w:rPr>
          <w:lang w:val="en-GB"/>
        </w:rPr>
      </w:r>
      <w:r w:rsidRPr="00474235">
        <w:rPr>
          <w:lang w:val="en-GB"/>
        </w:rPr>
        <w:fldChar w:fldCharType="separate"/>
      </w:r>
      <w:r w:rsidRPr="00474235">
        <w:rPr>
          <w:lang w:val="en-GB"/>
        </w:rPr>
        <w:t>34</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Factors for converting the basis of assessment concentrations in biota</w:t>
      </w:r>
      <w:r w:rsidRPr="00474235">
        <w:rPr>
          <w:lang w:val="en-GB"/>
        </w:rPr>
        <w:tab/>
      </w:r>
      <w:r w:rsidRPr="00474235">
        <w:rPr>
          <w:lang w:val="en-GB"/>
        </w:rPr>
        <w:fldChar w:fldCharType="begin"/>
      </w:r>
      <w:r w:rsidRPr="00474235">
        <w:rPr>
          <w:lang w:val="en-GB"/>
        </w:rPr>
        <w:instrText xml:space="preserve"> PAGEREF _Toc486935842 \h </w:instrText>
      </w:r>
      <w:r w:rsidRPr="00474235">
        <w:rPr>
          <w:lang w:val="en-GB"/>
        </w:rPr>
      </w:r>
      <w:r w:rsidRPr="00474235">
        <w:rPr>
          <w:lang w:val="en-GB"/>
        </w:rPr>
        <w:fldChar w:fldCharType="separate"/>
      </w:r>
      <w:r w:rsidRPr="00474235">
        <w:rPr>
          <w:lang w:val="en-GB"/>
        </w:rPr>
        <w:t>34</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Appendix 3</w:t>
      </w:r>
      <w:r w:rsidRPr="00474235">
        <w:rPr>
          <w:lang w:val="en-GB"/>
        </w:rPr>
        <w:tab/>
      </w:r>
      <w:r w:rsidRPr="00474235">
        <w:rPr>
          <w:lang w:val="en-GB"/>
        </w:rPr>
        <w:fldChar w:fldCharType="begin"/>
      </w:r>
      <w:r w:rsidRPr="00474235">
        <w:rPr>
          <w:lang w:val="en-GB"/>
        </w:rPr>
        <w:instrText xml:space="preserve"> PAGEREF _Toc486935843 \h </w:instrText>
      </w:r>
      <w:r w:rsidRPr="00474235">
        <w:rPr>
          <w:lang w:val="en-GB"/>
        </w:rPr>
      </w:r>
      <w:r w:rsidRPr="00474235">
        <w:rPr>
          <w:lang w:val="en-GB"/>
        </w:rPr>
        <w:fldChar w:fldCharType="separate"/>
      </w:r>
      <w:r w:rsidRPr="00474235">
        <w:rPr>
          <w:lang w:val="en-GB"/>
        </w:rPr>
        <w:t>35</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Pivot values for normalisation of metals in sediment</w:t>
      </w:r>
      <w:r w:rsidRPr="00474235">
        <w:rPr>
          <w:lang w:val="en-GB"/>
        </w:rPr>
        <w:tab/>
      </w:r>
      <w:r w:rsidRPr="00474235">
        <w:rPr>
          <w:lang w:val="en-GB"/>
        </w:rPr>
        <w:fldChar w:fldCharType="begin"/>
      </w:r>
      <w:r w:rsidRPr="00474235">
        <w:rPr>
          <w:lang w:val="en-GB"/>
        </w:rPr>
        <w:instrText xml:space="preserve"> PAGEREF _Toc486935844 \h </w:instrText>
      </w:r>
      <w:r w:rsidRPr="00474235">
        <w:rPr>
          <w:lang w:val="en-GB"/>
        </w:rPr>
      </w:r>
      <w:r w:rsidRPr="00474235">
        <w:rPr>
          <w:lang w:val="en-GB"/>
        </w:rPr>
        <w:fldChar w:fldCharType="separate"/>
      </w:r>
      <w:r w:rsidRPr="00474235">
        <w:rPr>
          <w:lang w:val="en-GB"/>
        </w:rPr>
        <w:t>35</w:t>
      </w:r>
      <w:r w:rsidRPr="00474235">
        <w:rPr>
          <w:lang w:val="en-GB"/>
        </w:rPr>
        <w:fldChar w:fldCharType="end"/>
      </w:r>
    </w:p>
    <w:p w:rsidR="00FE159C" w:rsidRPr="00474235" w:rsidRDefault="00FE159C">
      <w:pPr>
        <w:pStyle w:val="TOC1"/>
        <w:rPr>
          <w:rFonts w:asciiTheme="minorHAnsi" w:hAnsiTheme="minorHAnsi"/>
          <w:szCs w:val="22"/>
          <w:lang w:val="en-GB" w:eastAsia="en-GB"/>
        </w:rPr>
      </w:pPr>
      <w:r w:rsidRPr="00474235">
        <w:rPr>
          <w:lang w:val="en-GB"/>
        </w:rPr>
        <w:t>Appendix 4</w:t>
      </w:r>
      <w:r w:rsidRPr="00474235">
        <w:rPr>
          <w:lang w:val="en-GB"/>
        </w:rPr>
        <w:tab/>
      </w:r>
      <w:r w:rsidRPr="00474235">
        <w:rPr>
          <w:lang w:val="en-GB"/>
        </w:rPr>
        <w:fldChar w:fldCharType="begin"/>
      </w:r>
      <w:r w:rsidRPr="00474235">
        <w:rPr>
          <w:lang w:val="en-GB"/>
        </w:rPr>
        <w:instrText xml:space="preserve"> PAGEREF _Toc486935845 \h </w:instrText>
      </w:r>
      <w:r w:rsidRPr="00474235">
        <w:rPr>
          <w:lang w:val="en-GB"/>
        </w:rPr>
      </w:r>
      <w:r w:rsidRPr="00474235">
        <w:rPr>
          <w:lang w:val="en-GB"/>
        </w:rPr>
        <w:fldChar w:fldCharType="separate"/>
      </w:r>
      <w:r w:rsidRPr="00474235">
        <w:rPr>
          <w:lang w:val="en-GB"/>
        </w:rPr>
        <w:t>36</w:t>
      </w:r>
      <w:r w:rsidRPr="00474235">
        <w:rPr>
          <w:lang w:val="en-GB"/>
        </w:rPr>
        <w:fldChar w:fldCharType="end"/>
      </w:r>
    </w:p>
    <w:p w:rsidR="00FE159C" w:rsidRPr="00474235" w:rsidRDefault="00FE159C">
      <w:pPr>
        <w:pStyle w:val="TOC2"/>
        <w:tabs>
          <w:tab w:val="right" w:leader="dot" w:pos="9622"/>
        </w:tabs>
        <w:rPr>
          <w:rFonts w:asciiTheme="minorHAnsi" w:hAnsiTheme="minorHAnsi"/>
          <w:szCs w:val="22"/>
          <w:lang w:val="en-GB" w:eastAsia="en-GB"/>
        </w:rPr>
      </w:pPr>
      <w:r w:rsidRPr="00474235">
        <w:rPr>
          <w:lang w:val="en-GB"/>
        </w:rPr>
        <w:t>Species area combinations used for cut-point estimation</w:t>
      </w:r>
      <w:r w:rsidRPr="00474235">
        <w:rPr>
          <w:lang w:val="en-GB"/>
        </w:rPr>
        <w:tab/>
      </w:r>
      <w:r w:rsidRPr="00474235">
        <w:rPr>
          <w:lang w:val="en-GB"/>
        </w:rPr>
        <w:fldChar w:fldCharType="begin"/>
      </w:r>
      <w:r w:rsidRPr="00474235">
        <w:rPr>
          <w:lang w:val="en-GB"/>
        </w:rPr>
        <w:instrText xml:space="preserve"> PAGEREF _Toc486935846 \h </w:instrText>
      </w:r>
      <w:r w:rsidRPr="00474235">
        <w:rPr>
          <w:lang w:val="en-GB"/>
        </w:rPr>
      </w:r>
      <w:r w:rsidRPr="00474235">
        <w:rPr>
          <w:lang w:val="en-GB"/>
        </w:rPr>
        <w:fldChar w:fldCharType="separate"/>
      </w:r>
      <w:r w:rsidRPr="00474235">
        <w:rPr>
          <w:lang w:val="en-GB"/>
        </w:rPr>
        <w:t>36</w:t>
      </w:r>
      <w:r w:rsidRPr="00474235">
        <w:rPr>
          <w:lang w:val="en-GB"/>
        </w:rPr>
        <w:fldChar w:fldCharType="end"/>
      </w:r>
    </w:p>
    <w:p w:rsidR="005E10D0" w:rsidRPr="00474235" w:rsidRDefault="005E10D0" w:rsidP="00B27AB4">
      <w:pPr>
        <w:rPr>
          <w:lang w:val="en-GB"/>
        </w:rPr>
      </w:pPr>
      <w:r w:rsidRPr="00474235">
        <w:rPr>
          <w:lang w:val="en-GB"/>
        </w:rPr>
        <w:fldChar w:fldCharType="end"/>
      </w:r>
    </w:p>
    <w:p w:rsidR="005E3F89" w:rsidRPr="00474235" w:rsidRDefault="005E10D0" w:rsidP="00552FB8">
      <w:pPr>
        <w:pStyle w:val="Heading1"/>
        <w:rPr>
          <w:rFonts w:ascii="Calibri" w:hAnsi="Calibri"/>
        </w:rPr>
      </w:pPr>
      <w:bookmarkStart w:id="3" w:name="_Toc486935798"/>
      <w:r w:rsidRPr="00474235">
        <w:rPr>
          <w:rFonts w:ascii="Calibri" w:hAnsi="Calibri"/>
        </w:rPr>
        <w:lastRenderedPageBreak/>
        <w:t>Assessment met</w:t>
      </w:r>
      <w:r w:rsidR="00285FD3" w:rsidRPr="00474235">
        <w:rPr>
          <w:rFonts w:ascii="Calibri" w:hAnsi="Calibri"/>
        </w:rPr>
        <w:t>h</w:t>
      </w:r>
      <w:r w:rsidRPr="00474235">
        <w:rPr>
          <w:rFonts w:ascii="Calibri" w:hAnsi="Calibri"/>
        </w:rPr>
        <w:t>odology used in OSPAR assessment 2016</w:t>
      </w:r>
      <w:bookmarkEnd w:id="3"/>
    </w:p>
    <w:p w:rsidR="005E3F89" w:rsidRPr="00474235" w:rsidRDefault="005E10D0" w:rsidP="005E10D0">
      <w:pPr>
        <w:rPr>
          <w:lang w:val="en-GB"/>
        </w:rPr>
      </w:pPr>
      <w:r w:rsidRPr="00474235">
        <w:rPr>
          <w:lang w:val="en-GB"/>
        </w:rPr>
        <w:t>This document is collected from the help file in the OSPAR web tool (</w:t>
      </w:r>
      <w:hyperlink r:id="rId10" w:history="1">
        <w:r w:rsidRPr="00474235">
          <w:rPr>
            <w:rStyle w:val="Hyperlink"/>
            <w:lang w:val="en-GB"/>
          </w:rPr>
          <w:t>http://dome.ices.dk/OSPARMIME2016/main.html</w:t>
        </w:r>
      </w:hyperlink>
      <w:r w:rsidRPr="00474235">
        <w:rPr>
          <w:lang w:val="en-GB"/>
        </w:rPr>
        <w:t>), and describes the steps and statistics behind the assessment results.</w:t>
      </w:r>
    </w:p>
    <w:p w:rsidR="00F668B8" w:rsidRPr="00474235" w:rsidRDefault="00F668B8" w:rsidP="005E10D0">
      <w:pPr>
        <w:rPr>
          <w:lang w:val="en-GB"/>
        </w:rPr>
      </w:pPr>
      <w:r w:rsidRPr="00474235">
        <w:rPr>
          <w:lang w:val="en-GB"/>
        </w:rPr>
        <w:t xml:space="preserve">The help files are updated every year if changes to the assessments are made (mainly updating the assessment criteria), so when looking at a particular dataset, the associated </w:t>
      </w:r>
      <w:proofErr w:type="spellStart"/>
      <w:r w:rsidRPr="00474235">
        <w:rPr>
          <w:lang w:val="en-GB"/>
        </w:rPr>
        <w:t>helpfiles</w:t>
      </w:r>
      <w:proofErr w:type="spellEnd"/>
      <w:r w:rsidRPr="00474235">
        <w:rPr>
          <w:lang w:val="en-GB"/>
        </w:rPr>
        <w:t xml:space="preserve"> are the relevant description. This document describes the status in 2016 and the dataset used for the IA2017. The statistical methods are stable and have been used for many years, it is mainly small tweaks in the </w:t>
      </w:r>
      <w:r w:rsidR="00D05116" w:rsidRPr="00474235">
        <w:rPr>
          <w:lang w:val="en-GB"/>
        </w:rPr>
        <w:t xml:space="preserve">conversion factors (appendix 2) and the changes are </w:t>
      </w:r>
      <w:proofErr w:type="spellStart"/>
      <w:r w:rsidR="00D05116" w:rsidRPr="00474235">
        <w:rPr>
          <w:lang w:val="en-GB"/>
        </w:rPr>
        <w:t>documentet</w:t>
      </w:r>
      <w:proofErr w:type="spellEnd"/>
      <w:r w:rsidR="00D05116" w:rsidRPr="00474235">
        <w:rPr>
          <w:lang w:val="en-GB"/>
        </w:rPr>
        <w:t xml:space="preserve"> from year to year (see appendix 1).</w:t>
      </w:r>
    </w:p>
    <w:p w:rsidR="00DF6EB5" w:rsidRPr="00474235" w:rsidRDefault="00DF6EB5" w:rsidP="00552FB8">
      <w:pPr>
        <w:pStyle w:val="Heading1"/>
        <w:rPr>
          <w:rFonts w:ascii="Calibri" w:hAnsi="Calibri"/>
        </w:rPr>
      </w:pPr>
      <w:bookmarkStart w:id="4" w:name="_Toc486935799"/>
      <w:r w:rsidRPr="00474235">
        <w:rPr>
          <w:rFonts w:ascii="Calibri" w:hAnsi="Calibri"/>
        </w:rPr>
        <w:t>Assessment methodology for contaminants in biota</w:t>
      </w:r>
      <w:bookmarkEnd w:id="4"/>
    </w:p>
    <w:p w:rsidR="00EB6AC9" w:rsidRPr="00474235" w:rsidRDefault="00EB6AC9" w:rsidP="00552FB8">
      <w:pPr>
        <w:pStyle w:val="Heading2"/>
        <w:rPr>
          <w:rFonts w:ascii="Calibri" w:hAnsi="Calibri"/>
        </w:rPr>
      </w:pPr>
      <w:bookmarkStart w:id="5" w:name="_Toc486935800"/>
      <w:r w:rsidRPr="00474235">
        <w:rPr>
          <w:rFonts w:ascii="Calibri" w:hAnsi="Calibri"/>
        </w:rPr>
        <w:t>Overview for status assessments</w:t>
      </w:r>
      <w:bookmarkEnd w:id="5"/>
    </w:p>
    <w:p w:rsidR="00EB6AC9" w:rsidRPr="00474235" w:rsidRDefault="00EB6AC9" w:rsidP="00EB6AC9">
      <w:pPr>
        <w:rPr>
          <w:lang w:val="en-GB"/>
        </w:rPr>
      </w:pPr>
      <w:r w:rsidRPr="00474235">
        <w:rPr>
          <w:lang w:val="en-GB"/>
        </w:rPr>
        <w:t>For a regional status assessment, the status of each time series is summarised by the difference between the estimated mean log concentration in the final monitoring year and the log assessment concentration. This ensures that status is always measured on the same scale, even though the assessment criterion might vary between metals and time series. Essentially the same linear mixed model as for trends is then fitted:</w:t>
      </w:r>
    </w:p>
    <w:p w:rsidR="00EB6AC9" w:rsidRPr="00474235" w:rsidRDefault="00EB6AC9" w:rsidP="00552FB8">
      <w:pPr>
        <w:pStyle w:val="ListParagraph"/>
        <w:numPr>
          <w:ilvl w:val="0"/>
          <w:numId w:val="30"/>
        </w:numPr>
        <w:rPr>
          <w:lang w:val="en-GB"/>
        </w:rPr>
      </w:pPr>
      <w:r w:rsidRPr="00474235">
        <w:rPr>
          <w:lang w:val="en-GB"/>
        </w:rPr>
        <w:t>response: status (mean log concentration - log assessment concentration)</w:t>
      </w:r>
    </w:p>
    <w:p w:rsidR="00EB6AC9" w:rsidRPr="00474235" w:rsidRDefault="00EB6AC9" w:rsidP="00552FB8">
      <w:pPr>
        <w:pStyle w:val="ListParagraph"/>
        <w:numPr>
          <w:ilvl w:val="0"/>
          <w:numId w:val="30"/>
        </w:numPr>
        <w:rPr>
          <w:lang w:val="en-GB"/>
        </w:rPr>
      </w:pPr>
      <w:r w:rsidRPr="00474235">
        <w:rPr>
          <w:lang w:val="en-GB"/>
        </w:rPr>
        <w:t>fixed model: region * metal</w:t>
      </w:r>
    </w:p>
    <w:p w:rsidR="00EB6AC9" w:rsidRPr="00474235" w:rsidRDefault="00EB6AC9" w:rsidP="00552FB8">
      <w:pPr>
        <w:pStyle w:val="ListParagraph"/>
        <w:numPr>
          <w:ilvl w:val="0"/>
          <w:numId w:val="30"/>
        </w:numPr>
        <w:rPr>
          <w:lang w:val="en-GB"/>
        </w:rPr>
      </w:pPr>
      <w:r w:rsidRPr="00474235">
        <w:rPr>
          <w:lang w:val="en-GB"/>
        </w:rPr>
        <w:t>random model: station + status estimation variation + residual variation</w:t>
      </w:r>
    </w:p>
    <w:p w:rsidR="00EB6AC9" w:rsidRPr="00474235" w:rsidRDefault="00EB6AC9" w:rsidP="00EB6AC9">
      <w:pPr>
        <w:rPr>
          <w:lang w:val="en-GB"/>
        </w:rPr>
      </w:pPr>
      <w:proofErr w:type="gramStart"/>
      <w:r w:rsidRPr="00474235">
        <w:rPr>
          <w:lang w:val="en-GB"/>
        </w:rPr>
        <w:t>where</w:t>
      </w:r>
      <w:proofErr w:type="gramEnd"/>
      <w:r w:rsidRPr="00474235">
        <w:rPr>
          <w:lang w:val="en-GB"/>
        </w:rPr>
        <w:t xml:space="preserve"> status estimation variation is the variation in the status estimates from the individual time series analysis, assumed known and fixed.</w:t>
      </w:r>
    </w:p>
    <w:p w:rsidR="00EB6AC9" w:rsidRPr="00474235" w:rsidRDefault="00EB6AC9" w:rsidP="00EB6AC9">
      <w:pPr>
        <w:rPr>
          <w:lang w:val="en-GB"/>
        </w:rPr>
      </w:pPr>
      <w:r w:rsidRPr="00474235">
        <w:rPr>
          <w:lang w:val="en-GB"/>
        </w:rPr>
        <w:t>There are no restrictions on the time series used in the status meta-analysis based on the classification of the monitoring station; time series from baseline, representative and impacted stations are all included. However, the few time series with a non-parametric assessment of status must be excluded, because there is no summary measure of status to use in the mixed model.</w:t>
      </w:r>
    </w:p>
    <w:p w:rsidR="00EB6AC9" w:rsidRPr="00474235" w:rsidRDefault="00EB6AC9" w:rsidP="00EB6AC9">
      <w:pPr>
        <w:rPr>
          <w:lang w:val="en-GB"/>
        </w:rPr>
      </w:pPr>
      <w:r w:rsidRPr="00474235">
        <w:rPr>
          <w:lang w:val="en-GB"/>
        </w:rPr>
        <w:t>Again, the meta-analysis is restricted to regions and metal combinations with at least three status stations with good geographic spread.</w:t>
      </w:r>
    </w:p>
    <w:p w:rsidR="00EB6AC9" w:rsidRPr="00474235" w:rsidRDefault="00EB6AC9" w:rsidP="00EB6AC9">
      <w:pPr>
        <w:rPr>
          <w:lang w:val="en-GB"/>
        </w:rPr>
      </w:pPr>
      <w:r w:rsidRPr="00474235">
        <w:rPr>
          <w:lang w:val="en-GB"/>
        </w:rPr>
        <w:t>The statistics used for status assessments will be further developed during the 2017 MIME meeting.</w:t>
      </w:r>
    </w:p>
    <w:p w:rsidR="00DF6EB5" w:rsidRPr="00474235" w:rsidRDefault="00DF6EB5" w:rsidP="00552FB8">
      <w:pPr>
        <w:pStyle w:val="Heading2"/>
        <w:rPr>
          <w:rFonts w:ascii="Calibri" w:hAnsi="Calibri"/>
        </w:rPr>
      </w:pPr>
      <w:bookmarkStart w:id="6" w:name="_Toc486935801"/>
      <w:r w:rsidRPr="00474235">
        <w:rPr>
          <w:rFonts w:ascii="Calibri" w:hAnsi="Calibri"/>
        </w:rPr>
        <w:t>Overview</w:t>
      </w:r>
      <w:r w:rsidR="00EB6AC9" w:rsidRPr="00474235">
        <w:rPr>
          <w:rFonts w:ascii="Calibri" w:hAnsi="Calibri"/>
        </w:rPr>
        <w:t xml:space="preserve"> for time series</w:t>
      </w:r>
      <w:bookmarkEnd w:id="6"/>
    </w:p>
    <w:p w:rsidR="00DF6EB5" w:rsidRPr="00474235" w:rsidRDefault="00DF6EB5" w:rsidP="00DF6EB5">
      <w:pPr>
        <w:rPr>
          <w:lang w:val="en-GB"/>
        </w:rPr>
      </w:pPr>
      <w:r w:rsidRPr="00474235">
        <w:rPr>
          <w:lang w:val="en-GB"/>
        </w:rPr>
        <w:t>Time series of contaminant concentrations in biota are assessed in two stages:</w:t>
      </w:r>
    </w:p>
    <w:p w:rsidR="00B53DED" w:rsidRPr="00474235" w:rsidRDefault="00DF6EB5" w:rsidP="00DF6EB5">
      <w:pPr>
        <w:rPr>
          <w:lang w:val="en-GB"/>
        </w:rPr>
      </w:pPr>
      <w:r w:rsidRPr="00474235">
        <w:rPr>
          <w:lang w:val="en-GB"/>
        </w:rPr>
        <w:t>The concentrations are log transformed and changes in the log concentrations over time are modelled using linear mixed models. The type of temporal change that is considered depends on the number of years of data:</w:t>
      </w:r>
    </w:p>
    <w:p w:rsidR="00DF6EB5" w:rsidRPr="00474235" w:rsidRDefault="00DF6EB5" w:rsidP="00DF6EB5">
      <w:pPr>
        <w:rPr>
          <w:lang w:val="en-GB"/>
        </w:rPr>
      </w:pPr>
      <w:r w:rsidRPr="00474235">
        <w:rPr>
          <w:i/>
          <w:lang w:val="en-GB"/>
        </w:rPr>
        <w:t>1-2 years:</w:t>
      </w:r>
      <w:r w:rsidRPr="00474235">
        <w:rPr>
          <w:lang w:val="en-GB"/>
        </w:rPr>
        <w:t xml:space="preserve"> no model is fitted because there are insufficient data</w:t>
      </w:r>
    </w:p>
    <w:p w:rsidR="00B53DED" w:rsidRPr="00474235" w:rsidRDefault="00B53DED" w:rsidP="00DF6EB5">
      <w:pPr>
        <w:rPr>
          <w:lang w:val="en-GB"/>
        </w:rPr>
      </w:pPr>
    </w:p>
    <w:p w:rsidR="00DF6EB5" w:rsidRPr="00474235" w:rsidRDefault="00DF6EB5" w:rsidP="00DF6EB5">
      <w:pPr>
        <w:rPr>
          <w:lang w:val="en-GB"/>
        </w:rPr>
      </w:pPr>
      <w:r w:rsidRPr="00474235">
        <w:rPr>
          <w:i/>
          <w:lang w:val="en-GB"/>
        </w:rPr>
        <w:t>3-4 years:</w:t>
      </w:r>
      <w:r w:rsidRPr="00474235">
        <w:rPr>
          <w:lang w:val="en-GB"/>
        </w:rPr>
        <w:t xml:space="preserve"> concentrations are assumed to be stable over time and the mean log concentration is estimated</w:t>
      </w:r>
    </w:p>
    <w:p w:rsidR="00DF6EB5" w:rsidRPr="00474235" w:rsidRDefault="00DF6EB5" w:rsidP="00DF6EB5">
      <w:pPr>
        <w:rPr>
          <w:lang w:val="en-GB"/>
        </w:rPr>
      </w:pPr>
      <w:r w:rsidRPr="00474235">
        <w:rPr>
          <w:i/>
          <w:lang w:val="en-GB"/>
        </w:rPr>
        <w:t>5-6 years:</w:t>
      </w:r>
      <w:r w:rsidRPr="00474235">
        <w:rPr>
          <w:lang w:val="en-GB"/>
        </w:rPr>
        <w:t xml:space="preserve"> a linear trend in log concentration is fitted</w:t>
      </w:r>
    </w:p>
    <w:p w:rsidR="00DF6EB5" w:rsidRPr="00474235" w:rsidRDefault="00DF6EB5" w:rsidP="00DF6EB5">
      <w:pPr>
        <w:rPr>
          <w:lang w:val="en-GB"/>
        </w:rPr>
      </w:pPr>
      <w:r w:rsidRPr="00474235">
        <w:rPr>
          <w:i/>
          <w:lang w:val="en-GB"/>
        </w:rPr>
        <w:t>7+ years:</w:t>
      </w:r>
      <w:r w:rsidRPr="00474235">
        <w:rPr>
          <w:lang w:val="en-GB"/>
        </w:rPr>
        <w:t xml:space="preserve"> more complex (smooth) patterns of change over time are modelled</w:t>
      </w:r>
    </w:p>
    <w:p w:rsidR="00DF6EB5" w:rsidRPr="00474235" w:rsidRDefault="00DF6EB5" w:rsidP="00DF6EB5">
      <w:pPr>
        <w:rPr>
          <w:lang w:val="en-GB"/>
        </w:rPr>
      </w:pPr>
      <w:r w:rsidRPr="00474235">
        <w:rPr>
          <w:lang w:val="en-GB"/>
        </w:rPr>
        <w:t>The fitted models are used to assess environmental status against available assessment criteria and evidence of temporal change in contaminant levels in the last twenty years</w:t>
      </w:r>
    </w:p>
    <w:p w:rsidR="00DF6EB5" w:rsidRPr="00474235" w:rsidRDefault="00DF6EB5" w:rsidP="00DF6EB5">
      <w:pPr>
        <w:rPr>
          <w:lang w:val="en-GB"/>
        </w:rPr>
      </w:pPr>
      <w:r w:rsidRPr="00474235">
        <w:rPr>
          <w:lang w:val="en-GB"/>
        </w:rPr>
        <w:t>These stages are described in more detail below. Other help files describe how the methodology is adapted when there are ‘less-than’ measurements, i.e. some concentrations are reported as below the detection limit, and missing uncertainties, i.e. the analytical variability associated with some of the concentration measurements was not reported. Changes to the methodology since the 2014 assessment are described in appendix 1.</w:t>
      </w:r>
    </w:p>
    <w:p w:rsidR="00DF6EB5" w:rsidRPr="00474235" w:rsidRDefault="00DF6EB5" w:rsidP="00552FB8">
      <w:pPr>
        <w:pStyle w:val="Heading2"/>
        <w:rPr>
          <w:rFonts w:ascii="Calibri" w:hAnsi="Calibri"/>
        </w:rPr>
      </w:pPr>
      <w:bookmarkStart w:id="7" w:name="_Toc486935802"/>
      <w:r w:rsidRPr="00474235">
        <w:rPr>
          <w:rFonts w:ascii="Calibri" w:hAnsi="Calibri"/>
        </w:rPr>
        <w:t>Modelling changes in log concentration over time</w:t>
      </w:r>
      <w:bookmarkEnd w:id="7"/>
    </w:p>
    <w:p w:rsidR="00DF6EB5" w:rsidRPr="00474235" w:rsidRDefault="00DF6EB5" w:rsidP="00DF6EB5">
      <w:pPr>
        <w:rPr>
          <w:lang w:val="en-GB"/>
        </w:rPr>
      </w:pPr>
      <w:r w:rsidRPr="00474235">
        <w:rPr>
          <w:lang w:val="en-GB"/>
        </w:rPr>
        <w:t>The log concentrations are modelled by a linear mixed model of the form:</w:t>
      </w:r>
    </w:p>
    <w:p w:rsidR="00DF6EB5" w:rsidRPr="00474235" w:rsidRDefault="00DF6EB5" w:rsidP="00DF6EB5">
      <w:pPr>
        <w:rPr>
          <w:lang w:val="en-GB"/>
        </w:rPr>
      </w:pPr>
      <w:proofErr w:type="gramStart"/>
      <w:r w:rsidRPr="00474235">
        <w:rPr>
          <w:lang w:val="en-GB"/>
        </w:rPr>
        <w:t>response</w:t>
      </w:r>
      <w:proofErr w:type="gramEnd"/>
      <w:r w:rsidRPr="00474235">
        <w:rPr>
          <w:lang w:val="en-GB"/>
        </w:rPr>
        <w:t>: log concentration</w:t>
      </w:r>
    </w:p>
    <w:p w:rsidR="00DF6EB5" w:rsidRPr="00474235" w:rsidRDefault="00DF6EB5" w:rsidP="00DF6EB5">
      <w:pPr>
        <w:rPr>
          <w:lang w:val="en-GB"/>
        </w:rPr>
      </w:pPr>
      <w:proofErr w:type="gramStart"/>
      <w:r w:rsidRPr="00474235">
        <w:rPr>
          <w:lang w:val="en-GB"/>
        </w:rPr>
        <w:t>fixed</w:t>
      </w:r>
      <w:proofErr w:type="gramEnd"/>
      <w:r w:rsidRPr="00474235">
        <w:rPr>
          <w:lang w:val="en-GB"/>
        </w:rPr>
        <w:t>: f(year)</w:t>
      </w:r>
    </w:p>
    <w:p w:rsidR="00DF6EB5" w:rsidRPr="00474235" w:rsidRDefault="00DF6EB5" w:rsidP="00DF6EB5">
      <w:pPr>
        <w:rPr>
          <w:lang w:val="en-GB"/>
        </w:rPr>
      </w:pPr>
      <w:proofErr w:type="gramStart"/>
      <w:r w:rsidRPr="00474235">
        <w:rPr>
          <w:lang w:val="en-GB"/>
        </w:rPr>
        <w:t>random</w:t>
      </w:r>
      <w:proofErr w:type="gramEnd"/>
      <w:r w:rsidRPr="00474235">
        <w:rPr>
          <w:lang w:val="en-GB"/>
        </w:rPr>
        <w:t>: year + sample + analytical</w:t>
      </w:r>
    </w:p>
    <w:p w:rsidR="00DF6EB5" w:rsidRPr="00474235" w:rsidRDefault="00DF6EB5" w:rsidP="00DF6EB5">
      <w:pPr>
        <w:rPr>
          <w:lang w:val="en-GB"/>
        </w:rPr>
      </w:pPr>
      <w:r w:rsidRPr="00474235">
        <w:rPr>
          <w:lang w:val="en-GB"/>
        </w:rPr>
        <w:t xml:space="preserve">The fixed effects model describes how log concentrations change over time (year), where the form of </w:t>
      </w:r>
      <w:proofErr w:type="gramStart"/>
      <w:r w:rsidRPr="00474235">
        <w:rPr>
          <w:lang w:val="en-GB"/>
        </w:rPr>
        <w:t>f(</w:t>
      </w:r>
      <w:proofErr w:type="gramEnd"/>
      <w:r w:rsidRPr="00474235">
        <w:rPr>
          <w:lang w:val="en-GB"/>
        </w:rPr>
        <w:t>year) depends on the number of years of data (described in the next paragraph). The random effects model has three components:</w:t>
      </w:r>
    </w:p>
    <w:p w:rsidR="00DF6EB5" w:rsidRPr="00474235" w:rsidRDefault="00DF6EB5" w:rsidP="00DF6EB5">
      <w:pPr>
        <w:rPr>
          <w:lang w:val="en-GB"/>
        </w:rPr>
      </w:pPr>
      <w:proofErr w:type="gramStart"/>
      <w:r w:rsidRPr="00474235">
        <w:rPr>
          <w:i/>
          <w:lang w:val="en-GB"/>
        </w:rPr>
        <w:t>year</w:t>
      </w:r>
      <w:proofErr w:type="gramEnd"/>
      <w:r w:rsidRPr="00474235">
        <w:rPr>
          <w:i/>
          <w:lang w:val="en-GB"/>
        </w:rPr>
        <w:t>:</w:t>
      </w:r>
      <w:r w:rsidRPr="00474235">
        <w:rPr>
          <w:lang w:val="en-GB"/>
        </w:rPr>
        <w:t xml:space="preserve"> random variation in log concentration between years. Here, year is treated as a categorical variable</w:t>
      </w:r>
    </w:p>
    <w:p w:rsidR="00DF6EB5" w:rsidRPr="00474235" w:rsidRDefault="00DF6EB5" w:rsidP="00DF6EB5">
      <w:pPr>
        <w:rPr>
          <w:lang w:val="en-GB"/>
        </w:rPr>
      </w:pPr>
      <w:proofErr w:type="gramStart"/>
      <w:r w:rsidRPr="00474235">
        <w:rPr>
          <w:i/>
          <w:lang w:val="en-GB"/>
        </w:rPr>
        <w:t>sample</w:t>
      </w:r>
      <w:proofErr w:type="gramEnd"/>
      <w:r w:rsidRPr="00474235">
        <w:rPr>
          <w:i/>
          <w:lang w:val="en-GB"/>
        </w:rPr>
        <w:t>:</w:t>
      </w:r>
      <w:r w:rsidRPr="00474235">
        <w:rPr>
          <w:lang w:val="en-GB"/>
        </w:rPr>
        <w:t xml:space="preserve"> random variation in log concentration between samples within years. When there is only one sample each year, this term is omitted and implicitly subsumed into the between-year variation</w:t>
      </w:r>
    </w:p>
    <w:p w:rsidR="00DF6EB5" w:rsidRPr="00474235" w:rsidRDefault="00DF6EB5" w:rsidP="00DF6EB5">
      <w:pPr>
        <w:rPr>
          <w:lang w:val="en-GB"/>
        </w:rPr>
      </w:pPr>
      <w:proofErr w:type="gramStart"/>
      <w:r w:rsidRPr="00474235">
        <w:rPr>
          <w:i/>
          <w:lang w:val="en-GB"/>
        </w:rPr>
        <w:t>analytical</w:t>
      </w:r>
      <w:proofErr w:type="gramEnd"/>
      <w:r w:rsidRPr="00474235">
        <w:rPr>
          <w:i/>
          <w:lang w:val="en-GB"/>
        </w:rPr>
        <w:t>:</w:t>
      </w:r>
      <w:r w:rsidRPr="00474235">
        <w:rPr>
          <w:lang w:val="en-GB"/>
        </w:rPr>
        <w:t xml:space="preserve"> random variation inherent in the chemical measurement process. This is assumed known and derived from the </w:t>
      </w:r>
      <w:proofErr w:type="spellStart"/>
      <w:r w:rsidRPr="00474235">
        <w:rPr>
          <w:lang w:val="en-GB"/>
        </w:rPr>
        <w:t>the</w:t>
      </w:r>
      <w:proofErr w:type="spellEnd"/>
      <w:r w:rsidRPr="00474235">
        <w:rPr>
          <w:lang w:val="en-GB"/>
        </w:rPr>
        <w:t xml:space="preserve"> ‘uncertainties’ reported with the data. Specifically, if </w:t>
      </w:r>
      <w:proofErr w:type="spellStart"/>
      <w:r w:rsidRPr="00474235">
        <w:rPr>
          <w:lang w:val="en-GB"/>
        </w:rPr>
        <w:t>u</w:t>
      </w:r>
      <w:r w:rsidRPr="00474235">
        <w:rPr>
          <w:vertAlign w:val="subscript"/>
          <w:lang w:val="en-GB"/>
        </w:rPr>
        <w:t>i</w:t>
      </w:r>
      <w:proofErr w:type="spellEnd"/>
      <w:r w:rsidRPr="00474235">
        <w:rPr>
          <w:lang w:val="en-GB"/>
        </w:rPr>
        <w:t xml:space="preserve">, </w:t>
      </w:r>
      <w:proofErr w:type="spellStart"/>
      <w:r w:rsidRPr="00474235">
        <w:rPr>
          <w:lang w:val="en-GB"/>
        </w:rPr>
        <w:t>i</w:t>
      </w:r>
      <w:proofErr w:type="spellEnd"/>
      <w:r w:rsidRPr="00474235">
        <w:rPr>
          <w:lang w:val="en-GB"/>
        </w:rPr>
        <w:t xml:space="preserve">=1...n, are the uncertainties associated with concentrations </w:t>
      </w:r>
      <w:proofErr w:type="spellStart"/>
      <w:r w:rsidRPr="00474235">
        <w:rPr>
          <w:lang w:val="en-GB"/>
        </w:rPr>
        <w:t>cici</w:t>
      </w:r>
      <w:proofErr w:type="spellEnd"/>
      <w:r w:rsidRPr="00474235">
        <w:rPr>
          <w:lang w:val="en-GB"/>
        </w:rPr>
        <w:t xml:space="preserve"> (expressed as the standard deviations of the concentration measurements), then the standard deviations of the log c</w:t>
      </w:r>
      <w:r w:rsidR="00041404" w:rsidRPr="00474235">
        <w:rPr>
          <w:lang w:val="en-GB"/>
        </w:rPr>
        <w:t xml:space="preserve">oncentration measurements </w:t>
      </w:r>
      <w:r w:rsidRPr="00474235">
        <w:rPr>
          <w:lang w:val="en-GB"/>
        </w:rPr>
        <w:t>log c</w:t>
      </w:r>
      <w:r w:rsidRPr="00474235">
        <w:rPr>
          <w:vertAlign w:val="subscript"/>
          <w:lang w:val="en-GB"/>
        </w:rPr>
        <w:t>i</w:t>
      </w:r>
      <w:r w:rsidRPr="00474235">
        <w:rPr>
          <w:lang w:val="en-GB"/>
        </w:rPr>
        <w:t xml:space="preserve"> are taken to be </w:t>
      </w:r>
      <w:proofErr w:type="spellStart"/>
      <w:r w:rsidRPr="00474235">
        <w:rPr>
          <w:lang w:val="en-GB"/>
        </w:rPr>
        <w:t>u</w:t>
      </w:r>
      <w:r w:rsidRPr="00474235">
        <w:rPr>
          <w:vertAlign w:val="subscript"/>
          <w:lang w:val="en-GB"/>
        </w:rPr>
        <w:t>i</w:t>
      </w:r>
      <w:proofErr w:type="spellEnd"/>
      <w:r w:rsidRPr="00474235">
        <w:rPr>
          <w:lang w:val="en-GB"/>
        </w:rPr>
        <w:t>/c</w:t>
      </w:r>
      <w:r w:rsidRPr="00474235">
        <w:rPr>
          <w:vertAlign w:val="subscript"/>
          <w:lang w:val="en-GB"/>
        </w:rPr>
        <w:t>i</w:t>
      </w:r>
      <w:r w:rsidRPr="00474235">
        <w:rPr>
          <w:lang w:val="en-GB"/>
        </w:rPr>
        <w:t xml:space="preserve">. Measurements with </w:t>
      </w:r>
      <w:proofErr w:type="spellStart"/>
      <w:r w:rsidRPr="00474235">
        <w:rPr>
          <w:lang w:val="en-GB"/>
        </w:rPr>
        <w:t>u</w:t>
      </w:r>
      <w:r w:rsidRPr="00474235">
        <w:rPr>
          <w:vertAlign w:val="subscript"/>
          <w:lang w:val="en-GB"/>
        </w:rPr>
        <w:t>i</w:t>
      </w:r>
      <w:proofErr w:type="spellEnd"/>
      <w:r w:rsidRPr="00474235">
        <w:rPr>
          <w:lang w:val="en-GB"/>
        </w:rPr>
        <w:t>&gt;c</w:t>
      </w:r>
      <w:r w:rsidRPr="00474235">
        <w:rPr>
          <w:vertAlign w:val="subscript"/>
          <w:lang w:val="en-GB"/>
        </w:rPr>
        <w:t>i</w:t>
      </w:r>
      <w:r w:rsidRPr="00474235">
        <w:rPr>
          <w:lang w:val="en-GB"/>
        </w:rPr>
        <w:t xml:space="preserve"> (i.e. an analytical coefficient of variation of more than 100%) are omitted from the time series.</w:t>
      </w:r>
    </w:p>
    <w:p w:rsidR="00DF6EB5" w:rsidRPr="00474235" w:rsidRDefault="00DF6EB5" w:rsidP="00DF6EB5">
      <w:pPr>
        <w:rPr>
          <w:lang w:val="en-GB"/>
        </w:rPr>
      </w:pPr>
      <w:r w:rsidRPr="00474235">
        <w:rPr>
          <w:lang w:val="en-GB"/>
        </w:rPr>
        <w:t xml:space="preserve">The model is fitted by maximum likelihood assuming each of the random effects </w:t>
      </w:r>
      <w:proofErr w:type="gramStart"/>
      <w:r w:rsidRPr="00474235">
        <w:rPr>
          <w:lang w:val="en-GB"/>
        </w:rPr>
        <w:t>are</w:t>
      </w:r>
      <w:proofErr w:type="gramEnd"/>
      <w:r w:rsidRPr="00474235">
        <w:rPr>
          <w:lang w:val="en-GB"/>
        </w:rPr>
        <w:t xml:space="preserve"> independent and normally distributed (on the log concentration scale)</w:t>
      </w:r>
      <w:r w:rsidRPr="00474235">
        <w:rPr>
          <w:rStyle w:val="FootnoteReference"/>
          <w:lang w:val="en-GB"/>
        </w:rPr>
        <w:footnoteReference w:id="2"/>
      </w:r>
      <w:r w:rsidRPr="00474235">
        <w:rPr>
          <w:lang w:val="en-GB"/>
        </w:rPr>
        <w:t>.</w:t>
      </w:r>
    </w:p>
    <w:p w:rsidR="00DF6EB5" w:rsidRPr="00474235" w:rsidRDefault="00DF6EB5" w:rsidP="00DF6EB5">
      <w:pPr>
        <w:rPr>
          <w:lang w:val="en-GB"/>
        </w:rPr>
      </w:pPr>
      <w:r w:rsidRPr="00474235">
        <w:rPr>
          <w:lang w:val="en-GB"/>
        </w:rPr>
        <w:t xml:space="preserve">The form of </w:t>
      </w:r>
      <w:proofErr w:type="gramStart"/>
      <w:r w:rsidRPr="00474235">
        <w:rPr>
          <w:lang w:val="en-GB"/>
        </w:rPr>
        <w:t>f(</w:t>
      </w:r>
      <w:proofErr w:type="gramEnd"/>
      <w:r w:rsidRPr="00474235">
        <w:rPr>
          <w:lang w:val="en-GB"/>
        </w:rPr>
        <w:t>year) depends on the number of years of data:</w:t>
      </w:r>
    </w:p>
    <w:p w:rsidR="00DF6EB5" w:rsidRPr="00474235" w:rsidRDefault="00DF6EB5" w:rsidP="00DF6EB5">
      <w:pPr>
        <w:rPr>
          <w:lang w:val="en-GB"/>
        </w:rPr>
      </w:pPr>
    </w:p>
    <w:p w:rsidR="00DF6EB5" w:rsidRPr="00474235" w:rsidRDefault="00DF6EB5" w:rsidP="00DF6EB5">
      <w:pPr>
        <w:rPr>
          <w:i/>
          <w:lang w:val="en-GB"/>
        </w:rPr>
      </w:pPr>
      <w:r w:rsidRPr="00474235">
        <w:rPr>
          <w:i/>
          <w:lang w:val="en-GB"/>
        </w:rPr>
        <w:t>1-2 years</w:t>
      </w:r>
    </w:p>
    <w:p w:rsidR="00DF6EB5" w:rsidRPr="00474235" w:rsidRDefault="00DF6EB5" w:rsidP="00DF6EB5">
      <w:pPr>
        <w:rPr>
          <w:lang w:val="en-GB"/>
        </w:rPr>
      </w:pPr>
      <w:proofErr w:type="gramStart"/>
      <w:r w:rsidRPr="00474235">
        <w:rPr>
          <w:lang w:val="en-GB"/>
        </w:rPr>
        <w:t>no</w:t>
      </w:r>
      <w:proofErr w:type="gramEnd"/>
      <w:r w:rsidRPr="00474235">
        <w:rPr>
          <w:lang w:val="en-GB"/>
        </w:rPr>
        <w:t xml:space="preserve"> model is fitted as there are too few years for formal statistical analysis</w:t>
      </w:r>
    </w:p>
    <w:p w:rsidR="00DF6EB5" w:rsidRPr="00474235" w:rsidRDefault="00DF6EB5" w:rsidP="00DF6EB5">
      <w:pPr>
        <w:rPr>
          <w:i/>
          <w:lang w:val="en-GB"/>
        </w:rPr>
      </w:pPr>
      <w:r w:rsidRPr="00474235">
        <w:rPr>
          <w:i/>
          <w:lang w:val="en-GB"/>
        </w:rPr>
        <w:t>3-4 years</w:t>
      </w:r>
    </w:p>
    <w:p w:rsidR="00DF6EB5" w:rsidRPr="00474235" w:rsidRDefault="00DF6EB5" w:rsidP="00DF6EB5">
      <w:pPr>
        <w:rPr>
          <w:lang w:val="en-GB"/>
        </w:rPr>
      </w:pPr>
      <w:proofErr w:type="gramStart"/>
      <w:r w:rsidRPr="00474235">
        <w:rPr>
          <w:lang w:val="en-GB"/>
        </w:rPr>
        <w:t>mean</w:t>
      </w:r>
      <w:proofErr w:type="gramEnd"/>
      <w:r w:rsidRPr="00474235">
        <w:rPr>
          <w:lang w:val="en-GB"/>
        </w:rPr>
        <w:t xml:space="preserve"> model f(year)=μ</w:t>
      </w:r>
    </w:p>
    <w:p w:rsidR="00DF6EB5" w:rsidRPr="00474235" w:rsidRDefault="00DF6EB5" w:rsidP="00DF6EB5">
      <w:pPr>
        <w:rPr>
          <w:lang w:val="en-GB"/>
        </w:rPr>
      </w:pPr>
      <w:proofErr w:type="gramStart"/>
      <w:r w:rsidRPr="00474235">
        <w:rPr>
          <w:lang w:val="en-GB"/>
        </w:rPr>
        <w:t>there</w:t>
      </w:r>
      <w:proofErr w:type="gramEnd"/>
      <w:r w:rsidRPr="00474235">
        <w:rPr>
          <w:lang w:val="en-GB"/>
        </w:rPr>
        <w:t xml:space="preserve"> are too few years for a formal trend assessment, but the mean level is summarised by μ and is used to assess status</w:t>
      </w:r>
    </w:p>
    <w:p w:rsidR="00DF6EB5" w:rsidRPr="00474235" w:rsidRDefault="00DF6EB5" w:rsidP="00DF6EB5">
      <w:pPr>
        <w:rPr>
          <w:i/>
          <w:lang w:val="en-GB"/>
        </w:rPr>
      </w:pPr>
      <w:r w:rsidRPr="00474235">
        <w:rPr>
          <w:i/>
          <w:lang w:val="en-GB"/>
        </w:rPr>
        <w:t>5-6 years</w:t>
      </w:r>
    </w:p>
    <w:p w:rsidR="00DF6EB5" w:rsidRPr="00474235" w:rsidRDefault="00DF6EB5" w:rsidP="00DF6EB5">
      <w:pPr>
        <w:rPr>
          <w:lang w:val="en-GB"/>
        </w:rPr>
      </w:pPr>
      <w:proofErr w:type="gramStart"/>
      <w:r w:rsidRPr="00474235">
        <w:rPr>
          <w:lang w:val="en-GB"/>
        </w:rPr>
        <w:t>linear</w:t>
      </w:r>
      <w:proofErr w:type="gramEnd"/>
      <w:r w:rsidRPr="00474235">
        <w:rPr>
          <w:lang w:val="en-GB"/>
        </w:rPr>
        <w:t xml:space="preserve"> model f(year)=μ+βyear</w:t>
      </w:r>
    </w:p>
    <w:p w:rsidR="00DF6EB5" w:rsidRPr="00474235" w:rsidRDefault="00DF6EB5" w:rsidP="00DF6EB5">
      <w:pPr>
        <w:rPr>
          <w:lang w:val="en-GB"/>
        </w:rPr>
      </w:pPr>
      <w:proofErr w:type="gramStart"/>
      <w:r w:rsidRPr="00474235">
        <w:rPr>
          <w:lang w:val="en-GB"/>
        </w:rPr>
        <w:t>log</w:t>
      </w:r>
      <w:proofErr w:type="gramEnd"/>
      <w:r w:rsidRPr="00474235">
        <w:rPr>
          <w:lang w:val="en-GB"/>
        </w:rPr>
        <w:t xml:space="preserve"> concentrations are assumed to vary linearly with time; the fitted model is used to assess status and evidence of temporal change</w:t>
      </w:r>
    </w:p>
    <w:p w:rsidR="00DF6EB5" w:rsidRPr="00474235" w:rsidRDefault="00DF6EB5" w:rsidP="00DF6EB5">
      <w:pPr>
        <w:rPr>
          <w:i/>
          <w:lang w:val="en-GB"/>
        </w:rPr>
      </w:pPr>
      <w:r w:rsidRPr="00474235">
        <w:rPr>
          <w:i/>
          <w:lang w:val="en-GB"/>
        </w:rPr>
        <w:t>7+ years</w:t>
      </w:r>
    </w:p>
    <w:p w:rsidR="00DF6EB5" w:rsidRPr="00474235" w:rsidRDefault="00DF6EB5" w:rsidP="00DF6EB5">
      <w:pPr>
        <w:rPr>
          <w:lang w:val="en-GB"/>
        </w:rPr>
      </w:pPr>
      <w:proofErr w:type="gramStart"/>
      <w:r w:rsidRPr="00474235">
        <w:rPr>
          <w:lang w:val="en-GB"/>
        </w:rPr>
        <w:t>smooth</w:t>
      </w:r>
      <w:proofErr w:type="gramEnd"/>
      <w:r w:rsidRPr="00474235">
        <w:rPr>
          <w:lang w:val="en-GB"/>
        </w:rPr>
        <w:t xml:space="preserve"> model f(year) = s(year)</w:t>
      </w:r>
    </w:p>
    <w:p w:rsidR="00DF6EB5" w:rsidRPr="00474235" w:rsidRDefault="00DF6EB5" w:rsidP="00DF6EB5">
      <w:pPr>
        <w:rPr>
          <w:lang w:val="en-GB"/>
        </w:rPr>
      </w:pPr>
      <w:proofErr w:type="gramStart"/>
      <w:r w:rsidRPr="00474235">
        <w:rPr>
          <w:lang w:val="en-GB"/>
        </w:rPr>
        <w:t>log</w:t>
      </w:r>
      <w:proofErr w:type="gramEnd"/>
      <w:r w:rsidRPr="00474235">
        <w:rPr>
          <w:lang w:val="en-GB"/>
        </w:rPr>
        <w:t xml:space="preserve"> concentrations are assumed to vary smoothly over time; the fitted model is used to assess status and evidence of temporal change.</w:t>
      </w:r>
    </w:p>
    <w:p w:rsidR="00DF6EB5" w:rsidRPr="00474235" w:rsidRDefault="00DF6EB5" w:rsidP="00DF6EB5">
      <w:pPr>
        <w:rPr>
          <w:lang w:val="en-GB"/>
        </w:rPr>
      </w:pPr>
      <w:r w:rsidRPr="00474235">
        <w:rPr>
          <w:lang w:val="en-GB"/>
        </w:rPr>
        <w:t>The last case requires more explanation. When there are 7-9 years of data, both a linear model and a smoother (thin plate regression spline) on 2 degrees of freedom (</w:t>
      </w:r>
      <w:proofErr w:type="spellStart"/>
      <w:proofErr w:type="gramStart"/>
      <w:r w:rsidRPr="00474235">
        <w:rPr>
          <w:lang w:val="en-GB"/>
        </w:rPr>
        <w:t>df</w:t>
      </w:r>
      <w:proofErr w:type="spellEnd"/>
      <w:proofErr w:type="gramEnd"/>
      <w:r w:rsidRPr="00474235">
        <w:rPr>
          <w:lang w:val="en-GB"/>
        </w:rPr>
        <w:t xml:space="preserve">) are fitted to the data. Of these, the model chosen to make inferences about status and temporal trends is the one with the lower </w:t>
      </w:r>
      <w:proofErr w:type="spellStart"/>
      <w:r w:rsidRPr="00474235">
        <w:rPr>
          <w:lang w:val="en-GB"/>
        </w:rPr>
        <w:t>Akaike’s</w:t>
      </w:r>
      <w:proofErr w:type="spellEnd"/>
      <w:r w:rsidRPr="00474235">
        <w:rPr>
          <w:lang w:val="en-GB"/>
        </w:rPr>
        <w:t xml:space="preserve"> Information Criterion corrected for small sample size (</w:t>
      </w:r>
      <w:proofErr w:type="spellStart"/>
      <w:r w:rsidRPr="00474235">
        <w:rPr>
          <w:lang w:val="en-GB"/>
        </w:rPr>
        <w:t>AICc</w:t>
      </w:r>
      <w:proofErr w:type="spellEnd"/>
      <w:r w:rsidRPr="00474235">
        <w:rPr>
          <w:lang w:val="en-GB"/>
        </w:rPr>
        <w:t>)</w:t>
      </w:r>
      <w:r w:rsidRPr="00474235">
        <w:rPr>
          <w:rStyle w:val="FootnoteReference"/>
          <w:lang w:val="en-GB"/>
        </w:rPr>
        <w:footnoteReference w:id="3"/>
      </w:r>
      <w:r w:rsidRPr="00474235">
        <w:rPr>
          <w:lang w:val="en-GB"/>
        </w:rPr>
        <w:t xml:space="preserve">. When there are 10-14 years of data, a linear model and smoothers on 2 and 3 </w:t>
      </w:r>
      <w:proofErr w:type="spellStart"/>
      <w:proofErr w:type="gramStart"/>
      <w:r w:rsidRPr="00474235">
        <w:rPr>
          <w:lang w:val="en-GB"/>
        </w:rPr>
        <w:t>df</w:t>
      </w:r>
      <w:proofErr w:type="spellEnd"/>
      <w:proofErr w:type="gramEnd"/>
      <w:r w:rsidRPr="00474235">
        <w:rPr>
          <w:lang w:val="en-GB"/>
        </w:rPr>
        <w:t xml:space="preserve"> are fitted, with the chosen model that with the lowest </w:t>
      </w:r>
      <w:proofErr w:type="spellStart"/>
      <w:r w:rsidRPr="00474235">
        <w:rPr>
          <w:lang w:val="en-GB"/>
        </w:rPr>
        <w:t>AICc</w:t>
      </w:r>
      <w:proofErr w:type="spellEnd"/>
      <w:r w:rsidRPr="00474235">
        <w:rPr>
          <w:lang w:val="en-GB"/>
        </w:rPr>
        <w:t xml:space="preserve">. And when there are 15+ years of data, a linear model and smoothers on 2, 3, and 4 </w:t>
      </w:r>
      <w:proofErr w:type="spellStart"/>
      <w:proofErr w:type="gramStart"/>
      <w:r w:rsidRPr="00474235">
        <w:rPr>
          <w:lang w:val="en-GB"/>
        </w:rPr>
        <w:t>df</w:t>
      </w:r>
      <w:proofErr w:type="spellEnd"/>
      <w:proofErr w:type="gramEnd"/>
      <w:r w:rsidRPr="00474235">
        <w:rPr>
          <w:lang w:val="en-GB"/>
        </w:rPr>
        <w:t xml:space="preserve"> are fitted, with model selection again based on </w:t>
      </w:r>
      <w:proofErr w:type="spellStart"/>
      <w:r w:rsidRPr="00474235">
        <w:rPr>
          <w:lang w:val="en-GB"/>
        </w:rPr>
        <w:t>AICc</w:t>
      </w:r>
      <w:proofErr w:type="spellEnd"/>
      <w:r w:rsidRPr="00474235">
        <w:rPr>
          <w:lang w:val="en-GB"/>
        </w:rPr>
        <w:t xml:space="preserve">. Effectively, the data determine the amount of smoothing, with </w:t>
      </w:r>
      <w:proofErr w:type="spellStart"/>
      <w:r w:rsidRPr="00474235">
        <w:rPr>
          <w:lang w:val="en-GB"/>
        </w:rPr>
        <w:t>AICc</w:t>
      </w:r>
      <w:proofErr w:type="spellEnd"/>
      <w:r w:rsidRPr="00474235">
        <w:rPr>
          <w:lang w:val="en-GB"/>
        </w:rPr>
        <w:t xml:space="preserve"> providing an appropriate balance between </w:t>
      </w:r>
      <w:proofErr w:type="gramStart"/>
      <w:r w:rsidRPr="00474235">
        <w:rPr>
          <w:lang w:val="en-GB"/>
        </w:rPr>
        <w:t>model</w:t>
      </w:r>
      <w:proofErr w:type="gramEnd"/>
      <w:r w:rsidRPr="00474235">
        <w:rPr>
          <w:lang w:val="en-GB"/>
        </w:rPr>
        <w:t xml:space="preserve"> fit and model parsimony</w:t>
      </w:r>
      <w:r w:rsidRPr="00474235">
        <w:rPr>
          <w:rStyle w:val="FootnoteReference"/>
          <w:lang w:val="en-GB"/>
        </w:rPr>
        <w:footnoteReference w:id="4"/>
      </w:r>
      <w:r w:rsidRPr="00474235">
        <w:rPr>
          <w:lang w:val="en-GB"/>
        </w:rPr>
        <w:t>.</w:t>
      </w:r>
    </w:p>
    <w:p w:rsidR="00DF6EB5" w:rsidRPr="00474235" w:rsidRDefault="00DF6EB5" w:rsidP="00552FB8">
      <w:pPr>
        <w:pStyle w:val="Heading2"/>
        <w:rPr>
          <w:rFonts w:ascii="Calibri" w:hAnsi="Calibri"/>
        </w:rPr>
      </w:pPr>
      <w:bookmarkStart w:id="8" w:name="_Toc486935803"/>
      <w:r w:rsidRPr="00474235">
        <w:rPr>
          <w:rFonts w:ascii="Calibri" w:hAnsi="Calibri"/>
        </w:rPr>
        <w:t>Assessing environmental status and temporal trends</w:t>
      </w:r>
      <w:bookmarkEnd w:id="8"/>
    </w:p>
    <w:p w:rsidR="00DF6EB5" w:rsidRPr="00474235" w:rsidRDefault="00DF6EB5" w:rsidP="00DF6EB5">
      <w:pPr>
        <w:rPr>
          <w:lang w:val="en-GB"/>
        </w:rPr>
      </w:pPr>
      <w:r w:rsidRPr="00474235">
        <w:rPr>
          <w:lang w:val="en-GB"/>
        </w:rPr>
        <w:t>Environmental status and temporal trends are assessed using the model fitted to the concentration data.</w:t>
      </w:r>
    </w:p>
    <w:p w:rsidR="00DF6EB5" w:rsidRPr="00474235" w:rsidRDefault="00DF6EB5" w:rsidP="00DF6EB5">
      <w:pPr>
        <w:rPr>
          <w:lang w:val="en-GB"/>
        </w:rPr>
      </w:pPr>
      <w:r w:rsidRPr="00474235">
        <w:rPr>
          <w:lang w:val="en-GB"/>
        </w:rPr>
        <w:t>Environmental status is assessed by:</w:t>
      </w:r>
    </w:p>
    <w:p w:rsidR="00DF6EB5" w:rsidRPr="00474235" w:rsidRDefault="00DF6EB5" w:rsidP="00DF6EB5">
      <w:pPr>
        <w:rPr>
          <w:lang w:val="en-GB"/>
        </w:rPr>
      </w:pPr>
      <w:proofErr w:type="gramStart"/>
      <w:r w:rsidRPr="00474235">
        <w:rPr>
          <w:lang w:val="en-GB"/>
        </w:rPr>
        <w:t>calculating</w:t>
      </w:r>
      <w:proofErr w:type="gramEnd"/>
      <w:r w:rsidRPr="00474235">
        <w:rPr>
          <w:lang w:val="en-GB"/>
        </w:rPr>
        <w:t xml:space="preserve"> the upper one-sided 95% confidence limit on the fitted mean log concentration in the most recent monitoring year</w:t>
      </w:r>
      <w:r w:rsidRPr="00474235">
        <w:rPr>
          <w:rStyle w:val="FootnoteReference"/>
          <w:lang w:val="en-GB"/>
        </w:rPr>
        <w:footnoteReference w:id="5"/>
      </w:r>
    </w:p>
    <w:p w:rsidR="00DF6EB5" w:rsidRPr="00474235" w:rsidRDefault="00DF6EB5" w:rsidP="00DF6EB5">
      <w:pPr>
        <w:rPr>
          <w:lang w:val="en-GB"/>
        </w:rPr>
      </w:pPr>
      <w:proofErr w:type="gramStart"/>
      <w:r w:rsidRPr="00474235">
        <w:rPr>
          <w:lang w:val="en-GB"/>
        </w:rPr>
        <w:t>back-transforming</w:t>
      </w:r>
      <w:proofErr w:type="gramEnd"/>
      <w:r w:rsidRPr="00474235">
        <w:rPr>
          <w:lang w:val="en-GB"/>
        </w:rPr>
        <w:t xml:space="preserve"> this to the concentration scale</w:t>
      </w:r>
    </w:p>
    <w:p w:rsidR="00DF6EB5" w:rsidRPr="00474235" w:rsidRDefault="00DF6EB5" w:rsidP="00DF6EB5">
      <w:pPr>
        <w:rPr>
          <w:lang w:val="en-GB"/>
        </w:rPr>
      </w:pPr>
      <w:proofErr w:type="gramStart"/>
      <w:r w:rsidRPr="00474235">
        <w:rPr>
          <w:lang w:val="en-GB"/>
        </w:rPr>
        <w:t>comparing</w:t>
      </w:r>
      <w:proofErr w:type="gramEnd"/>
      <w:r w:rsidRPr="00474235">
        <w:rPr>
          <w:lang w:val="en-GB"/>
        </w:rPr>
        <w:t xml:space="preserve"> the back-transformed upper confidence limit to the available assessment criteria</w:t>
      </w:r>
    </w:p>
    <w:p w:rsidR="00DF6EB5" w:rsidRPr="00474235" w:rsidRDefault="00DF6EB5" w:rsidP="00DF6EB5">
      <w:pPr>
        <w:rPr>
          <w:lang w:val="en-GB"/>
        </w:rPr>
      </w:pPr>
      <w:r w:rsidRPr="00474235">
        <w:rPr>
          <w:lang w:val="en-GB"/>
        </w:rPr>
        <w:t>For example, if the back-transformed upper confidence limit is below the Background Assessment Concentration (BAC), then the median concentration in the most recent monitoring year is significantly below the BAC and concentrations are said to be ‘at background’. For an example, see Fryer &amp; Nicholson (1999).</w:t>
      </w:r>
    </w:p>
    <w:p w:rsidR="00DF6EB5" w:rsidRPr="00474235" w:rsidRDefault="00DF6EB5" w:rsidP="00DF6EB5">
      <w:pPr>
        <w:rPr>
          <w:lang w:val="en-GB"/>
        </w:rPr>
      </w:pPr>
      <w:r w:rsidRPr="00474235">
        <w:rPr>
          <w:lang w:val="en-GB"/>
        </w:rPr>
        <w:t xml:space="preserve">No formal assessment of status is made when there </w:t>
      </w:r>
      <w:proofErr w:type="gramStart"/>
      <w:r w:rsidRPr="00474235">
        <w:rPr>
          <w:lang w:val="en-GB"/>
        </w:rPr>
        <w:t>are</w:t>
      </w:r>
      <w:proofErr w:type="gramEnd"/>
      <w:r w:rsidRPr="00474235">
        <w:rPr>
          <w:lang w:val="en-GB"/>
        </w:rPr>
        <w:t xml:space="preserve"> only 1 or 2 years of data. However, an ad-hoc assessment is made by:</w:t>
      </w:r>
    </w:p>
    <w:p w:rsidR="00DF6EB5" w:rsidRPr="00474235" w:rsidRDefault="00DF6EB5" w:rsidP="00DF6EB5">
      <w:pPr>
        <w:rPr>
          <w:lang w:val="en-GB"/>
        </w:rPr>
      </w:pPr>
      <w:proofErr w:type="gramStart"/>
      <w:r w:rsidRPr="00474235">
        <w:rPr>
          <w:lang w:val="en-GB"/>
        </w:rPr>
        <w:t>calculating</w:t>
      </w:r>
      <w:proofErr w:type="gramEnd"/>
      <w:r w:rsidRPr="00474235">
        <w:rPr>
          <w:lang w:val="en-GB"/>
        </w:rPr>
        <w:t xml:space="preserve"> the median of the log concentration measurements in each year</w:t>
      </w:r>
      <w:r w:rsidR="00B53DED" w:rsidRPr="00474235">
        <w:rPr>
          <w:lang w:val="en-GB"/>
        </w:rPr>
        <w:t xml:space="preserve"> </w:t>
      </w:r>
      <w:r w:rsidRPr="00474235">
        <w:rPr>
          <w:lang w:val="en-GB"/>
        </w:rPr>
        <w:t>back-transforming these to the concentration scale</w:t>
      </w:r>
      <w:r w:rsidR="00B53DED" w:rsidRPr="00474235">
        <w:rPr>
          <w:lang w:val="en-GB"/>
        </w:rPr>
        <w:t xml:space="preserve"> </w:t>
      </w:r>
      <w:r w:rsidRPr="00474235">
        <w:rPr>
          <w:lang w:val="en-GB"/>
        </w:rPr>
        <w:t>comparing the back-transformed median log concentration (1 year) or the larger of the two back-transformed median log concentrations (2 years) to the assessment criteria.</w:t>
      </w:r>
    </w:p>
    <w:p w:rsidR="00DF6EB5" w:rsidRPr="00474235" w:rsidRDefault="00DF6EB5" w:rsidP="00DF6EB5">
      <w:pPr>
        <w:rPr>
          <w:lang w:val="en-GB"/>
        </w:rPr>
      </w:pPr>
      <w:r w:rsidRPr="00474235">
        <w:rPr>
          <w:lang w:val="en-GB"/>
        </w:rPr>
        <w:t xml:space="preserve">Temporal trends are assessed for </w:t>
      </w:r>
      <w:proofErr w:type="spellStart"/>
      <w:r w:rsidRPr="00474235">
        <w:rPr>
          <w:lang w:val="en-GB"/>
        </w:rPr>
        <w:t>all time</w:t>
      </w:r>
      <w:proofErr w:type="spellEnd"/>
      <w:r w:rsidRPr="00474235">
        <w:rPr>
          <w:lang w:val="en-GB"/>
        </w:rPr>
        <w:t xml:space="preserve"> series with at least five years of data. When a linear model has been fitted (i.e. when there are 5-6 years of data, or if there are 7+ years of data and no evidence of nonlinearity), the statistical significance of the temporal trend is obtain</w:t>
      </w:r>
      <w:r w:rsidR="00AC7E8C" w:rsidRPr="00474235">
        <w:rPr>
          <w:lang w:val="en-GB"/>
        </w:rPr>
        <w:t>ed from a likelihood ratio test</w:t>
      </w:r>
      <w:r w:rsidR="00AC7E8C" w:rsidRPr="00474235">
        <w:rPr>
          <w:rStyle w:val="FootnoteReference"/>
          <w:lang w:val="en-GB"/>
        </w:rPr>
        <w:footnoteReference w:id="6"/>
      </w:r>
      <w:r w:rsidRPr="00474235">
        <w:rPr>
          <w:lang w:val="en-GB"/>
        </w:rPr>
        <w:t xml:space="preserve"> that compares the fits of the linear model </w:t>
      </w:r>
      <w:proofErr w:type="gramStart"/>
      <w:r w:rsidRPr="00474235">
        <w:rPr>
          <w:lang w:val="en-GB"/>
        </w:rPr>
        <w:t>f(</w:t>
      </w:r>
      <w:proofErr w:type="gramEnd"/>
      <w:r w:rsidRPr="00474235">
        <w:rPr>
          <w:lang w:val="en-GB"/>
        </w:rPr>
        <w:t>year)=μ+βyear  and the mean model f(year)=μ. The summary maps show a downward or upward trend if the trend is significant at the 5% significance level.</w:t>
      </w:r>
    </w:p>
    <w:p w:rsidR="00DF6EB5" w:rsidRPr="00474235" w:rsidRDefault="00DF6EB5" w:rsidP="00DF6EB5">
      <w:pPr>
        <w:rPr>
          <w:lang w:val="en-GB"/>
        </w:rPr>
      </w:pPr>
      <w:r w:rsidRPr="00474235">
        <w:rPr>
          <w:lang w:val="en-GB"/>
        </w:rPr>
        <w:t xml:space="preserve">When a smooth model has been fitted, a plot of the fitted model is needed to understand the overall pattern of change. (This is available on the </w:t>
      </w:r>
      <w:proofErr w:type="gramStart"/>
      <w:r w:rsidRPr="00474235">
        <w:rPr>
          <w:lang w:val="en-GB"/>
        </w:rPr>
        <w:t>Raw</w:t>
      </w:r>
      <w:proofErr w:type="gramEnd"/>
      <w:r w:rsidRPr="00474235">
        <w:rPr>
          <w:lang w:val="en-GB"/>
        </w:rPr>
        <w:t xml:space="preserve"> data with assessment and Assessment pages on the right side of the summary map under Graphics.) The summary map focusses on just one aspect of the change over time: the change in concentration in the most recent twenty monitoring years; i.e. between 1995 and 2014 (the assessment only includes data up to 2014). For this, the fitted value of the smoother in 2014 is compared to the fitted value in 1995 using a t-test, with significance assessed at the 5% level. The correlation between the two fitted values is accounted for by the t-test. If the time series does not extend to 2014, then the fitted value in the last monitoring year is used instead. Similarly, if the time series starts after 1995, the fitted value in the first monitoring year is used.</w:t>
      </w:r>
    </w:p>
    <w:p w:rsidR="00E62025" w:rsidRPr="00474235" w:rsidRDefault="00E62025" w:rsidP="00DF6EB5">
      <w:pPr>
        <w:rPr>
          <w:i/>
          <w:lang w:val="en-GB"/>
        </w:rPr>
      </w:pPr>
      <w:r w:rsidRPr="00474235">
        <w:rPr>
          <w:i/>
          <w:lang w:val="en-GB"/>
        </w:rPr>
        <w:t>Reference:</w:t>
      </w:r>
    </w:p>
    <w:p w:rsidR="00DF6EB5" w:rsidRPr="00474235" w:rsidRDefault="00DF6EB5" w:rsidP="00DF6EB5">
      <w:pPr>
        <w:rPr>
          <w:lang w:val="en-GB"/>
        </w:rPr>
      </w:pPr>
      <w:proofErr w:type="gramStart"/>
      <w:r w:rsidRPr="00474235">
        <w:rPr>
          <w:lang w:val="en-GB"/>
        </w:rPr>
        <w:t>Fryer RJ &amp; Nicholson MD, 1999.</w:t>
      </w:r>
      <w:proofErr w:type="gramEnd"/>
      <w:r w:rsidRPr="00474235">
        <w:rPr>
          <w:lang w:val="en-GB"/>
        </w:rPr>
        <w:t xml:space="preserve"> </w:t>
      </w:r>
      <w:proofErr w:type="gramStart"/>
      <w:r w:rsidRPr="00474235">
        <w:rPr>
          <w:lang w:val="en-GB"/>
        </w:rPr>
        <w:t>Using smoothers for comprehensive assessments of contaminant time series in marine biota.</w:t>
      </w:r>
      <w:proofErr w:type="gramEnd"/>
      <w:r w:rsidRPr="00474235">
        <w:rPr>
          <w:lang w:val="en-GB"/>
        </w:rPr>
        <w:t xml:space="preserve"> ICES Journal of Marine Science 56: 779-790.</w:t>
      </w:r>
    </w:p>
    <w:p w:rsidR="00AC7E8C" w:rsidRPr="00474235" w:rsidRDefault="00AC7E8C" w:rsidP="00552FB8">
      <w:pPr>
        <w:pStyle w:val="Heading2"/>
        <w:rPr>
          <w:rFonts w:ascii="Calibri" w:hAnsi="Calibri"/>
        </w:rPr>
      </w:pPr>
      <w:bookmarkStart w:id="9" w:name="_Toc486935804"/>
      <w:r w:rsidRPr="00474235">
        <w:rPr>
          <w:rFonts w:ascii="Calibri" w:hAnsi="Calibri"/>
        </w:rPr>
        <w:t>Assessment criteria: Metals in biota</w:t>
      </w:r>
      <w:bookmarkEnd w:id="9"/>
    </w:p>
    <w:p w:rsidR="00AC7E8C" w:rsidRPr="00474235" w:rsidRDefault="00AC7E8C" w:rsidP="00AC7E8C">
      <w:pPr>
        <w:pStyle w:val="NormalWeb"/>
        <w:rPr>
          <w:rFonts w:ascii="Calibri" w:hAnsi="Calibri"/>
          <w:color w:val="000000"/>
          <w:sz w:val="22"/>
          <w:szCs w:val="22"/>
          <w:lang w:val="en-GB"/>
        </w:rPr>
      </w:pPr>
      <w:r w:rsidRPr="00474235">
        <w:rPr>
          <w:rFonts w:ascii="Calibri" w:hAnsi="Calibri"/>
          <w:color w:val="000000"/>
          <w:sz w:val="22"/>
          <w:szCs w:val="22"/>
          <w:lang w:val="en-GB"/>
        </w:rPr>
        <w:t>Two assessment criteria are used to assess metal concentrations in biota: the </w:t>
      </w:r>
    </w:p>
    <w:p w:rsidR="00AC7E8C" w:rsidRPr="00474235" w:rsidRDefault="00AC7E8C" w:rsidP="00AC7E8C">
      <w:pPr>
        <w:numPr>
          <w:ilvl w:val="0"/>
          <w:numId w:val="1"/>
        </w:numPr>
        <w:spacing w:before="100" w:beforeAutospacing="1" w:after="100" w:afterAutospacing="1"/>
        <w:rPr>
          <w:rFonts w:eastAsia="Times New Roman" w:cs="Times New Roman"/>
          <w:color w:val="000000"/>
          <w:szCs w:val="22"/>
          <w:lang w:val="en-GB"/>
        </w:rPr>
      </w:pPr>
      <w:r w:rsidRPr="00474235">
        <w:rPr>
          <w:rFonts w:eastAsia="Times New Roman" w:cs="Times New Roman"/>
          <w:b/>
          <w:bCs/>
          <w:color w:val="000000"/>
          <w:szCs w:val="22"/>
          <w:lang w:val="en-GB"/>
        </w:rPr>
        <w:t>B</w:t>
      </w:r>
      <w:r w:rsidRPr="00474235">
        <w:rPr>
          <w:rFonts w:eastAsia="Times New Roman" w:cs="Times New Roman"/>
          <w:color w:val="000000"/>
          <w:szCs w:val="22"/>
          <w:lang w:val="en-GB"/>
        </w:rPr>
        <w:t>ackground</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A</w:t>
      </w:r>
      <w:r w:rsidRPr="00474235">
        <w:rPr>
          <w:rFonts w:eastAsia="Times New Roman" w:cs="Times New Roman"/>
          <w:color w:val="000000"/>
          <w:szCs w:val="22"/>
          <w:lang w:val="en-GB"/>
        </w:rPr>
        <w:t>ssessment</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C</w:t>
      </w:r>
      <w:r w:rsidRPr="00474235">
        <w:rPr>
          <w:rFonts w:eastAsia="Times New Roman" w:cs="Times New Roman"/>
          <w:color w:val="000000"/>
          <w:szCs w:val="22"/>
          <w:lang w:val="en-GB"/>
        </w:rPr>
        <w:t>oncentration (BAC)</w:t>
      </w:r>
    </w:p>
    <w:p w:rsidR="00AC7E8C" w:rsidRPr="00474235" w:rsidRDefault="00AC7E8C" w:rsidP="00AC7E8C">
      <w:pPr>
        <w:numPr>
          <w:ilvl w:val="0"/>
          <w:numId w:val="1"/>
        </w:numPr>
        <w:spacing w:before="100" w:beforeAutospacing="1" w:after="100" w:afterAutospacing="1"/>
        <w:rPr>
          <w:rFonts w:eastAsia="Times New Roman" w:cs="Times New Roman"/>
          <w:color w:val="000000"/>
          <w:szCs w:val="22"/>
          <w:lang w:val="en-GB"/>
        </w:rPr>
      </w:pPr>
      <w:r w:rsidRPr="00474235">
        <w:rPr>
          <w:rFonts w:eastAsia="Times New Roman" w:cs="Times New Roman"/>
          <w:b/>
          <w:bCs/>
          <w:color w:val="000000"/>
          <w:szCs w:val="22"/>
          <w:lang w:val="en-GB"/>
        </w:rPr>
        <w:t>E</w:t>
      </w:r>
      <w:r w:rsidRPr="00474235">
        <w:rPr>
          <w:rFonts w:eastAsia="Times New Roman" w:cs="Times New Roman"/>
          <w:color w:val="000000"/>
          <w:szCs w:val="22"/>
          <w:lang w:val="en-GB"/>
        </w:rPr>
        <w:t>uropean</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C</w:t>
      </w:r>
      <w:r w:rsidRPr="00474235">
        <w:rPr>
          <w:rFonts w:eastAsia="Times New Roman" w:cs="Times New Roman"/>
          <w:color w:val="000000"/>
          <w:szCs w:val="22"/>
          <w:lang w:val="en-GB"/>
        </w:rPr>
        <w:t>ommission food standard</w:t>
      </w:r>
      <w:r w:rsidRPr="00474235">
        <w:rPr>
          <w:rStyle w:val="apple-converted-space"/>
          <w:rFonts w:eastAsia="Times New Roman" w:cs="Times New Roman"/>
          <w:color w:val="000000"/>
          <w:szCs w:val="22"/>
          <w:lang w:val="en-GB"/>
        </w:rPr>
        <w:t> </w:t>
      </w:r>
      <w:r w:rsidRPr="00474235">
        <w:rPr>
          <w:rFonts w:eastAsia="Times New Roman" w:cs="Times New Roman"/>
          <w:color w:val="000000"/>
          <w:szCs w:val="22"/>
          <w:lang w:val="en-GB"/>
        </w:rPr>
        <w:t>(EC)</w:t>
      </w:r>
    </w:p>
    <w:p w:rsidR="00AC7E8C" w:rsidRPr="00474235" w:rsidRDefault="00AC7E8C" w:rsidP="00AC7E8C">
      <w:pPr>
        <w:rPr>
          <w:rFonts w:eastAsia="Times New Roman" w:cs="Times New Roman"/>
          <w:color w:val="000000"/>
          <w:szCs w:val="22"/>
          <w:lang w:val="en-GB"/>
        </w:rPr>
      </w:pPr>
      <w:r w:rsidRPr="00474235">
        <w:rPr>
          <w:rFonts w:eastAsia="Times New Roman" w:cs="Times New Roman"/>
          <w:color w:val="000000"/>
          <w:szCs w:val="22"/>
          <w:lang w:val="en-GB"/>
        </w:rPr>
        <w:t>BACs were developed by the</w:t>
      </w:r>
      <w:r w:rsidRPr="00474235">
        <w:rPr>
          <w:rStyle w:val="apple-converted-space"/>
          <w:rFonts w:eastAsia="Times New Roman" w:cs="Times New Roman"/>
          <w:color w:val="000000"/>
          <w:szCs w:val="22"/>
          <w:lang w:val="en-GB"/>
        </w:rPr>
        <w:t> </w:t>
      </w:r>
      <w:hyperlink r:id="rId11" w:history="1">
        <w:r w:rsidRPr="00474235">
          <w:rPr>
            <w:rStyle w:val="Hyperlink"/>
            <w:rFonts w:eastAsia="Times New Roman" w:cs="Times New Roman"/>
            <w:szCs w:val="22"/>
            <w:lang w:val="en-GB"/>
          </w:rPr>
          <w:t>Oslo and Paris Commission</w:t>
        </w:r>
      </w:hyperlink>
      <w:r w:rsidRPr="00474235">
        <w:rPr>
          <w:rStyle w:val="apple-converted-space"/>
          <w:rFonts w:eastAsia="Times New Roman" w:cs="Times New Roman"/>
          <w:color w:val="000000"/>
          <w:szCs w:val="22"/>
          <w:lang w:val="en-GB"/>
        </w:rPr>
        <w:t> </w:t>
      </w:r>
      <w:r w:rsidRPr="00474235">
        <w:rPr>
          <w:rFonts w:eastAsia="Times New Roman" w:cs="Times New Roman"/>
          <w:color w:val="000000"/>
          <w:szCs w:val="22"/>
          <w:lang w:val="en-GB"/>
        </w:rPr>
        <w:t xml:space="preserve">(OSPAR) for testing whether concentrations are near background levels.  Mean concentrations significantly below the BAC </w:t>
      </w:r>
      <w:r w:rsidR="004E50E6" w:rsidRPr="00474235">
        <w:rPr>
          <w:rFonts w:eastAsia="Times New Roman" w:cs="Times New Roman"/>
          <w:color w:val="000000"/>
          <w:szCs w:val="22"/>
          <w:lang w:val="en-GB"/>
        </w:rPr>
        <w:t>are said to be near background.</w:t>
      </w:r>
      <w:r w:rsidRPr="00474235">
        <w:rPr>
          <w:rFonts w:eastAsia="Times New Roman" w:cs="Times New Roman"/>
          <w:color w:val="000000"/>
          <w:szCs w:val="22"/>
          <w:lang w:val="en-GB"/>
        </w:rPr>
        <w:br/>
      </w:r>
      <w:hyperlink r:id="rId12" w:history="1">
        <w:r w:rsidRPr="00474235">
          <w:rPr>
            <w:rStyle w:val="Hyperlink"/>
            <w:rFonts w:eastAsia="Times New Roman" w:cs="Times New Roman"/>
            <w:szCs w:val="22"/>
            <w:lang w:val="en-GB"/>
          </w:rPr>
          <w:t>ECs</w:t>
        </w:r>
      </w:hyperlink>
      <w:r w:rsidRPr="00474235">
        <w:rPr>
          <w:rStyle w:val="apple-converted-space"/>
          <w:rFonts w:eastAsia="Times New Roman" w:cs="Times New Roman"/>
          <w:color w:val="000000"/>
          <w:szCs w:val="22"/>
          <w:lang w:val="en-GB"/>
        </w:rPr>
        <w:t> </w:t>
      </w:r>
      <w:r w:rsidRPr="00474235">
        <w:rPr>
          <w:rFonts w:eastAsia="Times New Roman" w:cs="Times New Roman"/>
          <w:color w:val="000000"/>
          <w:szCs w:val="22"/>
          <w:lang w:val="en-GB"/>
        </w:rPr>
        <w:t>have been used in the absence of any satisfactory criteria for assessing the ecological significance of biota concentrations.  ECs are the maximum acceptable concentrations in food for the pr</w:t>
      </w:r>
      <w:r w:rsidR="004E50E6" w:rsidRPr="00474235">
        <w:rPr>
          <w:rFonts w:eastAsia="Times New Roman" w:cs="Times New Roman"/>
          <w:color w:val="000000"/>
          <w:szCs w:val="22"/>
          <w:lang w:val="en-GB"/>
        </w:rPr>
        <w:t>otection of public health.</w:t>
      </w:r>
      <w:r w:rsidRPr="00474235">
        <w:rPr>
          <w:rFonts w:eastAsia="Times New Roman" w:cs="Times New Roman"/>
          <w:color w:val="000000"/>
          <w:szCs w:val="22"/>
          <w:lang w:val="en-GB"/>
        </w:rPr>
        <w:br/>
        <w:t>BACs and ECs are available for the following metals</w:t>
      </w:r>
      <w:r w:rsidR="00001406" w:rsidRPr="00474235">
        <w:rPr>
          <w:rFonts w:eastAsia="Times New Roman" w:cs="Times New Roman"/>
          <w:color w:val="000000"/>
          <w:szCs w:val="22"/>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916"/>
        <w:gridCol w:w="799"/>
        <w:gridCol w:w="754"/>
        <w:gridCol w:w="620"/>
        <w:gridCol w:w="1013"/>
      </w:tblGrid>
      <w:tr w:rsidR="00AC7E8C" w:rsidRPr="00474235" w:rsidTr="004E50E6">
        <w:trPr>
          <w:tblHeader/>
        </w:trPr>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r w:rsidRPr="00474235">
              <w:rPr>
                <w:rFonts w:eastAsia="Times New Roman" w:cs="Times New Roman"/>
                <w:b/>
                <w:color w:val="000000"/>
                <w:szCs w:val="22"/>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r w:rsidRPr="00474235">
              <w:rPr>
                <w:rFonts w:eastAsia="Times New Roman" w:cs="Times New Roman"/>
                <w:b/>
                <w:color w:val="000000"/>
                <w:szCs w:val="22"/>
                <w:lang w:val="en-GB"/>
              </w:rPr>
              <w:t>EC</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pPr>
              <w:jc w:val="center"/>
              <w:rPr>
                <w:rFonts w:eastAsia="Times New Roman" w:cs="Times New Roman"/>
                <w:b/>
                <w:color w:val="000000"/>
                <w:szCs w:val="22"/>
                <w:lang w:val="en-GB"/>
              </w:rPr>
            </w:pPr>
            <w:r w:rsidRPr="00474235">
              <w:rPr>
                <w:rFonts w:eastAsia="Times New Roman" w:cs="Times New Roman"/>
                <w:b/>
                <w:color w:val="000000"/>
                <w:szCs w:val="22"/>
                <w:lang w:val="en-GB"/>
              </w:rPr>
              <w:t>M</w:t>
            </w:r>
            <w:r w:rsidR="00AC7E8C" w:rsidRPr="00474235">
              <w:rPr>
                <w:rFonts w:eastAsia="Times New Roman" w:cs="Times New Roman"/>
                <w:b/>
                <w:color w:val="000000"/>
                <w:szCs w:val="22"/>
                <w:lang w:val="en-GB"/>
              </w:rPr>
              <w:t>ussels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pPr>
              <w:jc w:val="center"/>
              <w:rPr>
                <w:rFonts w:eastAsia="Times New Roman" w:cs="Times New Roman"/>
                <w:b/>
                <w:color w:val="000000"/>
                <w:szCs w:val="22"/>
                <w:lang w:val="en-GB"/>
              </w:rPr>
            </w:pPr>
            <w:r w:rsidRPr="00474235">
              <w:rPr>
                <w:rFonts w:eastAsia="Times New Roman" w:cs="Times New Roman"/>
                <w:b/>
                <w:color w:val="000000"/>
                <w:szCs w:val="22"/>
                <w:lang w:val="en-GB"/>
              </w:rPr>
              <w:t>O</w:t>
            </w:r>
            <w:r w:rsidR="00AC7E8C" w:rsidRPr="00474235">
              <w:rPr>
                <w:rFonts w:eastAsia="Times New Roman" w:cs="Times New Roman"/>
                <w:b/>
                <w:color w:val="000000"/>
                <w:szCs w:val="22"/>
                <w:lang w:val="en-GB"/>
              </w:rPr>
              <w:t>ysters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4E50E6">
            <w:pPr>
              <w:jc w:val="center"/>
              <w:rPr>
                <w:rFonts w:eastAsia="Times New Roman" w:cs="Times New Roman"/>
                <w:b/>
                <w:color w:val="000000"/>
                <w:szCs w:val="22"/>
                <w:lang w:val="en-GB"/>
              </w:rPr>
            </w:pPr>
            <w:r w:rsidRPr="00474235">
              <w:rPr>
                <w:rFonts w:eastAsia="Times New Roman" w:cs="Times New Roman"/>
                <w:b/>
                <w:color w:val="000000"/>
                <w:szCs w:val="22"/>
                <w:lang w:val="en-GB"/>
              </w:rPr>
              <w:t>  </w:t>
            </w:r>
            <w:r w:rsidR="004E50E6" w:rsidRPr="00474235">
              <w:rPr>
                <w:rFonts w:eastAsia="Times New Roman" w:cs="Times New Roman"/>
                <w:b/>
                <w:color w:val="000000"/>
                <w:szCs w:val="22"/>
                <w:lang w:val="en-GB"/>
              </w:rPr>
              <w:t>F</w:t>
            </w:r>
            <w:r w:rsidRPr="00474235">
              <w:rPr>
                <w:rFonts w:eastAsia="Times New Roman" w:cs="Times New Roman"/>
                <w:b/>
                <w:color w:val="000000"/>
                <w:szCs w:val="22"/>
                <w:lang w:val="en-GB"/>
              </w:rPr>
              <w:t>ish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pPr>
              <w:jc w:val="center"/>
              <w:rPr>
                <w:rFonts w:eastAsia="Times New Roman" w:cs="Times New Roman"/>
                <w:b/>
                <w:color w:val="000000"/>
                <w:szCs w:val="22"/>
                <w:lang w:val="en-GB"/>
              </w:rPr>
            </w:pPr>
            <w:r w:rsidRPr="00474235">
              <w:rPr>
                <w:rFonts w:eastAsia="Times New Roman" w:cs="Times New Roman"/>
                <w:b/>
                <w:color w:val="000000"/>
                <w:szCs w:val="22"/>
                <w:lang w:val="en-GB"/>
              </w:rPr>
              <w:t>A</w:t>
            </w:r>
            <w:r w:rsidR="00AC7E8C" w:rsidRPr="00474235">
              <w:rPr>
                <w:rFonts w:eastAsia="Times New Roman" w:cs="Times New Roman"/>
                <w:b/>
                <w:color w:val="000000"/>
                <w:szCs w:val="22"/>
                <w:lang w:val="en-GB"/>
              </w:rPr>
              <w:t>ll species</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Cadmium</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  960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3000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26</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1000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Copper</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6000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6000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Mercury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    90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  180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35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  500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Lead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1300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1300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26</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1500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Zinc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63000  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63000  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r>
    </w:tbl>
    <w:p w:rsidR="00AC7E8C" w:rsidRPr="00474235" w:rsidRDefault="00AC7E8C" w:rsidP="00001406">
      <w:pPr>
        <w:rPr>
          <w:rFonts w:eastAsia="Times New Roman" w:cs="Times New Roman"/>
          <w:color w:val="000000"/>
          <w:szCs w:val="22"/>
          <w:lang w:val="en-GB"/>
        </w:rPr>
      </w:pPr>
      <w:r w:rsidRPr="00474235">
        <w:rPr>
          <w:rFonts w:eastAsia="Times New Roman" w:cs="Times New Roman"/>
          <w:color w:val="000000"/>
          <w:szCs w:val="22"/>
          <w:lang w:val="en-GB"/>
        </w:rPr>
        <w:t>Notes</w:t>
      </w:r>
      <w:proofErr w:type="gramStart"/>
      <w:r w:rsidRPr="00474235">
        <w:rPr>
          <w:rFonts w:eastAsia="Times New Roman" w:cs="Times New Roman"/>
          <w:color w:val="000000"/>
          <w:szCs w:val="22"/>
          <w:lang w:val="en-GB"/>
        </w:rPr>
        <w:t>:</w:t>
      </w:r>
      <w:proofErr w:type="gramEnd"/>
      <w:r w:rsidRPr="00474235">
        <w:rPr>
          <w:rFonts w:eastAsia="Times New Roman" w:cs="Times New Roman"/>
          <w:color w:val="000000"/>
          <w:szCs w:val="22"/>
          <w:lang w:val="en-GB"/>
        </w:rPr>
        <w:br/>
        <w:t>BACs for mussels and oysters are expressed as </w:t>
      </w:r>
      <w:proofErr w:type="spellStart"/>
      <w:r w:rsidRPr="00474235">
        <w:rPr>
          <w:rFonts w:eastAsia="Times New Roman" w:cs="Times New Roman"/>
          <w:color w:val="000000"/>
          <w:szCs w:val="22"/>
          <w:lang w:val="en-GB"/>
        </w:rPr>
        <w:t>μg</w:t>
      </w:r>
      <w:proofErr w:type="spellEnd"/>
      <w:r w:rsidRPr="00474235">
        <w:rPr>
          <w:rFonts w:eastAsia="Times New Roman" w:cs="Times New Roman"/>
          <w:color w:val="000000"/>
          <w:szCs w:val="22"/>
          <w:lang w:val="en-GB"/>
        </w:rPr>
        <w:t> kg</w:t>
      </w:r>
      <w:r w:rsidRPr="00474235">
        <w:rPr>
          <w:rFonts w:eastAsia="Times New Roman" w:cs="Times New Roman"/>
          <w:color w:val="000000"/>
          <w:szCs w:val="22"/>
          <w:vertAlign w:val="superscript"/>
          <w:lang w:val="en-GB"/>
        </w:rPr>
        <w:t>-1</w:t>
      </w:r>
      <w:r w:rsidRPr="00474235">
        <w:rPr>
          <w:rFonts w:eastAsia="Times New Roman" w:cs="Times New Roman"/>
          <w:color w:val="000000"/>
          <w:szCs w:val="22"/>
          <w:lang w:val="en-GB"/>
        </w:rPr>
        <w:t> </w:t>
      </w:r>
      <w:proofErr w:type="spellStart"/>
      <w:r w:rsidRPr="00474235">
        <w:rPr>
          <w:rFonts w:eastAsia="Times New Roman" w:cs="Times New Roman"/>
          <w:color w:val="000000"/>
          <w:szCs w:val="22"/>
          <w:lang w:val="en-GB"/>
        </w:rPr>
        <w:t>dw</w:t>
      </w:r>
      <w:proofErr w:type="spellEnd"/>
      <w:r w:rsidRPr="00474235">
        <w:rPr>
          <w:rFonts w:eastAsia="Times New Roman" w:cs="Times New Roman"/>
          <w:color w:val="000000"/>
          <w:szCs w:val="22"/>
          <w:lang w:val="en-GB"/>
        </w:rPr>
        <w:t xml:space="preserve"> and BACs for fish and ECs are expressed as </w:t>
      </w:r>
      <w:proofErr w:type="spellStart"/>
      <w:r w:rsidRPr="00474235">
        <w:rPr>
          <w:rFonts w:eastAsia="Times New Roman" w:cs="Times New Roman"/>
          <w:color w:val="000000"/>
          <w:szCs w:val="22"/>
          <w:lang w:val="en-GB"/>
        </w:rPr>
        <w:t>μg</w:t>
      </w:r>
      <w:proofErr w:type="spellEnd"/>
      <w:r w:rsidRPr="00474235">
        <w:rPr>
          <w:rFonts w:eastAsia="Times New Roman" w:cs="Times New Roman"/>
          <w:color w:val="000000"/>
          <w:szCs w:val="22"/>
          <w:lang w:val="en-GB"/>
        </w:rPr>
        <w:t> kg</w:t>
      </w:r>
      <w:r w:rsidRPr="00474235">
        <w:rPr>
          <w:rFonts w:eastAsia="Times New Roman" w:cs="Times New Roman"/>
          <w:color w:val="000000"/>
          <w:szCs w:val="22"/>
          <w:vertAlign w:val="superscript"/>
          <w:lang w:val="en-GB"/>
        </w:rPr>
        <w:t>-1</w:t>
      </w:r>
      <w:r w:rsidRPr="00474235">
        <w:rPr>
          <w:rFonts w:eastAsia="Times New Roman" w:cs="Times New Roman"/>
          <w:color w:val="000000"/>
          <w:szCs w:val="22"/>
          <w:lang w:val="en-GB"/>
        </w:rPr>
        <w:t> </w:t>
      </w:r>
      <w:proofErr w:type="spellStart"/>
      <w:r w:rsidRPr="00474235">
        <w:rPr>
          <w:rFonts w:eastAsia="Times New Roman" w:cs="Times New Roman"/>
          <w:color w:val="000000"/>
          <w:szCs w:val="22"/>
          <w:lang w:val="en-GB"/>
        </w:rPr>
        <w:t>ww</w:t>
      </w:r>
      <w:proofErr w:type="spellEnd"/>
    </w:p>
    <w:p w:rsidR="00AC7E8C" w:rsidRPr="00474235" w:rsidRDefault="00AC7E8C" w:rsidP="00AC7E8C">
      <w:pPr>
        <w:numPr>
          <w:ilvl w:val="0"/>
          <w:numId w:val="2"/>
        </w:numPr>
        <w:spacing w:before="100" w:beforeAutospacing="1" w:after="100" w:afterAutospacing="1"/>
        <w:rPr>
          <w:rFonts w:eastAsia="Times New Roman" w:cs="Times New Roman"/>
          <w:color w:val="000000"/>
          <w:szCs w:val="22"/>
          <w:lang w:val="en-GB"/>
        </w:rPr>
      </w:pPr>
      <w:r w:rsidRPr="00474235">
        <w:rPr>
          <w:rFonts w:eastAsia="Times New Roman" w:cs="Times New Roman"/>
          <w:color w:val="000000"/>
          <w:szCs w:val="22"/>
          <w:lang w:val="en-GB"/>
        </w:rPr>
        <w:t xml:space="preserve">cadmium and </w:t>
      </w:r>
      <w:r w:rsidR="00644F28" w:rsidRPr="00474235">
        <w:rPr>
          <w:rFonts w:eastAsia="Times New Roman" w:cs="Times New Roman"/>
          <w:color w:val="000000"/>
          <w:szCs w:val="22"/>
          <w:lang w:val="en-GB"/>
        </w:rPr>
        <w:t xml:space="preserve">lead </w:t>
      </w:r>
      <w:r w:rsidRPr="00474235">
        <w:rPr>
          <w:rFonts w:eastAsia="Times New Roman" w:cs="Times New Roman"/>
          <w:color w:val="000000"/>
          <w:szCs w:val="22"/>
          <w:lang w:val="en-GB"/>
        </w:rPr>
        <w:t>are monitored in fish liver, for which no food standard exists; concentrations in fish liver are naturally higher than in fish muscle, so the food standards for fish muscle are not used; instead the food standards for shellfish are used as a proxy</w:t>
      </w:r>
    </w:p>
    <w:p w:rsidR="00AC7E8C" w:rsidRPr="00474235" w:rsidRDefault="00AC7E8C" w:rsidP="00E108F3">
      <w:pPr>
        <w:numPr>
          <w:ilvl w:val="0"/>
          <w:numId w:val="2"/>
        </w:numPr>
        <w:spacing w:before="100" w:beforeAutospacing="1" w:after="100" w:afterAutospacing="1"/>
        <w:rPr>
          <w:szCs w:val="22"/>
          <w:lang w:val="en-GB"/>
        </w:rPr>
      </w:pPr>
      <w:r w:rsidRPr="00474235">
        <w:rPr>
          <w:rFonts w:eastAsia="Times New Roman" w:cs="Times New Roman"/>
          <w:color w:val="000000"/>
          <w:szCs w:val="22"/>
          <w:lang w:val="en-GB"/>
        </w:rPr>
        <w:t>BACs and ECs are converted to other bases (wet, dry or lipid weight) using </w:t>
      </w:r>
      <w:hyperlink r:id="rId13" w:history="1">
        <w:r w:rsidRPr="00474235">
          <w:rPr>
            <w:rStyle w:val="Hyperlink"/>
            <w:rFonts w:eastAsia="Times New Roman" w:cs="Times New Roman"/>
            <w:szCs w:val="22"/>
            <w:lang w:val="en-GB"/>
          </w:rPr>
          <w:t>species-specific conversion factors</w:t>
        </w:r>
      </w:hyperlink>
      <w:r w:rsidR="00041404" w:rsidRPr="00474235">
        <w:rPr>
          <w:rFonts w:eastAsia="Times New Roman" w:cs="Times New Roman"/>
          <w:color w:val="000000"/>
          <w:szCs w:val="22"/>
          <w:lang w:val="en-GB"/>
        </w:rPr>
        <w:t xml:space="preserve"> </w:t>
      </w:r>
      <w:r w:rsidR="00041404" w:rsidRPr="00474235">
        <w:rPr>
          <w:szCs w:val="22"/>
          <w:lang w:val="en-GB"/>
        </w:rPr>
        <w:t>(</w:t>
      </w:r>
      <w:r w:rsidR="00B53DED" w:rsidRPr="00474235">
        <w:rPr>
          <w:szCs w:val="22"/>
          <w:lang w:val="en-GB"/>
        </w:rPr>
        <w:t xml:space="preserve">see </w:t>
      </w:r>
      <w:r w:rsidR="00041404" w:rsidRPr="00474235">
        <w:rPr>
          <w:szCs w:val="22"/>
          <w:lang w:val="en-GB"/>
        </w:rPr>
        <w:t>appendix 2)</w:t>
      </w:r>
    </w:p>
    <w:p w:rsidR="00AC7E8C" w:rsidRPr="00474235" w:rsidRDefault="00AC7E8C" w:rsidP="00552FB8">
      <w:pPr>
        <w:pStyle w:val="Heading2"/>
        <w:rPr>
          <w:rFonts w:ascii="Calibri" w:hAnsi="Calibri"/>
        </w:rPr>
      </w:pPr>
      <w:bookmarkStart w:id="10" w:name="_Toc486935805"/>
      <w:r w:rsidRPr="00474235">
        <w:rPr>
          <w:rFonts w:ascii="Calibri" w:hAnsi="Calibri"/>
        </w:rPr>
        <w:t>Assessment criteria: PAHs in biota</w:t>
      </w:r>
      <w:bookmarkEnd w:id="10"/>
    </w:p>
    <w:p w:rsidR="00AC7E8C" w:rsidRPr="00474235" w:rsidRDefault="00AC7E8C" w:rsidP="004E50E6">
      <w:pPr>
        <w:rPr>
          <w:rFonts w:asciiTheme="majorHAnsi" w:hAnsiTheme="majorHAnsi"/>
          <w:szCs w:val="22"/>
          <w:lang w:val="en-GB"/>
        </w:rPr>
      </w:pPr>
      <w:r w:rsidRPr="00474235">
        <w:rPr>
          <w:rFonts w:asciiTheme="majorHAnsi" w:hAnsiTheme="majorHAnsi"/>
          <w:szCs w:val="22"/>
          <w:lang w:val="en-GB"/>
        </w:rPr>
        <w:t>Two assessment criteria are used to assess PAH concentrations in biota: the</w:t>
      </w:r>
    </w:p>
    <w:p w:rsidR="00AC7E8C" w:rsidRPr="00474235" w:rsidRDefault="00AC7E8C" w:rsidP="004E50E6">
      <w:pPr>
        <w:numPr>
          <w:ilvl w:val="0"/>
          <w:numId w:val="3"/>
        </w:numPr>
        <w:rPr>
          <w:rFonts w:asciiTheme="majorHAnsi" w:hAnsiTheme="majorHAnsi"/>
          <w:szCs w:val="22"/>
          <w:lang w:val="en-GB"/>
        </w:rPr>
      </w:pPr>
      <w:r w:rsidRPr="00474235">
        <w:rPr>
          <w:rFonts w:asciiTheme="majorHAnsi" w:hAnsiTheme="majorHAnsi"/>
          <w:b/>
          <w:bCs/>
          <w:szCs w:val="22"/>
          <w:lang w:val="en-GB"/>
        </w:rPr>
        <w:t>B</w:t>
      </w:r>
      <w:r w:rsidRPr="00474235">
        <w:rPr>
          <w:rFonts w:asciiTheme="majorHAnsi" w:hAnsiTheme="majorHAnsi"/>
          <w:szCs w:val="22"/>
          <w:lang w:val="en-GB"/>
        </w:rPr>
        <w:t>ackground </w:t>
      </w:r>
      <w:r w:rsidRPr="00474235">
        <w:rPr>
          <w:rFonts w:asciiTheme="majorHAnsi" w:hAnsiTheme="majorHAnsi"/>
          <w:b/>
          <w:bCs/>
          <w:szCs w:val="22"/>
          <w:lang w:val="en-GB"/>
        </w:rPr>
        <w:t>A</w:t>
      </w:r>
      <w:r w:rsidRPr="00474235">
        <w:rPr>
          <w:rFonts w:asciiTheme="majorHAnsi" w:hAnsiTheme="majorHAnsi"/>
          <w:szCs w:val="22"/>
          <w:lang w:val="en-GB"/>
        </w:rPr>
        <w:t>ssessment </w:t>
      </w:r>
      <w:r w:rsidRPr="00474235">
        <w:rPr>
          <w:rFonts w:asciiTheme="majorHAnsi" w:hAnsiTheme="majorHAnsi"/>
          <w:b/>
          <w:bCs/>
          <w:szCs w:val="22"/>
          <w:lang w:val="en-GB"/>
        </w:rPr>
        <w:t>C</w:t>
      </w:r>
      <w:r w:rsidRPr="00474235">
        <w:rPr>
          <w:rFonts w:asciiTheme="majorHAnsi" w:hAnsiTheme="majorHAnsi"/>
          <w:szCs w:val="22"/>
          <w:lang w:val="en-GB"/>
        </w:rPr>
        <w:t>oncentration (BAC)</w:t>
      </w:r>
    </w:p>
    <w:p w:rsidR="00AC7E8C" w:rsidRPr="00474235" w:rsidRDefault="00AC7E8C" w:rsidP="004E50E6">
      <w:pPr>
        <w:numPr>
          <w:ilvl w:val="0"/>
          <w:numId w:val="3"/>
        </w:numPr>
        <w:rPr>
          <w:rFonts w:asciiTheme="majorHAnsi" w:hAnsiTheme="majorHAnsi"/>
          <w:szCs w:val="22"/>
          <w:lang w:val="en-GB"/>
        </w:rPr>
      </w:pPr>
      <w:r w:rsidRPr="00474235">
        <w:rPr>
          <w:rFonts w:asciiTheme="majorHAnsi" w:hAnsiTheme="majorHAnsi"/>
          <w:b/>
          <w:bCs/>
          <w:szCs w:val="22"/>
          <w:lang w:val="en-GB"/>
        </w:rPr>
        <w:t>E</w:t>
      </w:r>
      <w:r w:rsidRPr="00474235">
        <w:rPr>
          <w:rFonts w:asciiTheme="majorHAnsi" w:hAnsiTheme="majorHAnsi"/>
          <w:szCs w:val="22"/>
          <w:lang w:val="en-GB"/>
        </w:rPr>
        <w:t>nvironmental </w:t>
      </w:r>
      <w:r w:rsidRPr="00474235">
        <w:rPr>
          <w:rFonts w:asciiTheme="majorHAnsi" w:hAnsiTheme="majorHAnsi"/>
          <w:b/>
          <w:bCs/>
          <w:szCs w:val="22"/>
          <w:lang w:val="en-GB"/>
        </w:rPr>
        <w:t>A</w:t>
      </w:r>
      <w:r w:rsidRPr="00474235">
        <w:rPr>
          <w:rFonts w:asciiTheme="majorHAnsi" w:hAnsiTheme="majorHAnsi"/>
          <w:szCs w:val="22"/>
          <w:lang w:val="en-GB"/>
        </w:rPr>
        <w:t>ssessment </w:t>
      </w:r>
      <w:r w:rsidRPr="00474235">
        <w:rPr>
          <w:rFonts w:asciiTheme="majorHAnsi" w:hAnsiTheme="majorHAnsi"/>
          <w:b/>
          <w:bCs/>
          <w:szCs w:val="22"/>
          <w:lang w:val="en-GB"/>
        </w:rPr>
        <w:t>C</w:t>
      </w:r>
      <w:r w:rsidRPr="00474235">
        <w:rPr>
          <w:rFonts w:asciiTheme="majorHAnsi" w:hAnsiTheme="majorHAnsi"/>
          <w:szCs w:val="22"/>
          <w:lang w:val="en-GB"/>
        </w:rPr>
        <w:t>riteria (EAC)</w:t>
      </w:r>
    </w:p>
    <w:p w:rsidR="00001406" w:rsidRPr="00474235" w:rsidRDefault="00AC7E8C" w:rsidP="004E50E6">
      <w:pPr>
        <w:rPr>
          <w:rFonts w:asciiTheme="majorHAnsi" w:hAnsiTheme="majorHAnsi"/>
          <w:szCs w:val="22"/>
          <w:lang w:val="en-GB"/>
        </w:rPr>
      </w:pPr>
      <w:r w:rsidRPr="00474235">
        <w:rPr>
          <w:rFonts w:asciiTheme="majorHAnsi" w:hAnsiTheme="majorHAnsi"/>
          <w:szCs w:val="22"/>
          <w:lang w:val="en-GB"/>
        </w:rPr>
        <w:t>BACs were developed by the </w:t>
      </w:r>
      <w:hyperlink r:id="rId14" w:history="1">
        <w:r w:rsidRPr="00474235">
          <w:rPr>
            <w:rStyle w:val="Hyperlink"/>
            <w:rFonts w:asciiTheme="majorHAnsi" w:hAnsiTheme="majorHAnsi"/>
            <w:szCs w:val="22"/>
            <w:lang w:val="en-GB"/>
          </w:rPr>
          <w:t>Oslo and Paris Commission</w:t>
        </w:r>
      </w:hyperlink>
      <w:r w:rsidRPr="00474235">
        <w:rPr>
          <w:rFonts w:asciiTheme="majorHAnsi" w:hAnsiTheme="majorHAnsi"/>
          <w:szCs w:val="22"/>
          <w:lang w:val="en-GB"/>
        </w:rPr>
        <w:t> (OSPAR) for testing whether concentrations are near background levels. Mean concentrations significantly below the BAC are said to be near backgroun</w:t>
      </w:r>
      <w:r w:rsidR="004E50E6" w:rsidRPr="00474235">
        <w:rPr>
          <w:rFonts w:asciiTheme="majorHAnsi" w:hAnsiTheme="majorHAnsi"/>
          <w:szCs w:val="22"/>
          <w:lang w:val="en-GB"/>
        </w:rPr>
        <w:t>d.</w:t>
      </w:r>
      <w:r w:rsidRPr="00474235">
        <w:rPr>
          <w:rFonts w:asciiTheme="majorHAnsi" w:hAnsiTheme="majorHAnsi"/>
          <w:szCs w:val="22"/>
          <w:lang w:val="en-GB"/>
        </w:rPr>
        <w:br/>
        <w:t>EACs were developed by OSPAR and the </w:t>
      </w:r>
      <w:hyperlink r:id="rId15" w:history="1">
        <w:r w:rsidRPr="00474235">
          <w:rPr>
            <w:rStyle w:val="Hyperlink"/>
            <w:rFonts w:asciiTheme="majorHAnsi" w:hAnsiTheme="majorHAnsi"/>
            <w:szCs w:val="22"/>
            <w:lang w:val="en-GB"/>
          </w:rPr>
          <w:t>International Council for the Exploration of the Sea</w:t>
        </w:r>
      </w:hyperlink>
      <w:r w:rsidRPr="00474235">
        <w:rPr>
          <w:rFonts w:asciiTheme="majorHAnsi" w:hAnsiTheme="majorHAnsi"/>
          <w:szCs w:val="22"/>
          <w:lang w:val="en-GB"/>
        </w:rPr>
        <w:t> for assessing the ecological significance of biota concentrations. Concentrations below the EAC should not cause any chronic effects in marine organisms.</w:t>
      </w:r>
    </w:p>
    <w:p w:rsidR="00001406" w:rsidRPr="00474235" w:rsidRDefault="00AC7E8C" w:rsidP="004E50E6">
      <w:pPr>
        <w:rPr>
          <w:rFonts w:asciiTheme="majorHAnsi" w:hAnsiTheme="majorHAnsi"/>
          <w:szCs w:val="22"/>
          <w:lang w:val="en-GB"/>
        </w:rPr>
      </w:pPr>
      <w:r w:rsidRPr="00474235">
        <w:rPr>
          <w:rFonts w:asciiTheme="majorHAnsi" w:hAnsiTheme="majorHAnsi"/>
          <w:szCs w:val="22"/>
          <w:lang w:val="en-GB"/>
        </w:rPr>
        <w:t>BACs and EACs are available for the following PAHs in mussels and oysters</w:t>
      </w:r>
      <w:r w:rsidR="00001406" w:rsidRPr="00474235">
        <w:rPr>
          <w:rFonts w:asciiTheme="majorHAnsi" w:hAnsiTheme="majorHAnsi"/>
          <w:szCs w:val="22"/>
          <w:lang w:val="en-GB"/>
        </w:rPr>
        <w:t xml:space="preserve">: </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49"/>
        <w:gridCol w:w="500"/>
        <w:gridCol w:w="556"/>
      </w:tblGrid>
      <w:tr w:rsidR="00AC7E8C" w:rsidRPr="00474235" w:rsidTr="004E50E6">
        <w:trPr>
          <w:tblHeader/>
        </w:trPr>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b/>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b/>
                <w:szCs w:val="22"/>
                <w:lang w:val="en-GB"/>
              </w:rPr>
            </w:pPr>
            <w:r w:rsidRPr="00474235">
              <w:rPr>
                <w:rFonts w:asciiTheme="majorHAnsi" w:hAnsiTheme="majorHAnsi"/>
                <w:b/>
                <w:szCs w:val="22"/>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b/>
                <w:szCs w:val="22"/>
                <w:lang w:val="en-GB"/>
              </w:rPr>
            </w:pPr>
            <w:r w:rsidRPr="00474235">
              <w:rPr>
                <w:rFonts w:asciiTheme="majorHAnsi" w:hAnsiTheme="majorHAnsi"/>
                <w:b/>
                <w:szCs w:val="22"/>
                <w:lang w:val="en-GB"/>
              </w:rPr>
              <w:t>EAC</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Naphthalene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340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roofErr w:type="spellStart"/>
            <w:r w:rsidRPr="00474235">
              <w:rPr>
                <w:rFonts w:asciiTheme="majorHAnsi" w:hAnsiTheme="majorHAnsi"/>
                <w:szCs w:val="22"/>
                <w:lang w:val="en-GB"/>
              </w:rPr>
              <w:t>Phenanthrene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11.0 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1700 </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Anthracene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290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roofErr w:type="spellStart"/>
            <w:r w:rsidRPr="00474235">
              <w:rPr>
                <w:rFonts w:asciiTheme="majorHAnsi" w:hAnsiTheme="majorHAnsi"/>
                <w:szCs w:val="22"/>
                <w:lang w:val="en-GB"/>
              </w:rPr>
              <w:t>Fluoranthene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12.2 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110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Pyrene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9.0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100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Benz[a]anthracene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2.5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80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Chrysene (</w:t>
            </w:r>
            <w:proofErr w:type="spellStart"/>
            <w:r w:rsidRPr="00474235">
              <w:rPr>
                <w:rFonts w:asciiTheme="majorHAnsi" w:hAnsiTheme="majorHAnsi"/>
                <w:szCs w:val="22"/>
                <w:lang w:val="en-GB"/>
              </w:rPr>
              <w:t>Triphenylene</w:t>
            </w:r>
            <w:proofErr w:type="spellEnd"/>
            <w:r w:rsidRPr="00474235">
              <w:rPr>
                <w:rFonts w:asciiTheme="majorHAnsi" w:hAnsiTheme="majorHAnsi"/>
                <w:szCs w:val="22"/>
                <w:lang w:val="en-GB"/>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8.1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Benzo[a]pyrene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1.4</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600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Benzo[</w:t>
            </w:r>
            <w:proofErr w:type="spellStart"/>
            <w:r w:rsidRPr="00474235">
              <w:rPr>
                <w:rFonts w:asciiTheme="majorHAnsi" w:hAnsiTheme="majorHAnsi"/>
                <w:szCs w:val="22"/>
                <w:lang w:val="en-GB"/>
              </w:rPr>
              <w:t>ghi</w:t>
            </w:r>
            <w:proofErr w:type="spellEnd"/>
            <w:r w:rsidRPr="00474235">
              <w:rPr>
                <w:rFonts w:asciiTheme="majorHAnsi" w:hAnsiTheme="majorHAnsi"/>
                <w:szCs w:val="22"/>
                <w:lang w:val="en-GB"/>
              </w:rPr>
              <w:t>]</w:t>
            </w:r>
            <w:proofErr w:type="spellStart"/>
            <w:r w:rsidRPr="00474235">
              <w:rPr>
                <w:rFonts w:asciiTheme="majorHAnsi" w:hAnsiTheme="majorHAnsi"/>
                <w:szCs w:val="22"/>
                <w:lang w:val="en-GB"/>
              </w:rPr>
              <w:t>perylene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2.5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110</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roofErr w:type="spellStart"/>
            <w:r w:rsidRPr="00474235">
              <w:rPr>
                <w:rFonts w:asciiTheme="majorHAnsi" w:hAnsiTheme="majorHAnsi"/>
                <w:szCs w:val="22"/>
                <w:lang w:val="en-GB"/>
              </w:rPr>
              <w:t>Indeno</w:t>
            </w:r>
            <w:proofErr w:type="spellEnd"/>
            <w:r w:rsidRPr="00474235">
              <w:rPr>
                <w:rFonts w:asciiTheme="majorHAnsi" w:hAnsiTheme="majorHAnsi"/>
                <w:szCs w:val="22"/>
                <w:lang w:val="en-GB"/>
              </w:rPr>
              <w:t>[123-cd]pyrene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r w:rsidRPr="00474235">
              <w:rPr>
                <w:rFonts w:asciiTheme="majorHAnsi" w:hAnsiTheme="majorHAnsi"/>
                <w:szCs w:val="22"/>
                <w:lang w:val="en-GB"/>
              </w:rPr>
              <w:t> 2.4</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rFonts w:asciiTheme="majorHAnsi" w:hAnsiTheme="majorHAnsi"/>
                <w:szCs w:val="22"/>
                <w:lang w:val="en-GB"/>
              </w:rPr>
            </w:pPr>
          </w:p>
        </w:tc>
      </w:tr>
    </w:tbl>
    <w:p w:rsidR="00AC7E8C" w:rsidRPr="00474235" w:rsidRDefault="00AC7E8C" w:rsidP="00001406">
      <w:pPr>
        <w:rPr>
          <w:rFonts w:asciiTheme="majorHAnsi" w:hAnsiTheme="majorHAnsi"/>
          <w:szCs w:val="22"/>
          <w:lang w:val="en-GB"/>
        </w:rPr>
      </w:pPr>
      <w:r w:rsidRPr="00474235">
        <w:rPr>
          <w:rFonts w:asciiTheme="majorHAnsi" w:hAnsiTheme="majorHAnsi"/>
          <w:szCs w:val="22"/>
          <w:lang w:val="en-GB"/>
        </w:rPr>
        <w:t>Notes</w:t>
      </w:r>
      <w:proofErr w:type="gramStart"/>
      <w:r w:rsidRPr="00474235">
        <w:rPr>
          <w:rFonts w:asciiTheme="majorHAnsi" w:hAnsiTheme="majorHAnsi"/>
          <w:szCs w:val="22"/>
          <w:lang w:val="en-GB"/>
        </w:rPr>
        <w:t>:</w:t>
      </w:r>
      <w:proofErr w:type="gramEnd"/>
      <w:r w:rsidRPr="00474235">
        <w:rPr>
          <w:rFonts w:asciiTheme="majorHAnsi" w:hAnsiTheme="majorHAnsi"/>
          <w:szCs w:val="22"/>
          <w:lang w:val="en-GB"/>
        </w:rPr>
        <w:br/>
        <w:t xml:space="preserve">all concentrations are expressed as </w:t>
      </w:r>
      <w:proofErr w:type="spellStart"/>
      <w:r w:rsidRPr="00474235">
        <w:rPr>
          <w:rFonts w:asciiTheme="majorHAnsi" w:hAnsiTheme="majorHAnsi"/>
          <w:szCs w:val="22"/>
          <w:lang w:val="en-GB"/>
        </w:rPr>
        <w:t>μg</w:t>
      </w:r>
      <w:proofErr w:type="spellEnd"/>
      <w:r w:rsidRPr="00474235">
        <w:rPr>
          <w:rFonts w:asciiTheme="majorHAnsi" w:hAnsiTheme="majorHAnsi"/>
          <w:szCs w:val="22"/>
          <w:lang w:val="en-GB"/>
        </w:rPr>
        <w:t> kg</w:t>
      </w:r>
      <w:r w:rsidRPr="00474235">
        <w:rPr>
          <w:rFonts w:asciiTheme="majorHAnsi" w:hAnsiTheme="majorHAnsi"/>
          <w:szCs w:val="22"/>
          <w:vertAlign w:val="superscript"/>
          <w:lang w:val="en-GB"/>
        </w:rPr>
        <w:t>-1</w:t>
      </w:r>
      <w:r w:rsidRPr="00474235">
        <w:rPr>
          <w:rFonts w:asciiTheme="majorHAnsi" w:hAnsiTheme="majorHAnsi"/>
          <w:szCs w:val="22"/>
          <w:lang w:val="en-GB"/>
        </w:rPr>
        <w:t> </w:t>
      </w:r>
      <w:proofErr w:type="spellStart"/>
      <w:r w:rsidRPr="00474235">
        <w:rPr>
          <w:rFonts w:asciiTheme="majorHAnsi" w:hAnsiTheme="majorHAnsi"/>
          <w:szCs w:val="22"/>
          <w:lang w:val="en-GB"/>
        </w:rPr>
        <w:t>dw</w:t>
      </w:r>
      <w:proofErr w:type="spellEnd"/>
    </w:p>
    <w:p w:rsidR="00AC7E8C" w:rsidRPr="00474235" w:rsidRDefault="00AC7E8C" w:rsidP="00AC7E8C">
      <w:pPr>
        <w:numPr>
          <w:ilvl w:val="0"/>
          <w:numId w:val="4"/>
        </w:numPr>
        <w:rPr>
          <w:rFonts w:asciiTheme="majorHAnsi" w:hAnsiTheme="majorHAnsi"/>
          <w:szCs w:val="22"/>
          <w:lang w:val="en-GB"/>
        </w:rPr>
      </w:pPr>
      <w:r w:rsidRPr="00474235">
        <w:rPr>
          <w:rFonts w:asciiTheme="majorHAnsi" w:hAnsiTheme="majorHAnsi"/>
          <w:szCs w:val="22"/>
          <w:lang w:val="en-GB"/>
        </w:rPr>
        <w:t>BACs and EACs are converted to other bases (wet, dry or lipid weight) using </w:t>
      </w:r>
      <w:hyperlink r:id="rId16" w:history="1">
        <w:r w:rsidRPr="00474235">
          <w:rPr>
            <w:rStyle w:val="Hyperlink"/>
            <w:rFonts w:asciiTheme="majorHAnsi" w:hAnsiTheme="majorHAnsi"/>
            <w:szCs w:val="22"/>
            <w:lang w:val="en-GB"/>
          </w:rPr>
          <w:t>species-specific conversion factors</w:t>
        </w:r>
      </w:hyperlink>
      <w:r w:rsidR="00041404" w:rsidRPr="00474235">
        <w:rPr>
          <w:rFonts w:asciiTheme="majorHAnsi" w:hAnsiTheme="majorHAnsi"/>
          <w:szCs w:val="22"/>
          <w:lang w:val="en-GB"/>
        </w:rPr>
        <w:t xml:space="preserve"> (appendix 2)</w:t>
      </w:r>
    </w:p>
    <w:p w:rsidR="00AC7E8C" w:rsidRPr="00474235" w:rsidRDefault="00AC7E8C" w:rsidP="00AC7E8C">
      <w:pPr>
        <w:numPr>
          <w:ilvl w:val="0"/>
          <w:numId w:val="4"/>
        </w:numPr>
        <w:rPr>
          <w:rFonts w:asciiTheme="majorHAnsi" w:hAnsiTheme="majorHAnsi"/>
          <w:szCs w:val="22"/>
          <w:lang w:val="en-GB"/>
        </w:rPr>
      </w:pPr>
      <w:r w:rsidRPr="00474235">
        <w:rPr>
          <w:rFonts w:asciiTheme="majorHAnsi" w:hAnsiTheme="majorHAnsi"/>
          <w:szCs w:val="22"/>
          <w:lang w:val="en-GB"/>
        </w:rPr>
        <w:t>PAHs are not routinely monitored in fish, so no BACs and EACs for fish have been derived</w:t>
      </w:r>
    </w:p>
    <w:p w:rsidR="00AC7E8C" w:rsidRPr="00474235" w:rsidRDefault="00AC7E8C" w:rsidP="00552FB8">
      <w:pPr>
        <w:pStyle w:val="Heading2"/>
        <w:rPr>
          <w:rFonts w:ascii="Calibri" w:hAnsi="Calibri"/>
        </w:rPr>
      </w:pPr>
      <w:bookmarkStart w:id="11" w:name="_Toc486935806"/>
      <w:r w:rsidRPr="00474235">
        <w:rPr>
          <w:rFonts w:ascii="Calibri" w:hAnsi="Calibri"/>
        </w:rPr>
        <w:t>Assessment criteria: CBs in biota</w:t>
      </w:r>
      <w:bookmarkEnd w:id="11"/>
    </w:p>
    <w:p w:rsidR="00AC7E8C" w:rsidRPr="00474235" w:rsidRDefault="00AC7E8C" w:rsidP="00001406">
      <w:pPr>
        <w:rPr>
          <w:szCs w:val="22"/>
          <w:lang w:val="en-GB"/>
        </w:rPr>
      </w:pPr>
      <w:r w:rsidRPr="00474235">
        <w:rPr>
          <w:szCs w:val="22"/>
          <w:lang w:val="en-GB"/>
        </w:rPr>
        <w:t>Two assessment criteria are used to assess CB concentrations in biota: the</w:t>
      </w:r>
    </w:p>
    <w:p w:rsidR="00AC7E8C" w:rsidRPr="00474235" w:rsidRDefault="00AC7E8C" w:rsidP="00AC7E8C">
      <w:pPr>
        <w:numPr>
          <w:ilvl w:val="0"/>
          <w:numId w:val="5"/>
        </w:numPr>
        <w:spacing w:before="100" w:beforeAutospacing="1" w:after="100" w:afterAutospacing="1"/>
        <w:rPr>
          <w:rFonts w:eastAsia="Times New Roman" w:cs="Times New Roman"/>
          <w:color w:val="000000"/>
          <w:szCs w:val="22"/>
          <w:lang w:val="en-GB"/>
        </w:rPr>
      </w:pPr>
      <w:r w:rsidRPr="00474235">
        <w:rPr>
          <w:rFonts w:eastAsia="Times New Roman" w:cs="Times New Roman"/>
          <w:b/>
          <w:bCs/>
          <w:color w:val="000000"/>
          <w:szCs w:val="22"/>
          <w:lang w:val="en-GB"/>
        </w:rPr>
        <w:t>B</w:t>
      </w:r>
      <w:r w:rsidRPr="00474235">
        <w:rPr>
          <w:rFonts w:eastAsia="Times New Roman" w:cs="Times New Roman"/>
          <w:color w:val="000000"/>
          <w:szCs w:val="22"/>
          <w:lang w:val="en-GB"/>
        </w:rPr>
        <w:t>ackground</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A</w:t>
      </w:r>
      <w:r w:rsidRPr="00474235">
        <w:rPr>
          <w:rFonts w:eastAsia="Times New Roman" w:cs="Times New Roman"/>
          <w:color w:val="000000"/>
          <w:szCs w:val="22"/>
          <w:lang w:val="en-GB"/>
        </w:rPr>
        <w:t>ssessment</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C</w:t>
      </w:r>
      <w:r w:rsidRPr="00474235">
        <w:rPr>
          <w:rFonts w:eastAsia="Times New Roman" w:cs="Times New Roman"/>
          <w:color w:val="000000"/>
          <w:szCs w:val="22"/>
          <w:lang w:val="en-GB"/>
        </w:rPr>
        <w:t>oncentration (BAC)</w:t>
      </w:r>
    </w:p>
    <w:p w:rsidR="00AC7E8C" w:rsidRPr="00474235" w:rsidRDefault="00AC7E8C" w:rsidP="00AC7E8C">
      <w:pPr>
        <w:numPr>
          <w:ilvl w:val="0"/>
          <w:numId w:val="5"/>
        </w:numPr>
        <w:spacing w:before="100" w:beforeAutospacing="1" w:after="100" w:afterAutospacing="1"/>
        <w:rPr>
          <w:rFonts w:eastAsia="Times New Roman" w:cs="Times New Roman"/>
          <w:color w:val="000000"/>
          <w:szCs w:val="22"/>
          <w:lang w:val="en-GB"/>
        </w:rPr>
      </w:pPr>
      <w:r w:rsidRPr="00474235">
        <w:rPr>
          <w:rFonts w:eastAsia="Times New Roman" w:cs="Times New Roman"/>
          <w:b/>
          <w:bCs/>
          <w:color w:val="000000"/>
          <w:szCs w:val="22"/>
          <w:lang w:val="en-GB"/>
        </w:rPr>
        <w:t>E</w:t>
      </w:r>
      <w:r w:rsidRPr="00474235">
        <w:rPr>
          <w:rFonts w:eastAsia="Times New Roman" w:cs="Times New Roman"/>
          <w:color w:val="000000"/>
          <w:szCs w:val="22"/>
          <w:lang w:val="en-GB"/>
        </w:rPr>
        <w:t>nvironmental</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A</w:t>
      </w:r>
      <w:r w:rsidRPr="00474235">
        <w:rPr>
          <w:rFonts w:eastAsia="Times New Roman" w:cs="Times New Roman"/>
          <w:color w:val="000000"/>
          <w:szCs w:val="22"/>
          <w:lang w:val="en-GB"/>
        </w:rPr>
        <w:t>ssessment</w:t>
      </w:r>
      <w:r w:rsidRPr="00474235">
        <w:rPr>
          <w:rStyle w:val="apple-converted-space"/>
          <w:rFonts w:eastAsia="Times New Roman" w:cs="Times New Roman"/>
          <w:color w:val="000000"/>
          <w:szCs w:val="22"/>
          <w:lang w:val="en-GB"/>
        </w:rPr>
        <w:t> </w:t>
      </w:r>
      <w:r w:rsidRPr="00474235">
        <w:rPr>
          <w:rFonts w:eastAsia="Times New Roman" w:cs="Times New Roman"/>
          <w:b/>
          <w:bCs/>
          <w:color w:val="000000"/>
          <w:szCs w:val="22"/>
          <w:lang w:val="en-GB"/>
        </w:rPr>
        <w:t>C</w:t>
      </w:r>
      <w:r w:rsidRPr="00474235">
        <w:rPr>
          <w:rFonts w:eastAsia="Times New Roman" w:cs="Times New Roman"/>
          <w:color w:val="000000"/>
          <w:szCs w:val="22"/>
          <w:lang w:val="en-GB"/>
        </w:rPr>
        <w:t>riteria</w:t>
      </w:r>
      <w:r w:rsidRPr="00474235">
        <w:rPr>
          <w:rStyle w:val="apple-converted-space"/>
          <w:rFonts w:eastAsia="Times New Roman" w:cs="Times New Roman"/>
          <w:color w:val="000000"/>
          <w:szCs w:val="22"/>
          <w:lang w:val="en-GB"/>
        </w:rPr>
        <w:t> </w:t>
      </w:r>
      <w:r w:rsidRPr="00474235">
        <w:rPr>
          <w:rFonts w:eastAsia="Times New Roman" w:cs="Times New Roman"/>
          <w:color w:val="000000"/>
          <w:szCs w:val="22"/>
          <w:lang w:val="en-GB"/>
        </w:rPr>
        <w:t>(EAC)</w:t>
      </w:r>
    </w:p>
    <w:p w:rsidR="004E50E6" w:rsidRPr="00474235" w:rsidRDefault="00AC7E8C" w:rsidP="00AC7E8C">
      <w:pPr>
        <w:rPr>
          <w:rFonts w:eastAsia="Times New Roman" w:cs="Times New Roman"/>
          <w:color w:val="000000"/>
          <w:szCs w:val="22"/>
          <w:lang w:val="en-GB"/>
        </w:rPr>
      </w:pPr>
      <w:r w:rsidRPr="00474235">
        <w:rPr>
          <w:rFonts w:eastAsia="Times New Roman" w:cs="Times New Roman"/>
          <w:color w:val="000000"/>
          <w:szCs w:val="22"/>
          <w:lang w:val="en-GB"/>
        </w:rPr>
        <w:t>BACs were developed by the</w:t>
      </w:r>
      <w:r w:rsidRPr="00474235">
        <w:rPr>
          <w:rStyle w:val="apple-converted-space"/>
          <w:rFonts w:eastAsia="Times New Roman" w:cs="Times New Roman"/>
          <w:color w:val="000000"/>
          <w:szCs w:val="22"/>
          <w:lang w:val="en-GB"/>
        </w:rPr>
        <w:t> </w:t>
      </w:r>
      <w:hyperlink r:id="rId17" w:history="1">
        <w:r w:rsidRPr="00474235">
          <w:rPr>
            <w:rStyle w:val="Hyperlink"/>
            <w:rFonts w:eastAsia="Times New Roman" w:cs="Times New Roman"/>
            <w:szCs w:val="22"/>
            <w:lang w:val="en-GB"/>
          </w:rPr>
          <w:t>Oslo and Paris Commission</w:t>
        </w:r>
      </w:hyperlink>
      <w:r w:rsidRPr="00474235">
        <w:rPr>
          <w:rStyle w:val="apple-converted-space"/>
          <w:rFonts w:eastAsia="Times New Roman" w:cs="Times New Roman"/>
          <w:color w:val="000000"/>
          <w:szCs w:val="22"/>
          <w:lang w:val="en-GB"/>
        </w:rPr>
        <w:t> </w:t>
      </w:r>
      <w:r w:rsidRPr="00474235">
        <w:rPr>
          <w:rFonts w:eastAsia="Times New Roman" w:cs="Times New Roman"/>
          <w:color w:val="000000"/>
          <w:szCs w:val="22"/>
          <w:lang w:val="en-GB"/>
        </w:rPr>
        <w:t xml:space="preserve">(OSPAR) for testing whether concentrations are near background levels. Mean concentrations significantly below the BAC </w:t>
      </w:r>
      <w:r w:rsidR="004E50E6" w:rsidRPr="00474235">
        <w:rPr>
          <w:rFonts w:eastAsia="Times New Roman" w:cs="Times New Roman"/>
          <w:color w:val="000000"/>
          <w:szCs w:val="22"/>
          <w:lang w:val="en-GB"/>
        </w:rPr>
        <w:t xml:space="preserve">are said to be near background. </w:t>
      </w:r>
      <w:r w:rsidRPr="00474235">
        <w:rPr>
          <w:rFonts w:eastAsia="Times New Roman" w:cs="Times New Roman"/>
          <w:color w:val="000000"/>
          <w:szCs w:val="22"/>
          <w:lang w:val="en-GB"/>
        </w:rPr>
        <w:t>EACs were developed by OSPAR and the</w:t>
      </w:r>
      <w:r w:rsidRPr="00474235">
        <w:rPr>
          <w:rStyle w:val="apple-converted-space"/>
          <w:rFonts w:eastAsia="Times New Roman" w:cs="Times New Roman"/>
          <w:color w:val="000000"/>
          <w:szCs w:val="22"/>
          <w:lang w:val="en-GB"/>
        </w:rPr>
        <w:t> </w:t>
      </w:r>
      <w:hyperlink r:id="rId18" w:history="1">
        <w:r w:rsidRPr="00474235">
          <w:rPr>
            <w:rStyle w:val="Hyperlink"/>
            <w:rFonts w:eastAsia="Times New Roman" w:cs="Times New Roman"/>
            <w:szCs w:val="22"/>
            <w:lang w:val="en-GB"/>
          </w:rPr>
          <w:t>International Council for the Exploration of the Sea</w:t>
        </w:r>
      </w:hyperlink>
      <w:r w:rsidRPr="00474235">
        <w:rPr>
          <w:rStyle w:val="apple-converted-space"/>
          <w:rFonts w:eastAsia="Times New Roman" w:cs="Times New Roman"/>
          <w:color w:val="000000"/>
          <w:szCs w:val="22"/>
          <w:lang w:val="en-GB"/>
        </w:rPr>
        <w:t> </w:t>
      </w:r>
      <w:r w:rsidRPr="00474235">
        <w:rPr>
          <w:rFonts w:eastAsia="Times New Roman" w:cs="Times New Roman"/>
          <w:color w:val="000000"/>
          <w:szCs w:val="22"/>
          <w:lang w:val="en-GB"/>
        </w:rPr>
        <w:t>for assessing the ecological significance of biota concentrations. Concentrations below the EAC should not cause any chronic effects in marine organisms.</w:t>
      </w:r>
    </w:p>
    <w:p w:rsidR="00AC7E8C" w:rsidRPr="00474235" w:rsidRDefault="00AC7E8C" w:rsidP="00AC7E8C">
      <w:pPr>
        <w:rPr>
          <w:rFonts w:eastAsia="Times New Roman" w:cs="Times New Roman"/>
          <w:color w:val="000000"/>
          <w:szCs w:val="22"/>
          <w:lang w:val="en-GB"/>
        </w:rPr>
      </w:pPr>
      <w:r w:rsidRPr="00474235">
        <w:rPr>
          <w:rFonts w:eastAsia="Times New Roman" w:cs="Times New Roman"/>
          <w:color w:val="000000"/>
          <w:szCs w:val="22"/>
          <w:lang w:val="en-GB"/>
        </w:rPr>
        <w:t>BACs and EACs are available for the following CBs</w:t>
      </w:r>
      <w:r w:rsidR="00E108F3" w:rsidRPr="00474235">
        <w:rPr>
          <w:rFonts w:eastAsia="Times New Roman" w:cs="Times New Roman"/>
          <w:color w:val="000000"/>
          <w:szCs w:val="22"/>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32"/>
        <w:gridCol w:w="1853"/>
        <w:gridCol w:w="451"/>
        <w:gridCol w:w="778"/>
      </w:tblGrid>
      <w:tr w:rsidR="00AC7E8C" w:rsidRPr="00474235" w:rsidTr="004E50E6">
        <w:trPr>
          <w:tblHeader/>
        </w:trPr>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r w:rsidRPr="00474235">
              <w:rPr>
                <w:rFonts w:eastAsia="Times New Roman" w:cs="Times New Roman"/>
                <w:b/>
                <w:color w:val="000000"/>
                <w:szCs w:val="22"/>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b/>
                <w:color w:val="000000"/>
                <w:szCs w:val="22"/>
                <w:lang w:val="en-GB"/>
              </w:rPr>
            </w:pPr>
            <w:r w:rsidRPr="00474235">
              <w:rPr>
                <w:rFonts w:eastAsia="Times New Roman" w:cs="Times New Roman"/>
                <w:b/>
                <w:color w:val="000000"/>
                <w:szCs w:val="22"/>
                <w:lang w:val="en-GB"/>
              </w:rPr>
              <w:t>EAC</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mussels and oysters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fish</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all biota</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CB28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0.75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0.10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  67</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CB52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0.75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0.08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108</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CB101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0.70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0.08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121</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CB105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0.75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0.08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CB118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0.60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0.10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  25</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CB138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0.60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0.09</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317</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CB153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0.60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0.10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1585  </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CB156</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0.60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0.08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rPr>
                <w:rFonts w:eastAsia="Times New Roman" w:cs="Times New Roman"/>
                <w:color w:val="000000"/>
                <w:szCs w:val="22"/>
                <w:lang w:val="en-GB"/>
              </w:rPr>
            </w:pPr>
            <w:r w:rsidRPr="00474235">
              <w:rPr>
                <w:rFonts w:eastAsia="Times New Roman" w:cs="Times New Roman"/>
                <w:color w:val="000000"/>
                <w:szCs w:val="22"/>
                <w:lang w:val="en-GB"/>
              </w:rPr>
              <w:t>CB180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0.60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0.11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pPr>
              <w:jc w:val="center"/>
              <w:rPr>
                <w:rFonts w:eastAsia="Times New Roman" w:cs="Times New Roman"/>
                <w:color w:val="000000"/>
                <w:szCs w:val="22"/>
                <w:lang w:val="en-GB"/>
              </w:rPr>
            </w:pPr>
            <w:r w:rsidRPr="00474235">
              <w:rPr>
                <w:rFonts w:eastAsia="Times New Roman" w:cs="Times New Roman"/>
                <w:color w:val="000000"/>
                <w:szCs w:val="22"/>
                <w:lang w:val="en-GB"/>
              </w:rPr>
              <w:t>469</w:t>
            </w:r>
          </w:p>
        </w:tc>
      </w:tr>
    </w:tbl>
    <w:p w:rsidR="00AC7E8C" w:rsidRPr="00474235" w:rsidRDefault="00AC7E8C" w:rsidP="00001406">
      <w:pPr>
        <w:rPr>
          <w:rFonts w:eastAsia="Times New Roman" w:cs="Times New Roman"/>
          <w:color w:val="000000"/>
          <w:szCs w:val="22"/>
          <w:lang w:val="en-GB"/>
        </w:rPr>
      </w:pPr>
      <w:r w:rsidRPr="00474235">
        <w:rPr>
          <w:rFonts w:eastAsia="Times New Roman" w:cs="Times New Roman"/>
          <w:color w:val="000000"/>
          <w:szCs w:val="22"/>
          <w:lang w:val="en-GB"/>
        </w:rPr>
        <w:t>Notes</w:t>
      </w:r>
      <w:proofErr w:type="gramStart"/>
      <w:r w:rsidRPr="00474235">
        <w:rPr>
          <w:rFonts w:eastAsia="Times New Roman" w:cs="Times New Roman"/>
          <w:color w:val="000000"/>
          <w:szCs w:val="22"/>
          <w:lang w:val="en-GB"/>
        </w:rPr>
        <w:t>:</w:t>
      </w:r>
      <w:proofErr w:type="gramEnd"/>
      <w:r w:rsidRPr="00474235">
        <w:rPr>
          <w:rFonts w:eastAsia="Times New Roman" w:cs="Times New Roman"/>
          <w:color w:val="000000"/>
          <w:szCs w:val="22"/>
          <w:lang w:val="en-GB"/>
        </w:rPr>
        <w:br/>
        <w:t xml:space="preserve">BACs are expressed as </w:t>
      </w:r>
      <w:proofErr w:type="spellStart"/>
      <w:r w:rsidRPr="00474235">
        <w:rPr>
          <w:rFonts w:eastAsia="Times New Roman" w:cs="Times New Roman"/>
          <w:color w:val="000000"/>
          <w:szCs w:val="22"/>
          <w:lang w:val="en-GB"/>
        </w:rPr>
        <w:t>μg</w:t>
      </w:r>
      <w:proofErr w:type="spellEnd"/>
      <w:r w:rsidRPr="00474235">
        <w:rPr>
          <w:rFonts w:eastAsia="Times New Roman" w:cs="Times New Roman"/>
          <w:color w:val="000000"/>
          <w:szCs w:val="22"/>
          <w:lang w:val="en-GB"/>
        </w:rPr>
        <w:t> kg</w:t>
      </w:r>
      <w:r w:rsidRPr="00474235">
        <w:rPr>
          <w:rFonts w:eastAsia="Times New Roman" w:cs="Times New Roman"/>
          <w:color w:val="000000"/>
          <w:szCs w:val="22"/>
          <w:vertAlign w:val="superscript"/>
          <w:lang w:val="en-GB"/>
        </w:rPr>
        <w:t>-1</w:t>
      </w:r>
      <w:r w:rsidRPr="00474235">
        <w:rPr>
          <w:rFonts w:eastAsia="Times New Roman" w:cs="Times New Roman"/>
          <w:color w:val="000000"/>
          <w:szCs w:val="22"/>
          <w:lang w:val="en-GB"/>
        </w:rPr>
        <w:t> </w:t>
      </w:r>
      <w:proofErr w:type="spellStart"/>
      <w:r w:rsidRPr="00474235">
        <w:rPr>
          <w:rFonts w:eastAsia="Times New Roman" w:cs="Times New Roman"/>
          <w:color w:val="000000"/>
          <w:szCs w:val="22"/>
          <w:lang w:val="en-GB"/>
        </w:rPr>
        <w:t>dw</w:t>
      </w:r>
      <w:proofErr w:type="spellEnd"/>
      <w:r w:rsidRPr="00474235">
        <w:rPr>
          <w:rFonts w:eastAsia="Times New Roman" w:cs="Times New Roman"/>
          <w:color w:val="000000"/>
          <w:szCs w:val="22"/>
          <w:lang w:val="en-GB"/>
        </w:rPr>
        <w:t xml:space="preserve"> for mussels and oysters and as </w:t>
      </w:r>
      <w:proofErr w:type="spellStart"/>
      <w:r w:rsidRPr="00474235">
        <w:rPr>
          <w:rFonts w:eastAsia="Times New Roman" w:cs="Times New Roman"/>
          <w:color w:val="000000"/>
          <w:szCs w:val="22"/>
          <w:lang w:val="en-GB"/>
        </w:rPr>
        <w:t>μg</w:t>
      </w:r>
      <w:proofErr w:type="spellEnd"/>
      <w:r w:rsidRPr="00474235">
        <w:rPr>
          <w:rFonts w:eastAsia="Times New Roman" w:cs="Times New Roman"/>
          <w:color w:val="000000"/>
          <w:szCs w:val="22"/>
          <w:lang w:val="en-GB"/>
        </w:rPr>
        <w:t> kg</w:t>
      </w:r>
      <w:r w:rsidRPr="00474235">
        <w:rPr>
          <w:rFonts w:eastAsia="Times New Roman" w:cs="Times New Roman"/>
          <w:color w:val="000000"/>
          <w:szCs w:val="22"/>
          <w:vertAlign w:val="superscript"/>
          <w:lang w:val="en-GB"/>
        </w:rPr>
        <w:t>-1</w:t>
      </w:r>
      <w:r w:rsidRPr="00474235">
        <w:rPr>
          <w:rFonts w:eastAsia="Times New Roman" w:cs="Times New Roman"/>
          <w:color w:val="000000"/>
          <w:szCs w:val="22"/>
          <w:lang w:val="en-GB"/>
        </w:rPr>
        <w:t> </w:t>
      </w:r>
      <w:proofErr w:type="spellStart"/>
      <w:r w:rsidRPr="00474235">
        <w:rPr>
          <w:rFonts w:eastAsia="Times New Roman" w:cs="Times New Roman"/>
          <w:color w:val="000000"/>
          <w:szCs w:val="22"/>
          <w:lang w:val="en-GB"/>
        </w:rPr>
        <w:t>ww</w:t>
      </w:r>
      <w:proofErr w:type="spellEnd"/>
      <w:r w:rsidRPr="00474235">
        <w:rPr>
          <w:rFonts w:eastAsia="Times New Roman" w:cs="Times New Roman"/>
          <w:color w:val="000000"/>
          <w:szCs w:val="22"/>
          <w:lang w:val="en-GB"/>
        </w:rPr>
        <w:t xml:space="preserve"> for fish</w:t>
      </w:r>
    </w:p>
    <w:p w:rsidR="00AC7E8C" w:rsidRPr="00474235" w:rsidRDefault="00AC7E8C" w:rsidP="00AC7E8C">
      <w:pPr>
        <w:numPr>
          <w:ilvl w:val="0"/>
          <w:numId w:val="6"/>
        </w:numPr>
        <w:spacing w:before="100" w:beforeAutospacing="1" w:after="100" w:afterAutospacing="1"/>
        <w:rPr>
          <w:rFonts w:eastAsia="Times New Roman" w:cs="Times New Roman"/>
          <w:color w:val="000000"/>
          <w:szCs w:val="22"/>
          <w:lang w:val="en-GB"/>
        </w:rPr>
      </w:pPr>
      <w:r w:rsidRPr="00474235">
        <w:rPr>
          <w:rFonts w:eastAsia="Times New Roman" w:cs="Times New Roman"/>
          <w:color w:val="000000"/>
          <w:szCs w:val="22"/>
          <w:lang w:val="en-GB"/>
        </w:rPr>
        <w:t xml:space="preserve">EACs are expressed as </w:t>
      </w:r>
      <w:proofErr w:type="spellStart"/>
      <w:r w:rsidRPr="00474235">
        <w:rPr>
          <w:rFonts w:eastAsia="Times New Roman" w:cs="Times New Roman"/>
          <w:color w:val="000000"/>
          <w:szCs w:val="22"/>
          <w:lang w:val="en-GB"/>
        </w:rPr>
        <w:t>μg</w:t>
      </w:r>
      <w:proofErr w:type="spellEnd"/>
      <w:r w:rsidRPr="00474235">
        <w:rPr>
          <w:rFonts w:eastAsia="Times New Roman" w:cs="Times New Roman"/>
          <w:color w:val="000000"/>
          <w:szCs w:val="22"/>
          <w:lang w:val="en-GB"/>
        </w:rPr>
        <w:t> kg</w:t>
      </w:r>
      <w:r w:rsidRPr="00474235">
        <w:rPr>
          <w:rFonts w:eastAsia="Times New Roman" w:cs="Times New Roman"/>
          <w:color w:val="000000"/>
          <w:szCs w:val="22"/>
          <w:vertAlign w:val="superscript"/>
          <w:lang w:val="en-GB"/>
        </w:rPr>
        <w:t>-1</w:t>
      </w:r>
      <w:r w:rsidRPr="00474235">
        <w:rPr>
          <w:rFonts w:eastAsia="Times New Roman" w:cs="Times New Roman"/>
          <w:color w:val="000000"/>
          <w:szCs w:val="22"/>
          <w:lang w:val="en-GB"/>
        </w:rPr>
        <w:t> </w:t>
      </w:r>
      <w:proofErr w:type="spellStart"/>
      <w:r w:rsidRPr="00474235">
        <w:rPr>
          <w:rFonts w:eastAsia="Times New Roman" w:cs="Times New Roman"/>
          <w:color w:val="000000"/>
          <w:szCs w:val="22"/>
          <w:lang w:val="en-GB"/>
        </w:rPr>
        <w:t>lw</w:t>
      </w:r>
      <w:proofErr w:type="spellEnd"/>
    </w:p>
    <w:p w:rsidR="00AC7E8C" w:rsidRPr="00474235" w:rsidRDefault="00AC7E8C" w:rsidP="00AC7E8C">
      <w:pPr>
        <w:numPr>
          <w:ilvl w:val="0"/>
          <w:numId w:val="6"/>
        </w:numPr>
        <w:spacing w:before="100" w:beforeAutospacing="1" w:after="100" w:afterAutospacing="1"/>
        <w:rPr>
          <w:rFonts w:eastAsia="Times New Roman" w:cs="Times New Roman"/>
          <w:color w:val="000000"/>
          <w:szCs w:val="22"/>
          <w:lang w:val="en-GB"/>
        </w:rPr>
      </w:pPr>
      <w:r w:rsidRPr="00474235">
        <w:rPr>
          <w:rFonts w:eastAsia="Times New Roman" w:cs="Times New Roman"/>
          <w:color w:val="000000"/>
          <w:szCs w:val="22"/>
          <w:lang w:val="en-GB"/>
        </w:rPr>
        <w:t>BACs and EACs are converted to other bases (wet, dry or lipid weight) using</w:t>
      </w:r>
      <w:r w:rsidRPr="00474235">
        <w:rPr>
          <w:rStyle w:val="apple-converted-space"/>
          <w:rFonts w:eastAsia="Times New Roman" w:cs="Times New Roman"/>
          <w:color w:val="000000"/>
          <w:szCs w:val="22"/>
          <w:lang w:val="en-GB"/>
        </w:rPr>
        <w:t> </w:t>
      </w:r>
      <w:hyperlink r:id="rId19" w:history="1">
        <w:r w:rsidRPr="00474235">
          <w:rPr>
            <w:rStyle w:val="Hyperlink"/>
            <w:rFonts w:eastAsia="Times New Roman" w:cs="Times New Roman"/>
            <w:szCs w:val="22"/>
            <w:lang w:val="en-GB"/>
          </w:rPr>
          <w:t>species-specific conversion factors</w:t>
        </w:r>
      </w:hyperlink>
      <w:r w:rsidR="00041404" w:rsidRPr="00474235">
        <w:rPr>
          <w:rFonts w:eastAsia="Times New Roman" w:cs="Times New Roman"/>
          <w:color w:val="000000"/>
          <w:szCs w:val="22"/>
          <w:lang w:val="en-GB"/>
        </w:rPr>
        <w:t xml:space="preserve"> </w:t>
      </w:r>
      <w:r w:rsidR="00041404" w:rsidRPr="00474235">
        <w:rPr>
          <w:szCs w:val="22"/>
          <w:lang w:val="en-GB"/>
        </w:rPr>
        <w:t>(appendix 2)</w:t>
      </w:r>
    </w:p>
    <w:p w:rsidR="00AC7E8C" w:rsidRPr="00474235" w:rsidRDefault="00AC7E8C" w:rsidP="00AC7E8C">
      <w:pPr>
        <w:numPr>
          <w:ilvl w:val="0"/>
          <w:numId w:val="6"/>
        </w:numPr>
        <w:spacing w:before="100" w:beforeAutospacing="1" w:after="100" w:afterAutospacing="1"/>
        <w:rPr>
          <w:rFonts w:eastAsia="Times New Roman" w:cs="Times New Roman"/>
          <w:color w:val="000000"/>
          <w:szCs w:val="22"/>
          <w:lang w:val="en-GB"/>
        </w:rPr>
      </w:pPr>
      <w:r w:rsidRPr="00474235">
        <w:rPr>
          <w:rFonts w:eastAsia="Times New Roman" w:cs="Times New Roman"/>
          <w:color w:val="000000"/>
          <w:szCs w:val="22"/>
          <w:lang w:val="en-GB"/>
        </w:rPr>
        <w:t xml:space="preserve">the EACs are based on partitioning theory and are sometimes known as </w:t>
      </w:r>
      <w:proofErr w:type="spellStart"/>
      <w:r w:rsidRPr="00474235">
        <w:rPr>
          <w:rFonts w:eastAsia="Times New Roman" w:cs="Times New Roman"/>
          <w:color w:val="000000"/>
          <w:szCs w:val="22"/>
          <w:lang w:val="en-GB"/>
        </w:rPr>
        <w:t>EAC</w:t>
      </w:r>
      <w:r w:rsidRPr="00474235">
        <w:rPr>
          <w:rFonts w:eastAsia="Times New Roman" w:cs="Times New Roman"/>
          <w:color w:val="000000"/>
          <w:szCs w:val="22"/>
          <w:vertAlign w:val="superscript"/>
          <w:lang w:val="en-GB"/>
        </w:rPr>
        <w:t>passive</w:t>
      </w:r>
      <w:proofErr w:type="spellEnd"/>
    </w:p>
    <w:p w:rsidR="00AC7E8C" w:rsidRPr="00474235" w:rsidRDefault="00AC7E8C" w:rsidP="00552FB8">
      <w:pPr>
        <w:pStyle w:val="Heading2"/>
        <w:rPr>
          <w:rFonts w:ascii="Calibri" w:hAnsi="Calibri"/>
        </w:rPr>
      </w:pPr>
      <w:bookmarkStart w:id="12" w:name="_Toc486935807"/>
      <w:r w:rsidRPr="00474235">
        <w:rPr>
          <w:rFonts w:ascii="Calibri" w:hAnsi="Calibri"/>
        </w:rPr>
        <w:t>Assessment criteria: Pesticides in biota</w:t>
      </w:r>
      <w:bookmarkEnd w:id="12"/>
    </w:p>
    <w:p w:rsidR="00AC7E8C" w:rsidRPr="00474235" w:rsidRDefault="00AC7E8C" w:rsidP="00AC7E8C">
      <w:pPr>
        <w:rPr>
          <w:lang w:val="en-GB"/>
        </w:rPr>
      </w:pPr>
      <w:r w:rsidRPr="00474235">
        <w:rPr>
          <w:lang w:val="en-GB"/>
        </w:rPr>
        <w:t>Two assessment criteria are used to assess pesticide concentrations in biota: the</w:t>
      </w:r>
    </w:p>
    <w:p w:rsidR="00AC7E8C" w:rsidRPr="00474235" w:rsidRDefault="00AC7E8C" w:rsidP="00AC7E8C">
      <w:pPr>
        <w:numPr>
          <w:ilvl w:val="0"/>
          <w:numId w:val="7"/>
        </w:numPr>
        <w:rPr>
          <w:lang w:val="en-GB"/>
        </w:rPr>
      </w:pPr>
      <w:r w:rsidRPr="00474235">
        <w:rPr>
          <w:b/>
          <w:bCs/>
          <w:lang w:val="en-GB"/>
        </w:rPr>
        <w:t>B</w:t>
      </w:r>
      <w:r w:rsidRPr="00474235">
        <w:rPr>
          <w:lang w:val="en-GB"/>
        </w:rPr>
        <w:t>ackground </w:t>
      </w:r>
      <w:r w:rsidRPr="00474235">
        <w:rPr>
          <w:b/>
          <w:bCs/>
          <w:lang w:val="en-GB"/>
        </w:rPr>
        <w:t>A</w:t>
      </w:r>
      <w:r w:rsidRPr="00474235">
        <w:rPr>
          <w:lang w:val="en-GB"/>
        </w:rPr>
        <w:t>ssessment </w:t>
      </w:r>
      <w:r w:rsidRPr="00474235">
        <w:rPr>
          <w:b/>
          <w:bCs/>
          <w:lang w:val="en-GB"/>
        </w:rPr>
        <w:t>C</w:t>
      </w:r>
      <w:r w:rsidRPr="00474235">
        <w:rPr>
          <w:lang w:val="en-GB"/>
        </w:rPr>
        <w:t>oncentration (BAC)</w:t>
      </w:r>
    </w:p>
    <w:p w:rsidR="00AC7E8C" w:rsidRPr="00474235" w:rsidRDefault="00AC7E8C" w:rsidP="00AC7E8C">
      <w:pPr>
        <w:numPr>
          <w:ilvl w:val="0"/>
          <w:numId w:val="7"/>
        </w:numPr>
        <w:rPr>
          <w:lang w:val="en-GB"/>
        </w:rPr>
      </w:pPr>
      <w:r w:rsidRPr="00474235">
        <w:rPr>
          <w:b/>
          <w:bCs/>
          <w:lang w:val="en-GB"/>
        </w:rPr>
        <w:t>E</w:t>
      </w:r>
      <w:r w:rsidRPr="00474235">
        <w:rPr>
          <w:lang w:val="en-GB"/>
        </w:rPr>
        <w:t>nvironmental </w:t>
      </w:r>
      <w:r w:rsidRPr="00474235">
        <w:rPr>
          <w:b/>
          <w:bCs/>
          <w:lang w:val="en-GB"/>
        </w:rPr>
        <w:t>A</w:t>
      </w:r>
      <w:r w:rsidRPr="00474235">
        <w:rPr>
          <w:lang w:val="en-GB"/>
        </w:rPr>
        <w:t>ssessment </w:t>
      </w:r>
      <w:r w:rsidRPr="00474235">
        <w:rPr>
          <w:b/>
          <w:bCs/>
          <w:lang w:val="en-GB"/>
        </w:rPr>
        <w:t>C</w:t>
      </w:r>
      <w:r w:rsidRPr="00474235">
        <w:rPr>
          <w:lang w:val="en-GB"/>
        </w:rPr>
        <w:t>riteria (EAC)</w:t>
      </w:r>
    </w:p>
    <w:p w:rsidR="00E108F3" w:rsidRPr="00474235" w:rsidRDefault="00AC7E8C" w:rsidP="00AC7E8C">
      <w:pPr>
        <w:rPr>
          <w:lang w:val="en-GB"/>
        </w:rPr>
      </w:pPr>
      <w:r w:rsidRPr="00474235">
        <w:rPr>
          <w:lang w:val="en-GB"/>
        </w:rPr>
        <w:t>BACs were developed by the </w:t>
      </w:r>
      <w:hyperlink r:id="rId20" w:history="1">
        <w:r w:rsidRPr="00474235">
          <w:rPr>
            <w:rStyle w:val="Hyperlink"/>
            <w:lang w:val="en-GB"/>
          </w:rPr>
          <w:t>Oslo and Paris Commission</w:t>
        </w:r>
      </w:hyperlink>
      <w:r w:rsidRPr="00474235">
        <w:rPr>
          <w:lang w:val="en-GB"/>
        </w:rPr>
        <w:t> (OSPAR) for testing whether concentrations are near background levels. Mean concentrations significantly below the BAC are said to be near background.</w:t>
      </w:r>
      <w:r w:rsidRPr="00474235">
        <w:rPr>
          <w:lang w:val="en-GB"/>
        </w:rPr>
        <w:br/>
      </w:r>
      <w:r w:rsidRPr="00474235">
        <w:rPr>
          <w:lang w:val="en-GB"/>
        </w:rPr>
        <w:br/>
        <w:t>EACs were developed by OSPAR and the </w:t>
      </w:r>
      <w:hyperlink r:id="rId21" w:history="1">
        <w:r w:rsidRPr="00474235">
          <w:rPr>
            <w:rStyle w:val="Hyperlink"/>
            <w:lang w:val="en-GB"/>
          </w:rPr>
          <w:t>International Council for the Exploration of the Sea</w:t>
        </w:r>
      </w:hyperlink>
      <w:r w:rsidRPr="00474235">
        <w:rPr>
          <w:lang w:val="en-GB"/>
        </w:rPr>
        <w:t> for assessing the ecological significance of biota concentrations. Concentrations below the EAC should not cause any chron</w:t>
      </w:r>
      <w:r w:rsidR="00E108F3" w:rsidRPr="00474235">
        <w:rPr>
          <w:lang w:val="en-GB"/>
        </w:rPr>
        <w:t>ic effects in marine organisms.</w:t>
      </w:r>
    </w:p>
    <w:p w:rsidR="00AC7E8C" w:rsidRPr="00474235" w:rsidRDefault="00AC7E8C" w:rsidP="00AC7E8C">
      <w:pPr>
        <w:rPr>
          <w:lang w:val="en-GB"/>
        </w:rPr>
      </w:pPr>
      <w:r w:rsidRPr="00474235">
        <w:rPr>
          <w:lang w:val="en-GB"/>
        </w:rPr>
        <w:t>BACs and EACs are availab</w:t>
      </w:r>
      <w:r w:rsidR="00E108F3" w:rsidRPr="00474235">
        <w:rPr>
          <w:lang w:val="en-GB"/>
        </w:rPr>
        <w:t>le for the following pesticides:</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838"/>
        <w:gridCol w:w="953"/>
        <w:gridCol w:w="953"/>
        <w:gridCol w:w="451"/>
        <w:gridCol w:w="413"/>
      </w:tblGrid>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b/>
                <w:lang w:val="en-GB"/>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rsidP="00AC7E8C">
            <w:pPr>
              <w:rPr>
                <w:b/>
                <w:lang w:val="en-GB"/>
              </w:rPr>
            </w:pPr>
            <w:r w:rsidRPr="00474235">
              <w:rPr>
                <w:b/>
                <w:lang w:val="en-GB"/>
              </w:rPr>
              <w:t>M</w:t>
            </w:r>
            <w:r w:rsidR="00AC7E8C" w:rsidRPr="00474235">
              <w:rPr>
                <w:b/>
                <w:lang w:val="en-GB"/>
              </w:rPr>
              <w:t>ussels and oysters</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rsidP="00AC7E8C">
            <w:pPr>
              <w:rPr>
                <w:b/>
                <w:lang w:val="en-GB"/>
              </w:rPr>
            </w:pPr>
            <w:r w:rsidRPr="00474235">
              <w:rPr>
                <w:b/>
                <w:lang w:val="en-GB"/>
              </w:rPr>
              <w:t>F</w:t>
            </w:r>
            <w:r w:rsidR="00AC7E8C" w:rsidRPr="00474235">
              <w:rPr>
                <w:b/>
                <w:lang w:val="en-GB"/>
              </w:rPr>
              <w:t>ish</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EAC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EAC</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DDE (</w:t>
            </w:r>
            <w:proofErr w:type="spellStart"/>
            <w:r w:rsidRPr="00474235">
              <w:rPr>
                <w:lang w:val="en-GB"/>
              </w:rPr>
              <w:t>p,p</w:t>
            </w:r>
            <w:proofErr w:type="spellEnd"/>
            <w:r w:rsidRPr="00474235">
              <w:rPr>
                <w:lang w:val="en-GB"/>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0.63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0.10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roofErr w:type="spellStart"/>
            <w:r w:rsidRPr="00474235">
              <w:rPr>
                <w:lang w:val="en-GB"/>
              </w:rPr>
              <w:t>Hexachlorobenzene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0.63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0.09</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α-HCH</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0.64</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γ-HCH</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0.97</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1.45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lang w:val="en-GB"/>
              </w:rPr>
            </w:pPr>
            <w:r w:rsidRPr="00474235">
              <w:rPr>
                <w:lang w:val="en-GB"/>
              </w:rPr>
              <w:t>11</w:t>
            </w:r>
          </w:p>
        </w:tc>
      </w:tr>
    </w:tbl>
    <w:p w:rsidR="00AC7E8C" w:rsidRPr="00474235" w:rsidRDefault="00E108F3" w:rsidP="00AC7E8C">
      <w:pPr>
        <w:rPr>
          <w:lang w:val="en-GB"/>
        </w:rPr>
      </w:pPr>
      <w:r w:rsidRPr="00474235">
        <w:rPr>
          <w:lang w:val="en-GB"/>
        </w:rPr>
        <w:t>Notes:</w:t>
      </w:r>
    </w:p>
    <w:p w:rsidR="00AC7E8C" w:rsidRPr="00474235" w:rsidRDefault="00AC7E8C" w:rsidP="00AC7E8C">
      <w:pPr>
        <w:numPr>
          <w:ilvl w:val="0"/>
          <w:numId w:val="8"/>
        </w:numPr>
        <w:rPr>
          <w:lang w:val="en-GB"/>
        </w:rPr>
      </w:pPr>
      <w:r w:rsidRPr="00474235">
        <w:rPr>
          <w:lang w:val="en-GB"/>
        </w:rPr>
        <w:t xml:space="preserve">BACs and EACs are expressed as </w:t>
      </w:r>
      <w:proofErr w:type="spellStart"/>
      <w:r w:rsidRPr="00474235">
        <w:rPr>
          <w:lang w:val="en-GB"/>
        </w:rPr>
        <w:t>μg</w:t>
      </w:r>
      <w:proofErr w:type="spellEnd"/>
      <w:r w:rsidRPr="00474235">
        <w:rPr>
          <w:lang w:val="en-GB"/>
        </w:rPr>
        <w:t> kg</w:t>
      </w:r>
      <w:r w:rsidRPr="00474235">
        <w:rPr>
          <w:vertAlign w:val="superscript"/>
          <w:lang w:val="en-GB"/>
        </w:rPr>
        <w:t>-1</w:t>
      </w:r>
      <w:r w:rsidRPr="00474235">
        <w:rPr>
          <w:lang w:val="en-GB"/>
        </w:rPr>
        <w:t> </w:t>
      </w:r>
      <w:proofErr w:type="spellStart"/>
      <w:r w:rsidRPr="00474235">
        <w:rPr>
          <w:lang w:val="en-GB"/>
        </w:rPr>
        <w:t>dw</w:t>
      </w:r>
      <w:proofErr w:type="spellEnd"/>
      <w:r w:rsidRPr="00474235">
        <w:rPr>
          <w:lang w:val="en-GB"/>
        </w:rPr>
        <w:t xml:space="preserve"> for mussels and oysters and as </w:t>
      </w:r>
      <w:proofErr w:type="spellStart"/>
      <w:r w:rsidRPr="00474235">
        <w:rPr>
          <w:lang w:val="en-GB"/>
        </w:rPr>
        <w:t>μg</w:t>
      </w:r>
      <w:proofErr w:type="spellEnd"/>
      <w:r w:rsidRPr="00474235">
        <w:rPr>
          <w:lang w:val="en-GB"/>
        </w:rPr>
        <w:t> kg</w:t>
      </w:r>
      <w:r w:rsidRPr="00474235">
        <w:rPr>
          <w:vertAlign w:val="superscript"/>
          <w:lang w:val="en-GB"/>
        </w:rPr>
        <w:t>-1</w:t>
      </w:r>
      <w:r w:rsidRPr="00474235">
        <w:rPr>
          <w:lang w:val="en-GB"/>
        </w:rPr>
        <w:t> </w:t>
      </w:r>
      <w:proofErr w:type="spellStart"/>
      <w:r w:rsidRPr="00474235">
        <w:rPr>
          <w:lang w:val="en-GB"/>
        </w:rPr>
        <w:t>ww</w:t>
      </w:r>
      <w:proofErr w:type="spellEnd"/>
      <w:r w:rsidRPr="00474235">
        <w:rPr>
          <w:lang w:val="en-GB"/>
        </w:rPr>
        <w:t xml:space="preserve"> for fish</w:t>
      </w:r>
    </w:p>
    <w:p w:rsidR="00AC7E8C" w:rsidRPr="00474235" w:rsidRDefault="00AC7E8C" w:rsidP="00AC7E8C">
      <w:pPr>
        <w:numPr>
          <w:ilvl w:val="0"/>
          <w:numId w:val="8"/>
        </w:numPr>
        <w:rPr>
          <w:lang w:val="en-GB"/>
        </w:rPr>
      </w:pPr>
      <w:r w:rsidRPr="00474235">
        <w:rPr>
          <w:lang w:val="en-GB"/>
        </w:rPr>
        <w:t>BACs and EACs are converted to other bases (wet, dry or lipid weight) using </w:t>
      </w:r>
      <w:hyperlink r:id="rId22" w:history="1">
        <w:r w:rsidRPr="00474235">
          <w:rPr>
            <w:rStyle w:val="Hyperlink"/>
            <w:lang w:val="en-GB"/>
          </w:rPr>
          <w:t>species-specific conversion factors</w:t>
        </w:r>
      </w:hyperlink>
      <w:r w:rsidR="00041404" w:rsidRPr="00474235">
        <w:rPr>
          <w:lang w:val="en-GB"/>
        </w:rPr>
        <w:t xml:space="preserve"> (appendix 2)</w:t>
      </w:r>
    </w:p>
    <w:p w:rsidR="00AC7E8C" w:rsidRPr="00474235" w:rsidRDefault="00AC7E8C" w:rsidP="00AC7E8C">
      <w:pPr>
        <w:numPr>
          <w:ilvl w:val="0"/>
          <w:numId w:val="8"/>
        </w:numPr>
        <w:rPr>
          <w:lang w:val="en-GB"/>
        </w:rPr>
      </w:pPr>
      <w:r w:rsidRPr="00474235">
        <w:rPr>
          <w:lang w:val="en-GB"/>
        </w:rPr>
        <w:t>γ-HCH is monitored in fish liver and the EAC is obtained by multiplying the EAC for whole fish by 10</w:t>
      </w:r>
    </w:p>
    <w:p w:rsidR="00AC7E8C" w:rsidRPr="00474235" w:rsidRDefault="00AC7E8C" w:rsidP="00552FB8">
      <w:pPr>
        <w:pStyle w:val="Heading2"/>
        <w:rPr>
          <w:rFonts w:ascii="Calibri" w:hAnsi="Calibri"/>
        </w:rPr>
      </w:pPr>
      <w:bookmarkStart w:id="13" w:name="_Toc486935808"/>
      <w:r w:rsidRPr="00474235">
        <w:rPr>
          <w:rFonts w:ascii="Calibri" w:hAnsi="Calibri"/>
        </w:rPr>
        <w:t xml:space="preserve">Assessment criteria: </w:t>
      </w:r>
      <w:proofErr w:type="spellStart"/>
      <w:r w:rsidRPr="00474235">
        <w:rPr>
          <w:rFonts w:ascii="Calibri" w:hAnsi="Calibri"/>
        </w:rPr>
        <w:t>Organo</w:t>
      </w:r>
      <w:proofErr w:type="spellEnd"/>
      <w:r w:rsidRPr="00474235">
        <w:rPr>
          <w:rFonts w:ascii="Calibri" w:hAnsi="Calibri"/>
        </w:rPr>
        <w:t>-metals in biota</w:t>
      </w:r>
      <w:bookmarkEnd w:id="13"/>
    </w:p>
    <w:p w:rsidR="00AC7E8C" w:rsidRPr="00474235" w:rsidRDefault="00AC7E8C" w:rsidP="00AC7E8C">
      <w:pPr>
        <w:rPr>
          <w:szCs w:val="22"/>
          <w:lang w:val="en-GB"/>
        </w:rPr>
      </w:pPr>
      <w:r w:rsidRPr="00474235">
        <w:rPr>
          <w:szCs w:val="22"/>
          <w:lang w:val="en-GB"/>
        </w:rPr>
        <w:t xml:space="preserve">Two assessment criteria are used to assess </w:t>
      </w:r>
      <w:proofErr w:type="spellStart"/>
      <w:r w:rsidRPr="00474235">
        <w:rPr>
          <w:szCs w:val="22"/>
          <w:lang w:val="en-GB"/>
        </w:rPr>
        <w:t>organo</w:t>
      </w:r>
      <w:proofErr w:type="spellEnd"/>
      <w:r w:rsidRPr="00474235">
        <w:rPr>
          <w:szCs w:val="22"/>
          <w:lang w:val="en-GB"/>
        </w:rPr>
        <w:t>-metal concentrations in biota: the</w:t>
      </w:r>
    </w:p>
    <w:p w:rsidR="00AC7E8C" w:rsidRPr="00474235" w:rsidRDefault="00AC7E8C" w:rsidP="00AC7E8C">
      <w:pPr>
        <w:numPr>
          <w:ilvl w:val="0"/>
          <w:numId w:val="9"/>
        </w:numPr>
        <w:rPr>
          <w:szCs w:val="22"/>
          <w:lang w:val="en-GB"/>
        </w:rPr>
      </w:pPr>
      <w:r w:rsidRPr="00474235">
        <w:rPr>
          <w:b/>
          <w:bCs/>
          <w:szCs w:val="22"/>
          <w:lang w:val="en-GB"/>
        </w:rPr>
        <w:t>B</w:t>
      </w:r>
      <w:r w:rsidRPr="00474235">
        <w:rPr>
          <w:szCs w:val="22"/>
          <w:lang w:val="en-GB"/>
        </w:rPr>
        <w:t>ackground </w:t>
      </w:r>
      <w:r w:rsidRPr="00474235">
        <w:rPr>
          <w:b/>
          <w:bCs/>
          <w:szCs w:val="22"/>
          <w:lang w:val="en-GB"/>
        </w:rPr>
        <w:t>A</w:t>
      </w:r>
      <w:r w:rsidRPr="00474235">
        <w:rPr>
          <w:szCs w:val="22"/>
          <w:lang w:val="en-GB"/>
        </w:rPr>
        <w:t>ssessment </w:t>
      </w:r>
      <w:r w:rsidRPr="00474235">
        <w:rPr>
          <w:b/>
          <w:bCs/>
          <w:szCs w:val="22"/>
          <w:lang w:val="en-GB"/>
        </w:rPr>
        <w:t>C</w:t>
      </w:r>
      <w:r w:rsidRPr="00474235">
        <w:rPr>
          <w:szCs w:val="22"/>
          <w:lang w:val="en-GB"/>
        </w:rPr>
        <w:t>oncentration (BAC)</w:t>
      </w:r>
    </w:p>
    <w:p w:rsidR="00AC7E8C" w:rsidRPr="00474235" w:rsidRDefault="00AC7E8C" w:rsidP="00AC7E8C">
      <w:pPr>
        <w:numPr>
          <w:ilvl w:val="0"/>
          <w:numId w:val="9"/>
        </w:numPr>
        <w:rPr>
          <w:szCs w:val="22"/>
          <w:lang w:val="en-GB"/>
        </w:rPr>
      </w:pPr>
      <w:r w:rsidRPr="00474235">
        <w:rPr>
          <w:b/>
          <w:bCs/>
          <w:szCs w:val="22"/>
          <w:lang w:val="en-GB"/>
        </w:rPr>
        <w:t>E</w:t>
      </w:r>
      <w:r w:rsidRPr="00474235">
        <w:rPr>
          <w:szCs w:val="22"/>
          <w:lang w:val="en-GB"/>
        </w:rPr>
        <w:t>nvironmental </w:t>
      </w:r>
      <w:r w:rsidRPr="00474235">
        <w:rPr>
          <w:b/>
          <w:bCs/>
          <w:szCs w:val="22"/>
          <w:lang w:val="en-GB"/>
        </w:rPr>
        <w:t>A</w:t>
      </w:r>
      <w:r w:rsidRPr="00474235">
        <w:rPr>
          <w:szCs w:val="22"/>
          <w:lang w:val="en-GB"/>
        </w:rPr>
        <w:t>ssessment </w:t>
      </w:r>
      <w:r w:rsidRPr="00474235">
        <w:rPr>
          <w:b/>
          <w:bCs/>
          <w:szCs w:val="22"/>
          <w:lang w:val="en-GB"/>
        </w:rPr>
        <w:t>C</w:t>
      </w:r>
      <w:r w:rsidRPr="00474235">
        <w:rPr>
          <w:szCs w:val="22"/>
          <w:lang w:val="en-GB"/>
        </w:rPr>
        <w:t>riteria (EAC)</w:t>
      </w:r>
    </w:p>
    <w:p w:rsidR="00E108F3" w:rsidRPr="00474235" w:rsidRDefault="00AC7E8C" w:rsidP="00AC7E8C">
      <w:pPr>
        <w:rPr>
          <w:szCs w:val="22"/>
          <w:lang w:val="en-GB"/>
        </w:rPr>
      </w:pPr>
      <w:r w:rsidRPr="00474235">
        <w:rPr>
          <w:szCs w:val="22"/>
          <w:lang w:val="en-GB"/>
        </w:rPr>
        <w:t>BACs were developed by the </w:t>
      </w:r>
      <w:hyperlink r:id="rId23" w:history="1">
        <w:r w:rsidRPr="00474235">
          <w:rPr>
            <w:rStyle w:val="Hyperlink"/>
            <w:szCs w:val="22"/>
            <w:lang w:val="en-GB"/>
          </w:rPr>
          <w:t>Oslo and Paris Commission</w:t>
        </w:r>
      </w:hyperlink>
      <w:r w:rsidRPr="00474235">
        <w:rPr>
          <w:szCs w:val="22"/>
          <w:lang w:val="en-GB"/>
        </w:rPr>
        <w:t> (OSPAR) for testing whether concentrations are near background levels. Mean concentrations significantly below the BAC are said to be near background.</w:t>
      </w:r>
      <w:r w:rsidRPr="00474235">
        <w:rPr>
          <w:szCs w:val="22"/>
          <w:lang w:val="en-GB"/>
        </w:rPr>
        <w:br/>
      </w:r>
      <w:r w:rsidRPr="00474235">
        <w:rPr>
          <w:szCs w:val="22"/>
          <w:lang w:val="en-GB"/>
        </w:rPr>
        <w:br/>
        <w:t>EACs were developed by OSPAR and the </w:t>
      </w:r>
      <w:hyperlink r:id="rId24" w:history="1">
        <w:r w:rsidRPr="00474235">
          <w:rPr>
            <w:rStyle w:val="Hyperlink"/>
            <w:szCs w:val="22"/>
            <w:lang w:val="en-GB"/>
          </w:rPr>
          <w:t>International Council for the Exploration of the Sea</w:t>
        </w:r>
      </w:hyperlink>
      <w:r w:rsidRPr="00474235">
        <w:rPr>
          <w:szCs w:val="22"/>
          <w:lang w:val="en-GB"/>
        </w:rPr>
        <w:t> for assessing the ecological significance of biota concentrations. Concentrations below the EAC should not cause any chro</w:t>
      </w:r>
      <w:r w:rsidR="00E108F3" w:rsidRPr="00474235">
        <w:rPr>
          <w:szCs w:val="22"/>
          <w:lang w:val="en-GB"/>
        </w:rPr>
        <w:t>nic effects in marine organisms.</w:t>
      </w:r>
    </w:p>
    <w:p w:rsidR="00A8169D" w:rsidRDefault="00A8169D">
      <w:pPr>
        <w:spacing w:after="0" w:line="240" w:lineRule="auto"/>
        <w:jc w:val="left"/>
        <w:rPr>
          <w:szCs w:val="22"/>
          <w:lang w:val="en-GB"/>
        </w:rPr>
      </w:pPr>
      <w:r>
        <w:rPr>
          <w:szCs w:val="22"/>
          <w:lang w:val="en-GB"/>
        </w:rPr>
        <w:br w:type="page"/>
      </w:r>
    </w:p>
    <w:p w:rsidR="00E108F3" w:rsidRPr="00474235" w:rsidRDefault="00AC7E8C" w:rsidP="00AC7E8C">
      <w:pPr>
        <w:rPr>
          <w:szCs w:val="22"/>
          <w:lang w:val="en-GB"/>
        </w:rPr>
      </w:pPr>
      <w:r w:rsidRPr="00474235">
        <w:rPr>
          <w:szCs w:val="22"/>
          <w:lang w:val="en-GB"/>
        </w:rPr>
        <w:t xml:space="preserve">BACs and EACs are available for the following </w:t>
      </w:r>
      <w:proofErr w:type="spellStart"/>
      <w:r w:rsidRPr="00474235">
        <w:rPr>
          <w:szCs w:val="22"/>
          <w:lang w:val="en-GB"/>
        </w:rPr>
        <w:t>organo</w:t>
      </w:r>
      <w:proofErr w:type="spellEnd"/>
      <w:r w:rsidRPr="00474235">
        <w:rPr>
          <w:szCs w:val="22"/>
          <w:lang w:val="en-GB"/>
        </w:rPr>
        <w:t>-metals</w:t>
      </w:r>
      <w:r w:rsidR="00E108F3" w:rsidRPr="00474235">
        <w:rPr>
          <w:szCs w:val="22"/>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990"/>
        <w:gridCol w:w="925"/>
        <w:gridCol w:w="981"/>
        <w:gridCol w:w="425"/>
        <w:gridCol w:w="413"/>
      </w:tblGrid>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b/>
                <w:szCs w:val="22"/>
                <w:lang w:val="en-GB"/>
              </w:rPr>
            </w:pPr>
            <w:r w:rsidRPr="00474235">
              <w:rPr>
                <w:b/>
                <w:szCs w:val="22"/>
                <w:lang w:val="en-GB"/>
              </w:rPr>
              <w:br/>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rsidP="00AC7E8C">
            <w:pPr>
              <w:rPr>
                <w:b/>
                <w:szCs w:val="22"/>
                <w:lang w:val="en-GB"/>
              </w:rPr>
            </w:pPr>
            <w:r w:rsidRPr="00474235">
              <w:rPr>
                <w:b/>
                <w:szCs w:val="22"/>
                <w:lang w:val="en-GB"/>
              </w:rPr>
              <w:t>M</w:t>
            </w:r>
            <w:r w:rsidR="00AC7E8C" w:rsidRPr="00474235">
              <w:rPr>
                <w:b/>
                <w:szCs w:val="22"/>
                <w:lang w:val="en-GB"/>
              </w:rPr>
              <w:t>ussels and oysters</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4E50E6" w:rsidP="004E50E6">
            <w:pPr>
              <w:rPr>
                <w:b/>
                <w:szCs w:val="22"/>
                <w:lang w:val="en-GB"/>
              </w:rPr>
            </w:pPr>
            <w:r w:rsidRPr="00474235">
              <w:rPr>
                <w:b/>
                <w:szCs w:val="22"/>
                <w:lang w:val="en-GB"/>
              </w:rPr>
              <w:t>F</w:t>
            </w:r>
            <w:r w:rsidR="00AC7E8C" w:rsidRPr="00474235">
              <w:rPr>
                <w:b/>
                <w:szCs w:val="22"/>
                <w:lang w:val="en-GB"/>
              </w:rPr>
              <w:t>ish</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EAC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EAC</w:t>
            </w:r>
          </w:p>
        </w:tc>
      </w:tr>
      <w:tr w:rsidR="00AC7E8C" w:rsidRPr="00474235" w:rsidTr="00AC7E8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Tributyltin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5.0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r w:rsidRPr="00474235">
              <w:rPr>
                <w:szCs w:val="22"/>
                <w:lang w:val="en-GB"/>
              </w:rPr>
              <w:t>12.0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AC7E8C" w:rsidRPr="00474235" w:rsidRDefault="00AC7E8C" w:rsidP="00AC7E8C">
            <w:pPr>
              <w:rPr>
                <w:szCs w:val="22"/>
                <w:lang w:val="en-GB"/>
              </w:rPr>
            </w:pPr>
          </w:p>
        </w:tc>
      </w:tr>
    </w:tbl>
    <w:p w:rsidR="00AC7E8C" w:rsidRPr="00474235" w:rsidRDefault="00E108F3" w:rsidP="00AC7E8C">
      <w:pPr>
        <w:rPr>
          <w:szCs w:val="22"/>
          <w:lang w:val="en-GB"/>
        </w:rPr>
      </w:pPr>
      <w:r w:rsidRPr="00474235">
        <w:rPr>
          <w:szCs w:val="22"/>
          <w:lang w:val="en-GB"/>
        </w:rPr>
        <w:t>Notes:</w:t>
      </w:r>
    </w:p>
    <w:p w:rsidR="00AC7E8C" w:rsidRPr="00474235" w:rsidRDefault="00AC7E8C" w:rsidP="00AC7E8C">
      <w:pPr>
        <w:numPr>
          <w:ilvl w:val="0"/>
          <w:numId w:val="10"/>
        </w:numPr>
        <w:rPr>
          <w:szCs w:val="22"/>
          <w:lang w:val="en-GB"/>
        </w:rPr>
      </w:pPr>
      <w:r w:rsidRPr="00474235">
        <w:rPr>
          <w:szCs w:val="22"/>
          <w:lang w:val="en-GB"/>
        </w:rPr>
        <w:t xml:space="preserve">BACs and EACs are expressed as </w:t>
      </w:r>
      <w:proofErr w:type="spellStart"/>
      <w:r w:rsidRPr="00474235">
        <w:rPr>
          <w:szCs w:val="22"/>
          <w:lang w:val="en-GB"/>
        </w:rPr>
        <w:t>μg</w:t>
      </w:r>
      <w:proofErr w:type="spellEnd"/>
      <w:r w:rsidRPr="00474235">
        <w:rPr>
          <w:szCs w:val="22"/>
          <w:lang w:val="en-GB"/>
        </w:rPr>
        <w:t> kg</w:t>
      </w:r>
      <w:r w:rsidRPr="00474235">
        <w:rPr>
          <w:szCs w:val="22"/>
          <w:vertAlign w:val="superscript"/>
          <w:lang w:val="en-GB"/>
        </w:rPr>
        <w:t>-1</w:t>
      </w:r>
      <w:r w:rsidRPr="00474235">
        <w:rPr>
          <w:szCs w:val="22"/>
          <w:lang w:val="en-GB"/>
        </w:rPr>
        <w:t> </w:t>
      </w:r>
      <w:proofErr w:type="spellStart"/>
      <w:r w:rsidRPr="00474235">
        <w:rPr>
          <w:szCs w:val="22"/>
          <w:lang w:val="en-GB"/>
        </w:rPr>
        <w:t>dw</w:t>
      </w:r>
      <w:proofErr w:type="spellEnd"/>
      <w:r w:rsidRPr="00474235">
        <w:rPr>
          <w:szCs w:val="22"/>
          <w:lang w:val="en-GB"/>
        </w:rPr>
        <w:t xml:space="preserve"> for mussels and oysters</w:t>
      </w:r>
    </w:p>
    <w:p w:rsidR="00AC7E8C" w:rsidRPr="00474235" w:rsidRDefault="00AC7E8C" w:rsidP="00AC7E8C">
      <w:pPr>
        <w:numPr>
          <w:ilvl w:val="0"/>
          <w:numId w:val="10"/>
        </w:numPr>
        <w:rPr>
          <w:szCs w:val="22"/>
          <w:lang w:val="en-GB"/>
        </w:rPr>
      </w:pPr>
      <w:r w:rsidRPr="00474235">
        <w:rPr>
          <w:szCs w:val="22"/>
          <w:lang w:val="en-GB"/>
        </w:rPr>
        <w:t>BACs and EACs are converted to other bases (wet, dry or lipid weight) using </w:t>
      </w:r>
      <w:hyperlink r:id="rId25" w:history="1">
        <w:r w:rsidRPr="00474235">
          <w:rPr>
            <w:rStyle w:val="Hyperlink"/>
            <w:szCs w:val="22"/>
            <w:lang w:val="en-GB"/>
          </w:rPr>
          <w:t>species-specific conversion factors</w:t>
        </w:r>
      </w:hyperlink>
      <w:r w:rsidR="00041404" w:rsidRPr="00474235">
        <w:rPr>
          <w:szCs w:val="22"/>
          <w:lang w:val="en-GB"/>
        </w:rPr>
        <w:t xml:space="preserve"> (appendix 2)</w:t>
      </w:r>
    </w:p>
    <w:p w:rsidR="00AC7E8C" w:rsidRPr="00474235" w:rsidRDefault="00AC7E8C" w:rsidP="00AC7E8C">
      <w:pPr>
        <w:rPr>
          <w:szCs w:val="22"/>
          <w:lang w:val="en-GB"/>
        </w:rPr>
      </w:pPr>
    </w:p>
    <w:p w:rsidR="00AC7E8C" w:rsidRPr="00474235" w:rsidRDefault="00AC7E8C" w:rsidP="00552FB8">
      <w:pPr>
        <w:pStyle w:val="Heading2"/>
        <w:rPr>
          <w:rFonts w:ascii="Calibri" w:eastAsia="Times New Roman" w:hAnsi="Calibri" w:cs="Times New Roman"/>
          <w:color w:val="000000"/>
        </w:rPr>
      </w:pPr>
      <w:bookmarkStart w:id="14" w:name="_Toc486935809"/>
      <w:r w:rsidRPr="00474235">
        <w:rPr>
          <w:rFonts w:ascii="Calibri" w:hAnsi="Calibri"/>
        </w:rPr>
        <w:t xml:space="preserve">Assessment criteria: </w:t>
      </w:r>
      <w:proofErr w:type="spellStart"/>
      <w:r w:rsidRPr="00474235">
        <w:rPr>
          <w:rFonts w:ascii="Calibri" w:hAnsi="Calibri"/>
        </w:rPr>
        <w:t>Organo</w:t>
      </w:r>
      <w:proofErr w:type="spellEnd"/>
      <w:r w:rsidRPr="00474235">
        <w:rPr>
          <w:rFonts w:ascii="Calibri" w:hAnsi="Calibri"/>
        </w:rPr>
        <w:t>-bromines in biota</w:t>
      </w:r>
      <w:bookmarkEnd w:id="14"/>
    </w:p>
    <w:p w:rsidR="00AC7E8C" w:rsidRPr="00474235" w:rsidRDefault="00AC7E8C" w:rsidP="00AC7E8C">
      <w:pPr>
        <w:rPr>
          <w:lang w:val="en-GB"/>
        </w:rPr>
      </w:pPr>
      <w:r w:rsidRPr="00474235">
        <w:rPr>
          <w:lang w:val="en-GB"/>
        </w:rPr>
        <w:t xml:space="preserve">Assessment criteria for </w:t>
      </w:r>
      <w:proofErr w:type="spellStart"/>
      <w:r w:rsidRPr="00474235">
        <w:rPr>
          <w:lang w:val="en-GB"/>
        </w:rPr>
        <w:t>organo</w:t>
      </w:r>
      <w:proofErr w:type="spellEnd"/>
      <w:r w:rsidRPr="00474235">
        <w:rPr>
          <w:lang w:val="en-GB"/>
        </w:rPr>
        <w:t>-bromines in biota are under development. </w:t>
      </w:r>
    </w:p>
    <w:p w:rsidR="00AC7E8C" w:rsidRPr="00474235" w:rsidRDefault="00AC7E8C" w:rsidP="00552FB8">
      <w:pPr>
        <w:pStyle w:val="Heading2"/>
        <w:rPr>
          <w:rFonts w:ascii="Calibri" w:eastAsia="Times New Roman" w:hAnsi="Calibri" w:cs="Times New Roman"/>
          <w:color w:val="000000"/>
        </w:rPr>
      </w:pPr>
      <w:bookmarkStart w:id="15" w:name="_Toc486935810"/>
      <w:r w:rsidRPr="00474235">
        <w:rPr>
          <w:rFonts w:ascii="Calibri" w:hAnsi="Calibri"/>
        </w:rPr>
        <w:t>Assessment criteria: Dioxins and Furans in biota</w:t>
      </w:r>
      <w:bookmarkEnd w:id="15"/>
    </w:p>
    <w:p w:rsidR="00AC7E8C" w:rsidRPr="00474235" w:rsidRDefault="00AC7E8C" w:rsidP="00AC7E8C">
      <w:pPr>
        <w:rPr>
          <w:lang w:val="en-GB"/>
        </w:rPr>
      </w:pPr>
      <w:r w:rsidRPr="00474235">
        <w:rPr>
          <w:lang w:val="en-GB"/>
        </w:rPr>
        <w:t>Assessment criteria for dioxins and Furans in biota are under development. </w:t>
      </w:r>
    </w:p>
    <w:p w:rsidR="00AC7E8C" w:rsidRPr="00474235" w:rsidRDefault="00AC7E8C" w:rsidP="00552FB8">
      <w:pPr>
        <w:pStyle w:val="Heading2"/>
        <w:rPr>
          <w:rFonts w:ascii="Calibri" w:hAnsi="Calibri"/>
        </w:rPr>
      </w:pPr>
      <w:bookmarkStart w:id="16" w:name="_Toc486935811"/>
      <w:r w:rsidRPr="00474235">
        <w:rPr>
          <w:rFonts w:ascii="Calibri" w:hAnsi="Calibri"/>
        </w:rPr>
        <w:t>Assessment criteria: Persistent organic pollutants in biota</w:t>
      </w:r>
      <w:bookmarkEnd w:id="16"/>
    </w:p>
    <w:p w:rsidR="00AC7E8C" w:rsidRPr="00474235" w:rsidRDefault="00AC7E8C" w:rsidP="00E108F3">
      <w:pPr>
        <w:rPr>
          <w:lang w:val="en-GB"/>
        </w:rPr>
      </w:pPr>
      <w:r w:rsidRPr="00474235">
        <w:rPr>
          <w:lang w:val="en-GB"/>
        </w:rPr>
        <w:t>Assessment criteria for persistent organic pollutants in biota are under development. </w:t>
      </w:r>
    </w:p>
    <w:p w:rsidR="00E609FA" w:rsidRPr="00474235" w:rsidRDefault="00E609FA" w:rsidP="00552FB8">
      <w:pPr>
        <w:pStyle w:val="Heading1"/>
        <w:rPr>
          <w:rFonts w:ascii="Calibri" w:hAnsi="Calibri"/>
        </w:rPr>
      </w:pPr>
      <w:bookmarkStart w:id="17" w:name="_Toc486935812"/>
      <w:r w:rsidRPr="00474235">
        <w:rPr>
          <w:rFonts w:ascii="Calibri" w:hAnsi="Calibri"/>
        </w:rPr>
        <w:t>Assessment methodology for biological effects</w:t>
      </w:r>
      <w:bookmarkEnd w:id="17"/>
    </w:p>
    <w:p w:rsidR="00E609FA" w:rsidRPr="00474235" w:rsidRDefault="00E609FA" w:rsidP="00E609FA">
      <w:pPr>
        <w:rPr>
          <w:lang w:val="en-GB"/>
        </w:rPr>
      </w:pPr>
      <w:r w:rsidRPr="00474235">
        <w:rPr>
          <w:lang w:val="en-GB"/>
        </w:rPr>
        <w:t>The assessment methodology for biological effects measurements is essentially the same as that for </w:t>
      </w:r>
      <w:hyperlink r:id="rId26" w:history="1">
        <w:r w:rsidRPr="00474235">
          <w:rPr>
            <w:rStyle w:val="Hyperlink"/>
            <w:lang w:val="en-GB"/>
          </w:rPr>
          <w:t>chemical concentrations in biota</w:t>
        </w:r>
      </w:hyperlink>
      <w:r w:rsidRPr="00474235">
        <w:rPr>
          <w:lang w:val="en-GB"/>
        </w:rPr>
        <w:t xml:space="preserve">. However, some modifications are required for </w:t>
      </w:r>
      <w:proofErr w:type="spellStart"/>
      <w:r w:rsidRPr="00474235">
        <w:rPr>
          <w:lang w:val="en-GB"/>
        </w:rPr>
        <w:t>glutathionine</w:t>
      </w:r>
      <w:proofErr w:type="spellEnd"/>
      <w:r w:rsidRPr="00474235">
        <w:rPr>
          <w:lang w:val="en-GB"/>
        </w:rPr>
        <w:t xml:space="preserve"> transferase, acetylcholine esterase activity, </w:t>
      </w:r>
      <w:proofErr w:type="spellStart"/>
      <w:r w:rsidRPr="00474235">
        <w:rPr>
          <w:lang w:val="en-GB"/>
        </w:rPr>
        <w:t>aminolevulinic</w:t>
      </w:r>
      <w:proofErr w:type="spellEnd"/>
      <w:r w:rsidRPr="00474235">
        <w:rPr>
          <w:lang w:val="en-GB"/>
        </w:rPr>
        <w:t xml:space="preserve"> acid dehydratase and scope for growth.</w:t>
      </w:r>
    </w:p>
    <w:p w:rsidR="00E609FA" w:rsidRPr="00474235" w:rsidRDefault="00E609FA" w:rsidP="00E609FA">
      <w:pPr>
        <w:rPr>
          <w:lang w:val="en-GB"/>
        </w:rPr>
      </w:pPr>
      <w:r w:rsidRPr="00474235">
        <w:rPr>
          <w:lang w:val="en-GB"/>
        </w:rPr>
        <w:t>Low values of these variables indicate unhealthy organisms, so status is assessed using the </w:t>
      </w:r>
      <w:r w:rsidRPr="00474235">
        <w:rPr>
          <w:i/>
          <w:iCs/>
          <w:lang w:val="en-GB"/>
        </w:rPr>
        <w:t>lower</w:t>
      </w:r>
      <w:r w:rsidRPr="00474235">
        <w:rPr>
          <w:lang w:val="en-GB"/>
        </w:rPr>
        <w:t> one-sided 95% confidence limit on the fitted mean value in the most recent monitoring year. For example, if the lower confidence limit is above the Background Assessment Concentration (BAC), then the mean value in the most recent monitoring year is significantly above the BAC and levels are said to be ‘at background’.</w:t>
      </w:r>
    </w:p>
    <w:p w:rsidR="00E609FA" w:rsidRPr="00474235" w:rsidRDefault="003F4FE1" w:rsidP="00E609FA">
      <w:pPr>
        <w:rPr>
          <w:u w:val="single"/>
          <w:lang w:val="en-GB"/>
        </w:rPr>
      </w:pPr>
      <w:r w:rsidRPr="00474235">
        <w:rPr>
          <w:u w:val="single"/>
          <w:lang w:val="en-GB"/>
        </w:rPr>
        <w:t>S</w:t>
      </w:r>
      <w:r w:rsidR="00E609FA" w:rsidRPr="00474235">
        <w:rPr>
          <w:u w:val="single"/>
          <w:lang w:val="en-GB"/>
        </w:rPr>
        <w:t>cope for growth</w:t>
      </w:r>
    </w:p>
    <w:p w:rsidR="00E609FA" w:rsidRPr="00474235" w:rsidRDefault="00E609FA" w:rsidP="00E609FA">
      <w:pPr>
        <w:rPr>
          <w:lang w:val="en-GB"/>
        </w:rPr>
      </w:pPr>
      <w:r w:rsidRPr="00474235">
        <w:rPr>
          <w:lang w:val="en-GB"/>
        </w:rPr>
        <w:t>The measurements are not log transformed because scope for growth can be negative and because the data are approximately normally distributed on the untransformed scale. Consequently, all models are of temporal changes on the original scale. Further, low scope for growth indicates unhealthy organisms, so status is assessed using the </w:t>
      </w:r>
      <w:r w:rsidRPr="00474235">
        <w:rPr>
          <w:i/>
          <w:iCs/>
          <w:lang w:val="en-GB"/>
        </w:rPr>
        <w:t>lower</w:t>
      </w:r>
      <w:r w:rsidRPr="00474235">
        <w:rPr>
          <w:lang w:val="en-GB"/>
        </w:rPr>
        <w:t> one-sided 95% confidence limit on the fitted mean scope for growth in the most recent monitoring year. As the data have not been transformed before modelling, the lower confidence limit is compared directly to the assessment criteria; i.e. there is no need for any back-transformation.</w:t>
      </w:r>
    </w:p>
    <w:p w:rsidR="00E609FA" w:rsidRPr="00474235" w:rsidRDefault="00E609FA">
      <w:pPr>
        <w:rPr>
          <w:rFonts w:eastAsiaTheme="majorEastAsia" w:cstheme="majorBidi"/>
          <w:b/>
          <w:bCs/>
          <w:color w:val="4F81BD" w:themeColor="accent1"/>
          <w:sz w:val="26"/>
          <w:szCs w:val="26"/>
          <w:lang w:val="en-GB"/>
        </w:rPr>
      </w:pPr>
      <w:r w:rsidRPr="00474235">
        <w:rPr>
          <w:lang w:val="en-GB"/>
        </w:rPr>
        <w:br w:type="page"/>
      </w:r>
    </w:p>
    <w:p w:rsidR="00E609FA" w:rsidRPr="00474235" w:rsidRDefault="00E609FA" w:rsidP="00552FB8">
      <w:pPr>
        <w:pStyle w:val="Heading2"/>
        <w:rPr>
          <w:rFonts w:ascii="Calibri" w:hAnsi="Calibri"/>
        </w:rPr>
      </w:pPr>
      <w:bookmarkStart w:id="18" w:name="_Toc486935813"/>
      <w:r w:rsidRPr="00474235">
        <w:rPr>
          <w:rFonts w:ascii="Calibri" w:hAnsi="Calibri"/>
        </w:rPr>
        <w:t>Assessment criteria: Biological effects</w:t>
      </w:r>
      <w:bookmarkEnd w:id="18"/>
    </w:p>
    <w:p w:rsidR="00E609FA" w:rsidRPr="00474235" w:rsidRDefault="00E609FA" w:rsidP="00E609FA">
      <w:pPr>
        <w:rPr>
          <w:lang w:val="en-GB"/>
        </w:rPr>
      </w:pPr>
      <w:r w:rsidRPr="00474235">
        <w:rPr>
          <w:lang w:val="en-GB"/>
        </w:rPr>
        <w:t>Two assessment criteria are used to assess biological effects: the</w:t>
      </w:r>
    </w:p>
    <w:p w:rsidR="00E609FA" w:rsidRPr="00474235" w:rsidRDefault="00E609FA" w:rsidP="00E609FA">
      <w:pPr>
        <w:numPr>
          <w:ilvl w:val="0"/>
          <w:numId w:val="11"/>
        </w:numPr>
        <w:rPr>
          <w:lang w:val="en-GB"/>
        </w:rPr>
      </w:pPr>
      <w:r w:rsidRPr="00474235">
        <w:rPr>
          <w:b/>
          <w:bCs/>
          <w:lang w:val="en-GB"/>
        </w:rPr>
        <w:t>B</w:t>
      </w:r>
      <w:r w:rsidRPr="00474235">
        <w:rPr>
          <w:lang w:val="en-GB"/>
        </w:rPr>
        <w:t>ackground </w:t>
      </w:r>
      <w:r w:rsidRPr="00474235">
        <w:rPr>
          <w:b/>
          <w:bCs/>
          <w:lang w:val="en-GB"/>
        </w:rPr>
        <w:t>A</w:t>
      </w:r>
      <w:r w:rsidRPr="00474235">
        <w:rPr>
          <w:lang w:val="en-GB"/>
        </w:rPr>
        <w:t>ssessment </w:t>
      </w:r>
      <w:r w:rsidRPr="00474235">
        <w:rPr>
          <w:b/>
          <w:bCs/>
          <w:lang w:val="en-GB"/>
        </w:rPr>
        <w:t>C</w:t>
      </w:r>
      <w:r w:rsidRPr="00474235">
        <w:rPr>
          <w:lang w:val="en-GB"/>
        </w:rPr>
        <w:t>oncentration (BAC)</w:t>
      </w:r>
    </w:p>
    <w:p w:rsidR="00E609FA" w:rsidRPr="00474235" w:rsidRDefault="00E609FA" w:rsidP="00E609FA">
      <w:pPr>
        <w:numPr>
          <w:ilvl w:val="0"/>
          <w:numId w:val="11"/>
        </w:numPr>
        <w:rPr>
          <w:lang w:val="en-GB"/>
        </w:rPr>
      </w:pPr>
      <w:r w:rsidRPr="00474235">
        <w:rPr>
          <w:b/>
          <w:bCs/>
          <w:lang w:val="en-GB"/>
        </w:rPr>
        <w:t>E</w:t>
      </w:r>
      <w:r w:rsidRPr="00474235">
        <w:rPr>
          <w:lang w:val="en-GB"/>
        </w:rPr>
        <w:t>nvironmental </w:t>
      </w:r>
      <w:r w:rsidRPr="00474235">
        <w:rPr>
          <w:b/>
          <w:bCs/>
          <w:lang w:val="en-GB"/>
        </w:rPr>
        <w:t>A</w:t>
      </w:r>
      <w:r w:rsidRPr="00474235">
        <w:rPr>
          <w:lang w:val="en-GB"/>
        </w:rPr>
        <w:t>ssessment </w:t>
      </w:r>
      <w:r w:rsidRPr="00474235">
        <w:rPr>
          <w:b/>
          <w:bCs/>
          <w:lang w:val="en-GB"/>
        </w:rPr>
        <w:t>C</w:t>
      </w:r>
      <w:r w:rsidRPr="00474235">
        <w:rPr>
          <w:lang w:val="en-GB"/>
        </w:rPr>
        <w:t>riteria (EAC)</w:t>
      </w:r>
    </w:p>
    <w:p w:rsidR="00E108F3" w:rsidRPr="00474235" w:rsidRDefault="00E609FA" w:rsidP="00E609FA">
      <w:pPr>
        <w:rPr>
          <w:rStyle w:val="Hyperlink"/>
          <w:lang w:val="en-GB"/>
        </w:rPr>
      </w:pPr>
      <w:r w:rsidRPr="00474235">
        <w:rPr>
          <w:lang w:val="en-GB"/>
        </w:rPr>
        <w:t>The assessment criteria were developed within the </w:t>
      </w:r>
      <w:hyperlink r:id="rId27" w:history="1">
        <w:r w:rsidRPr="00474235">
          <w:rPr>
            <w:rStyle w:val="Hyperlink"/>
            <w:lang w:val="en-GB"/>
          </w:rPr>
          <w:t>Oslo and Paris Commission</w:t>
        </w:r>
      </w:hyperlink>
      <w:r w:rsidRPr="00474235">
        <w:rPr>
          <w:lang w:val="en-GB"/>
        </w:rPr>
        <w:t> (OSPAR) framework with scientific advice from the </w:t>
      </w:r>
      <w:hyperlink r:id="rId28" w:history="1">
        <w:r w:rsidRPr="00474235">
          <w:rPr>
            <w:rStyle w:val="Hyperlink"/>
            <w:lang w:val="en-GB"/>
          </w:rPr>
          <w:t>International Council for the Exploration of the Sea</w:t>
        </w:r>
      </w:hyperlink>
      <w:r w:rsidRPr="00474235">
        <w:rPr>
          <w:lang w:val="en-GB"/>
        </w:rPr>
        <w:t>. Mean values significantly below the BAC are said to be near background. Values below the EAC indicate no chronic effects on the organisms concerned. Full details can be found in </w:t>
      </w:r>
      <w:hyperlink r:id="rId29" w:history="1">
        <w:r w:rsidRPr="00474235">
          <w:rPr>
            <w:rStyle w:val="Hyperlink"/>
            <w:lang w:val="en-GB"/>
          </w:rPr>
          <w:t xml:space="preserve">Davies &amp; </w:t>
        </w:r>
        <w:proofErr w:type="spellStart"/>
        <w:r w:rsidRPr="00474235">
          <w:rPr>
            <w:rStyle w:val="Hyperlink"/>
            <w:lang w:val="en-GB"/>
          </w:rPr>
          <w:t>Vethaak</w:t>
        </w:r>
        <w:proofErr w:type="spellEnd"/>
        <w:r w:rsidRPr="00474235">
          <w:rPr>
            <w:rStyle w:val="Hyperlink"/>
            <w:lang w:val="en-GB"/>
          </w:rPr>
          <w:t xml:space="preserve"> (2012)</w:t>
        </w:r>
      </w:hyperlink>
      <w:r w:rsidRPr="00474235">
        <w:rPr>
          <w:lang w:val="en-GB"/>
        </w:rPr>
        <w:t> or </w:t>
      </w:r>
      <w:hyperlink r:id="rId30" w:history="1">
        <w:r w:rsidRPr="00474235">
          <w:rPr>
            <w:rStyle w:val="Hyperlink"/>
            <w:lang w:val="en-GB"/>
          </w:rPr>
          <w:t>OSPAR (2013)</w:t>
        </w:r>
      </w:hyperlink>
      <w:r w:rsidRPr="00474235">
        <w:rPr>
          <w:lang w:val="en-GB"/>
        </w:rPr>
        <w:t>. </w:t>
      </w:r>
      <w:r w:rsidRPr="00474235">
        <w:rPr>
          <w:lang w:val="en-GB"/>
        </w:rPr>
        <w:br/>
      </w:r>
      <w:r w:rsidRPr="00474235">
        <w:rPr>
          <w:lang w:val="en-GB"/>
        </w:rPr>
        <w:br/>
        <w:t>BACs and EACs are available for </w:t>
      </w:r>
      <w:hyperlink r:id="rId31" w:history="1">
        <w:r w:rsidRPr="00474235">
          <w:rPr>
            <w:rStyle w:val="Hyperlink"/>
            <w:lang w:val="en-GB"/>
          </w:rPr>
          <w:t>EROD</w:t>
        </w:r>
      </w:hyperlink>
      <w:r w:rsidRPr="00474235">
        <w:rPr>
          <w:lang w:val="en-GB"/>
        </w:rPr>
        <w:t>, </w:t>
      </w:r>
      <w:hyperlink r:id="rId32" w:history="1">
        <w:r w:rsidRPr="00474235">
          <w:rPr>
            <w:rStyle w:val="Hyperlink"/>
            <w:lang w:val="en-GB"/>
          </w:rPr>
          <w:t>bile metabolites</w:t>
        </w:r>
      </w:hyperlink>
      <w:r w:rsidRPr="00474235">
        <w:rPr>
          <w:lang w:val="en-GB"/>
        </w:rPr>
        <w:t> and </w:t>
      </w:r>
      <w:hyperlink r:id="rId33" w:history="1">
        <w:r w:rsidRPr="00474235">
          <w:rPr>
            <w:rStyle w:val="Hyperlink"/>
            <w:lang w:val="en-GB"/>
          </w:rPr>
          <w:t>scope for growth</w:t>
        </w:r>
      </w:hyperlink>
    </w:p>
    <w:p w:rsidR="004E50E6" w:rsidRPr="00474235" w:rsidRDefault="00E609FA" w:rsidP="00E609FA">
      <w:pPr>
        <w:rPr>
          <w:lang w:val="en-GB"/>
        </w:rPr>
      </w:pPr>
      <w:r w:rsidRPr="00474235">
        <w:rPr>
          <w:lang w:val="en-GB"/>
        </w:rPr>
        <w:br/>
      </w:r>
      <w:proofErr w:type="gramStart"/>
      <w:r w:rsidR="00E62025" w:rsidRPr="00474235">
        <w:rPr>
          <w:i/>
          <w:lang w:val="en-GB"/>
        </w:rPr>
        <w:t>References</w:t>
      </w:r>
      <w:r w:rsidRPr="00474235">
        <w:rPr>
          <w:i/>
          <w:lang w:val="en-GB"/>
        </w:rPr>
        <w:br/>
      </w:r>
      <w:r w:rsidRPr="00474235">
        <w:rPr>
          <w:lang w:val="en-GB"/>
        </w:rPr>
        <w:t xml:space="preserve">Davies, I. M. and </w:t>
      </w:r>
      <w:proofErr w:type="spellStart"/>
      <w:r w:rsidRPr="00474235">
        <w:rPr>
          <w:lang w:val="en-GB"/>
        </w:rPr>
        <w:t>Vethaak</w:t>
      </w:r>
      <w:proofErr w:type="spellEnd"/>
      <w:r w:rsidRPr="00474235">
        <w:rPr>
          <w:lang w:val="en-GB"/>
        </w:rPr>
        <w:t>, A. D. 2012.</w:t>
      </w:r>
      <w:proofErr w:type="gramEnd"/>
      <w:r w:rsidRPr="00474235">
        <w:rPr>
          <w:lang w:val="en-GB"/>
        </w:rPr>
        <w:t xml:space="preserve"> </w:t>
      </w:r>
      <w:proofErr w:type="gramStart"/>
      <w:r w:rsidRPr="00474235">
        <w:rPr>
          <w:lang w:val="en-GB"/>
        </w:rPr>
        <w:t>Integrated marine environmental monitoring of chemicals and their effects.</w:t>
      </w:r>
      <w:proofErr w:type="gramEnd"/>
      <w:r w:rsidRPr="00474235">
        <w:rPr>
          <w:lang w:val="en-GB"/>
        </w:rPr>
        <w:t xml:space="preserve"> ICES Cooperative Research Report No. 315. </w:t>
      </w:r>
      <w:proofErr w:type="gramStart"/>
      <w:r w:rsidRPr="00474235">
        <w:rPr>
          <w:lang w:val="en-GB"/>
        </w:rPr>
        <w:t>277 pp.</w:t>
      </w:r>
      <w:proofErr w:type="gramEnd"/>
    </w:p>
    <w:p w:rsidR="00E609FA" w:rsidRPr="00474235" w:rsidRDefault="00E609FA" w:rsidP="00E609FA">
      <w:pPr>
        <w:rPr>
          <w:lang w:val="en-GB"/>
        </w:rPr>
      </w:pPr>
      <w:r w:rsidRPr="00474235">
        <w:rPr>
          <w:lang w:val="en-GB"/>
        </w:rPr>
        <w:br/>
      </w:r>
      <w:proofErr w:type="gramStart"/>
      <w:r w:rsidRPr="00474235">
        <w:rPr>
          <w:lang w:val="en-GB"/>
        </w:rPr>
        <w:t>OSPAR, 2013.</w:t>
      </w:r>
      <w:proofErr w:type="gramEnd"/>
      <w:r w:rsidRPr="00474235">
        <w:rPr>
          <w:lang w:val="en-GB"/>
        </w:rPr>
        <w:t xml:space="preserve"> </w:t>
      </w:r>
      <w:proofErr w:type="gramStart"/>
      <w:r w:rsidRPr="00474235">
        <w:rPr>
          <w:lang w:val="en-GB"/>
        </w:rPr>
        <w:t>Background documents and technical annexes for biological effects monitoring (Update 2013).</w:t>
      </w:r>
      <w:proofErr w:type="gramEnd"/>
      <w:r w:rsidRPr="00474235">
        <w:rPr>
          <w:lang w:val="en-GB"/>
        </w:rPr>
        <w:t xml:space="preserve"> OSPAR Commission, London. </w:t>
      </w:r>
      <w:proofErr w:type="gramStart"/>
      <w:r w:rsidRPr="00474235">
        <w:rPr>
          <w:lang w:val="en-GB"/>
        </w:rPr>
        <w:t>Publication 589, 238 pp.</w:t>
      </w:r>
      <w:proofErr w:type="gramEnd"/>
    </w:p>
    <w:p w:rsidR="005E10D0" w:rsidRPr="00474235" w:rsidRDefault="005E10D0" w:rsidP="00552FB8">
      <w:pPr>
        <w:pStyle w:val="Heading2"/>
        <w:rPr>
          <w:rFonts w:ascii="Calibri" w:hAnsi="Calibri"/>
        </w:rPr>
      </w:pPr>
      <w:bookmarkStart w:id="19" w:name="_Toc486935814"/>
      <w:r w:rsidRPr="00474235">
        <w:rPr>
          <w:rFonts w:ascii="Calibri" w:hAnsi="Calibri"/>
        </w:rPr>
        <w:t>Assessment criteria: EROD</w:t>
      </w:r>
      <w:bookmarkEnd w:id="19"/>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84"/>
        <w:gridCol w:w="2870"/>
        <w:gridCol w:w="941"/>
        <w:gridCol w:w="2195"/>
        <w:gridCol w:w="800"/>
      </w:tblGrid>
      <w:tr w:rsidR="005E10D0" w:rsidRPr="00474235">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Species</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Latin name</w:t>
            </w:r>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Sex</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Matrix</w:t>
            </w:r>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BAC</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Cod</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Gadus</w:t>
            </w:r>
            <w:proofErr w:type="spellEnd"/>
            <w:r w:rsidRPr="00474235">
              <w:rPr>
                <w:i/>
                <w:lang w:val="en-GB"/>
              </w:rPr>
              <w:t xml:space="preserve"> </w:t>
            </w:r>
            <w:proofErr w:type="spellStart"/>
            <w:r w:rsidRPr="00474235">
              <w:rPr>
                <w:i/>
                <w:lang w:val="en-GB"/>
              </w:rPr>
              <w:t>morhua</w:t>
            </w:r>
            <w:proofErr w:type="spellEnd"/>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Both</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 xml:space="preserve">Liver </w:t>
            </w:r>
            <w:proofErr w:type="spellStart"/>
            <w:r w:rsidRPr="00474235">
              <w:rPr>
                <w:lang w:val="en-GB"/>
              </w:rPr>
              <w:t>microsome</w:t>
            </w:r>
            <w:proofErr w:type="spellEnd"/>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145</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Dab</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Limanda</w:t>
            </w:r>
            <w:proofErr w:type="spellEnd"/>
            <w:r w:rsidRPr="00474235">
              <w:rPr>
                <w:i/>
                <w:lang w:val="en-GB"/>
              </w:rPr>
              <w:t xml:space="preserve"> </w:t>
            </w:r>
            <w:proofErr w:type="spellStart"/>
            <w:r w:rsidRPr="00474235">
              <w:rPr>
                <w:i/>
                <w:lang w:val="en-GB"/>
              </w:rPr>
              <w:t>limanda</w:t>
            </w:r>
            <w:proofErr w:type="spellEnd"/>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Female</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Liver S9</w:t>
            </w:r>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178</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Male</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Liver S9</w:t>
            </w:r>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147</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Both</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 xml:space="preserve">Liver </w:t>
            </w:r>
            <w:proofErr w:type="spellStart"/>
            <w:r w:rsidRPr="00474235">
              <w:rPr>
                <w:lang w:val="en-GB"/>
              </w:rPr>
              <w:t>microsome</w:t>
            </w:r>
            <w:proofErr w:type="spellEnd"/>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680</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Dragonet</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Callionymus</w:t>
            </w:r>
            <w:proofErr w:type="spellEnd"/>
            <w:r w:rsidRPr="00474235">
              <w:rPr>
                <w:i/>
                <w:lang w:val="en-GB"/>
              </w:rPr>
              <w:t xml:space="preserve"> </w:t>
            </w:r>
            <w:proofErr w:type="spellStart"/>
            <w:r w:rsidRPr="00474235">
              <w:rPr>
                <w:i/>
                <w:lang w:val="en-GB"/>
              </w:rPr>
              <w:t>lyra</w:t>
            </w:r>
            <w:proofErr w:type="spellEnd"/>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Both</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 xml:space="preserve">Liver </w:t>
            </w:r>
            <w:proofErr w:type="spellStart"/>
            <w:r w:rsidRPr="00474235">
              <w:rPr>
                <w:lang w:val="en-GB"/>
              </w:rPr>
              <w:t>microsome</w:t>
            </w:r>
            <w:proofErr w:type="spellEnd"/>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202</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Flounder</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Platichthys</w:t>
            </w:r>
            <w:proofErr w:type="spellEnd"/>
            <w:r w:rsidRPr="00474235">
              <w:rPr>
                <w:i/>
                <w:lang w:val="en-GB"/>
              </w:rPr>
              <w:t xml:space="preserve"> </w:t>
            </w:r>
            <w:proofErr w:type="spellStart"/>
            <w:r w:rsidRPr="00474235">
              <w:rPr>
                <w:i/>
                <w:lang w:val="en-GB"/>
              </w:rPr>
              <w:t>flesus</w:t>
            </w:r>
            <w:proofErr w:type="spellEnd"/>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Male</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Liver S9</w:t>
            </w:r>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24</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Four spotted megrim</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Lepidorhombus</w:t>
            </w:r>
            <w:proofErr w:type="spellEnd"/>
            <w:r w:rsidRPr="00474235">
              <w:rPr>
                <w:i/>
                <w:lang w:val="en-GB"/>
              </w:rPr>
              <w:t xml:space="preserve"> </w:t>
            </w:r>
            <w:proofErr w:type="spellStart"/>
            <w:r w:rsidRPr="00474235">
              <w:rPr>
                <w:i/>
                <w:lang w:val="en-GB"/>
              </w:rPr>
              <w:t>boscii</w:t>
            </w:r>
            <w:proofErr w:type="spellEnd"/>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Both</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 xml:space="preserve">Liver </w:t>
            </w:r>
            <w:proofErr w:type="spellStart"/>
            <w:r w:rsidRPr="00474235">
              <w:rPr>
                <w:lang w:val="en-GB"/>
              </w:rPr>
              <w:t>microsome</w:t>
            </w:r>
            <w:proofErr w:type="spellEnd"/>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13</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Plaice</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Pleuronectes</w:t>
            </w:r>
            <w:proofErr w:type="spellEnd"/>
            <w:r w:rsidRPr="00474235">
              <w:rPr>
                <w:i/>
                <w:lang w:val="en-GB"/>
              </w:rPr>
              <w:t xml:space="preserve"> </w:t>
            </w:r>
            <w:proofErr w:type="spellStart"/>
            <w:r w:rsidRPr="00474235">
              <w:rPr>
                <w:i/>
                <w:lang w:val="en-GB"/>
              </w:rPr>
              <w:t>platessa</w:t>
            </w:r>
            <w:proofErr w:type="spellEnd"/>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Male</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Liver S9</w:t>
            </w:r>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lang w:val="en-GB"/>
              </w:rPr>
            </w:pPr>
            <w:r w:rsidRPr="00474235">
              <w:rPr>
                <w:lang w:val="en-GB"/>
              </w:rPr>
              <w:t>9.5</w:t>
            </w:r>
          </w:p>
        </w:tc>
      </w:tr>
      <w:tr w:rsidR="005E10D0" w:rsidRPr="00474235">
        <w:tblPrEx>
          <w:tblBorders>
            <w:top w:val="none" w:sz="0" w:space="0" w:color="auto"/>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Both</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 xml:space="preserve">Liver </w:t>
            </w:r>
            <w:proofErr w:type="spellStart"/>
            <w:r w:rsidRPr="00474235">
              <w:rPr>
                <w:lang w:val="en-GB"/>
              </w:rPr>
              <w:t>microsome</w:t>
            </w:r>
            <w:proofErr w:type="spellEnd"/>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255</w:t>
            </w:r>
          </w:p>
        </w:tc>
      </w:tr>
      <w:tr w:rsidR="005E10D0" w:rsidRPr="00474235">
        <w:tblPrEx>
          <w:tblBorders>
            <w:top w:val="none" w:sz="0" w:space="0" w:color="auto"/>
            <w:bottom w:val="single" w:sz="8" w:space="0" w:color="6D6D6D"/>
          </w:tblBorders>
        </w:tblPrEx>
        <w:tc>
          <w:tcPr>
            <w:tcW w:w="2684"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Red mullet</w:t>
            </w:r>
          </w:p>
        </w:tc>
        <w:tc>
          <w:tcPr>
            <w:tcW w:w="287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lang w:val="en-GB"/>
              </w:rPr>
            </w:pPr>
            <w:proofErr w:type="spellStart"/>
            <w:r w:rsidRPr="00474235">
              <w:rPr>
                <w:i/>
                <w:lang w:val="en-GB"/>
              </w:rPr>
              <w:t>Mullus</w:t>
            </w:r>
            <w:proofErr w:type="spellEnd"/>
            <w:r w:rsidRPr="00474235">
              <w:rPr>
                <w:i/>
                <w:lang w:val="en-GB"/>
              </w:rPr>
              <w:t xml:space="preserve"> barbatus</w:t>
            </w:r>
          </w:p>
        </w:tc>
        <w:tc>
          <w:tcPr>
            <w:tcW w:w="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Male</w:t>
            </w:r>
          </w:p>
        </w:tc>
        <w:tc>
          <w:tcPr>
            <w:tcW w:w="219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Liver S9</w:t>
            </w:r>
          </w:p>
        </w:tc>
        <w:tc>
          <w:tcPr>
            <w:tcW w:w="80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4E50E6" w:rsidP="004E50E6">
            <w:pPr>
              <w:jc w:val="right"/>
              <w:rPr>
                <w:lang w:val="en-GB"/>
              </w:rPr>
            </w:pPr>
            <w:r w:rsidRPr="00474235">
              <w:rPr>
                <w:lang w:val="en-GB"/>
              </w:rPr>
              <w:t>208</w:t>
            </w:r>
          </w:p>
        </w:tc>
      </w:tr>
    </w:tbl>
    <w:p w:rsidR="005E10D0" w:rsidRPr="00474235" w:rsidRDefault="005E10D0" w:rsidP="005E10D0">
      <w:pPr>
        <w:rPr>
          <w:lang w:val="en-GB"/>
        </w:rPr>
      </w:pPr>
      <w:r w:rsidRPr="00474235">
        <w:rPr>
          <w:lang w:val="en-GB"/>
        </w:rPr>
        <w:t>Notes:</w:t>
      </w:r>
    </w:p>
    <w:p w:rsidR="005E10D0" w:rsidRPr="00474235" w:rsidRDefault="005E10D0" w:rsidP="005E10D0">
      <w:pPr>
        <w:numPr>
          <w:ilvl w:val="0"/>
          <w:numId w:val="25"/>
        </w:numPr>
        <w:rPr>
          <w:lang w:val="en-GB"/>
        </w:rPr>
      </w:pPr>
      <w:r w:rsidRPr="00474235">
        <w:rPr>
          <w:lang w:val="en-GB"/>
        </w:rPr>
        <w:t xml:space="preserve">BACs are expressed as </w:t>
      </w:r>
      <w:proofErr w:type="spellStart"/>
      <w:r w:rsidRPr="00474235">
        <w:rPr>
          <w:lang w:val="en-GB"/>
        </w:rPr>
        <w:t>pmol</w:t>
      </w:r>
      <w:proofErr w:type="spellEnd"/>
      <w:r w:rsidRPr="00474235">
        <w:rPr>
          <w:lang w:val="en-GB"/>
        </w:rPr>
        <w:t> min</w:t>
      </w:r>
      <w:r w:rsidRPr="00474235">
        <w:rPr>
          <w:vertAlign w:val="superscript"/>
          <w:lang w:val="en-GB"/>
        </w:rPr>
        <w:t>-1</w:t>
      </w:r>
      <w:r w:rsidRPr="00474235">
        <w:rPr>
          <w:lang w:val="en-GB"/>
        </w:rPr>
        <w:t> mg S9 protein</w:t>
      </w:r>
      <w:r w:rsidRPr="00474235">
        <w:rPr>
          <w:vertAlign w:val="superscript"/>
          <w:lang w:val="en-GB"/>
        </w:rPr>
        <w:t>-1</w:t>
      </w:r>
      <w:r w:rsidRPr="00474235">
        <w:rPr>
          <w:lang w:val="en-GB"/>
        </w:rPr>
        <w:t xml:space="preserve"> or </w:t>
      </w:r>
      <w:proofErr w:type="spellStart"/>
      <w:r w:rsidRPr="00474235">
        <w:rPr>
          <w:lang w:val="en-GB"/>
        </w:rPr>
        <w:t>pmol</w:t>
      </w:r>
      <w:proofErr w:type="spellEnd"/>
      <w:r w:rsidRPr="00474235">
        <w:rPr>
          <w:lang w:val="en-GB"/>
        </w:rPr>
        <w:t> min</w:t>
      </w:r>
      <w:r w:rsidRPr="00474235">
        <w:rPr>
          <w:vertAlign w:val="superscript"/>
          <w:lang w:val="en-GB"/>
        </w:rPr>
        <w:t>-1</w:t>
      </w:r>
      <w:r w:rsidRPr="00474235">
        <w:rPr>
          <w:lang w:val="en-GB"/>
        </w:rPr>
        <w:t> mg microsomal protein</w:t>
      </w:r>
      <w:r w:rsidRPr="00474235">
        <w:rPr>
          <w:vertAlign w:val="superscript"/>
          <w:lang w:val="en-GB"/>
        </w:rPr>
        <w:t>-1</w:t>
      </w:r>
      <w:r w:rsidRPr="00474235">
        <w:rPr>
          <w:lang w:val="en-GB"/>
        </w:rPr>
        <w:t xml:space="preserve"> for the liver S9 and liver </w:t>
      </w:r>
      <w:proofErr w:type="spellStart"/>
      <w:r w:rsidRPr="00474235">
        <w:rPr>
          <w:lang w:val="en-GB"/>
        </w:rPr>
        <w:t>microsome</w:t>
      </w:r>
      <w:proofErr w:type="spellEnd"/>
      <w:r w:rsidRPr="00474235">
        <w:rPr>
          <w:lang w:val="en-GB"/>
        </w:rPr>
        <w:t xml:space="preserve"> matrices respectively</w:t>
      </w:r>
    </w:p>
    <w:p w:rsidR="005E10D0" w:rsidRPr="00474235" w:rsidRDefault="005E10D0" w:rsidP="00E108F3">
      <w:pPr>
        <w:numPr>
          <w:ilvl w:val="0"/>
          <w:numId w:val="25"/>
        </w:numPr>
        <w:rPr>
          <w:lang w:val="en-GB"/>
        </w:rPr>
      </w:pPr>
      <w:r w:rsidRPr="00474235">
        <w:rPr>
          <w:lang w:val="en-GB"/>
        </w:rPr>
        <w:t>there are no EACs for EROD</w:t>
      </w:r>
      <w:r w:rsidRPr="00474235">
        <w:rPr>
          <w:lang w:val="en-GB"/>
        </w:rPr>
        <w:br w:type="page"/>
      </w:r>
    </w:p>
    <w:p w:rsidR="005E10D0" w:rsidRPr="00474235" w:rsidRDefault="005E10D0" w:rsidP="00552FB8">
      <w:pPr>
        <w:pStyle w:val="Heading2"/>
        <w:rPr>
          <w:rFonts w:ascii="Calibri" w:hAnsi="Calibri"/>
        </w:rPr>
      </w:pPr>
      <w:bookmarkStart w:id="20" w:name="_Toc486935815"/>
      <w:r w:rsidRPr="00474235">
        <w:rPr>
          <w:rFonts w:ascii="Calibri" w:hAnsi="Calibri"/>
        </w:rPr>
        <w:t>Assessment criteria: Bile metabolites</w:t>
      </w:r>
      <w:bookmarkEnd w:id="20"/>
    </w:p>
    <w:tbl>
      <w:tblPr>
        <w:tblW w:w="1037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16"/>
        <w:gridCol w:w="1155"/>
        <w:gridCol w:w="3545"/>
        <w:gridCol w:w="1102"/>
        <w:gridCol w:w="720"/>
        <w:gridCol w:w="640"/>
      </w:tblGrid>
      <w:tr w:rsidR="005E10D0" w:rsidRPr="00474235" w:rsidTr="00E108F3">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szCs w:val="22"/>
                <w:lang w:val="en-GB"/>
              </w:rPr>
            </w:pPr>
            <w:r w:rsidRPr="00474235">
              <w:rPr>
                <w:b/>
                <w:szCs w:val="22"/>
                <w:lang w:val="en-GB"/>
              </w:rPr>
              <w:t>Bile metabolite</w:t>
            </w: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szCs w:val="22"/>
                <w:lang w:val="en-GB"/>
              </w:rPr>
            </w:pPr>
            <w:r w:rsidRPr="00474235">
              <w:rPr>
                <w:b/>
                <w:szCs w:val="22"/>
                <w:lang w:val="en-GB"/>
              </w:rPr>
              <w:t>Species</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szCs w:val="22"/>
                <w:lang w:val="en-GB"/>
              </w:rPr>
            </w:pPr>
            <w:r w:rsidRPr="00474235">
              <w:rPr>
                <w:b/>
                <w:szCs w:val="22"/>
                <w:lang w:val="en-GB"/>
              </w:rPr>
              <w:t>Latin name</w:t>
            </w:r>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szCs w:val="22"/>
                <w:lang w:val="en-GB"/>
              </w:rPr>
            </w:pPr>
            <w:r w:rsidRPr="00474235">
              <w:rPr>
                <w:b/>
                <w:szCs w:val="22"/>
                <w:lang w:val="en-GB"/>
              </w:rPr>
              <w:t>Method</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szCs w:val="22"/>
                <w:lang w:val="en-GB"/>
              </w:rPr>
            </w:pPr>
            <w:r w:rsidRPr="00474235">
              <w:rPr>
                <w:b/>
                <w:szCs w:val="22"/>
                <w:lang w:val="en-GB"/>
              </w:rPr>
              <w:t>BAC</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5E10D0">
            <w:pPr>
              <w:rPr>
                <w:b/>
                <w:szCs w:val="22"/>
                <w:lang w:val="en-GB"/>
              </w:rPr>
            </w:pPr>
            <w:r w:rsidRPr="00474235">
              <w:rPr>
                <w:b/>
                <w:szCs w:val="22"/>
                <w:lang w:val="en-GB"/>
              </w:rPr>
              <w:t>EAC</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1-OH pyrene</w:t>
            </w: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Cod</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Gadus</w:t>
            </w:r>
            <w:proofErr w:type="spellEnd"/>
            <w:r w:rsidRPr="00474235">
              <w:rPr>
                <w:i/>
                <w:szCs w:val="22"/>
                <w:lang w:val="en-GB"/>
              </w:rPr>
              <w:t xml:space="preserve"> </w:t>
            </w:r>
            <w:proofErr w:type="spellStart"/>
            <w:r w:rsidRPr="00474235">
              <w:rPr>
                <w:i/>
                <w:szCs w:val="22"/>
                <w:lang w:val="en-GB"/>
              </w:rPr>
              <w:t>morhua</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21    </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GC-MS</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r w:rsidRPr="00474235">
              <w:rPr>
                <w:szCs w:val="22"/>
                <w:lang w:val="en-GB"/>
              </w:rPr>
              <w:t>483</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Dab</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Limanda</w:t>
            </w:r>
            <w:proofErr w:type="spellEnd"/>
            <w:r w:rsidRPr="00474235">
              <w:rPr>
                <w:i/>
                <w:szCs w:val="22"/>
                <w:lang w:val="en-GB"/>
              </w:rPr>
              <w:t xml:space="preserve"> </w:t>
            </w:r>
            <w:proofErr w:type="spellStart"/>
            <w:r w:rsidRPr="00474235">
              <w:rPr>
                <w:i/>
                <w:szCs w:val="22"/>
                <w:lang w:val="en-GB"/>
              </w:rPr>
              <w:t>limanda</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16    </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Flounder</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Platichthys</w:t>
            </w:r>
            <w:proofErr w:type="spellEnd"/>
            <w:r w:rsidRPr="00474235">
              <w:rPr>
                <w:i/>
                <w:szCs w:val="22"/>
                <w:lang w:val="en-GB"/>
              </w:rPr>
              <w:t xml:space="preserve"> </w:t>
            </w:r>
            <w:proofErr w:type="spellStart"/>
            <w:r w:rsidRPr="00474235">
              <w:rPr>
                <w:i/>
                <w:szCs w:val="22"/>
                <w:lang w:val="en-GB"/>
              </w:rPr>
              <w:t>flesus</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16    </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Haddock</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Melanogrammus</w:t>
            </w:r>
            <w:proofErr w:type="spellEnd"/>
            <w:r w:rsidRPr="00474235">
              <w:rPr>
                <w:i/>
                <w:szCs w:val="22"/>
                <w:lang w:val="en-GB"/>
              </w:rPr>
              <w:t xml:space="preserve"> </w:t>
            </w:r>
            <w:proofErr w:type="spellStart"/>
            <w:r w:rsidRPr="00474235">
              <w:rPr>
                <w:i/>
                <w:szCs w:val="22"/>
                <w:lang w:val="en-GB"/>
              </w:rPr>
              <w:t>aeglefinus</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13    </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1-OH pyrene equivalents</w:t>
            </w: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Cod</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Gadus</w:t>
            </w:r>
            <w:proofErr w:type="spellEnd"/>
            <w:r w:rsidRPr="00474235">
              <w:rPr>
                <w:i/>
                <w:szCs w:val="22"/>
                <w:lang w:val="en-GB"/>
              </w:rPr>
              <w:t xml:space="preserve"> </w:t>
            </w:r>
            <w:proofErr w:type="spellStart"/>
            <w:r w:rsidRPr="00474235">
              <w:rPr>
                <w:i/>
                <w:szCs w:val="22"/>
                <w:lang w:val="en-GB"/>
              </w:rPr>
              <w:t>morhua</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SSF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1.1</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r w:rsidRPr="00474235">
              <w:rPr>
                <w:szCs w:val="22"/>
                <w:lang w:val="en-GB"/>
              </w:rPr>
              <w:t>  35</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Dab</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Limanda</w:t>
            </w:r>
            <w:proofErr w:type="spellEnd"/>
            <w:r w:rsidRPr="00474235">
              <w:rPr>
                <w:i/>
                <w:szCs w:val="22"/>
                <w:lang w:val="en-GB"/>
              </w:rPr>
              <w:t xml:space="preserve"> </w:t>
            </w:r>
            <w:proofErr w:type="spellStart"/>
            <w:r w:rsidRPr="00474235">
              <w:rPr>
                <w:i/>
                <w:szCs w:val="22"/>
                <w:lang w:val="en-GB"/>
              </w:rPr>
              <w:t>limanda</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SSF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  0.15</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r w:rsidRPr="00474235">
              <w:rPr>
                <w:szCs w:val="22"/>
                <w:lang w:val="en-GB"/>
              </w:rPr>
              <w:t>  22</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Flounder</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Platichthys</w:t>
            </w:r>
            <w:proofErr w:type="spellEnd"/>
            <w:r w:rsidRPr="00474235">
              <w:rPr>
                <w:i/>
                <w:szCs w:val="22"/>
                <w:lang w:val="en-GB"/>
              </w:rPr>
              <w:t xml:space="preserve"> </w:t>
            </w:r>
            <w:proofErr w:type="spellStart"/>
            <w:r w:rsidRPr="00474235">
              <w:rPr>
                <w:i/>
                <w:szCs w:val="22"/>
                <w:lang w:val="en-GB"/>
              </w:rPr>
              <w:t>flesus</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SSF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1.3</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r w:rsidRPr="00474235">
              <w:rPr>
                <w:szCs w:val="22"/>
                <w:lang w:val="en-GB"/>
              </w:rPr>
              <w:t>  29</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Haddock</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Melanogrammus</w:t>
            </w:r>
            <w:proofErr w:type="spellEnd"/>
            <w:r w:rsidRPr="00474235">
              <w:rPr>
                <w:i/>
                <w:szCs w:val="22"/>
                <w:lang w:val="en-GB"/>
              </w:rPr>
              <w:t xml:space="preserve"> </w:t>
            </w:r>
            <w:proofErr w:type="spellStart"/>
            <w:r w:rsidRPr="00474235">
              <w:rPr>
                <w:i/>
                <w:szCs w:val="22"/>
                <w:lang w:val="en-GB"/>
              </w:rPr>
              <w:t>aeglefinus</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SSF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1.9</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r w:rsidRPr="00474235">
              <w:rPr>
                <w:szCs w:val="22"/>
                <w:lang w:val="en-GB"/>
              </w:rPr>
              <w:t>  35</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 xml:space="preserve">1-OH </w:t>
            </w:r>
            <w:proofErr w:type="spellStart"/>
            <w:r w:rsidRPr="00474235">
              <w:rPr>
                <w:szCs w:val="22"/>
                <w:lang w:val="en-GB"/>
              </w:rPr>
              <w:t>phenanthrene</w:t>
            </w:r>
            <w:proofErr w:type="spellEnd"/>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Cod</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Gadus</w:t>
            </w:r>
            <w:proofErr w:type="spellEnd"/>
            <w:r w:rsidRPr="00474235">
              <w:rPr>
                <w:i/>
                <w:szCs w:val="22"/>
                <w:lang w:val="en-GB"/>
              </w:rPr>
              <w:t xml:space="preserve"> </w:t>
            </w:r>
            <w:proofErr w:type="spellStart"/>
            <w:r w:rsidRPr="00474235">
              <w:rPr>
                <w:i/>
                <w:szCs w:val="22"/>
                <w:lang w:val="en-GB"/>
              </w:rPr>
              <w:t>morhua</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2.7</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GC-MS</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r w:rsidRPr="00474235">
              <w:rPr>
                <w:szCs w:val="22"/>
                <w:lang w:val="en-GB"/>
              </w:rPr>
              <w:t>528</w:t>
            </w: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Dab</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Limanda</w:t>
            </w:r>
            <w:proofErr w:type="spellEnd"/>
            <w:r w:rsidRPr="00474235">
              <w:rPr>
                <w:i/>
                <w:szCs w:val="22"/>
                <w:lang w:val="en-GB"/>
              </w:rPr>
              <w:t xml:space="preserve"> </w:t>
            </w:r>
            <w:proofErr w:type="spellStart"/>
            <w:r w:rsidRPr="00474235">
              <w:rPr>
                <w:i/>
                <w:szCs w:val="22"/>
                <w:lang w:val="en-GB"/>
              </w:rPr>
              <w:t>limanda</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3.7</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Flounder</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Platichthys</w:t>
            </w:r>
            <w:proofErr w:type="spellEnd"/>
            <w:r w:rsidRPr="00474235">
              <w:rPr>
                <w:i/>
                <w:szCs w:val="22"/>
                <w:lang w:val="en-GB"/>
              </w:rPr>
              <w:t xml:space="preserve"> </w:t>
            </w:r>
            <w:proofErr w:type="spellStart"/>
            <w:r w:rsidRPr="00474235">
              <w:rPr>
                <w:i/>
                <w:szCs w:val="22"/>
                <w:lang w:val="en-GB"/>
              </w:rPr>
              <w:t>flesus</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3.7</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r w:rsidR="005E10D0" w:rsidRPr="00474235" w:rsidTr="00E108F3">
        <w:tblPrEx>
          <w:tblBorders>
            <w:top w:val="none" w:sz="0" w:space="0" w:color="auto"/>
            <w:bottom w:val="single" w:sz="8" w:space="0" w:color="6D6D6D"/>
          </w:tblBorders>
        </w:tblPrEx>
        <w:tc>
          <w:tcPr>
            <w:tcW w:w="321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p>
        </w:tc>
        <w:tc>
          <w:tcPr>
            <w:tcW w:w="115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Haddock</w:t>
            </w:r>
          </w:p>
        </w:tc>
        <w:tc>
          <w:tcPr>
            <w:tcW w:w="3545"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i/>
                <w:szCs w:val="22"/>
                <w:lang w:val="en-GB"/>
              </w:rPr>
            </w:pPr>
            <w:proofErr w:type="spellStart"/>
            <w:r w:rsidRPr="00474235">
              <w:rPr>
                <w:i/>
                <w:szCs w:val="22"/>
                <w:lang w:val="en-GB"/>
              </w:rPr>
              <w:t>Melanogrammus</w:t>
            </w:r>
            <w:proofErr w:type="spellEnd"/>
            <w:r w:rsidRPr="00474235">
              <w:rPr>
                <w:i/>
                <w:szCs w:val="22"/>
                <w:lang w:val="en-GB"/>
              </w:rPr>
              <w:t xml:space="preserve"> </w:t>
            </w:r>
            <w:proofErr w:type="spellStart"/>
            <w:r w:rsidRPr="00474235">
              <w:rPr>
                <w:i/>
                <w:szCs w:val="22"/>
                <w:lang w:val="en-GB"/>
              </w:rPr>
              <w:t>aeglefinus</w:t>
            </w:r>
            <w:proofErr w:type="spellEnd"/>
          </w:p>
        </w:tc>
        <w:tc>
          <w:tcPr>
            <w:tcW w:w="11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HPLC-F</w:t>
            </w:r>
          </w:p>
        </w:tc>
        <w:tc>
          <w:tcPr>
            <w:tcW w:w="7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szCs w:val="22"/>
                <w:lang w:val="en-GB"/>
              </w:rPr>
            </w:pPr>
            <w:r w:rsidRPr="00474235">
              <w:rPr>
                <w:szCs w:val="22"/>
                <w:lang w:val="en-GB"/>
              </w:rPr>
              <w:t>0.8</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4E50E6">
            <w:pPr>
              <w:jc w:val="right"/>
              <w:rPr>
                <w:szCs w:val="22"/>
                <w:lang w:val="en-GB"/>
              </w:rPr>
            </w:pPr>
          </w:p>
        </w:tc>
      </w:tr>
    </w:tbl>
    <w:p w:rsidR="005E10D0" w:rsidRPr="00474235" w:rsidRDefault="005E10D0" w:rsidP="005E10D0">
      <w:pPr>
        <w:rPr>
          <w:lang w:val="en-GB"/>
        </w:rPr>
      </w:pPr>
      <w:r w:rsidRPr="00474235">
        <w:rPr>
          <w:lang w:val="en-GB"/>
        </w:rPr>
        <w:t>Notes:</w:t>
      </w:r>
    </w:p>
    <w:p w:rsidR="005E10D0" w:rsidRPr="00474235" w:rsidRDefault="005E10D0" w:rsidP="005E10D0">
      <w:pPr>
        <w:numPr>
          <w:ilvl w:val="0"/>
          <w:numId w:val="25"/>
        </w:numPr>
        <w:rPr>
          <w:lang w:val="en-GB"/>
        </w:rPr>
      </w:pPr>
      <w:r w:rsidRPr="00474235">
        <w:rPr>
          <w:lang w:val="en-GB"/>
        </w:rPr>
        <w:t>HPLC-F is high performance liquid chromatography - fluorescence, GC-MS is gas chromatography - mass spectrometry, and SSF is synchronous scan fluorescence 341/383 nm</w:t>
      </w:r>
    </w:p>
    <w:p w:rsidR="00E108F3" w:rsidRPr="00474235" w:rsidRDefault="005E10D0" w:rsidP="005E10D0">
      <w:pPr>
        <w:numPr>
          <w:ilvl w:val="0"/>
          <w:numId w:val="25"/>
        </w:numPr>
        <w:rPr>
          <w:lang w:val="en-GB"/>
        </w:rPr>
      </w:pPr>
      <w:r w:rsidRPr="00474235">
        <w:rPr>
          <w:lang w:val="en-GB"/>
        </w:rPr>
        <w:t>BACs and EACs are expressed as ng ml</w:t>
      </w:r>
      <w:r w:rsidRPr="00474235">
        <w:rPr>
          <w:vertAlign w:val="superscript"/>
          <w:lang w:val="en-GB"/>
        </w:rPr>
        <w:t>-1</w:t>
      </w:r>
      <w:r w:rsidRPr="00474235">
        <w:rPr>
          <w:lang w:val="en-GB"/>
        </w:rPr>
        <w:t xml:space="preserve"> for HPLC-F, ng g</w:t>
      </w:r>
      <w:r w:rsidRPr="00474235">
        <w:rPr>
          <w:vertAlign w:val="superscript"/>
          <w:lang w:val="en-GB"/>
        </w:rPr>
        <w:t>-1</w:t>
      </w:r>
      <w:r w:rsidRPr="00474235">
        <w:rPr>
          <w:lang w:val="en-GB"/>
        </w:rPr>
        <w:t xml:space="preserve"> for GC-MS, and pyrene-type </w:t>
      </w:r>
      <w:proofErr w:type="spellStart"/>
      <w:r w:rsidRPr="00474235">
        <w:rPr>
          <w:lang w:val="en-GB"/>
        </w:rPr>
        <w:t>μg</w:t>
      </w:r>
      <w:proofErr w:type="spellEnd"/>
      <w:r w:rsidRPr="00474235">
        <w:rPr>
          <w:lang w:val="en-GB"/>
        </w:rPr>
        <w:t> ml</w:t>
      </w:r>
      <w:r w:rsidRPr="00474235">
        <w:rPr>
          <w:vertAlign w:val="superscript"/>
          <w:lang w:val="en-GB"/>
        </w:rPr>
        <w:t>-1</w:t>
      </w:r>
      <w:r w:rsidRPr="00474235">
        <w:rPr>
          <w:lang w:val="en-GB"/>
        </w:rPr>
        <w:t xml:space="preserve"> for SSF</w:t>
      </w:r>
    </w:p>
    <w:p w:rsidR="005E10D0" w:rsidRPr="00474235" w:rsidRDefault="005E10D0" w:rsidP="005E10D0">
      <w:pPr>
        <w:numPr>
          <w:ilvl w:val="0"/>
          <w:numId w:val="25"/>
        </w:numPr>
        <w:rPr>
          <w:lang w:val="en-GB"/>
        </w:rPr>
      </w:pPr>
      <w:r w:rsidRPr="00474235">
        <w:rPr>
          <w:lang w:val="en-GB"/>
        </w:rPr>
        <w:t xml:space="preserve">the proliferation of methods and units are </w:t>
      </w:r>
      <w:r w:rsidR="00E108F3" w:rsidRPr="00474235">
        <w:rPr>
          <w:lang w:val="en-GB"/>
        </w:rPr>
        <w:t>the origins of which are unclear</w:t>
      </w:r>
    </w:p>
    <w:p w:rsidR="005E10D0" w:rsidRPr="00474235" w:rsidRDefault="005E10D0">
      <w:pPr>
        <w:rPr>
          <w:lang w:val="en-GB"/>
        </w:rPr>
      </w:pPr>
      <w:r w:rsidRPr="00474235">
        <w:rPr>
          <w:lang w:val="en-GB"/>
        </w:rPr>
        <w:br w:type="page"/>
      </w:r>
    </w:p>
    <w:p w:rsidR="005E10D0" w:rsidRPr="00474235" w:rsidRDefault="005E10D0" w:rsidP="00552FB8">
      <w:pPr>
        <w:pStyle w:val="Heading2"/>
        <w:rPr>
          <w:rFonts w:ascii="Calibri" w:hAnsi="Calibri"/>
        </w:rPr>
      </w:pPr>
      <w:bookmarkStart w:id="21" w:name="_Toc486935816"/>
      <w:r w:rsidRPr="00474235">
        <w:rPr>
          <w:rFonts w:ascii="Calibri" w:hAnsi="Calibri"/>
        </w:rPr>
        <w:t>Assessment criteria; Scope for growth</w:t>
      </w:r>
      <w:bookmarkEnd w:id="21"/>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049"/>
        <w:gridCol w:w="658"/>
        <w:gridCol w:w="640"/>
      </w:tblGrid>
      <w:tr w:rsidR="005E10D0" w:rsidRPr="00474235">
        <w:tc>
          <w:tcPr>
            <w:tcW w:w="1049"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Species</w:t>
            </w:r>
          </w:p>
        </w:tc>
        <w:tc>
          <w:tcPr>
            <w:tcW w:w="65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BAC</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5E10D0">
            <w:pPr>
              <w:rPr>
                <w:b/>
                <w:lang w:val="en-GB"/>
              </w:rPr>
            </w:pPr>
            <w:r w:rsidRPr="00474235">
              <w:rPr>
                <w:b/>
                <w:lang w:val="en-GB"/>
              </w:rPr>
              <w:t>EAC</w:t>
            </w:r>
          </w:p>
        </w:tc>
      </w:tr>
      <w:tr w:rsidR="005E10D0" w:rsidRPr="00474235">
        <w:tblPrEx>
          <w:tblBorders>
            <w:top w:val="none" w:sz="0" w:space="0" w:color="auto"/>
            <w:bottom w:val="single" w:sz="8" w:space="0" w:color="6D6D6D"/>
          </w:tblBorders>
        </w:tblPrEx>
        <w:tc>
          <w:tcPr>
            <w:tcW w:w="1049"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Mussels</w:t>
            </w:r>
          </w:p>
        </w:tc>
        <w:tc>
          <w:tcPr>
            <w:tcW w:w="65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25</w:t>
            </w:r>
          </w:p>
        </w:tc>
        <w:tc>
          <w:tcPr>
            <w:tcW w:w="6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5E10D0" w:rsidRPr="00474235" w:rsidRDefault="005E10D0" w:rsidP="005E10D0">
            <w:pPr>
              <w:rPr>
                <w:lang w:val="en-GB"/>
              </w:rPr>
            </w:pPr>
            <w:r w:rsidRPr="00474235">
              <w:rPr>
                <w:lang w:val="en-GB"/>
              </w:rPr>
              <w:t>15</w:t>
            </w:r>
          </w:p>
        </w:tc>
      </w:tr>
    </w:tbl>
    <w:p w:rsidR="005E10D0" w:rsidRPr="00474235" w:rsidRDefault="005E10D0" w:rsidP="005E10D0">
      <w:pPr>
        <w:rPr>
          <w:lang w:val="en-GB"/>
        </w:rPr>
      </w:pPr>
      <w:r w:rsidRPr="00474235">
        <w:rPr>
          <w:lang w:val="en-GB"/>
        </w:rPr>
        <w:t>Notes:</w:t>
      </w:r>
    </w:p>
    <w:p w:rsidR="00E108F3" w:rsidRPr="00474235" w:rsidRDefault="005E10D0" w:rsidP="005E10D0">
      <w:pPr>
        <w:numPr>
          <w:ilvl w:val="0"/>
          <w:numId w:val="25"/>
        </w:numPr>
        <w:rPr>
          <w:lang w:val="en-GB"/>
        </w:rPr>
      </w:pPr>
      <w:r w:rsidRPr="00474235">
        <w:rPr>
          <w:lang w:val="en-GB"/>
        </w:rPr>
        <w:t>BACs and EACs are expressed as J h</w:t>
      </w:r>
      <w:r w:rsidRPr="00474235">
        <w:rPr>
          <w:vertAlign w:val="superscript"/>
          <w:lang w:val="en-GB"/>
        </w:rPr>
        <w:t>-1</w:t>
      </w:r>
      <w:r w:rsidRPr="00474235">
        <w:rPr>
          <w:lang w:val="en-GB"/>
        </w:rPr>
        <w:t xml:space="preserve"> g</w:t>
      </w:r>
      <w:r w:rsidRPr="00474235">
        <w:rPr>
          <w:vertAlign w:val="superscript"/>
          <w:lang w:val="en-GB"/>
        </w:rPr>
        <w:t>-1</w:t>
      </w:r>
    </w:p>
    <w:p w:rsidR="005E10D0" w:rsidRPr="00474235" w:rsidRDefault="005E10D0" w:rsidP="005E10D0">
      <w:pPr>
        <w:numPr>
          <w:ilvl w:val="0"/>
          <w:numId w:val="25"/>
        </w:numPr>
        <w:rPr>
          <w:lang w:val="en-GB"/>
        </w:rPr>
      </w:pPr>
      <w:r w:rsidRPr="00474235">
        <w:rPr>
          <w:lang w:val="en-GB"/>
        </w:rPr>
        <w:t>High values of scope for growth indicate healthy mussels</w:t>
      </w:r>
    </w:p>
    <w:p w:rsidR="000B2ED8" w:rsidRPr="00474235" w:rsidRDefault="000B2ED8" w:rsidP="00552FB8">
      <w:pPr>
        <w:pStyle w:val="Heading1"/>
        <w:rPr>
          <w:rFonts w:ascii="Calibri" w:hAnsi="Calibri"/>
        </w:rPr>
      </w:pPr>
      <w:bookmarkStart w:id="22" w:name="_Toc486935817"/>
      <w:r w:rsidRPr="00474235">
        <w:rPr>
          <w:rFonts w:ascii="Calibri" w:hAnsi="Calibri"/>
        </w:rPr>
        <w:t xml:space="preserve">Assessment methodology for </w:t>
      </w:r>
      <w:proofErr w:type="spellStart"/>
      <w:r w:rsidRPr="00474235">
        <w:rPr>
          <w:rFonts w:ascii="Calibri" w:hAnsi="Calibri"/>
        </w:rPr>
        <w:t>imposex</w:t>
      </w:r>
      <w:bookmarkEnd w:id="22"/>
      <w:proofErr w:type="spellEnd"/>
    </w:p>
    <w:p w:rsidR="000B2ED8" w:rsidRPr="00474235" w:rsidRDefault="000B2ED8" w:rsidP="000B2ED8">
      <w:pPr>
        <w:rPr>
          <w:lang w:val="en-GB"/>
        </w:rPr>
      </w:pPr>
      <w:r w:rsidRPr="00474235">
        <w:rPr>
          <w:lang w:val="en-GB"/>
        </w:rPr>
        <w:t>Overview</w:t>
      </w:r>
    </w:p>
    <w:p w:rsidR="000B2ED8" w:rsidRPr="00474235" w:rsidRDefault="000B2ED8" w:rsidP="000B2ED8">
      <w:pPr>
        <w:rPr>
          <w:lang w:val="en-GB"/>
        </w:rPr>
      </w:pPr>
      <w:r w:rsidRPr="00474235">
        <w:rPr>
          <w:lang w:val="en-GB"/>
        </w:rPr>
        <w:t xml:space="preserve">Ideally, </w:t>
      </w:r>
      <w:proofErr w:type="spellStart"/>
      <w:r w:rsidRPr="00474235">
        <w:rPr>
          <w:lang w:val="en-GB"/>
        </w:rPr>
        <w:t>imposex</w:t>
      </w:r>
      <w:proofErr w:type="spellEnd"/>
      <w:r w:rsidRPr="00474235">
        <w:rPr>
          <w:lang w:val="en-GB"/>
        </w:rPr>
        <w:t xml:space="preserve"> data are submitted as individual measurements; for example, as the Vas Deferens Sequence (VDS) of each female snail. This provides information about variation between individuals, and allows efficient statistical models to be fitted to assess trends and status. However, sometimes the data are submitted as an annual index; for example, as the Vas Deferens Sequence Index (VDSI), the arithmetic mean of the individual VDS measurements. A more ad-hoc modelling approach is then all that is possible. This help file describes the methodology for assessing time series of individual VDS measurements. Other </w:t>
      </w:r>
      <w:proofErr w:type="gramStart"/>
      <w:r w:rsidRPr="00474235">
        <w:rPr>
          <w:lang w:val="en-GB"/>
        </w:rPr>
        <w:t>help</w:t>
      </w:r>
      <w:proofErr w:type="gramEnd"/>
      <w:r w:rsidRPr="00474235">
        <w:rPr>
          <w:lang w:val="en-GB"/>
        </w:rPr>
        <w:t xml:space="preserve"> files describe the approach when VDS data are submitted as </w:t>
      </w:r>
      <w:hyperlink r:id="rId34" w:history="1">
        <w:r w:rsidRPr="00474235">
          <w:rPr>
            <w:rStyle w:val="Hyperlink"/>
            <w:lang w:val="en-GB"/>
          </w:rPr>
          <w:t>annual indices</w:t>
        </w:r>
      </w:hyperlink>
      <w:r w:rsidRPr="00474235">
        <w:rPr>
          <w:lang w:val="en-GB"/>
        </w:rPr>
        <w:t>, or as a </w:t>
      </w:r>
      <w:hyperlink r:id="rId35" w:history="1">
        <w:r w:rsidRPr="00474235">
          <w:rPr>
            <w:rStyle w:val="Hyperlink"/>
            <w:lang w:val="en-GB"/>
          </w:rPr>
          <w:t>mixture of individual measurements and annual indices</w:t>
        </w:r>
      </w:hyperlink>
      <w:r w:rsidRPr="00474235">
        <w:rPr>
          <w:lang w:val="en-GB"/>
        </w:rPr>
        <w:t>.</w:t>
      </w:r>
    </w:p>
    <w:p w:rsidR="000B2ED8" w:rsidRPr="00474235" w:rsidRDefault="000B2ED8" w:rsidP="000B2ED8">
      <w:pPr>
        <w:rPr>
          <w:lang w:val="en-GB"/>
        </w:rPr>
      </w:pPr>
      <w:r w:rsidRPr="00474235">
        <w:rPr>
          <w:lang w:val="en-GB"/>
        </w:rPr>
        <w:t xml:space="preserve">For some species, </w:t>
      </w:r>
      <w:proofErr w:type="spellStart"/>
      <w:r w:rsidRPr="00474235">
        <w:rPr>
          <w:lang w:val="en-GB"/>
        </w:rPr>
        <w:t>imposex</w:t>
      </w:r>
      <w:proofErr w:type="spellEnd"/>
      <w:r w:rsidRPr="00474235">
        <w:rPr>
          <w:lang w:val="en-GB"/>
        </w:rPr>
        <w:t xml:space="preserve"> stage or intersex stage are reported rather than VDS, again either as individuals or annual indices</w:t>
      </w:r>
      <w:r w:rsidRPr="00474235">
        <w:rPr>
          <w:rStyle w:val="FootnoteReference"/>
          <w:lang w:val="en-GB"/>
        </w:rPr>
        <w:footnoteReference w:id="7"/>
      </w:r>
      <w:r w:rsidRPr="00474235">
        <w:rPr>
          <w:lang w:val="en-GB"/>
        </w:rPr>
        <w:t>. However, for these measures, there is insufficient variation in stage between individuals to model the individual measurements and instead the </w:t>
      </w:r>
      <w:hyperlink r:id="rId36" w:history="1">
        <w:r w:rsidRPr="00474235">
          <w:rPr>
            <w:rStyle w:val="Hyperlink"/>
            <w:lang w:val="en-GB"/>
          </w:rPr>
          <w:t>annual indices</w:t>
        </w:r>
      </w:hyperlink>
      <w:r w:rsidR="002E1DFD" w:rsidRPr="00474235">
        <w:rPr>
          <w:lang w:val="en-GB"/>
        </w:rPr>
        <w:t xml:space="preserve"> </w:t>
      </w:r>
      <w:r w:rsidRPr="00474235">
        <w:rPr>
          <w:lang w:val="en-GB"/>
        </w:rPr>
        <w:t>are assessed.</w:t>
      </w:r>
    </w:p>
    <w:p w:rsidR="000B2ED8" w:rsidRPr="00474235" w:rsidRDefault="000B2ED8" w:rsidP="000B2ED8">
      <w:pPr>
        <w:rPr>
          <w:lang w:val="en-GB"/>
        </w:rPr>
      </w:pPr>
      <w:r w:rsidRPr="00474235">
        <w:rPr>
          <w:lang w:val="en-GB"/>
        </w:rPr>
        <w:t>Changes to the methodology since the 2014 assessment can be found in appendix 1.</w:t>
      </w:r>
    </w:p>
    <w:p w:rsidR="000B2ED8" w:rsidRPr="00474235" w:rsidRDefault="000B2ED8" w:rsidP="00552FB8">
      <w:pPr>
        <w:pStyle w:val="Heading2"/>
        <w:rPr>
          <w:rFonts w:ascii="Calibri" w:hAnsi="Calibri"/>
        </w:rPr>
      </w:pPr>
      <w:bookmarkStart w:id="23" w:name="_Toc486935818"/>
      <w:r w:rsidRPr="00474235">
        <w:rPr>
          <w:rFonts w:ascii="Calibri" w:hAnsi="Calibri"/>
        </w:rPr>
        <w:t>Proportional odds model</w:t>
      </w:r>
      <w:bookmarkEnd w:id="23"/>
    </w:p>
    <w:p w:rsidR="000B2ED8" w:rsidRPr="00474235" w:rsidRDefault="000B2ED8" w:rsidP="000B2ED8">
      <w:pPr>
        <w:rPr>
          <w:lang w:val="en-GB"/>
        </w:rPr>
      </w:pPr>
      <w:r w:rsidRPr="00474235">
        <w:rPr>
          <w:lang w:val="en-GB"/>
        </w:rPr>
        <w:t>The individual VDS measurements are modelled with a proportional odds model (</w:t>
      </w:r>
      <w:proofErr w:type="spellStart"/>
      <w:r w:rsidRPr="00474235">
        <w:rPr>
          <w:lang w:val="en-GB"/>
        </w:rPr>
        <w:t>McCull</w:t>
      </w:r>
      <w:r w:rsidR="002E1DFD" w:rsidRPr="00474235">
        <w:rPr>
          <w:lang w:val="en-GB"/>
        </w:rPr>
        <w:t>agh</w:t>
      </w:r>
      <w:proofErr w:type="spellEnd"/>
      <w:r w:rsidR="002E1DFD" w:rsidRPr="00474235">
        <w:rPr>
          <w:lang w:val="en-GB"/>
        </w:rPr>
        <w:t xml:space="preserve"> &amp; </w:t>
      </w:r>
      <w:proofErr w:type="spellStart"/>
      <w:r w:rsidR="002E1DFD" w:rsidRPr="00474235">
        <w:rPr>
          <w:lang w:val="en-GB"/>
        </w:rPr>
        <w:t>Nelder</w:t>
      </w:r>
      <w:proofErr w:type="spellEnd"/>
      <w:r w:rsidR="002E1DFD" w:rsidRPr="00474235">
        <w:rPr>
          <w:lang w:val="en-GB"/>
        </w:rPr>
        <w:t>, 1989). Let </w:t>
      </w:r>
      <w:proofErr w:type="spellStart"/>
      <w:r w:rsidR="002E1DFD" w:rsidRPr="00474235">
        <w:rPr>
          <w:lang w:val="en-GB"/>
        </w:rPr>
        <w:t>yij</w:t>
      </w:r>
      <w:r w:rsidRPr="00474235">
        <w:rPr>
          <w:lang w:val="en-GB"/>
        </w:rPr>
        <w:t>be</w:t>
      </w:r>
      <w:proofErr w:type="spellEnd"/>
      <w:r w:rsidRPr="00474235">
        <w:rPr>
          <w:lang w:val="en-GB"/>
        </w:rPr>
        <w:t xml:space="preserve"> the VDS measurement of the </w:t>
      </w:r>
      <w:proofErr w:type="spellStart"/>
      <w:r w:rsidRPr="00474235">
        <w:rPr>
          <w:lang w:val="en-GB"/>
        </w:rPr>
        <w:t>jjth</w:t>
      </w:r>
      <w:proofErr w:type="spellEnd"/>
      <w:r w:rsidRPr="00474235">
        <w:rPr>
          <w:lang w:val="en-GB"/>
        </w:rPr>
        <w:t xml:space="preserve"> female snail in year </w:t>
      </w:r>
      <w:proofErr w:type="spellStart"/>
      <w:r w:rsidRPr="00474235">
        <w:rPr>
          <w:lang w:val="en-GB"/>
        </w:rPr>
        <w:t>t</w:t>
      </w:r>
      <w:r w:rsidRPr="00474235">
        <w:rPr>
          <w:vertAlign w:val="subscript"/>
          <w:lang w:val="en-GB"/>
        </w:rPr>
        <w:t>i</w:t>
      </w:r>
      <w:proofErr w:type="gramStart"/>
      <w:r w:rsidRPr="00474235">
        <w:rPr>
          <w:lang w:val="en-GB"/>
        </w:rPr>
        <w:t>,i</w:t>
      </w:r>
      <w:proofErr w:type="spellEnd"/>
      <w:proofErr w:type="gramEnd"/>
      <w:r w:rsidRPr="00474235">
        <w:rPr>
          <w:lang w:val="en-GB"/>
        </w:rPr>
        <w:t>=1...N, with </w:t>
      </w:r>
      <w:proofErr w:type="spellStart"/>
      <w:r w:rsidRPr="00474235">
        <w:rPr>
          <w:lang w:val="en-GB"/>
        </w:rPr>
        <w:t>y</w:t>
      </w:r>
      <w:r w:rsidRPr="00474235">
        <w:rPr>
          <w:vertAlign w:val="subscript"/>
          <w:lang w:val="en-GB"/>
        </w:rPr>
        <w:t>ij</w:t>
      </w:r>
      <w:proofErr w:type="spellEnd"/>
      <w:r w:rsidRPr="00474235">
        <w:rPr>
          <w:rFonts w:ascii="Cambria Math" w:hAnsi="Cambria Math" w:cs="Cambria Math"/>
          <w:lang w:val="en-GB"/>
        </w:rPr>
        <w:t>∈</w:t>
      </w:r>
      <w:r w:rsidRPr="00474235">
        <w:rPr>
          <w:lang w:val="en-GB"/>
        </w:rPr>
        <w:t>{0,...,K}</w:t>
      </w:r>
      <w:r w:rsidR="002E1DFD" w:rsidRPr="00474235">
        <w:rPr>
          <w:lang w:val="en-GB"/>
        </w:rPr>
        <w:t> where K</w:t>
      </w:r>
      <w:r w:rsidRPr="00474235">
        <w:rPr>
          <w:lang w:val="en-GB"/>
        </w:rPr>
        <w:t> is the highest possible VDS class</w:t>
      </w:r>
      <w:r w:rsidRPr="00474235">
        <w:rPr>
          <w:rStyle w:val="FootnoteReference"/>
          <w:lang w:val="en-GB"/>
        </w:rPr>
        <w:footnoteReference w:id="8"/>
      </w:r>
      <w:r w:rsidRPr="00474235">
        <w:rPr>
          <w:lang w:val="en-GB"/>
        </w:rPr>
        <w:t>. It is assumed that</w:t>
      </w:r>
    </w:p>
    <w:p w:rsidR="002E1DFD" w:rsidRPr="00474235" w:rsidRDefault="000B2ED8" w:rsidP="000B2ED8">
      <w:pPr>
        <w:rPr>
          <w:lang w:val="en-GB"/>
        </w:rPr>
      </w:pPr>
      <w:proofErr w:type="gramStart"/>
      <w:r w:rsidRPr="00474235">
        <w:rPr>
          <w:lang w:val="en-GB"/>
        </w:rPr>
        <w:t>logit(</w:t>
      </w:r>
      <w:proofErr w:type="spellStart"/>
      <w:proofErr w:type="gramEnd"/>
      <w:r w:rsidRPr="00474235">
        <w:rPr>
          <w:lang w:val="en-GB"/>
        </w:rPr>
        <w:t>Prob</w:t>
      </w:r>
      <w:proofErr w:type="spellEnd"/>
      <w:r w:rsidRPr="00474235">
        <w:rPr>
          <w:lang w:val="en-GB"/>
        </w:rPr>
        <w:t>(</w:t>
      </w:r>
      <w:proofErr w:type="spellStart"/>
      <w:r w:rsidRPr="00474235">
        <w:rPr>
          <w:lang w:val="en-GB"/>
        </w:rPr>
        <w:t>y</w:t>
      </w:r>
      <w:r w:rsidRPr="00474235">
        <w:rPr>
          <w:vertAlign w:val="subscript"/>
          <w:lang w:val="en-GB"/>
        </w:rPr>
        <w:t>ij</w:t>
      </w:r>
      <w:r w:rsidRPr="00474235">
        <w:rPr>
          <w:lang w:val="en-GB"/>
        </w:rPr>
        <w:t>≤k</w:t>
      </w:r>
      <w:proofErr w:type="spellEnd"/>
      <w:r w:rsidRPr="00474235">
        <w:rPr>
          <w:lang w:val="en-GB"/>
        </w:rPr>
        <w:t>))=f(</w:t>
      </w:r>
      <w:proofErr w:type="spellStart"/>
      <w:r w:rsidRPr="00474235">
        <w:rPr>
          <w:lang w:val="en-GB"/>
        </w:rPr>
        <w:t>t</w:t>
      </w:r>
      <w:r w:rsidRPr="00474235">
        <w:rPr>
          <w:vertAlign w:val="subscript"/>
          <w:lang w:val="en-GB"/>
        </w:rPr>
        <w:t>i</w:t>
      </w:r>
      <w:proofErr w:type="spellEnd"/>
      <w:r w:rsidRPr="00474235">
        <w:rPr>
          <w:lang w:val="en-GB"/>
        </w:rPr>
        <w:t>)+</w:t>
      </w:r>
      <w:proofErr w:type="spellStart"/>
      <w:r w:rsidRPr="00474235">
        <w:rPr>
          <w:lang w:val="en-GB"/>
        </w:rPr>
        <w:t>θ</w:t>
      </w:r>
      <w:r w:rsidRPr="00474235">
        <w:rPr>
          <w:vertAlign w:val="subscript"/>
          <w:lang w:val="en-GB"/>
        </w:rPr>
        <w:t>k</w:t>
      </w:r>
      <w:proofErr w:type="spellEnd"/>
    </w:p>
    <w:p w:rsidR="00E336DA" w:rsidRPr="00474235" w:rsidRDefault="000B2ED8" w:rsidP="000B2ED8">
      <w:pPr>
        <w:rPr>
          <w:lang w:val="en-GB"/>
        </w:rPr>
      </w:pPr>
      <w:proofErr w:type="gramStart"/>
      <w:r w:rsidRPr="00474235">
        <w:rPr>
          <w:lang w:val="en-GB"/>
        </w:rPr>
        <w:t>for</w:t>
      </w:r>
      <w:proofErr w:type="gramEnd"/>
      <w:r w:rsidRPr="00474235">
        <w:rPr>
          <w:lang w:val="en-GB"/>
        </w:rPr>
        <w:t> 0≤k≤K−1, with </w:t>
      </w:r>
      <w:proofErr w:type="spellStart"/>
      <w:r w:rsidRPr="00474235">
        <w:rPr>
          <w:lang w:val="en-GB"/>
        </w:rPr>
        <w:t>Prob</w:t>
      </w:r>
      <w:proofErr w:type="spellEnd"/>
      <w:r w:rsidRPr="00474235">
        <w:rPr>
          <w:lang w:val="en-GB"/>
        </w:rPr>
        <w:t>(</w:t>
      </w:r>
      <w:proofErr w:type="spellStart"/>
      <w:r w:rsidRPr="00474235">
        <w:rPr>
          <w:lang w:val="en-GB"/>
        </w:rPr>
        <w:t>y</w:t>
      </w:r>
      <w:r w:rsidRPr="00474235">
        <w:rPr>
          <w:vertAlign w:val="subscript"/>
          <w:lang w:val="en-GB"/>
        </w:rPr>
        <w:t>ij</w:t>
      </w:r>
      <w:r w:rsidRPr="00474235">
        <w:rPr>
          <w:lang w:val="en-GB"/>
        </w:rPr>
        <w:t>≤K</w:t>
      </w:r>
      <w:proofErr w:type="spellEnd"/>
      <w:r w:rsidRPr="00474235">
        <w:rPr>
          <w:lang w:val="en-GB"/>
        </w:rPr>
        <w:t>)=1. Here,</w:t>
      </w:r>
      <w:proofErr w:type="gramStart"/>
      <w:r w:rsidRPr="00474235">
        <w:rPr>
          <w:lang w:val="en-GB"/>
        </w:rPr>
        <w:t> </w:t>
      </w:r>
      <w:r w:rsidR="002E1DFD" w:rsidRPr="00474235">
        <w:rPr>
          <w:lang w:val="en-GB"/>
        </w:rPr>
        <w:t xml:space="preserve"> </w:t>
      </w:r>
      <w:r w:rsidRPr="00474235">
        <w:rPr>
          <w:lang w:val="en-GB"/>
        </w:rPr>
        <w:t>f</w:t>
      </w:r>
      <w:proofErr w:type="gramEnd"/>
      <w:r w:rsidRPr="00474235">
        <w:rPr>
          <w:lang w:val="en-GB"/>
        </w:rPr>
        <w:t xml:space="preserve">(t) is a function that describes how </w:t>
      </w:r>
      <w:proofErr w:type="spellStart"/>
      <w:r w:rsidRPr="00474235">
        <w:rPr>
          <w:lang w:val="en-GB"/>
        </w:rPr>
        <w:t>imposex</w:t>
      </w:r>
      <w:proofErr w:type="spellEnd"/>
      <w:r w:rsidRPr="00474235">
        <w:rPr>
          <w:lang w:val="en-GB"/>
        </w:rPr>
        <w:t xml:space="preserve"> levels change over time (ye</w:t>
      </w:r>
      <w:r w:rsidR="002E1DFD" w:rsidRPr="00474235">
        <w:rPr>
          <w:lang w:val="en-GB"/>
        </w:rPr>
        <w:t>ar). Various forms of </w:t>
      </w:r>
      <w:proofErr w:type="gramStart"/>
      <w:r w:rsidR="002E1DFD" w:rsidRPr="00474235">
        <w:rPr>
          <w:lang w:val="en-GB"/>
        </w:rPr>
        <w:t>f(</w:t>
      </w:r>
      <w:proofErr w:type="gramEnd"/>
      <w:r w:rsidR="002E1DFD" w:rsidRPr="00474235">
        <w:rPr>
          <w:lang w:val="en-GB"/>
        </w:rPr>
        <w:t>t)</w:t>
      </w:r>
      <w:r w:rsidRPr="00474235">
        <w:rPr>
          <w:lang w:val="en-GB"/>
        </w:rPr>
        <w:t> are considered and these are discussed in the next section. The </w:t>
      </w:r>
      <w:proofErr w:type="spellStart"/>
      <w:r w:rsidRPr="00474235">
        <w:rPr>
          <w:lang w:val="en-GB"/>
        </w:rPr>
        <w:t>θ</w:t>
      </w:r>
      <w:r w:rsidRPr="00474235">
        <w:rPr>
          <w:vertAlign w:val="subscript"/>
          <w:lang w:val="en-GB"/>
        </w:rPr>
        <w:t>k</w:t>
      </w:r>
      <w:proofErr w:type="spellEnd"/>
      <w:r w:rsidRPr="00474235">
        <w:rPr>
          <w:lang w:val="en-GB"/>
        </w:rPr>
        <w:t> are cut points that measure the odds of being in a particular VDS class or below. Since the classes are ordered, the cut points</w:t>
      </w:r>
      <w:r w:rsidR="00E336DA" w:rsidRPr="00474235">
        <w:rPr>
          <w:lang w:val="en-GB"/>
        </w:rPr>
        <w:t xml:space="preserve"> are subject to the constraints:</w:t>
      </w:r>
    </w:p>
    <w:p w:rsidR="000B2ED8" w:rsidRPr="00474235" w:rsidRDefault="000B2ED8" w:rsidP="000B2ED8">
      <w:pPr>
        <w:rPr>
          <w:lang w:val="en-GB"/>
        </w:rPr>
      </w:pPr>
      <w:proofErr w:type="gramStart"/>
      <w:r w:rsidRPr="00474235">
        <w:rPr>
          <w:lang w:val="en-GB"/>
        </w:rPr>
        <w:t>θ</w:t>
      </w:r>
      <w:r w:rsidRPr="00474235">
        <w:rPr>
          <w:vertAlign w:val="subscript"/>
          <w:lang w:val="en-GB"/>
        </w:rPr>
        <w:t>0</w:t>
      </w:r>
      <w:r w:rsidRPr="00474235">
        <w:rPr>
          <w:lang w:val="en-GB"/>
        </w:rPr>
        <w:t>&lt;θ</w:t>
      </w:r>
      <w:r w:rsidRPr="00474235">
        <w:rPr>
          <w:vertAlign w:val="subscript"/>
          <w:lang w:val="en-GB"/>
        </w:rPr>
        <w:t>1</w:t>
      </w:r>
      <w:r w:rsidRPr="00474235">
        <w:rPr>
          <w:lang w:val="en-GB"/>
        </w:rPr>
        <w:t>&lt;...&lt;θ</w:t>
      </w:r>
      <w:r w:rsidR="002E1DFD" w:rsidRPr="00474235">
        <w:rPr>
          <w:lang w:val="en-GB"/>
        </w:rPr>
        <w:t xml:space="preserve"> </w:t>
      </w:r>
      <w:r w:rsidR="002E1DFD" w:rsidRPr="00474235">
        <w:rPr>
          <w:vertAlign w:val="subscript"/>
          <w:lang w:val="en-GB"/>
        </w:rPr>
        <w:t>K</w:t>
      </w:r>
      <w:r w:rsidRPr="00474235">
        <w:rPr>
          <w:vertAlign w:val="subscript"/>
          <w:lang w:val="en-GB"/>
        </w:rPr>
        <w:t>−1</w:t>
      </w:r>
      <w:r w:rsidRPr="00474235">
        <w:rPr>
          <w:rStyle w:val="FootnoteReference"/>
          <w:lang w:val="en-GB"/>
        </w:rPr>
        <w:footnoteReference w:id="9"/>
      </w:r>
      <w:r w:rsidRPr="00474235">
        <w:rPr>
          <w:lang w:val="en-GB"/>
        </w:rPr>
        <w:t>.</w:t>
      </w:r>
      <w:proofErr w:type="gramEnd"/>
    </w:p>
    <w:p w:rsidR="000B2ED8" w:rsidRPr="00474235" w:rsidRDefault="000B2ED8" w:rsidP="000B2ED8">
      <w:pPr>
        <w:rPr>
          <w:lang w:val="en-GB"/>
        </w:rPr>
      </w:pPr>
      <w:r w:rsidRPr="00474235">
        <w:rPr>
          <w:lang w:val="en-GB"/>
        </w:rPr>
        <w:t>The model is fitted by maximum likelihood. However, there are rarely sufficient data in a single time series to estimate the cut points precisely, so the cut points are first estimated from a saturated model fitted to multiple time series (described later) and are then assumed fixed and known</w:t>
      </w:r>
      <w:r w:rsidR="002E1DFD" w:rsidRPr="00474235">
        <w:rPr>
          <w:rStyle w:val="FootnoteReference"/>
          <w:lang w:val="en-GB"/>
        </w:rPr>
        <w:footnoteReference w:id="10"/>
      </w:r>
      <w:r w:rsidRPr="00474235">
        <w:rPr>
          <w:lang w:val="en-GB"/>
        </w:rPr>
        <w:t>. The only parameters estimated when fitting the proportional odds model to a single time series are</w:t>
      </w:r>
      <w:r w:rsidR="002E1DFD" w:rsidRPr="00474235">
        <w:rPr>
          <w:lang w:val="en-GB"/>
        </w:rPr>
        <w:t xml:space="preserve"> thus the parameters of </w:t>
      </w:r>
      <w:proofErr w:type="gramStart"/>
      <w:r w:rsidR="002E1DFD" w:rsidRPr="00474235">
        <w:rPr>
          <w:lang w:val="en-GB"/>
        </w:rPr>
        <w:t>f(</w:t>
      </w:r>
      <w:proofErr w:type="gramEnd"/>
      <w:r w:rsidR="002E1DFD" w:rsidRPr="00474235">
        <w:rPr>
          <w:lang w:val="en-GB"/>
        </w:rPr>
        <w:t>t)</w:t>
      </w:r>
      <w:r w:rsidRPr="00474235">
        <w:rPr>
          <w:lang w:val="en-GB"/>
        </w:rPr>
        <w:t>. Parameter standard errors are estimated from the Hessian matrix</w:t>
      </w:r>
      <w:r w:rsidR="00E336DA" w:rsidRPr="00474235">
        <w:rPr>
          <w:rStyle w:val="FootnoteReference"/>
          <w:lang w:val="en-GB"/>
        </w:rPr>
        <w:footnoteReference w:id="11"/>
      </w:r>
      <w:r w:rsidRPr="00474235">
        <w:rPr>
          <w:lang w:val="en-GB"/>
        </w:rPr>
        <w:t>.</w:t>
      </w:r>
    </w:p>
    <w:p w:rsidR="000B2ED8" w:rsidRPr="00474235" w:rsidRDefault="000B2ED8" w:rsidP="000B2ED8">
      <w:pPr>
        <w:rPr>
          <w:lang w:val="en-GB"/>
        </w:rPr>
      </w:pPr>
      <w:proofErr w:type="spellStart"/>
      <w:proofErr w:type="gramStart"/>
      <w:r w:rsidRPr="00474235">
        <w:rPr>
          <w:lang w:val="en-GB"/>
        </w:rPr>
        <w:t>McCullagh</w:t>
      </w:r>
      <w:proofErr w:type="spellEnd"/>
      <w:r w:rsidRPr="00474235">
        <w:rPr>
          <w:lang w:val="en-GB"/>
        </w:rPr>
        <w:t xml:space="preserve"> P &amp; </w:t>
      </w:r>
      <w:proofErr w:type="spellStart"/>
      <w:r w:rsidRPr="00474235">
        <w:rPr>
          <w:lang w:val="en-GB"/>
        </w:rPr>
        <w:t>Nelder</w:t>
      </w:r>
      <w:proofErr w:type="spellEnd"/>
      <w:r w:rsidRPr="00474235">
        <w:rPr>
          <w:lang w:val="en-GB"/>
        </w:rPr>
        <w:t xml:space="preserve"> JA, 1989.</w:t>
      </w:r>
      <w:proofErr w:type="gramEnd"/>
      <w:r w:rsidRPr="00474235">
        <w:rPr>
          <w:lang w:val="en-GB"/>
        </w:rPr>
        <w:t xml:space="preserve"> </w:t>
      </w:r>
      <w:proofErr w:type="gramStart"/>
      <w:r w:rsidRPr="00474235">
        <w:rPr>
          <w:lang w:val="en-GB"/>
        </w:rPr>
        <w:t>Generali</w:t>
      </w:r>
      <w:r w:rsidR="004E50E6" w:rsidRPr="00474235">
        <w:rPr>
          <w:lang w:val="en-GB"/>
        </w:rPr>
        <w:t>s</w:t>
      </w:r>
      <w:r w:rsidRPr="00474235">
        <w:rPr>
          <w:lang w:val="en-GB"/>
        </w:rPr>
        <w:t>ed Linear Models (second edition).</w:t>
      </w:r>
      <w:proofErr w:type="gramEnd"/>
      <w:r w:rsidRPr="00474235">
        <w:rPr>
          <w:lang w:val="en-GB"/>
        </w:rPr>
        <w:t xml:space="preserve"> </w:t>
      </w:r>
      <w:proofErr w:type="gramStart"/>
      <w:r w:rsidRPr="00474235">
        <w:rPr>
          <w:lang w:val="en-GB"/>
        </w:rPr>
        <w:t>Chapman &amp; Hall, London.</w:t>
      </w:r>
      <w:proofErr w:type="gramEnd"/>
    </w:p>
    <w:p w:rsidR="000B2ED8" w:rsidRPr="00474235" w:rsidRDefault="006154CC" w:rsidP="00552FB8">
      <w:pPr>
        <w:pStyle w:val="Heading2"/>
        <w:rPr>
          <w:rFonts w:ascii="Calibri" w:hAnsi="Calibri"/>
        </w:rPr>
      </w:pPr>
      <w:bookmarkStart w:id="24" w:name="_Toc486935819"/>
      <w:r w:rsidRPr="00474235">
        <w:rPr>
          <w:rFonts w:ascii="Calibri" w:hAnsi="Calibri"/>
        </w:rPr>
        <w:t>Form of </w:t>
      </w:r>
      <w:proofErr w:type="gramStart"/>
      <w:r w:rsidRPr="00474235">
        <w:rPr>
          <w:rFonts w:ascii="Calibri" w:hAnsi="Calibri"/>
        </w:rPr>
        <w:t>f(</w:t>
      </w:r>
      <w:proofErr w:type="gramEnd"/>
      <w:r w:rsidRPr="00474235">
        <w:rPr>
          <w:rFonts w:ascii="Calibri" w:hAnsi="Calibri"/>
        </w:rPr>
        <w:t>t)</w:t>
      </w:r>
      <w:bookmarkEnd w:id="24"/>
    </w:p>
    <w:p w:rsidR="000B2ED8" w:rsidRPr="00474235" w:rsidRDefault="000B2ED8" w:rsidP="000B2ED8">
      <w:pPr>
        <w:rPr>
          <w:lang w:val="en-GB"/>
        </w:rPr>
      </w:pPr>
      <w:r w:rsidRPr="00474235">
        <w:rPr>
          <w:lang w:val="en-GB"/>
        </w:rPr>
        <w:t>Several diffe</w:t>
      </w:r>
      <w:r w:rsidR="006154CC" w:rsidRPr="00474235">
        <w:rPr>
          <w:lang w:val="en-GB"/>
        </w:rPr>
        <w:t>rent candidate forms of </w:t>
      </w:r>
      <w:proofErr w:type="gramStart"/>
      <w:r w:rsidR="006154CC" w:rsidRPr="00474235">
        <w:rPr>
          <w:lang w:val="en-GB"/>
        </w:rPr>
        <w:t>f(</w:t>
      </w:r>
      <w:proofErr w:type="gramEnd"/>
      <w:r w:rsidR="006154CC" w:rsidRPr="00474235">
        <w:rPr>
          <w:lang w:val="en-GB"/>
        </w:rPr>
        <w:t>t)</w:t>
      </w:r>
      <w:r w:rsidRPr="00474235">
        <w:rPr>
          <w:lang w:val="en-GB"/>
        </w:rPr>
        <w:t xml:space="preserve"> are considered, depending on the length of the time series. As well as linear logistic and smooth trends, change-point models are considered. These are motivated by the patterns seen in many time series, where there are steep declines in VDS levels starting in the </w:t>
      </w:r>
      <w:proofErr w:type="spellStart"/>
      <w:r w:rsidRPr="00474235">
        <w:rPr>
          <w:lang w:val="en-GB"/>
        </w:rPr>
        <w:t>mid 2000s</w:t>
      </w:r>
      <w:proofErr w:type="spellEnd"/>
      <w:r w:rsidRPr="00474235">
        <w:rPr>
          <w:lang w:val="en-GB"/>
        </w:rPr>
        <w:t xml:space="preserve">. These changes coincide with the introduction of EC Regulation 782/2003, which implemented the provisions of the International Maritime Organisation’s Antifouling Systems Convention (IMO, 2001) prohibiting application of TBT surface coatings to all vessels by 2003, and the global ban on TBT which came into force in September 2008. The steep declines usually cannot be described adequately by linear </w:t>
      </w:r>
      <w:proofErr w:type="spellStart"/>
      <w:r w:rsidRPr="00474235">
        <w:rPr>
          <w:lang w:val="en-GB"/>
        </w:rPr>
        <w:t>logisitic</w:t>
      </w:r>
      <w:proofErr w:type="spellEnd"/>
      <w:r w:rsidRPr="00474235">
        <w:rPr>
          <w:lang w:val="en-GB"/>
        </w:rPr>
        <w:t xml:space="preserve"> models, or even smoothers. However, change-point models provide a way of capturing the steep decline with relatively few parameters. The years 2004, 2005, 2006, 2007 and 2008 are regarded as potential change-years, since the environmental response to the TBT measures is likely to have started in this period.</w:t>
      </w:r>
    </w:p>
    <w:p w:rsidR="000B2ED8" w:rsidRPr="00474235" w:rsidRDefault="000B2ED8" w:rsidP="000B2ED8">
      <w:pPr>
        <w:rPr>
          <w:lang w:val="en-GB"/>
        </w:rPr>
      </w:pPr>
      <w:r w:rsidRPr="00474235">
        <w:rPr>
          <w:lang w:val="en-GB"/>
        </w:rPr>
        <w:t>Intuitively, the complexity of</w:t>
      </w:r>
      <w:r w:rsidR="002E1DFD" w:rsidRPr="00474235">
        <w:rPr>
          <w:lang w:val="en-GB"/>
        </w:rPr>
        <w:t xml:space="preserve"> the candidate forms of </w:t>
      </w:r>
      <w:proofErr w:type="gramStart"/>
      <w:r w:rsidR="002E1DFD" w:rsidRPr="00474235">
        <w:rPr>
          <w:lang w:val="en-GB"/>
        </w:rPr>
        <w:t>f(</w:t>
      </w:r>
      <w:proofErr w:type="gramEnd"/>
      <w:r w:rsidR="002E1DFD" w:rsidRPr="00474235">
        <w:rPr>
          <w:lang w:val="en-GB"/>
        </w:rPr>
        <w:t>t)</w:t>
      </w:r>
      <w:r w:rsidRPr="00474235">
        <w:rPr>
          <w:lang w:val="en-GB"/>
        </w:rPr>
        <w:t> should be based on the number of years of data, NN. For example, with 8 years of data, one might consider a linear model </w:t>
      </w:r>
      <w:proofErr w:type="gramStart"/>
      <w:r w:rsidRPr="00474235">
        <w:rPr>
          <w:lang w:val="en-GB"/>
        </w:rPr>
        <w:t>f(</w:t>
      </w:r>
      <w:proofErr w:type="gramEnd"/>
      <w:r w:rsidRPr="00474235">
        <w:rPr>
          <w:lang w:val="en-GB"/>
        </w:rPr>
        <w:t>t)=μ+βt and a smoother f(t)=s(t) on 2 degrees of freedom (</w:t>
      </w:r>
      <w:proofErr w:type="spellStart"/>
      <w:r w:rsidRPr="00474235">
        <w:rPr>
          <w:lang w:val="en-GB"/>
        </w:rPr>
        <w:t>df</w:t>
      </w:r>
      <w:proofErr w:type="spellEnd"/>
      <w:r w:rsidRPr="00474235">
        <w:rPr>
          <w:lang w:val="en-GB"/>
        </w:rPr>
        <w:t xml:space="preserve">) (analogous to the models fitted to contaminant time series). However, this runs into numerical difficulties when a time series starts with a series of years in which all VDS measurements equal the maximum value KK, or ends with a series of years in which all VDS measurements equal 0, as the amount of information in </w:t>
      </w:r>
      <w:r w:rsidR="006154CC" w:rsidRPr="00474235">
        <w:rPr>
          <w:lang w:val="en-GB"/>
        </w:rPr>
        <w:t>the data for estimating f(t)</w:t>
      </w:r>
      <w:r w:rsidRPr="00474235">
        <w:rPr>
          <w:lang w:val="en-GB"/>
        </w:rPr>
        <w:t> is then reduced</w:t>
      </w:r>
      <w:r w:rsidR="002E1DFD" w:rsidRPr="00474235">
        <w:rPr>
          <w:rStyle w:val="FootnoteReference"/>
          <w:lang w:val="en-GB"/>
        </w:rPr>
        <w:footnoteReference w:id="12"/>
      </w:r>
      <w:r w:rsidRPr="00474235">
        <w:rPr>
          <w:lang w:val="en-GB"/>
        </w:rPr>
        <w:t>. Instead,</w:t>
      </w:r>
      <w:r w:rsidR="006154CC" w:rsidRPr="00474235">
        <w:rPr>
          <w:lang w:val="en-GB"/>
        </w:rPr>
        <w:t xml:space="preserve"> the candidate forms of </w:t>
      </w:r>
      <w:proofErr w:type="gramStart"/>
      <w:r w:rsidR="006154CC" w:rsidRPr="00474235">
        <w:rPr>
          <w:lang w:val="en-GB"/>
        </w:rPr>
        <w:t>f(</w:t>
      </w:r>
      <w:proofErr w:type="gramEnd"/>
      <w:r w:rsidR="006154CC" w:rsidRPr="00474235">
        <w:rPr>
          <w:lang w:val="en-GB"/>
        </w:rPr>
        <w:t>t)</w:t>
      </w:r>
      <w:r w:rsidRPr="00474235">
        <w:rPr>
          <w:lang w:val="en-GB"/>
        </w:rPr>
        <w:t> are based on </w:t>
      </w:r>
      <w:proofErr w:type="spellStart"/>
      <w:r w:rsidRPr="00474235">
        <w:rPr>
          <w:lang w:val="en-GB"/>
        </w:rPr>
        <w:t>NmidNmid</w:t>
      </w:r>
      <w:proofErr w:type="spellEnd"/>
      <w:r w:rsidRPr="00474235">
        <w:rPr>
          <w:lang w:val="en-GB"/>
        </w:rPr>
        <w:t>, an approximate measure of the number of years of data that contain information about changes in VDS levels. Loosely, </w:t>
      </w:r>
      <w:proofErr w:type="spellStart"/>
      <w:r w:rsidRPr="00474235">
        <w:rPr>
          <w:lang w:val="en-GB"/>
        </w:rPr>
        <w:t>NmidNmid</w:t>
      </w:r>
      <w:proofErr w:type="spellEnd"/>
      <w:r w:rsidRPr="00474235">
        <w:rPr>
          <w:lang w:val="en-GB"/>
        </w:rPr>
        <w:t xml:space="preserve"> is the number of years in the ‘middle’ of the </w:t>
      </w:r>
      <w:proofErr w:type="spellStart"/>
      <w:r w:rsidRPr="00474235">
        <w:rPr>
          <w:lang w:val="en-GB"/>
        </w:rPr>
        <w:t>timeseries</w:t>
      </w:r>
      <w:proofErr w:type="spellEnd"/>
      <w:r w:rsidRPr="00474235">
        <w:rPr>
          <w:lang w:val="en-GB"/>
        </w:rPr>
        <w:t>, where intermediate VDS levels are observed. Formally, </w:t>
      </w:r>
      <w:proofErr w:type="spellStart"/>
      <w:r w:rsidRPr="00474235">
        <w:rPr>
          <w:lang w:val="en-GB"/>
        </w:rPr>
        <w:t>NmidNmid</w:t>
      </w:r>
      <w:proofErr w:type="spellEnd"/>
      <w:r w:rsidRPr="00474235">
        <w:rPr>
          <w:lang w:val="en-GB"/>
        </w:rPr>
        <w:t> </w:t>
      </w:r>
      <w:r w:rsidR="00E336DA" w:rsidRPr="00474235">
        <w:rPr>
          <w:lang w:val="en-GB"/>
        </w:rPr>
        <w:t>is defined as follows. Let I</w:t>
      </w:r>
      <w:r w:rsidR="006154CC" w:rsidRPr="00474235">
        <w:rPr>
          <w:vertAlign w:val="subscript"/>
          <w:lang w:val="en-GB"/>
        </w:rPr>
        <w:t>i</w:t>
      </w:r>
      <w:r w:rsidR="006154CC" w:rsidRPr="00474235">
        <w:rPr>
          <w:lang w:val="en-GB"/>
        </w:rPr>
        <w:t xml:space="preserve"> </w:t>
      </w:r>
      <w:r w:rsidRPr="00474235">
        <w:rPr>
          <w:lang w:val="en-GB"/>
        </w:rPr>
        <w:t>= 1 if all t</w:t>
      </w:r>
      <w:r w:rsidR="00E336DA" w:rsidRPr="00474235">
        <w:rPr>
          <w:lang w:val="en-GB"/>
        </w:rPr>
        <w:t>he VDS measurements in year </w:t>
      </w:r>
      <w:proofErr w:type="spellStart"/>
      <w:r w:rsidR="00E336DA" w:rsidRPr="00474235">
        <w:rPr>
          <w:lang w:val="en-GB"/>
        </w:rPr>
        <w:t>t</w:t>
      </w:r>
      <w:r w:rsidR="00E336DA" w:rsidRPr="00474235">
        <w:rPr>
          <w:vertAlign w:val="subscript"/>
          <w:lang w:val="en-GB"/>
        </w:rPr>
        <w:t>i</w:t>
      </w:r>
      <w:proofErr w:type="spellEnd"/>
      <w:r w:rsidR="00E336DA" w:rsidRPr="00474235">
        <w:rPr>
          <w:lang w:val="en-GB"/>
        </w:rPr>
        <w:t>&lt;</w:t>
      </w:r>
      <w:r w:rsidRPr="00474235">
        <w:rPr>
          <w:lang w:val="en-GB"/>
        </w:rPr>
        <w:t> equal K, -1 if all t</w:t>
      </w:r>
      <w:r w:rsidR="00E336DA" w:rsidRPr="00474235">
        <w:rPr>
          <w:lang w:val="en-GB"/>
        </w:rPr>
        <w:t>he VDS measurements in year </w:t>
      </w:r>
      <w:proofErr w:type="spellStart"/>
      <w:r w:rsidR="00E336DA" w:rsidRPr="00474235">
        <w:rPr>
          <w:lang w:val="en-GB"/>
        </w:rPr>
        <w:t>t</w:t>
      </w:r>
      <w:r w:rsidR="00E336DA" w:rsidRPr="00474235">
        <w:rPr>
          <w:vertAlign w:val="subscript"/>
          <w:lang w:val="en-GB"/>
        </w:rPr>
        <w:t>i</w:t>
      </w:r>
      <w:proofErr w:type="spellEnd"/>
      <w:r w:rsidRPr="00474235">
        <w:rPr>
          <w:lang w:val="en-GB"/>
        </w:rPr>
        <w:t> equal 0, and 0 otherwise. Let</w:t>
      </w:r>
    </w:p>
    <w:p w:rsidR="00E336DA" w:rsidRPr="00474235" w:rsidRDefault="000B2ED8" w:rsidP="000B2ED8">
      <w:pPr>
        <w:rPr>
          <w:lang w:val="en-GB"/>
        </w:rPr>
      </w:pPr>
      <w:r w:rsidRPr="00474235">
        <w:rPr>
          <w:lang w:val="en-GB"/>
        </w:rPr>
        <w:t>i</w:t>
      </w:r>
      <w:r w:rsidRPr="00474235">
        <w:rPr>
          <w:vertAlign w:val="subscript"/>
          <w:lang w:val="en-GB"/>
        </w:rPr>
        <w:t>1</w:t>
      </w:r>
      <w:r w:rsidRPr="00474235">
        <w:rPr>
          <w:lang w:val="en-GB"/>
        </w:rPr>
        <w:t>=1</w:t>
      </w:r>
      <w:proofErr w:type="gramStart"/>
      <w:r w:rsidRPr="00474235">
        <w:rPr>
          <w:lang w:val="en-GB"/>
        </w:rPr>
        <w:t>,N,min</w:t>
      </w:r>
      <w:proofErr w:type="gramEnd"/>
      <w:r w:rsidRPr="00474235">
        <w:rPr>
          <w:lang w:val="en-GB"/>
        </w:rPr>
        <w:t>{i:I</w:t>
      </w:r>
      <w:r w:rsidRPr="00474235">
        <w:rPr>
          <w:vertAlign w:val="subscript"/>
          <w:lang w:val="en-GB"/>
        </w:rPr>
        <w:t>i</w:t>
      </w:r>
      <w:r w:rsidRPr="00474235">
        <w:rPr>
          <w:lang w:val="en-GB"/>
        </w:rPr>
        <w:t>+1&lt;1},if I</w:t>
      </w:r>
      <w:r w:rsidRPr="00474235">
        <w:rPr>
          <w:vertAlign w:val="subscript"/>
          <w:lang w:val="en-GB"/>
        </w:rPr>
        <w:t>1</w:t>
      </w:r>
      <w:r w:rsidRPr="00474235">
        <w:rPr>
          <w:lang w:val="en-GB"/>
        </w:rPr>
        <w:t>&lt;1if I</w:t>
      </w:r>
      <w:r w:rsidRPr="00474235">
        <w:rPr>
          <w:vertAlign w:val="subscript"/>
          <w:lang w:val="en-GB"/>
        </w:rPr>
        <w:t>i</w:t>
      </w:r>
      <w:r w:rsidRPr="00474235">
        <w:rPr>
          <w:lang w:val="en-GB"/>
        </w:rPr>
        <w:t>=1</w:t>
      </w:r>
      <w:r w:rsidR="006154CC" w:rsidRPr="00474235">
        <w:rPr>
          <w:lang w:val="en-GB"/>
        </w:rPr>
        <w:t xml:space="preserve"> </w:t>
      </w:r>
      <w:r w:rsidRPr="00474235">
        <w:rPr>
          <w:rFonts w:ascii="Cambria Math" w:hAnsi="Cambria Math" w:cs="Cambria Math"/>
          <w:lang w:val="en-GB"/>
        </w:rPr>
        <w:t>∀</w:t>
      </w:r>
      <w:r w:rsidR="006154CC" w:rsidRPr="00474235">
        <w:rPr>
          <w:lang w:val="en-GB"/>
        </w:rPr>
        <w:t xml:space="preserve"> </w:t>
      </w:r>
      <w:r w:rsidR="00E336DA" w:rsidRPr="00474235">
        <w:rPr>
          <w:lang w:val="en-GB"/>
        </w:rPr>
        <w:t xml:space="preserve">I </w:t>
      </w:r>
      <w:r w:rsidRPr="00474235">
        <w:rPr>
          <w:lang w:val="en-GB"/>
        </w:rPr>
        <w:t>otherwise</w:t>
      </w:r>
      <w:r w:rsidR="006154CC" w:rsidRPr="00474235">
        <w:rPr>
          <w:lang w:val="en-GB"/>
        </w:rPr>
        <w:t xml:space="preserve"> </w:t>
      </w:r>
    </w:p>
    <w:p w:rsidR="00E336DA" w:rsidRPr="00474235" w:rsidRDefault="00D75C2B" w:rsidP="000B2ED8">
      <w:pPr>
        <w:rPr>
          <w:lang w:val="en-GB"/>
        </w:rPr>
      </w:pPr>
      <m:oMathPara>
        <m:oMath>
          <m:r>
            <w:rPr>
              <w:rFonts w:ascii="Cambria Math" w:hAnsi="Cambria Math"/>
              <w:lang w:val="en-GB"/>
            </w:rPr>
            <m:t>I1</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 xml:space="preserve">1, ifI1&lt;1 </m:t>
                  </m:r>
                </m:e>
                <m:e>
                  <m:r>
                    <w:rPr>
                      <w:rFonts w:ascii="Cambria Math" w:hAnsi="Cambria Math"/>
                      <w:lang w:val="en-GB"/>
                    </w:rPr>
                    <m:t>N, if Ii=</m:t>
                  </m:r>
                  <m:r>
                    <m:rPr>
                      <m:sty m:val="p"/>
                    </m:rPr>
                    <w:rPr>
                      <w:rStyle w:val="mathjax1"/>
                      <w:rFonts w:ascii="Cambria Math" w:eastAsia="STIXGeneral" w:hAnsi="Cambria Math" w:cs="STIXGeneral"/>
                      <w:sz w:val="29"/>
                      <w:szCs w:val="29"/>
                      <w:lang w:val="en-GB"/>
                      <w:specVanish w:val="0"/>
                    </w:rPr>
                    <m:t>1∀</m:t>
                  </m:r>
                  <m:r>
                    <w:rPr>
                      <w:rStyle w:val="mathjax1"/>
                      <w:rFonts w:ascii="Cambria Math" w:eastAsia="STIXGeneral" w:hAnsi="Cambria Math" w:cs="STIXGeneral"/>
                      <w:sz w:val="29"/>
                      <w:szCs w:val="29"/>
                      <w:lang w:val="en-GB"/>
                      <w:specVanish w:val="0"/>
                    </w:rPr>
                    <m:t>i</m:t>
                  </m:r>
                </m:e>
                <m:e>
                  <m:r>
                    <m:rPr>
                      <m:sty m:val="p"/>
                    </m:rPr>
                    <w:rPr>
                      <w:rFonts w:ascii="Cambria Math" w:hAnsi="Cambria Math"/>
                      <w:lang w:val="en-GB"/>
                    </w:rPr>
                    <m:t>min</m:t>
                  </m:r>
                  <m:d>
                    <m:dPr>
                      <m:begChr m:val="{"/>
                      <m:endChr m:val=""/>
                      <m:ctrlPr>
                        <w:rPr>
                          <w:rFonts w:ascii="Cambria Math" w:hAnsi="Cambria Math"/>
                          <w:lang w:val="en-GB"/>
                        </w:rPr>
                      </m:ctrlPr>
                    </m:dPr>
                    <m:e>
                      <m:r>
                        <w:rPr>
                          <w:rFonts w:ascii="Cambria Math" w:hAnsi="Cambria Math"/>
                          <w:lang w:val="en-GB"/>
                        </w:rPr>
                        <m:t>i:</m:t>
                      </m:r>
                    </m:e>
                  </m:d>
                  <m:r>
                    <w:rPr>
                      <w:rFonts w:ascii="Cambria Math" w:hAnsi="Cambria Math"/>
                      <w:lang w:val="en-GB"/>
                    </w:rPr>
                    <m:t>Ii+1</m:t>
                  </m:r>
                  <m:d>
                    <m:dPr>
                      <m:begChr m:val=""/>
                      <m:endChr m:val="}"/>
                      <m:ctrlPr>
                        <w:rPr>
                          <w:rFonts w:ascii="Cambria Math" w:hAnsi="Cambria Math"/>
                          <w:i/>
                          <w:lang w:val="en-GB"/>
                        </w:rPr>
                      </m:ctrlPr>
                    </m:dPr>
                    <m:e>
                      <m:r>
                        <w:rPr>
                          <w:rFonts w:ascii="Cambria Math" w:hAnsi="Cambria Math"/>
                          <w:lang w:val="en-GB"/>
                        </w:rPr>
                        <m:t>&lt;1</m:t>
                      </m:r>
                    </m:e>
                  </m:d>
                  <m:r>
                    <w:rPr>
                      <w:rFonts w:ascii="Cambria Math" w:hAnsi="Cambria Math"/>
                      <w:lang w:val="en-GB"/>
                    </w:rPr>
                    <m:t>, otherwise</m:t>
                  </m:r>
                </m:e>
              </m:eqArr>
            </m:e>
          </m:d>
        </m:oMath>
      </m:oMathPara>
    </w:p>
    <w:p w:rsidR="000B2ED8" w:rsidRPr="00474235" w:rsidRDefault="000B2ED8" w:rsidP="000B2ED8">
      <w:pPr>
        <w:rPr>
          <w:lang w:val="en-GB"/>
        </w:rPr>
      </w:pPr>
      <w:r w:rsidRPr="00474235">
        <w:rPr>
          <w:lang w:val="en-GB"/>
        </w:rPr>
        <w:t>i</w:t>
      </w:r>
      <w:r w:rsidRPr="00474235">
        <w:rPr>
          <w:vertAlign w:val="subscript"/>
          <w:lang w:val="en-GB"/>
        </w:rPr>
        <w:t>1</w:t>
      </w:r>
      <w:proofErr w:type="gramStart"/>
      <w:r w:rsidRPr="00474235">
        <w:rPr>
          <w:lang w:val="en-GB"/>
        </w:rPr>
        <w:t>={</w:t>
      </w:r>
      <w:proofErr w:type="gramEnd"/>
      <w:r w:rsidRPr="00474235">
        <w:rPr>
          <w:lang w:val="en-GB"/>
        </w:rPr>
        <w:t>1,if I</w:t>
      </w:r>
      <w:r w:rsidR="006154CC" w:rsidRPr="00474235">
        <w:rPr>
          <w:lang w:val="en-GB"/>
        </w:rPr>
        <w:t>1&lt;1N,if Ii=1</w:t>
      </w:r>
      <w:r w:rsidR="006154CC" w:rsidRPr="00474235">
        <w:rPr>
          <w:rFonts w:ascii="Cambria Math" w:hAnsi="Cambria Math" w:cs="Cambria Math"/>
          <w:lang w:val="en-GB"/>
        </w:rPr>
        <w:t>∀</w:t>
      </w:r>
      <w:r w:rsidR="006154CC" w:rsidRPr="00474235">
        <w:rPr>
          <w:lang w:val="en-GB"/>
        </w:rPr>
        <w:t>imin{i:Ii+1&lt;1}, othe</w:t>
      </w:r>
      <w:r w:rsidRPr="00474235">
        <w:rPr>
          <w:lang w:val="en-GB"/>
        </w:rPr>
        <w:t>rwise</w:t>
      </w:r>
    </w:p>
    <w:p w:rsidR="000B2ED8" w:rsidRPr="00474235" w:rsidRDefault="000B2ED8" w:rsidP="000B2ED8">
      <w:pPr>
        <w:rPr>
          <w:lang w:val="en-GB"/>
        </w:rPr>
      </w:pPr>
      <w:r w:rsidRPr="00474235">
        <w:rPr>
          <w:lang w:val="en-GB"/>
        </w:rPr>
        <w:t>Similarly, let</w:t>
      </w:r>
    </w:p>
    <w:p w:rsidR="006154CC" w:rsidRPr="00474235" w:rsidRDefault="006154CC" w:rsidP="000B2ED8">
      <w:pPr>
        <w:rPr>
          <w:lang w:val="en-GB"/>
        </w:rPr>
      </w:pPr>
    </w:p>
    <w:p w:rsidR="006154CC" w:rsidRPr="00474235" w:rsidRDefault="00D75C2B" w:rsidP="000B2ED8">
      <w:pPr>
        <w:rPr>
          <w:lang w:val="en-GB"/>
        </w:rPr>
      </w:pPr>
      <m:oMathPara>
        <m:oMath>
          <m:r>
            <w:rPr>
              <w:rFonts w:ascii="Cambria Math" w:hAnsi="Cambria Math"/>
              <w:lang w:val="en-GB"/>
            </w:rPr>
            <m:t>I2</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 xml:space="preserve">1, ifIN&lt;-1 </m:t>
                  </m:r>
                </m:e>
                <m:e>
                  <m:r>
                    <w:rPr>
                      <w:rFonts w:ascii="Cambria Math" w:hAnsi="Cambria Math"/>
                      <w:lang w:val="en-GB"/>
                    </w:rPr>
                    <m:t>N, if Ii=-</m:t>
                  </m:r>
                  <m:r>
                    <m:rPr>
                      <m:sty m:val="p"/>
                    </m:rPr>
                    <w:rPr>
                      <w:rStyle w:val="mathjax1"/>
                      <w:rFonts w:ascii="Cambria Math" w:eastAsia="STIXGeneral" w:hAnsi="Cambria Math" w:cs="STIXGeneral"/>
                      <w:sz w:val="29"/>
                      <w:szCs w:val="29"/>
                      <w:lang w:val="en-GB"/>
                      <w:specVanish w:val="0"/>
                    </w:rPr>
                    <m:t>1∀</m:t>
                  </m:r>
                  <m:r>
                    <w:rPr>
                      <w:rStyle w:val="mathjax1"/>
                      <w:rFonts w:ascii="Cambria Math" w:eastAsia="STIXGeneral" w:hAnsi="Cambria Math" w:cs="STIXGeneral"/>
                      <w:sz w:val="29"/>
                      <w:szCs w:val="29"/>
                      <w:lang w:val="en-GB"/>
                      <w:specVanish w:val="0"/>
                    </w:rPr>
                    <m:t>i</m:t>
                  </m:r>
                </m:e>
                <m:e>
                  <m:r>
                    <m:rPr>
                      <m:sty m:val="p"/>
                    </m:rPr>
                    <w:rPr>
                      <w:rFonts w:ascii="Cambria Math" w:hAnsi="Cambria Math"/>
                      <w:lang w:val="en-GB"/>
                    </w:rPr>
                    <m:t>min</m:t>
                  </m:r>
                  <m:d>
                    <m:dPr>
                      <m:begChr m:val="{"/>
                      <m:endChr m:val=""/>
                      <m:ctrlPr>
                        <w:rPr>
                          <w:rFonts w:ascii="Cambria Math" w:hAnsi="Cambria Math"/>
                          <w:lang w:val="en-GB"/>
                        </w:rPr>
                      </m:ctrlPr>
                    </m:dPr>
                    <m:e>
                      <m:r>
                        <w:rPr>
                          <w:rFonts w:ascii="Cambria Math" w:hAnsi="Cambria Math"/>
                          <w:lang w:val="en-GB"/>
                        </w:rPr>
                        <m:t>i:</m:t>
                      </m:r>
                    </m:e>
                  </m:d>
                  <m:r>
                    <w:rPr>
                      <w:rFonts w:ascii="Cambria Math" w:hAnsi="Cambria Math"/>
                      <w:lang w:val="en-GB"/>
                    </w:rPr>
                    <m:t>Ii-1</m:t>
                  </m:r>
                  <m:d>
                    <m:dPr>
                      <m:begChr m:val=""/>
                      <m:endChr m:val="}"/>
                      <m:ctrlPr>
                        <w:rPr>
                          <w:rFonts w:ascii="Cambria Math" w:hAnsi="Cambria Math"/>
                          <w:i/>
                          <w:lang w:val="en-GB"/>
                        </w:rPr>
                      </m:ctrlPr>
                    </m:dPr>
                    <m:e>
                      <m:r>
                        <w:rPr>
                          <w:rFonts w:ascii="Cambria Math" w:hAnsi="Cambria Math"/>
                          <w:lang w:val="en-GB"/>
                        </w:rPr>
                        <m:t>&gt;-1</m:t>
                      </m:r>
                    </m:e>
                  </m:d>
                  <m:r>
                    <w:rPr>
                      <w:rFonts w:ascii="Cambria Math" w:hAnsi="Cambria Math"/>
                      <w:lang w:val="en-GB"/>
                    </w:rPr>
                    <m:t>, otherwise</m:t>
                  </m:r>
                </m:e>
              </m:eqArr>
            </m:e>
          </m:d>
        </m:oMath>
      </m:oMathPara>
    </w:p>
    <w:p w:rsidR="006154CC" w:rsidRPr="00474235" w:rsidRDefault="000B2ED8" w:rsidP="000B2ED8">
      <w:pPr>
        <w:rPr>
          <w:lang w:val="en-GB"/>
        </w:rPr>
      </w:pPr>
      <w:r w:rsidRPr="00474235">
        <w:rPr>
          <w:lang w:val="en-GB"/>
        </w:rPr>
        <w:t>Then </w:t>
      </w:r>
      <w:r w:rsidR="006154CC" w:rsidRPr="00474235">
        <w:rPr>
          <w:lang w:val="en-GB"/>
        </w:rPr>
        <w:t>{</w:t>
      </w:r>
      <w:proofErr w:type="spellStart"/>
      <w:r w:rsidR="006154CC" w:rsidRPr="00474235">
        <w:rPr>
          <w:lang w:val="en-GB"/>
        </w:rPr>
        <w:t>ti</w:t>
      </w:r>
      <w:proofErr w:type="gramStart"/>
      <w:r w:rsidR="006154CC" w:rsidRPr="00474235">
        <w:rPr>
          <w:lang w:val="en-GB"/>
        </w:rPr>
        <w:t>,i</w:t>
      </w:r>
      <w:proofErr w:type="spellEnd"/>
      <w:proofErr w:type="gramEnd"/>
      <w:r w:rsidR="006154CC" w:rsidRPr="00474235">
        <w:rPr>
          <w:lang w:val="en-GB"/>
        </w:rPr>
        <w:t>=i1,...,i2}</w:t>
      </w:r>
      <w:r w:rsidRPr="00474235">
        <w:rPr>
          <w:lang w:val="en-GB"/>
        </w:rPr>
        <w:t> are the ‘middle’ years of the time series and </w:t>
      </w:r>
      <w:proofErr w:type="spellStart"/>
      <w:r w:rsidRPr="00474235">
        <w:rPr>
          <w:lang w:val="en-GB"/>
        </w:rPr>
        <w:t>N</w:t>
      </w:r>
      <w:r w:rsidRPr="00474235">
        <w:rPr>
          <w:vertAlign w:val="subscript"/>
          <w:lang w:val="en-GB"/>
        </w:rPr>
        <w:t>mid</w:t>
      </w:r>
      <w:proofErr w:type="spellEnd"/>
      <w:r w:rsidRPr="00474235">
        <w:rPr>
          <w:lang w:val="en-GB"/>
        </w:rPr>
        <w:t>=i</w:t>
      </w:r>
      <w:r w:rsidRPr="00474235">
        <w:rPr>
          <w:vertAlign w:val="subscript"/>
          <w:lang w:val="en-GB"/>
        </w:rPr>
        <w:t>2</w:t>
      </w:r>
      <w:r w:rsidRPr="00474235">
        <w:rPr>
          <w:lang w:val="en-GB"/>
        </w:rPr>
        <w:t>−i</w:t>
      </w:r>
      <w:r w:rsidRPr="00474235">
        <w:rPr>
          <w:vertAlign w:val="subscript"/>
          <w:lang w:val="en-GB"/>
        </w:rPr>
        <w:t>1</w:t>
      </w:r>
      <w:r w:rsidRPr="00474235">
        <w:rPr>
          <w:lang w:val="en-GB"/>
        </w:rPr>
        <w:t>+1</w:t>
      </w:r>
      <w:r w:rsidR="006154CC" w:rsidRPr="00474235">
        <w:rPr>
          <w:lang w:val="en-GB"/>
        </w:rPr>
        <w:t>.</w:t>
      </w:r>
    </w:p>
    <w:p w:rsidR="000B2ED8" w:rsidRPr="00474235" w:rsidRDefault="000B2ED8" w:rsidP="000B2ED8">
      <w:pPr>
        <w:rPr>
          <w:lang w:val="en-GB"/>
        </w:rPr>
      </w:pPr>
      <w:r w:rsidRPr="00474235">
        <w:rPr>
          <w:lang w:val="en-GB"/>
        </w:rPr>
        <w:t>The linear and sm</w:t>
      </w:r>
      <w:r w:rsidR="006154CC" w:rsidRPr="00474235">
        <w:rPr>
          <w:lang w:val="en-GB"/>
        </w:rPr>
        <w:t>ooth candidate forms of </w:t>
      </w:r>
      <w:proofErr w:type="gramStart"/>
      <w:r w:rsidR="006154CC" w:rsidRPr="00474235">
        <w:rPr>
          <w:lang w:val="en-GB"/>
        </w:rPr>
        <w:t>f(</w:t>
      </w:r>
      <w:proofErr w:type="gramEnd"/>
      <w:r w:rsidR="006154CC" w:rsidRPr="00474235">
        <w:rPr>
          <w:lang w:val="en-GB"/>
        </w:rPr>
        <w:t>t)</w:t>
      </w:r>
      <w:r w:rsidRPr="00474235">
        <w:rPr>
          <w:lang w:val="en-GB"/>
        </w:rPr>
        <w:t> are then</w:t>
      </w:r>
    </w:p>
    <w:p w:rsidR="000B2ED8" w:rsidRPr="00474235" w:rsidRDefault="006154CC" w:rsidP="00274AF9">
      <w:pPr>
        <w:ind w:left="567"/>
        <w:rPr>
          <w:lang w:val="en-GB"/>
        </w:rPr>
      </w:pPr>
      <w:r w:rsidRPr="00474235">
        <w:rPr>
          <w:lang w:val="en-GB"/>
        </w:rPr>
        <w:t>N≤2</w:t>
      </w:r>
    </w:p>
    <w:p w:rsidR="006154CC" w:rsidRPr="00474235" w:rsidRDefault="000B2ED8" w:rsidP="00274AF9">
      <w:pPr>
        <w:ind w:left="567"/>
        <w:rPr>
          <w:lang w:val="en-GB"/>
        </w:rPr>
      </w:pPr>
      <w:proofErr w:type="gramStart"/>
      <w:r w:rsidRPr="00474235">
        <w:rPr>
          <w:lang w:val="en-GB"/>
        </w:rPr>
        <w:t>no</w:t>
      </w:r>
      <w:proofErr w:type="gramEnd"/>
      <w:r w:rsidRPr="00474235">
        <w:rPr>
          <w:lang w:val="en-GB"/>
        </w:rPr>
        <w:t xml:space="preserve"> model is fitted</w:t>
      </w:r>
    </w:p>
    <w:p w:rsidR="000B2ED8" w:rsidRPr="00474235" w:rsidRDefault="000B2ED8" w:rsidP="00274AF9">
      <w:pPr>
        <w:ind w:left="567"/>
        <w:rPr>
          <w:lang w:val="en-GB"/>
        </w:rPr>
      </w:pPr>
      <w:r w:rsidRPr="00474235">
        <w:rPr>
          <w:lang w:val="en-GB"/>
        </w:rPr>
        <w:t>N≥3 and </w:t>
      </w:r>
      <w:proofErr w:type="spellStart"/>
      <w:r w:rsidRPr="00474235">
        <w:rPr>
          <w:lang w:val="en-GB"/>
        </w:rPr>
        <w:t>N</w:t>
      </w:r>
      <w:r w:rsidRPr="00474235">
        <w:rPr>
          <w:vertAlign w:val="subscript"/>
          <w:lang w:val="en-GB"/>
        </w:rPr>
        <w:t>mid</w:t>
      </w:r>
      <w:proofErr w:type="spellEnd"/>
      <w:r w:rsidRPr="00474235">
        <w:rPr>
          <w:lang w:val="en-GB"/>
        </w:rPr>
        <w:t>=1</w:t>
      </w:r>
    </w:p>
    <w:p w:rsidR="000B2ED8" w:rsidRPr="00474235" w:rsidRDefault="006154CC" w:rsidP="00274AF9">
      <w:pPr>
        <w:ind w:left="567"/>
        <w:rPr>
          <w:lang w:val="en-GB"/>
        </w:rPr>
      </w:pPr>
      <w:proofErr w:type="gramStart"/>
      <w:r w:rsidRPr="00474235">
        <w:rPr>
          <w:lang w:val="en-GB"/>
        </w:rPr>
        <w:t>mean</w:t>
      </w:r>
      <w:proofErr w:type="gramEnd"/>
      <w:r w:rsidRPr="00474235">
        <w:rPr>
          <w:lang w:val="en-GB"/>
        </w:rPr>
        <w:t xml:space="preserve"> model f(t)=μ</w:t>
      </w:r>
    </w:p>
    <w:p w:rsidR="000B2ED8" w:rsidRPr="00474235" w:rsidRDefault="000B2ED8" w:rsidP="00274AF9">
      <w:pPr>
        <w:ind w:left="567"/>
        <w:rPr>
          <w:lang w:val="en-GB"/>
        </w:rPr>
      </w:pPr>
      <w:r w:rsidRPr="00474235">
        <w:rPr>
          <w:lang w:val="en-GB"/>
        </w:rPr>
        <w:t>The VDS measurements in the entire time series either all equal K or all equal 0, so there is no trend.</w:t>
      </w:r>
    </w:p>
    <w:p w:rsidR="006154CC" w:rsidRPr="00474235" w:rsidRDefault="000B2ED8" w:rsidP="00274AF9">
      <w:pPr>
        <w:ind w:left="567"/>
        <w:rPr>
          <w:lang w:val="en-GB"/>
        </w:rPr>
      </w:pPr>
      <w:r w:rsidRPr="00474235">
        <w:rPr>
          <w:lang w:val="en-GB"/>
        </w:rPr>
        <w:t>N≥3 and </w:t>
      </w:r>
      <w:proofErr w:type="spellStart"/>
      <w:r w:rsidRPr="00474235">
        <w:rPr>
          <w:lang w:val="en-GB"/>
        </w:rPr>
        <w:t>N</w:t>
      </w:r>
      <w:r w:rsidRPr="00474235">
        <w:rPr>
          <w:vertAlign w:val="subscript"/>
          <w:lang w:val="en-GB"/>
        </w:rPr>
        <w:t>mid</w:t>
      </w:r>
      <w:proofErr w:type="spellEnd"/>
      <w:r w:rsidRPr="00474235">
        <w:rPr>
          <w:lang w:val="en-GB"/>
        </w:rPr>
        <w:t>=2</w:t>
      </w:r>
      <w:proofErr w:type="gramStart"/>
      <w:r w:rsidRPr="00474235">
        <w:rPr>
          <w:lang w:val="en-GB"/>
        </w:rPr>
        <w:t>,3</w:t>
      </w:r>
      <w:proofErr w:type="gramEnd"/>
      <w:r w:rsidRPr="00474235">
        <w:rPr>
          <w:lang w:val="en-GB"/>
        </w:rPr>
        <w:t> or 4</w:t>
      </w:r>
    </w:p>
    <w:p w:rsidR="000B2ED8" w:rsidRPr="00474235" w:rsidRDefault="006154CC" w:rsidP="00274AF9">
      <w:pPr>
        <w:ind w:left="567"/>
        <w:rPr>
          <w:lang w:val="en-GB"/>
        </w:rPr>
      </w:pPr>
      <w:proofErr w:type="gramStart"/>
      <w:r w:rsidRPr="00474235">
        <w:rPr>
          <w:lang w:val="en-GB"/>
        </w:rPr>
        <w:t>linear</w:t>
      </w:r>
      <w:proofErr w:type="gramEnd"/>
      <w:r w:rsidRPr="00474235">
        <w:rPr>
          <w:lang w:val="en-GB"/>
        </w:rPr>
        <w:t xml:space="preserve"> model f(t)=μ+βt</w:t>
      </w:r>
    </w:p>
    <w:p w:rsidR="000B2ED8" w:rsidRPr="00474235" w:rsidRDefault="000B2ED8" w:rsidP="00274AF9">
      <w:pPr>
        <w:ind w:left="567"/>
        <w:rPr>
          <w:lang w:val="en-GB"/>
        </w:rPr>
      </w:pPr>
      <w:r w:rsidRPr="00474235">
        <w:rPr>
          <w:lang w:val="en-GB"/>
        </w:rPr>
        <w:t>N</w:t>
      </w:r>
      <w:r w:rsidRPr="00474235">
        <w:rPr>
          <w:vertAlign w:val="subscript"/>
          <w:lang w:val="en-GB"/>
        </w:rPr>
        <w:t>mid</w:t>
      </w:r>
      <w:r w:rsidRPr="00474235">
        <w:rPr>
          <w:lang w:val="en-GB"/>
        </w:rPr>
        <w:t>≥5</w:t>
      </w:r>
    </w:p>
    <w:p w:rsidR="000B2ED8" w:rsidRPr="00474235" w:rsidRDefault="000B2ED8" w:rsidP="00274AF9">
      <w:pPr>
        <w:ind w:left="567"/>
        <w:rPr>
          <w:lang w:val="en-GB"/>
        </w:rPr>
      </w:pPr>
      <w:proofErr w:type="gramStart"/>
      <w:r w:rsidRPr="00474235">
        <w:rPr>
          <w:lang w:val="en-GB"/>
        </w:rPr>
        <w:t>linear</w:t>
      </w:r>
      <w:proofErr w:type="gramEnd"/>
      <w:r w:rsidRPr="00474235">
        <w:rPr>
          <w:lang w:val="en-GB"/>
        </w:rPr>
        <w:t xml:space="preserve"> model f(t)=μ+βt and smooth model f(t)=s(t)</w:t>
      </w:r>
    </w:p>
    <w:p w:rsidR="000B2ED8" w:rsidRPr="00474235" w:rsidRDefault="000B2ED8" w:rsidP="00274AF9">
      <w:pPr>
        <w:ind w:left="567"/>
        <w:rPr>
          <w:lang w:val="en-GB"/>
        </w:rPr>
      </w:pPr>
      <w:r w:rsidRPr="00474235">
        <w:rPr>
          <w:lang w:val="en-GB"/>
        </w:rPr>
        <w:t>Smoothers on 2 degrees of freedom (</w:t>
      </w:r>
      <w:proofErr w:type="spellStart"/>
      <w:proofErr w:type="gramStart"/>
      <w:r w:rsidRPr="00474235">
        <w:rPr>
          <w:lang w:val="en-GB"/>
        </w:rPr>
        <w:t>df</w:t>
      </w:r>
      <w:proofErr w:type="spellEnd"/>
      <w:proofErr w:type="gramEnd"/>
      <w:r w:rsidRPr="00474235">
        <w:rPr>
          <w:lang w:val="en-GB"/>
        </w:rPr>
        <w:t>) are considered when</w:t>
      </w:r>
      <w:r w:rsidR="00274AF9" w:rsidRPr="00474235">
        <w:rPr>
          <w:lang w:val="en-GB"/>
        </w:rPr>
        <w:t xml:space="preserve"> </w:t>
      </w:r>
      <w:r w:rsidRPr="00474235">
        <w:rPr>
          <w:lang w:val="en-GB"/>
        </w:rPr>
        <w:t>5≤N</w:t>
      </w:r>
      <w:r w:rsidRPr="00474235">
        <w:rPr>
          <w:vertAlign w:val="subscript"/>
          <w:lang w:val="en-GB"/>
        </w:rPr>
        <w:t>mid</w:t>
      </w:r>
      <w:r w:rsidRPr="00474235">
        <w:rPr>
          <w:lang w:val="en-GB"/>
        </w:rPr>
        <w:t xml:space="preserve">≤7, on 2 and 3 </w:t>
      </w:r>
      <w:proofErr w:type="spellStart"/>
      <w:r w:rsidRPr="00474235">
        <w:rPr>
          <w:lang w:val="en-GB"/>
        </w:rPr>
        <w:t>df</w:t>
      </w:r>
      <w:proofErr w:type="spellEnd"/>
      <w:r w:rsidRPr="00474235">
        <w:rPr>
          <w:lang w:val="en-GB"/>
        </w:rPr>
        <w:t xml:space="preserve"> when 8≤N</w:t>
      </w:r>
      <w:r w:rsidRPr="00474235">
        <w:rPr>
          <w:vertAlign w:val="subscript"/>
          <w:lang w:val="en-GB"/>
        </w:rPr>
        <w:t>mid</w:t>
      </w:r>
      <w:r w:rsidRPr="00474235">
        <w:rPr>
          <w:lang w:val="en-GB"/>
        </w:rPr>
        <w:t>≤10 and on 2,</w:t>
      </w:r>
      <w:r w:rsidR="006154CC" w:rsidRPr="00474235">
        <w:rPr>
          <w:lang w:val="en-GB"/>
        </w:rPr>
        <w:t xml:space="preserve"> 3, and 4 </w:t>
      </w:r>
      <w:proofErr w:type="spellStart"/>
      <w:r w:rsidR="006154CC" w:rsidRPr="00474235">
        <w:rPr>
          <w:lang w:val="en-GB"/>
        </w:rPr>
        <w:t>df</w:t>
      </w:r>
      <w:proofErr w:type="spellEnd"/>
      <w:r w:rsidR="006154CC" w:rsidRPr="00474235">
        <w:rPr>
          <w:lang w:val="en-GB"/>
        </w:rPr>
        <w:t xml:space="preserve"> when N</w:t>
      </w:r>
      <w:r w:rsidR="006154CC" w:rsidRPr="00474235">
        <w:rPr>
          <w:vertAlign w:val="subscript"/>
          <w:lang w:val="en-GB"/>
        </w:rPr>
        <w:t>mid</w:t>
      </w:r>
      <w:r w:rsidR="006154CC" w:rsidRPr="00474235">
        <w:rPr>
          <w:lang w:val="en-GB"/>
        </w:rPr>
        <w:t>≥1</w:t>
      </w:r>
      <w:r w:rsidRPr="00474235">
        <w:rPr>
          <w:lang w:val="en-GB"/>
        </w:rPr>
        <w:t>.</w:t>
      </w:r>
    </w:p>
    <w:p w:rsidR="00274AF9" w:rsidRPr="00474235" w:rsidRDefault="00274AF9" w:rsidP="000B2ED8">
      <w:pPr>
        <w:rPr>
          <w:lang w:val="en-GB"/>
        </w:rPr>
      </w:pPr>
    </w:p>
    <w:p w:rsidR="000B2ED8" w:rsidRPr="00474235" w:rsidRDefault="000B2ED8" w:rsidP="000B2ED8">
      <w:pPr>
        <w:rPr>
          <w:lang w:val="en-GB"/>
        </w:rPr>
      </w:pPr>
      <w:r w:rsidRPr="00474235">
        <w:rPr>
          <w:lang w:val="en-GB"/>
        </w:rPr>
        <w:t>Change-point models are also considered provided that the time series starts before 2008 and that N≥3N≥3 and </w:t>
      </w:r>
      <w:proofErr w:type="spellStart"/>
      <w:r w:rsidRPr="00474235">
        <w:rPr>
          <w:lang w:val="en-GB"/>
        </w:rPr>
        <w:t>N</w:t>
      </w:r>
      <w:r w:rsidRPr="00474235">
        <w:rPr>
          <w:vertAlign w:val="subscript"/>
          <w:lang w:val="en-GB"/>
        </w:rPr>
        <w:t>mid</w:t>
      </w:r>
      <w:proofErr w:type="spellEnd"/>
      <w:r w:rsidRPr="00474235">
        <w:rPr>
          <w:lang w:val="en-GB"/>
        </w:rPr>
        <w:t>&gt;1. Each change point model is of the form</w:t>
      </w:r>
    </w:p>
    <w:p w:rsidR="003A357A" w:rsidRPr="00474235" w:rsidRDefault="000B2ED8" w:rsidP="000B2ED8">
      <w:pPr>
        <w:rPr>
          <w:lang w:val="en-GB"/>
        </w:rPr>
      </w:pPr>
      <w:proofErr w:type="gramStart"/>
      <w:r w:rsidRPr="00474235">
        <w:rPr>
          <w:lang w:val="en-GB"/>
        </w:rPr>
        <w:t>f(</w:t>
      </w:r>
      <w:proofErr w:type="gramEnd"/>
      <w:r w:rsidRPr="00474235">
        <w:rPr>
          <w:lang w:val="en-GB"/>
        </w:rPr>
        <w:t>t)={</w:t>
      </w:r>
      <w:proofErr w:type="spellStart"/>
      <w:r w:rsidRPr="00474235">
        <w:rPr>
          <w:lang w:val="en-GB"/>
        </w:rPr>
        <w:t>μ,μ+g</w:t>
      </w:r>
      <w:proofErr w:type="spellEnd"/>
      <w:r w:rsidRPr="00474235">
        <w:rPr>
          <w:lang w:val="en-GB"/>
        </w:rPr>
        <w:t>(t),</w:t>
      </w:r>
      <w:r w:rsidR="006154CC" w:rsidRPr="00474235">
        <w:rPr>
          <w:lang w:val="en-GB"/>
        </w:rPr>
        <w:t xml:space="preserve"> </w:t>
      </w:r>
      <w:r w:rsidRPr="00474235">
        <w:rPr>
          <w:lang w:val="en-GB"/>
        </w:rPr>
        <w:t>if t&lt;</w:t>
      </w:r>
      <w:proofErr w:type="spellStart"/>
      <w:r w:rsidRPr="00474235">
        <w:rPr>
          <w:lang w:val="en-GB"/>
        </w:rPr>
        <w:t>t</w:t>
      </w:r>
      <w:r w:rsidRPr="00474235">
        <w:rPr>
          <w:vertAlign w:val="subscript"/>
          <w:lang w:val="en-GB"/>
        </w:rPr>
        <w:t>change</w:t>
      </w:r>
      <w:proofErr w:type="spellEnd"/>
      <w:r w:rsidR="003A357A" w:rsidRPr="00474235">
        <w:rPr>
          <w:vertAlign w:val="subscript"/>
          <w:lang w:val="en-GB"/>
        </w:rPr>
        <w:t xml:space="preserve"> </w:t>
      </w:r>
      <w:r w:rsidRPr="00474235">
        <w:rPr>
          <w:lang w:val="en-GB"/>
        </w:rPr>
        <w:t>if </w:t>
      </w:r>
      <w:proofErr w:type="spellStart"/>
      <w:r w:rsidRPr="00474235">
        <w:rPr>
          <w:lang w:val="en-GB"/>
        </w:rPr>
        <w:t>t≥t</w:t>
      </w:r>
      <w:r w:rsidRPr="00474235">
        <w:rPr>
          <w:vertAlign w:val="subscript"/>
          <w:lang w:val="en-GB"/>
        </w:rPr>
        <w:t>change</w:t>
      </w:r>
      <w:proofErr w:type="spellEnd"/>
    </w:p>
    <w:p w:rsidR="000B2ED8" w:rsidRPr="00474235" w:rsidRDefault="003A357A" w:rsidP="000B2ED8">
      <w:pPr>
        <w:rPr>
          <w:lang w:val="en-GB"/>
        </w:rPr>
      </w:pPr>
      <w:proofErr w:type="gramStart"/>
      <w:r w:rsidRPr="00474235">
        <w:rPr>
          <w:lang w:val="en-GB"/>
        </w:rPr>
        <w:t>where</w:t>
      </w:r>
      <w:proofErr w:type="gramEnd"/>
      <w:r w:rsidRPr="00474235">
        <w:rPr>
          <w:lang w:val="en-GB"/>
        </w:rPr>
        <w:t> </w:t>
      </w:r>
      <w:proofErr w:type="spellStart"/>
      <w:r w:rsidRPr="00474235">
        <w:rPr>
          <w:lang w:val="en-GB"/>
        </w:rPr>
        <w:t>t</w:t>
      </w:r>
      <w:r w:rsidRPr="00474235">
        <w:rPr>
          <w:vertAlign w:val="subscript"/>
          <w:lang w:val="en-GB"/>
        </w:rPr>
        <w:t>change</w:t>
      </w:r>
      <w:proofErr w:type="spellEnd"/>
      <w:r w:rsidR="000B2ED8" w:rsidRPr="00474235">
        <w:rPr>
          <w:lang w:val="en-GB"/>
        </w:rPr>
        <w:t> is the change year and g(</w:t>
      </w:r>
      <w:proofErr w:type="spellStart"/>
      <w:r w:rsidR="000B2ED8" w:rsidRPr="00474235">
        <w:rPr>
          <w:lang w:val="en-GB"/>
        </w:rPr>
        <w:t>t</w:t>
      </w:r>
      <w:r w:rsidR="000B2ED8" w:rsidRPr="00474235">
        <w:rPr>
          <w:vertAlign w:val="subscript"/>
          <w:lang w:val="en-GB"/>
        </w:rPr>
        <w:t>change</w:t>
      </w:r>
      <w:proofErr w:type="spellEnd"/>
      <w:r w:rsidR="000B2ED8" w:rsidRPr="00474235">
        <w:rPr>
          <w:lang w:val="en-GB"/>
        </w:rPr>
        <w:t>)=0 to ensure </w:t>
      </w:r>
      <w:r w:rsidR="006154CC" w:rsidRPr="00474235">
        <w:rPr>
          <w:lang w:val="en-GB"/>
        </w:rPr>
        <w:t xml:space="preserve"> </w:t>
      </w:r>
      <w:r w:rsidR="000B2ED8" w:rsidRPr="00474235">
        <w:rPr>
          <w:lang w:val="en-GB"/>
        </w:rPr>
        <w:t>f(t) is continuous. Let </w:t>
      </w:r>
      <w:proofErr w:type="spellStart"/>
      <w:r w:rsidR="000B2ED8" w:rsidRPr="00474235">
        <w:rPr>
          <w:lang w:val="en-GB"/>
        </w:rPr>
        <w:t>N</w:t>
      </w:r>
      <w:r w:rsidR="000B2ED8" w:rsidRPr="00474235">
        <w:rPr>
          <w:rFonts w:ascii="Cambria Math" w:hAnsi="Cambria Math" w:cs="Cambria Math"/>
          <w:lang w:val="en-GB"/>
        </w:rPr>
        <w:t>∗</w:t>
      </w:r>
      <w:r w:rsidR="000B2ED8" w:rsidRPr="00474235">
        <w:rPr>
          <w:lang w:val="en-GB"/>
        </w:rPr>
        <w:t>mid</w:t>
      </w:r>
      <w:proofErr w:type="spellEnd"/>
      <w:r w:rsidR="000B2ED8" w:rsidRPr="00474235">
        <w:rPr>
          <w:rFonts w:cs="Calibri"/>
          <w:lang w:val="en-GB"/>
        </w:rPr>
        <w:t> </w:t>
      </w:r>
      <w:r w:rsidR="000B2ED8" w:rsidRPr="00474235">
        <w:rPr>
          <w:lang w:val="en-GB"/>
        </w:rPr>
        <w:t xml:space="preserve">be the number of </w:t>
      </w:r>
      <w:r w:rsidR="000B2ED8" w:rsidRPr="00474235">
        <w:rPr>
          <w:rFonts w:cs="Calibri"/>
          <w:lang w:val="en-GB"/>
        </w:rPr>
        <w:t>‘</w:t>
      </w:r>
      <w:r w:rsidR="000B2ED8" w:rsidRPr="00474235">
        <w:rPr>
          <w:lang w:val="en-GB"/>
        </w:rPr>
        <w:t>middle</w:t>
      </w:r>
      <w:r w:rsidR="000B2ED8" w:rsidRPr="00474235">
        <w:rPr>
          <w:rFonts w:cs="Calibri"/>
          <w:lang w:val="en-GB"/>
        </w:rPr>
        <w:t>’</w:t>
      </w:r>
      <w:r w:rsidR="000B2ED8" w:rsidRPr="00474235">
        <w:rPr>
          <w:lang w:val="en-GB"/>
        </w:rPr>
        <w:t xml:space="preserve"> years from</w:t>
      </w:r>
      <w:r w:rsidR="000B2ED8" w:rsidRPr="00474235">
        <w:rPr>
          <w:rFonts w:cs="Calibri"/>
          <w:lang w:val="en-GB"/>
        </w:rPr>
        <w:t> </w:t>
      </w:r>
      <w:proofErr w:type="spellStart"/>
      <w:r w:rsidR="000B2ED8" w:rsidRPr="00474235">
        <w:rPr>
          <w:lang w:val="en-GB"/>
        </w:rPr>
        <w:t>tchangetchange</w:t>
      </w:r>
      <w:proofErr w:type="spellEnd"/>
      <w:r w:rsidR="000B2ED8" w:rsidRPr="00474235">
        <w:rPr>
          <w:rFonts w:cs="Calibri"/>
          <w:lang w:val="en-GB"/>
        </w:rPr>
        <w:t> </w:t>
      </w:r>
      <w:r w:rsidR="000B2ED8" w:rsidRPr="00474235">
        <w:rPr>
          <w:lang w:val="en-GB"/>
        </w:rPr>
        <w:t>onwards; i.e.</w:t>
      </w:r>
      <w:r w:rsidR="000B2ED8" w:rsidRPr="00474235">
        <w:rPr>
          <w:rFonts w:cs="Calibri"/>
          <w:lang w:val="en-GB"/>
        </w:rPr>
        <w:t> </w:t>
      </w:r>
      <w:proofErr w:type="gramStart"/>
      <w:r w:rsidR="000B2ED8" w:rsidRPr="00474235">
        <w:rPr>
          <w:lang w:val="en-GB"/>
        </w:rPr>
        <w:t>|{</w:t>
      </w:r>
      <w:proofErr w:type="spellStart"/>
      <w:proofErr w:type="gramEnd"/>
      <w:r w:rsidR="000B2ED8" w:rsidRPr="00474235">
        <w:rPr>
          <w:lang w:val="en-GB"/>
        </w:rPr>
        <w:t>t</w:t>
      </w:r>
      <w:r w:rsidR="000B2ED8" w:rsidRPr="00474235">
        <w:rPr>
          <w:vertAlign w:val="subscript"/>
          <w:lang w:val="en-GB"/>
        </w:rPr>
        <w:t>i</w:t>
      </w:r>
      <w:r w:rsidR="000B2ED8" w:rsidRPr="00474235">
        <w:rPr>
          <w:lang w:val="en-GB"/>
        </w:rPr>
        <w:t>:t</w:t>
      </w:r>
      <w:r w:rsidR="000B2ED8" w:rsidRPr="00474235">
        <w:rPr>
          <w:vertAlign w:val="subscript"/>
          <w:lang w:val="en-GB"/>
        </w:rPr>
        <w:t>i</w:t>
      </w:r>
      <w:r w:rsidR="000B2ED8" w:rsidRPr="00474235">
        <w:rPr>
          <w:lang w:val="en-GB"/>
        </w:rPr>
        <w:t>≥t</w:t>
      </w:r>
      <w:r w:rsidR="000B2ED8" w:rsidRPr="00474235">
        <w:rPr>
          <w:vertAlign w:val="subscript"/>
          <w:lang w:val="en-GB"/>
        </w:rPr>
        <w:t>change</w:t>
      </w:r>
      <w:proofErr w:type="spellEnd"/>
      <w:r w:rsidR="000B2ED8" w:rsidRPr="00474235">
        <w:rPr>
          <w:lang w:val="en-GB"/>
        </w:rPr>
        <w:t> and </w:t>
      </w:r>
      <w:proofErr w:type="spellStart"/>
      <w:r w:rsidR="000B2ED8" w:rsidRPr="00474235">
        <w:rPr>
          <w:lang w:val="en-GB"/>
        </w:rPr>
        <w:t>i</w:t>
      </w:r>
      <w:proofErr w:type="spellEnd"/>
      <w:r w:rsidR="000B2ED8" w:rsidRPr="00474235">
        <w:rPr>
          <w:lang w:val="en-GB"/>
        </w:rPr>
        <w:t>≥=i1}||{</w:t>
      </w:r>
      <w:proofErr w:type="spellStart"/>
      <w:r w:rsidR="000B2ED8" w:rsidRPr="00474235">
        <w:rPr>
          <w:lang w:val="en-GB"/>
        </w:rPr>
        <w:t>t</w:t>
      </w:r>
      <w:r w:rsidR="000B2ED8" w:rsidRPr="00474235">
        <w:rPr>
          <w:vertAlign w:val="subscript"/>
          <w:lang w:val="en-GB"/>
        </w:rPr>
        <w:t>i</w:t>
      </w:r>
      <w:r w:rsidR="000B2ED8" w:rsidRPr="00474235">
        <w:rPr>
          <w:lang w:val="en-GB"/>
        </w:rPr>
        <w:t>:t</w:t>
      </w:r>
      <w:r w:rsidR="000B2ED8" w:rsidRPr="00474235">
        <w:rPr>
          <w:vertAlign w:val="subscript"/>
          <w:lang w:val="en-GB"/>
        </w:rPr>
        <w:t>i</w:t>
      </w:r>
      <w:r w:rsidR="000B2ED8" w:rsidRPr="00474235">
        <w:rPr>
          <w:lang w:val="en-GB"/>
        </w:rPr>
        <w:t>≥t</w:t>
      </w:r>
      <w:r w:rsidR="000B2ED8" w:rsidRPr="00474235">
        <w:rPr>
          <w:vertAlign w:val="subscript"/>
          <w:lang w:val="en-GB"/>
        </w:rPr>
        <w:t>change</w:t>
      </w:r>
      <w:proofErr w:type="spellEnd"/>
      <w:r w:rsidR="000B2ED8" w:rsidRPr="00474235">
        <w:rPr>
          <w:lang w:val="en-GB"/>
        </w:rPr>
        <w:t> and </w:t>
      </w:r>
      <w:proofErr w:type="spellStart"/>
      <w:r w:rsidR="000B2ED8" w:rsidRPr="00474235">
        <w:rPr>
          <w:lang w:val="en-GB"/>
        </w:rPr>
        <w:t>i</w:t>
      </w:r>
      <w:proofErr w:type="spellEnd"/>
      <w:r w:rsidR="000B2ED8" w:rsidRPr="00474235">
        <w:rPr>
          <w:lang w:val="en-GB"/>
        </w:rPr>
        <w:t>≥=i1}|. Then, similar to above, the form o</w:t>
      </w:r>
      <w:r w:rsidR="006154CC" w:rsidRPr="00474235">
        <w:rPr>
          <w:lang w:val="en-GB"/>
        </w:rPr>
        <w:t>f </w:t>
      </w:r>
      <w:proofErr w:type="gramStart"/>
      <w:r w:rsidR="006154CC" w:rsidRPr="00474235">
        <w:rPr>
          <w:lang w:val="en-GB"/>
        </w:rPr>
        <w:t>g(</w:t>
      </w:r>
      <w:proofErr w:type="gramEnd"/>
      <w:r w:rsidR="006154CC" w:rsidRPr="00474235">
        <w:rPr>
          <w:lang w:val="en-GB"/>
        </w:rPr>
        <w:t>t)g(t) depends on </w:t>
      </w:r>
      <w:proofErr w:type="spellStart"/>
      <w:r w:rsidR="006154CC" w:rsidRPr="00474235">
        <w:rPr>
          <w:lang w:val="en-GB"/>
        </w:rPr>
        <w:t>N</w:t>
      </w:r>
      <w:r w:rsidR="006154CC" w:rsidRPr="00474235">
        <w:rPr>
          <w:rFonts w:ascii="Cambria Math" w:hAnsi="Cambria Math" w:cs="Cambria Math"/>
          <w:lang w:val="en-GB"/>
        </w:rPr>
        <w:t>∗</w:t>
      </w:r>
      <w:r w:rsidR="006154CC" w:rsidRPr="00474235">
        <w:rPr>
          <w:lang w:val="en-GB"/>
        </w:rPr>
        <w:t>mid</w:t>
      </w:r>
      <w:proofErr w:type="spellEnd"/>
      <w:r w:rsidR="000B2ED8" w:rsidRPr="00474235">
        <w:rPr>
          <w:lang w:val="en-GB"/>
        </w:rPr>
        <w:t>.</w:t>
      </w:r>
    </w:p>
    <w:p w:rsidR="00A8169D" w:rsidRDefault="00A8169D">
      <w:pPr>
        <w:spacing w:after="0" w:line="240" w:lineRule="auto"/>
        <w:jc w:val="left"/>
        <w:rPr>
          <w:lang w:val="en-GB"/>
        </w:rPr>
      </w:pPr>
      <w:r>
        <w:rPr>
          <w:lang w:val="en-GB"/>
        </w:rPr>
        <w:br w:type="page"/>
      </w:r>
    </w:p>
    <w:p w:rsidR="000B2ED8" w:rsidRPr="00474235" w:rsidRDefault="006154CC" w:rsidP="000B2ED8">
      <w:pPr>
        <w:rPr>
          <w:lang w:val="en-GB"/>
        </w:rPr>
      </w:pPr>
      <w:proofErr w:type="spellStart"/>
      <w:r w:rsidRPr="00474235">
        <w:rPr>
          <w:lang w:val="en-GB"/>
        </w:rPr>
        <w:t>N</w:t>
      </w:r>
      <w:r w:rsidRPr="00474235">
        <w:rPr>
          <w:rFonts w:ascii="Cambria Math" w:hAnsi="Cambria Math" w:cs="Cambria Math"/>
          <w:vertAlign w:val="superscript"/>
          <w:lang w:val="en-GB"/>
        </w:rPr>
        <w:t>∗</w:t>
      </w:r>
      <w:r w:rsidRPr="00474235">
        <w:rPr>
          <w:vertAlign w:val="subscript"/>
          <w:lang w:val="en-GB"/>
        </w:rPr>
        <w:t>mid</w:t>
      </w:r>
      <w:proofErr w:type="spellEnd"/>
      <w:r w:rsidRPr="00474235">
        <w:rPr>
          <w:lang w:val="en-GB"/>
        </w:rPr>
        <w:t>=2</w:t>
      </w:r>
      <w:proofErr w:type="gramStart"/>
      <w:r w:rsidRPr="00474235">
        <w:rPr>
          <w:lang w:val="en-GB"/>
        </w:rPr>
        <w:t>,3</w:t>
      </w:r>
      <w:proofErr w:type="gramEnd"/>
      <w:r w:rsidRPr="00474235">
        <w:rPr>
          <w:lang w:val="en-GB"/>
        </w:rPr>
        <w:t> or 4</w:t>
      </w:r>
    </w:p>
    <w:p w:rsidR="006154CC" w:rsidRPr="00474235" w:rsidRDefault="000B2ED8" w:rsidP="000B2ED8">
      <w:pPr>
        <w:rPr>
          <w:lang w:val="en-GB"/>
        </w:rPr>
      </w:pPr>
      <w:proofErr w:type="gramStart"/>
      <w:r w:rsidRPr="00474235">
        <w:rPr>
          <w:lang w:val="en-GB"/>
        </w:rPr>
        <w:t>linear</w:t>
      </w:r>
      <w:proofErr w:type="gramEnd"/>
      <w:r w:rsidRPr="00474235">
        <w:rPr>
          <w:lang w:val="en-GB"/>
        </w:rPr>
        <w:t xml:space="preserve"> change-point model g(t)=β(t−</w:t>
      </w:r>
      <w:r w:rsidR="006154CC" w:rsidRPr="00474235">
        <w:rPr>
          <w:lang w:val="en-GB"/>
        </w:rPr>
        <w:t xml:space="preserve"> </w:t>
      </w:r>
      <w:proofErr w:type="spellStart"/>
      <w:r w:rsidR="006154CC" w:rsidRPr="00474235">
        <w:rPr>
          <w:lang w:val="en-GB"/>
        </w:rPr>
        <w:t>t</w:t>
      </w:r>
      <w:r w:rsidR="006154CC" w:rsidRPr="00474235">
        <w:rPr>
          <w:vertAlign w:val="subscript"/>
          <w:lang w:val="en-GB"/>
        </w:rPr>
        <w:t>change</w:t>
      </w:r>
      <w:proofErr w:type="spellEnd"/>
      <w:r w:rsidR="006154CC" w:rsidRPr="00474235">
        <w:rPr>
          <w:lang w:val="en-GB"/>
        </w:rPr>
        <w:t> </w:t>
      </w:r>
      <w:r w:rsidRPr="00474235">
        <w:rPr>
          <w:lang w:val="en-GB"/>
        </w:rPr>
        <w:t>)</w:t>
      </w:r>
    </w:p>
    <w:p w:rsidR="006154CC" w:rsidRPr="00474235" w:rsidRDefault="000B2ED8" w:rsidP="000B2ED8">
      <w:pPr>
        <w:rPr>
          <w:lang w:val="en-GB"/>
        </w:rPr>
      </w:pPr>
      <w:proofErr w:type="spellStart"/>
      <w:r w:rsidRPr="00474235">
        <w:rPr>
          <w:lang w:val="en-GB"/>
        </w:rPr>
        <w:t>N</w:t>
      </w:r>
      <w:r w:rsidR="00274AF9" w:rsidRPr="00474235">
        <w:rPr>
          <w:rFonts w:ascii="Cambria Math" w:hAnsi="Cambria Math" w:cs="Cambria Math"/>
          <w:vertAlign w:val="superscript"/>
          <w:lang w:val="en-GB"/>
        </w:rPr>
        <w:t>∗</w:t>
      </w:r>
      <w:r w:rsidR="00274AF9" w:rsidRPr="00474235">
        <w:rPr>
          <w:vertAlign w:val="subscript"/>
          <w:lang w:val="en-GB"/>
        </w:rPr>
        <w:t>mid</w:t>
      </w:r>
      <w:proofErr w:type="spellEnd"/>
      <w:r w:rsidR="00274AF9" w:rsidRPr="00474235">
        <w:rPr>
          <w:lang w:val="en-GB"/>
        </w:rPr>
        <w:t xml:space="preserve"> </w:t>
      </w:r>
      <w:r w:rsidRPr="00474235">
        <w:rPr>
          <w:lang w:val="en-GB"/>
        </w:rPr>
        <w:t>≥5</w:t>
      </w:r>
    </w:p>
    <w:p w:rsidR="000B2ED8" w:rsidRPr="00474235" w:rsidRDefault="000B2ED8" w:rsidP="000B2ED8">
      <w:pPr>
        <w:rPr>
          <w:lang w:val="en-GB"/>
        </w:rPr>
      </w:pPr>
      <w:proofErr w:type="gramStart"/>
      <w:r w:rsidRPr="00474235">
        <w:rPr>
          <w:lang w:val="en-GB"/>
        </w:rPr>
        <w:t>linear</w:t>
      </w:r>
      <w:proofErr w:type="gramEnd"/>
      <w:r w:rsidRPr="00474235">
        <w:rPr>
          <w:lang w:val="en-GB"/>
        </w:rPr>
        <w:t xml:space="preserve"> change-point model g(t)=β(t−</w:t>
      </w:r>
      <w:proofErr w:type="spellStart"/>
      <w:r w:rsidRPr="00474235">
        <w:rPr>
          <w:lang w:val="en-GB"/>
        </w:rPr>
        <w:t>t</w:t>
      </w:r>
      <w:r w:rsidRPr="00474235">
        <w:rPr>
          <w:vertAlign w:val="subscript"/>
          <w:lang w:val="en-GB"/>
        </w:rPr>
        <w:t>change</w:t>
      </w:r>
      <w:proofErr w:type="spellEnd"/>
      <w:r w:rsidRPr="00474235">
        <w:rPr>
          <w:lang w:val="en-GB"/>
        </w:rPr>
        <w:t>)</w:t>
      </w:r>
      <w:r w:rsidR="006154CC" w:rsidRPr="00474235">
        <w:rPr>
          <w:lang w:val="en-GB"/>
        </w:rPr>
        <w:t xml:space="preserve"> </w:t>
      </w:r>
      <w:r w:rsidRPr="00474235">
        <w:rPr>
          <w:lang w:val="en-GB"/>
        </w:rPr>
        <w:t>and smooth chan</w:t>
      </w:r>
      <w:r w:rsidR="006154CC" w:rsidRPr="00474235">
        <w:rPr>
          <w:lang w:val="en-GB"/>
        </w:rPr>
        <w:t>ge-point model g(t)=s(t</w:t>
      </w:r>
      <w:r w:rsidRPr="00474235">
        <w:rPr>
          <w:lang w:val="en-GB"/>
        </w:rPr>
        <w:t>), with s(</w:t>
      </w:r>
      <w:proofErr w:type="spellStart"/>
      <w:r w:rsidRPr="00474235">
        <w:rPr>
          <w:lang w:val="en-GB"/>
        </w:rPr>
        <w:t>t</w:t>
      </w:r>
      <w:r w:rsidRPr="00474235">
        <w:rPr>
          <w:vertAlign w:val="subscript"/>
          <w:lang w:val="en-GB"/>
        </w:rPr>
        <w:t>change</w:t>
      </w:r>
      <w:proofErr w:type="spellEnd"/>
      <w:r w:rsidRPr="00474235">
        <w:rPr>
          <w:lang w:val="en-GB"/>
        </w:rPr>
        <w:t>)</w:t>
      </w:r>
      <w:r w:rsidR="006154CC" w:rsidRPr="00474235">
        <w:rPr>
          <w:lang w:val="en-GB"/>
        </w:rPr>
        <w:t xml:space="preserve"> </w:t>
      </w:r>
      <w:r w:rsidRPr="00474235">
        <w:rPr>
          <w:lang w:val="en-GB"/>
        </w:rPr>
        <w:t>= 0</w:t>
      </w:r>
    </w:p>
    <w:p w:rsidR="000B2ED8" w:rsidRPr="00474235" w:rsidRDefault="000B2ED8" w:rsidP="000B2ED8">
      <w:pPr>
        <w:rPr>
          <w:lang w:val="en-GB"/>
        </w:rPr>
      </w:pPr>
      <w:r w:rsidRPr="00474235">
        <w:rPr>
          <w:lang w:val="en-GB"/>
        </w:rPr>
        <w:t>Smoothers on 2 degrees of freedom (</w:t>
      </w:r>
      <w:proofErr w:type="spellStart"/>
      <w:proofErr w:type="gramStart"/>
      <w:r w:rsidRPr="00474235">
        <w:rPr>
          <w:lang w:val="en-GB"/>
        </w:rPr>
        <w:t>df</w:t>
      </w:r>
      <w:proofErr w:type="spellEnd"/>
      <w:proofErr w:type="gramEnd"/>
      <w:r w:rsidRPr="00474235">
        <w:rPr>
          <w:lang w:val="en-GB"/>
        </w:rPr>
        <w:t>) are considered when 5≤</w:t>
      </w:r>
      <w:r w:rsidR="00274AF9" w:rsidRPr="00474235">
        <w:rPr>
          <w:lang w:val="en-GB"/>
        </w:rPr>
        <w:t>N</w:t>
      </w:r>
      <w:r w:rsidR="00274AF9" w:rsidRPr="00474235">
        <w:rPr>
          <w:rFonts w:ascii="Cambria Math" w:hAnsi="Cambria Math" w:cs="Cambria Math"/>
          <w:vertAlign w:val="superscript"/>
          <w:lang w:val="en-GB"/>
        </w:rPr>
        <w:t>∗</w:t>
      </w:r>
      <w:r w:rsidR="00274AF9" w:rsidRPr="00474235">
        <w:rPr>
          <w:vertAlign w:val="subscript"/>
          <w:lang w:val="en-GB"/>
        </w:rPr>
        <w:t>mid</w:t>
      </w:r>
      <w:r w:rsidR="00274AF9" w:rsidRPr="00474235">
        <w:rPr>
          <w:lang w:val="en-GB"/>
        </w:rPr>
        <w:t xml:space="preserve"> </w:t>
      </w:r>
      <w:r w:rsidRPr="00474235">
        <w:rPr>
          <w:lang w:val="en-GB"/>
        </w:rPr>
        <w:t>≤7, on 2 an</w:t>
      </w:r>
      <w:r w:rsidR="006154CC" w:rsidRPr="00474235">
        <w:rPr>
          <w:lang w:val="en-GB"/>
        </w:rPr>
        <w:t xml:space="preserve">d 3 </w:t>
      </w:r>
      <w:proofErr w:type="spellStart"/>
      <w:r w:rsidR="006154CC" w:rsidRPr="00474235">
        <w:rPr>
          <w:lang w:val="en-GB"/>
        </w:rPr>
        <w:t>df</w:t>
      </w:r>
      <w:proofErr w:type="spellEnd"/>
      <w:r w:rsidR="006154CC" w:rsidRPr="00474235">
        <w:rPr>
          <w:lang w:val="en-GB"/>
        </w:rPr>
        <w:t xml:space="preserve"> when 8≤N</w:t>
      </w:r>
      <w:r w:rsidR="00274AF9" w:rsidRPr="00474235">
        <w:rPr>
          <w:rFonts w:ascii="Cambria Math" w:hAnsi="Cambria Math" w:cs="Cambria Math"/>
          <w:vertAlign w:val="superscript"/>
          <w:lang w:val="en-GB"/>
        </w:rPr>
        <w:t>∗</w:t>
      </w:r>
      <w:r w:rsidR="00274AF9" w:rsidRPr="00474235">
        <w:rPr>
          <w:vertAlign w:val="subscript"/>
          <w:lang w:val="en-GB"/>
        </w:rPr>
        <w:t>mid</w:t>
      </w:r>
      <w:r w:rsidR="00274AF9" w:rsidRPr="00474235">
        <w:rPr>
          <w:lang w:val="en-GB"/>
        </w:rPr>
        <w:t xml:space="preserve"> </w:t>
      </w:r>
      <w:r w:rsidR="006154CC" w:rsidRPr="00474235">
        <w:rPr>
          <w:lang w:val="en-GB"/>
        </w:rPr>
        <w:t>≤10</w:t>
      </w:r>
      <w:r w:rsidRPr="00474235">
        <w:rPr>
          <w:lang w:val="en-GB"/>
        </w:rPr>
        <w:t> and on 2, 3,</w:t>
      </w:r>
      <w:r w:rsidR="006154CC" w:rsidRPr="00474235">
        <w:rPr>
          <w:lang w:val="en-GB"/>
        </w:rPr>
        <w:t xml:space="preserve"> and 4 </w:t>
      </w:r>
      <w:proofErr w:type="spellStart"/>
      <w:r w:rsidR="006154CC" w:rsidRPr="00474235">
        <w:rPr>
          <w:lang w:val="en-GB"/>
        </w:rPr>
        <w:t>df</w:t>
      </w:r>
      <w:proofErr w:type="spellEnd"/>
      <w:r w:rsidR="006154CC" w:rsidRPr="00474235">
        <w:rPr>
          <w:lang w:val="en-GB"/>
        </w:rPr>
        <w:t xml:space="preserve"> when </w:t>
      </w:r>
      <w:proofErr w:type="spellStart"/>
      <w:r w:rsidR="006154CC" w:rsidRPr="00474235">
        <w:rPr>
          <w:lang w:val="en-GB"/>
        </w:rPr>
        <w:t>N</w:t>
      </w:r>
      <w:r w:rsidR="00274AF9" w:rsidRPr="00474235">
        <w:rPr>
          <w:rFonts w:ascii="Cambria Math" w:hAnsi="Cambria Math" w:cs="Cambria Math"/>
          <w:vertAlign w:val="superscript"/>
          <w:lang w:val="en-GB"/>
        </w:rPr>
        <w:t>∗</w:t>
      </w:r>
      <w:r w:rsidR="00274AF9" w:rsidRPr="00474235">
        <w:rPr>
          <w:vertAlign w:val="subscript"/>
          <w:lang w:val="en-GB"/>
        </w:rPr>
        <w:t>mid</w:t>
      </w:r>
      <w:proofErr w:type="spellEnd"/>
      <w:r w:rsidR="00274AF9" w:rsidRPr="00474235">
        <w:rPr>
          <w:lang w:val="en-GB"/>
        </w:rPr>
        <w:t xml:space="preserve"> </w:t>
      </w:r>
      <w:r w:rsidR="006154CC" w:rsidRPr="00474235">
        <w:rPr>
          <w:lang w:val="en-GB"/>
        </w:rPr>
        <w:t>≥11.</w:t>
      </w:r>
    </w:p>
    <w:p w:rsidR="000B2ED8" w:rsidRPr="00474235" w:rsidRDefault="000B2ED8" w:rsidP="000B2ED8">
      <w:pPr>
        <w:rPr>
          <w:lang w:val="en-GB"/>
        </w:rPr>
      </w:pPr>
      <w:r w:rsidRPr="00474235">
        <w:rPr>
          <w:lang w:val="en-GB"/>
        </w:rPr>
        <w:t>The change-point models are fitted for each change-year </w:t>
      </w:r>
      <w:proofErr w:type="spellStart"/>
      <w:r w:rsidRPr="00474235">
        <w:rPr>
          <w:lang w:val="en-GB"/>
        </w:rPr>
        <w:t>tchangetchange</w:t>
      </w:r>
      <w:proofErr w:type="spellEnd"/>
      <w:r w:rsidRPr="00474235">
        <w:rPr>
          <w:lang w:val="en-GB"/>
        </w:rPr>
        <w:t> = 2004, 2005, 2006, 2007, 2008 in turn, pr</w:t>
      </w:r>
      <w:r w:rsidR="006154CC" w:rsidRPr="00474235">
        <w:rPr>
          <w:lang w:val="en-GB"/>
        </w:rPr>
        <w:t>ovided that t1&lt;</w:t>
      </w:r>
      <w:proofErr w:type="spellStart"/>
      <w:r w:rsidR="006154CC" w:rsidRPr="00474235">
        <w:rPr>
          <w:lang w:val="en-GB"/>
        </w:rPr>
        <w:t>t</w:t>
      </w:r>
      <w:r w:rsidR="006154CC" w:rsidRPr="00474235">
        <w:rPr>
          <w:vertAlign w:val="subscript"/>
          <w:lang w:val="en-GB"/>
        </w:rPr>
        <w:t>change</w:t>
      </w:r>
      <w:proofErr w:type="spellEnd"/>
      <w:r w:rsidRPr="00474235">
        <w:rPr>
          <w:lang w:val="en-GB"/>
        </w:rPr>
        <w:t>; i.e. the time series started before the change-year.</w:t>
      </w:r>
    </w:p>
    <w:p w:rsidR="000B2ED8" w:rsidRPr="00474235" w:rsidRDefault="000B2ED8" w:rsidP="000B2ED8">
      <w:pPr>
        <w:rPr>
          <w:lang w:val="en-GB"/>
        </w:rPr>
      </w:pPr>
      <w:r w:rsidRPr="00474235">
        <w:rPr>
          <w:lang w:val="en-GB"/>
        </w:rPr>
        <w:t xml:space="preserve">All the candidate models are fitted by maximum likelihood, with the final model chosen using </w:t>
      </w:r>
      <w:proofErr w:type="spellStart"/>
      <w:r w:rsidRPr="00474235">
        <w:rPr>
          <w:lang w:val="en-GB"/>
        </w:rPr>
        <w:t>AICc</w:t>
      </w:r>
      <w:proofErr w:type="spellEnd"/>
      <w:r w:rsidR="003A357A" w:rsidRPr="00474235">
        <w:rPr>
          <w:rStyle w:val="FootnoteReference"/>
          <w:lang w:val="en-GB"/>
        </w:rPr>
        <w:footnoteReference w:id="13"/>
      </w:r>
      <w:r w:rsidRPr="00474235">
        <w:rPr>
          <w:lang w:val="en-GB"/>
        </w:rPr>
        <w:t xml:space="preserve">. For some time series, there are many candidate models and there is a danger of over-fitting the data. However, this is mitigated somewhat by the fact that the models have been tailored to patterns of change seen in so many time series. It is also preferable to </w:t>
      </w:r>
      <w:proofErr w:type="spellStart"/>
      <w:r w:rsidRPr="00474235">
        <w:rPr>
          <w:lang w:val="en-GB"/>
        </w:rPr>
        <w:t>overfit</w:t>
      </w:r>
      <w:proofErr w:type="spellEnd"/>
      <w:r w:rsidRPr="00474235">
        <w:rPr>
          <w:lang w:val="en-GB"/>
        </w:rPr>
        <w:t xml:space="preserve"> rather than </w:t>
      </w:r>
      <w:proofErr w:type="spellStart"/>
      <w:r w:rsidRPr="00474235">
        <w:rPr>
          <w:lang w:val="en-GB"/>
        </w:rPr>
        <w:t>underfit</w:t>
      </w:r>
      <w:proofErr w:type="spellEnd"/>
      <w:r w:rsidRPr="00474235">
        <w:rPr>
          <w:lang w:val="en-GB"/>
        </w:rPr>
        <w:t xml:space="preserve"> for the purposes of assessing environmental status. Linear or smooth models often </w:t>
      </w:r>
      <w:proofErr w:type="spellStart"/>
      <w:r w:rsidRPr="00474235">
        <w:rPr>
          <w:lang w:val="en-GB"/>
        </w:rPr>
        <w:t>overpredict</w:t>
      </w:r>
      <w:proofErr w:type="spellEnd"/>
      <w:r w:rsidRPr="00474235">
        <w:rPr>
          <w:lang w:val="en-GB"/>
        </w:rPr>
        <w:t xml:space="preserve"> VDS levels in the final monitoring year, so if these are the only models considered, status will appear to be poorer than it should be.</w:t>
      </w:r>
    </w:p>
    <w:p w:rsidR="000B2ED8" w:rsidRPr="00474235" w:rsidRDefault="000B2ED8" w:rsidP="00552FB8">
      <w:pPr>
        <w:pStyle w:val="Heading2"/>
        <w:rPr>
          <w:rFonts w:ascii="Calibri" w:hAnsi="Calibri"/>
        </w:rPr>
      </w:pPr>
      <w:bookmarkStart w:id="25" w:name="_Toc486935820"/>
      <w:r w:rsidRPr="00474235">
        <w:rPr>
          <w:rFonts w:ascii="Calibri" w:hAnsi="Calibri"/>
        </w:rPr>
        <w:t>Estimating the cut-points</w:t>
      </w:r>
      <w:bookmarkEnd w:id="25"/>
    </w:p>
    <w:p w:rsidR="000B2ED8" w:rsidRPr="00474235" w:rsidRDefault="000B2ED8" w:rsidP="000B2ED8">
      <w:pPr>
        <w:rPr>
          <w:lang w:val="en-GB"/>
        </w:rPr>
      </w:pPr>
      <w:r w:rsidRPr="00474235">
        <w:rPr>
          <w:lang w:val="en-GB"/>
        </w:rPr>
        <w:t>The cut-points </w:t>
      </w:r>
      <w:proofErr w:type="spellStart"/>
      <w:r w:rsidRPr="00474235">
        <w:rPr>
          <w:lang w:val="en-GB"/>
        </w:rPr>
        <w:t>θk</w:t>
      </w:r>
      <w:proofErr w:type="gramStart"/>
      <w:r w:rsidRPr="00474235">
        <w:rPr>
          <w:lang w:val="en-GB"/>
        </w:rPr>
        <w:t>,k</w:t>
      </w:r>
      <w:proofErr w:type="spellEnd"/>
      <w:proofErr w:type="gramEnd"/>
      <w:r w:rsidRPr="00474235">
        <w:rPr>
          <w:lang w:val="en-GB"/>
        </w:rPr>
        <w:t>=0,...,K−1 determine the probability of being in each VDS class given the underlying level of TBT co</w:t>
      </w:r>
      <w:r w:rsidR="003A357A" w:rsidRPr="00474235">
        <w:rPr>
          <w:lang w:val="en-GB"/>
        </w:rPr>
        <w:t xml:space="preserve">ntamination (represented by </w:t>
      </w:r>
      <w:r w:rsidRPr="00474235">
        <w:rPr>
          <w:lang w:val="en-GB"/>
        </w:rPr>
        <w:t>f(t) above). The cut-points can be thought of as measuring the eco-toxicological response of a species to TBT contamination and might reasonably be assumed to be constant over a wide area. The cut-points can therefore be estimated with good precision by fitting a ‘full’ model to the data from many time series collected over a wide area.</w:t>
      </w:r>
    </w:p>
    <w:p w:rsidR="000B2ED8" w:rsidRPr="00474235" w:rsidRDefault="000B2ED8" w:rsidP="000B2ED8">
      <w:pPr>
        <w:rPr>
          <w:lang w:val="en-GB"/>
        </w:rPr>
      </w:pPr>
      <w:r w:rsidRPr="00474235">
        <w:rPr>
          <w:lang w:val="en-GB"/>
        </w:rPr>
        <w:t>Suppose that, for a particular species and area, there are VDS time series at MM stations. With som</w:t>
      </w:r>
      <w:r w:rsidR="003A357A" w:rsidRPr="00474235">
        <w:rPr>
          <w:lang w:val="en-GB"/>
        </w:rPr>
        <w:t>e abuse of notation, let </w:t>
      </w:r>
      <w:proofErr w:type="spellStart"/>
      <w:r w:rsidR="003A357A" w:rsidRPr="00474235">
        <w:rPr>
          <w:lang w:val="en-GB"/>
        </w:rPr>
        <w:t>y</w:t>
      </w:r>
      <w:r w:rsidR="003A357A" w:rsidRPr="00474235">
        <w:rPr>
          <w:vertAlign w:val="subscript"/>
          <w:lang w:val="en-GB"/>
        </w:rPr>
        <w:t>mi</w:t>
      </w:r>
      <w:r w:rsidRPr="00474235">
        <w:rPr>
          <w:vertAlign w:val="subscript"/>
          <w:lang w:val="en-GB"/>
        </w:rPr>
        <w:t>j</w:t>
      </w:r>
      <w:proofErr w:type="spellEnd"/>
      <w:r w:rsidRPr="00474235">
        <w:rPr>
          <w:lang w:val="en-GB"/>
        </w:rPr>
        <w:t> </w:t>
      </w:r>
      <w:proofErr w:type="gramStart"/>
      <w:r w:rsidR="003A357A" w:rsidRPr="00474235">
        <w:rPr>
          <w:lang w:val="en-GB"/>
        </w:rPr>
        <w:t>be</w:t>
      </w:r>
      <w:proofErr w:type="gramEnd"/>
      <w:r w:rsidR="003A357A" w:rsidRPr="00474235">
        <w:rPr>
          <w:lang w:val="en-GB"/>
        </w:rPr>
        <w:t xml:space="preserve"> the VDS measurement of the </w:t>
      </w:r>
      <w:proofErr w:type="spellStart"/>
      <w:r w:rsidR="003A357A" w:rsidRPr="00474235">
        <w:rPr>
          <w:lang w:val="en-GB"/>
        </w:rPr>
        <w:t>jth</w:t>
      </w:r>
      <w:proofErr w:type="spellEnd"/>
      <w:r w:rsidR="003A357A" w:rsidRPr="00474235">
        <w:rPr>
          <w:lang w:val="en-GB"/>
        </w:rPr>
        <w:t xml:space="preserve"> female snail in year </w:t>
      </w:r>
      <w:proofErr w:type="spellStart"/>
      <w:r w:rsidR="003A357A" w:rsidRPr="00474235">
        <w:rPr>
          <w:lang w:val="en-GB"/>
        </w:rPr>
        <w:t>t</w:t>
      </w:r>
      <w:r w:rsidR="003A357A" w:rsidRPr="00474235">
        <w:rPr>
          <w:vertAlign w:val="subscript"/>
          <w:lang w:val="en-GB"/>
        </w:rPr>
        <w:t>mi</w:t>
      </w:r>
      <w:proofErr w:type="spellEnd"/>
      <w:r w:rsidRPr="00474235">
        <w:rPr>
          <w:lang w:val="en-GB"/>
        </w:rPr>
        <w:t> from station mm. Then the full model is</w:t>
      </w:r>
    </w:p>
    <w:p w:rsidR="003A357A" w:rsidRPr="00474235" w:rsidRDefault="000B2ED8" w:rsidP="000B2ED8">
      <w:pPr>
        <w:rPr>
          <w:lang w:val="en-GB"/>
        </w:rPr>
      </w:pPr>
      <w:proofErr w:type="gramStart"/>
      <w:r w:rsidRPr="00474235">
        <w:rPr>
          <w:lang w:val="en-GB"/>
        </w:rPr>
        <w:t>logit(</w:t>
      </w:r>
      <w:proofErr w:type="spellStart"/>
      <w:proofErr w:type="gramEnd"/>
      <w:r w:rsidRPr="00474235">
        <w:rPr>
          <w:lang w:val="en-GB"/>
        </w:rPr>
        <w:t>Prob</w:t>
      </w:r>
      <w:proofErr w:type="spellEnd"/>
      <w:r w:rsidRPr="00474235">
        <w:rPr>
          <w:lang w:val="en-GB"/>
        </w:rPr>
        <w:t>(</w:t>
      </w:r>
      <w:proofErr w:type="spellStart"/>
      <w:r w:rsidRPr="00474235">
        <w:rPr>
          <w:lang w:val="en-GB"/>
        </w:rPr>
        <w:t>y</w:t>
      </w:r>
      <w:r w:rsidRPr="00474235">
        <w:rPr>
          <w:vertAlign w:val="subscript"/>
          <w:lang w:val="en-GB"/>
        </w:rPr>
        <w:t>mij</w:t>
      </w:r>
      <w:r w:rsidRPr="00474235">
        <w:rPr>
          <w:lang w:val="en-GB"/>
        </w:rPr>
        <w:t>≤k</w:t>
      </w:r>
      <w:proofErr w:type="spellEnd"/>
      <w:r w:rsidRPr="00474235">
        <w:rPr>
          <w:lang w:val="en-GB"/>
        </w:rPr>
        <w:t>))=</w:t>
      </w:r>
      <w:proofErr w:type="spellStart"/>
      <w:r w:rsidRPr="00474235">
        <w:rPr>
          <w:lang w:val="en-GB"/>
        </w:rPr>
        <w:t>μ</w:t>
      </w:r>
      <w:r w:rsidRPr="00474235">
        <w:rPr>
          <w:vertAlign w:val="subscript"/>
          <w:lang w:val="en-GB"/>
        </w:rPr>
        <w:t>mi</w:t>
      </w:r>
      <w:r w:rsidRPr="00474235">
        <w:rPr>
          <w:lang w:val="en-GB"/>
        </w:rPr>
        <w:t>+θ</w:t>
      </w:r>
      <w:r w:rsidRPr="00474235">
        <w:rPr>
          <w:vertAlign w:val="subscript"/>
          <w:lang w:val="en-GB"/>
        </w:rPr>
        <w:t>k</w:t>
      </w:r>
      <w:proofErr w:type="spellEnd"/>
    </w:p>
    <w:p w:rsidR="000B2ED8" w:rsidRPr="00474235" w:rsidRDefault="000B2ED8" w:rsidP="000B2ED8">
      <w:pPr>
        <w:rPr>
          <w:lang w:val="en-GB"/>
        </w:rPr>
      </w:pPr>
      <w:proofErr w:type="gramStart"/>
      <w:r w:rsidRPr="00474235">
        <w:rPr>
          <w:lang w:val="en-GB"/>
        </w:rPr>
        <w:t>where</w:t>
      </w:r>
      <w:proofErr w:type="gramEnd"/>
      <w:r w:rsidRPr="00474235">
        <w:rPr>
          <w:lang w:val="en-GB"/>
        </w:rPr>
        <w:t> </w:t>
      </w:r>
      <w:proofErr w:type="spellStart"/>
      <w:r w:rsidRPr="00474235">
        <w:rPr>
          <w:lang w:val="en-GB"/>
        </w:rPr>
        <w:t>μ</w:t>
      </w:r>
      <w:r w:rsidRPr="00474235">
        <w:rPr>
          <w:vertAlign w:val="subscript"/>
          <w:lang w:val="en-GB"/>
        </w:rPr>
        <w:t>mi</w:t>
      </w:r>
      <w:proofErr w:type="spellEnd"/>
      <w:r w:rsidRPr="00474235">
        <w:rPr>
          <w:vertAlign w:val="subscript"/>
          <w:lang w:val="en-GB"/>
        </w:rPr>
        <w:t> </w:t>
      </w:r>
      <w:r w:rsidRPr="00474235">
        <w:rPr>
          <w:lang w:val="en-GB"/>
        </w:rPr>
        <w:t>represents the underlying level of TBT contamination in year </w:t>
      </w:r>
      <w:proofErr w:type="spellStart"/>
      <w:r w:rsidRPr="00474235">
        <w:rPr>
          <w:lang w:val="en-GB"/>
        </w:rPr>
        <w:t>tmitmi</w:t>
      </w:r>
      <w:proofErr w:type="spellEnd"/>
      <w:r w:rsidRPr="00474235">
        <w:rPr>
          <w:lang w:val="en-GB"/>
        </w:rPr>
        <w:t xml:space="preserve"> at station mm. The species area combinations used for estimating the cut-points </w:t>
      </w:r>
      <w:proofErr w:type="gramStart"/>
      <w:r w:rsidRPr="00474235">
        <w:rPr>
          <w:lang w:val="en-GB"/>
        </w:rPr>
        <w:t>are</w:t>
      </w:r>
      <w:proofErr w:type="gramEnd"/>
      <w:r w:rsidRPr="00474235">
        <w:rPr>
          <w:lang w:val="en-GB"/>
        </w:rPr>
        <w:t> </w:t>
      </w:r>
      <w:r w:rsidR="003A357A" w:rsidRPr="00474235">
        <w:rPr>
          <w:lang w:val="en-GB"/>
        </w:rPr>
        <w:t>found in appendix 4</w:t>
      </w:r>
      <w:r w:rsidRPr="00474235">
        <w:rPr>
          <w:lang w:val="en-GB"/>
        </w:rPr>
        <w:t>.</w:t>
      </w:r>
    </w:p>
    <w:p w:rsidR="000B2ED8" w:rsidRPr="00474235" w:rsidRDefault="000B2ED8" w:rsidP="00552FB8">
      <w:pPr>
        <w:pStyle w:val="Heading2"/>
        <w:rPr>
          <w:rFonts w:ascii="Calibri" w:hAnsi="Calibri"/>
        </w:rPr>
      </w:pPr>
      <w:bookmarkStart w:id="26" w:name="_Toc486935821"/>
      <w:r w:rsidRPr="00474235">
        <w:rPr>
          <w:rFonts w:ascii="Calibri" w:hAnsi="Calibri"/>
        </w:rPr>
        <w:t>Estimating the mean VDS class</w:t>
      </w:r>
      <w:bookmarkEnd w:id="26"/>
    </w:p>
    <w:p w:rsidR="003A357A" w:rsidRPr="00474235" w:rsidRDefault="000B2ED8" w:rsidP="000B2ED8">
      <w:pPr>
        <w:rPr>
          <w:lang w:val="en-GB"/>
        </w:rPr>
      </w:pPr>
      <w:r w:rsidRPr="00474235">
        <w:rPr>
          <w:lang w:val="en-GB"/>
        </w:rPr>
        <w:t>The mean VDS c</w:t>
      </w:r>
      <w:r w:rsidR="003A357A" w:rsidRPr="00474235">
        <w:rPr>
          <w:lang w:val="en-GB"/>
        </w:rPr>
        <w:t>lass in year </w:t>
      </w:r>
      <w:proofErr w:type="spellStart"/>
      <w:r w:rsidR="003A357A" w:rsidRPr="00474235">
        <w:rPr>
          <w:lang w:val="en-GB"/>
        </w:rPr>
        <w:t>tt</w:t>
      </w:r>
      <w:proofErr w:type="spellEnd"/>
      <w:r w:rsidR="003A357A" w:rsidRPr="00474235">
        <w:rPr>
          <w:lang w:val="en-GB"/>
        </w:rPr>
        <w:t>, denoted </w:t>
      </w:r>
      <w:proofErr w:type="gramStart"/>
      <w:r w:rsidR="003A357A" w:rsidRPr="00474235">
        <w:rPr>
          <w:lang w:val="en-GB"/>
        </w:rPr>
        <w:t>v(</w:t>
      </w:r>
      <w:proofErr w:type="gramEnd"/>
      <w:r w:rsidR="003A357A" w:rsidRPr="00474235">
        <w:rPr>
          <w:lang w:val="en-GB"/>
        </w:rPr>
        <w:t>t</w:t>
      </w:r>
      <w:r w:rsidRPr="00474235">
        <w:rPr>
          <w:lang w:val="en-GB"/>
        </w:rPr>
        <w:t>), is</w:t>
      </w:r>
    </w:p>
    <w:p w:rsidR="003A357A" w:rsidRPr="00474235" w:rsidRDefault="00274AF9" w:rsidP="000B2ED8">
      <w:pPr>
        <w:rPr>
          <w:lang w:val="en-GB"/>
        </w:rPr>
      </w:pPr>
      <m:oMathPara>
        <m:oMath>
          <m:r>
            <m:rPr>
              <m:sty m:val="p"/>
            </m:rPr>
            <w:rPr>
              <w:rFonts w:ascii="Cambria Math" w:hAnsi="Cambria Math"/>
              <w:lang w:val="en-GB"/>
            </w:rPr>
            <m:t>v(t)=</m:t>
          </m:r>
          <m:nary>
            <m:naryPr>
              <m:chr m:val="∑"/>
              <m:limLoc m:val="undOvr"/>
              <m:ctrlPr>
                <w:rPr>
                  <w:rFonts w:ascii="Cambria Math" w:hAnsi="Cambria Math"/>
                  <w:lang w:val="en-GB"/>
                </w:rPr>
              </m:ctrlPr>
            </m:naryPr>
            <m:sub>
              <m:r>
                <w:rPr>
                  <w:rFonts w:ascii="Cambria Math" w:hAnsi="Cambria Math"/>
                  <w:lang w:val="en-GB"/>
                </w:rPr>
                <m:t>k=0</m:t>
              </m:r>
            </m:sub>
            <m:sup>
              <m:r>
                <w:rPr>
                  <w:rFonts w:ascii="Cambria Math" w:hAnsi="Cambria Math"/>
                  <w:lang w:val="en-GB"/>
                </w:rPr>
                <m:t>K</m:t>
              </m:r>
            </m:sup>
            <m:e>
              <m:r>
                <m:rPr>
                  <m:sty m:val="p"/>
                </m:rPr>
                <w:rPr>
                  <w:rFonts w:ascii="Cambria Math" w:hAnsi="Cambria Math"/>
                  <w:lang w:val="en-GB"/>
                </w:rPr>
                <m:t>Prob(Y</m:t>
              </m:r>
              <m:r>
                <m:rPr>
                  <m:sty m:val="p"/>
                </m:rPr>
                <w:rPr>
                  <w:rFonts w:ascii="Cambria Math" w:hAnsi="Cambria Math"/>
                  <w:vertAlign w:val="subscript"/>
                  <w:lang w:val="en-GB"/>
                </w:rPr>
                <m:t>t</m:t>
              </m:r>
              <m:r>
                <m:rPr>
                  <m:sty m:val="p"/>
                </m:rPr>
                <w:rPr>
                  <w:rFonts w:ascii="Cambria Math" w:hAnsi="Cambria Math"/>
                  <w:lang w:val="en-GB"/>
                </w:rPr>
                <m:t>=k)</m:t>
              </m:r>
            </m:e>
          </m:nary>
        </m:oMath>
      </m:oMathPara>
    </w:p>
    <w:p w:rsidR="000B2ED8" w:rsidRPr="00474235" w:rsidRDefault="003A357A" w:rsidP="000B2ED8">
      <w:pPr>
        <w:rPr>
          <w:lang w:val="en-GB"/>
        </w:rPr>
      </w:pPr>
      <w:proofErr w:type="gramStart"/>
      <w:r w:rsidRPr="00474235">
        <w:rPr>
          <w:lang w:val="en-GB"/>
        </w:rPr>
        <w:t>where</w:t>
      </w:r>
      <w:proofErr w:type="gramEnd"/>
      <w:r w:rsidRPr="00474235">
        <w:rPr>
          <w:lang w:val="en-GB"/>
        </w:rPr>
        <w:t> </w:t>
      </w:r>
      <w:proofErr w:type="spellStart"/>
      <w:r w:rsidRPr="00474235">
        <w:rPr>
          <w:lang w:val="en-GB"/>
        </w:rPr>
        <w:t>Yt</w:t>
      </w:r>
      <w:proofErr w:type="spellEnd"/>
      <w:r w:rsidR="000B2ED8" w:rsidRPr="00474235">
        <w:rPr>
          <w:lang w:val="en-GB"/>
        </w:rPr>
        <w:t xml:space="preserve"> is a random variable describing the VDS class </w:t>
      </w:r>
      <w:r w:rsidRPr="00474235">
        <w:rPr>
          <w:lang w:val="en-GB"/>
        </w:rPr>
        <w:t>of individual snails in year t.</w:t>
      </w:r>
      <w:r w:rsidR="000B2ED8" w:rsidRPr="00474235">
        <w:rPr>
          <w:lang w:val="en-GB"/>
        </w:rPr>
        <w:t xml:space="preserve"> The probabilities ar</w:t>
      </w:r>
      <w:r w:rsidRPr="00474235">
        <w:rPr>
          <w:lang w:val="en-GB"/>
        </w:rPr>
        <w:t>e expressed in terms of </w:t>
      </w:r>
      <w:proofErr w:type="gramStart"/>
      <w:r w:rsidRPr="00474235">
        <w:rPr>
          <w:lang w:val="en-GB"/>
        </w:rPr>
        <w:t>f(</w:t>
      </w:r>
      <w:proofErr w:type="gramEnd"/>
      <w:r w:rsidRPr="00474235">
        <w:rPr>
          <w:lang w:val="en-GB"/>
        </w:rPr>
        <w:t>t)</w:t>
      </w:r>
      <w:r w:rsidR="000B2ED8" w:rsidRPr="00474235">
        <w:rPr>
          <w:lang w:val="en-GB"/>
        </w:rPr>
        <w:t> and the cut-points through the relationships</w:t>
      </w:r>
    </w:p>
    <w:p w:rsidR="00274AF9" w:rsidRPr="00474235" w:rsidRDefault="000B2ED8" w:rsidP="000B2ED8">
      <w:pPr>
        <w:rPr>
          <w:lang w:val="en-GB"/>
        </w:rPr>
      </w:pPr>
      <w:r w:rsidRPr="00474235">
        <w:rPr>
          <w:lang w:val="en-GB"/>
        </w:rPr>
        <w:t> </w:t>
      </w:r>
      <w:proofErr w:type="spellStart"/>
      <w:proofErr w:type="gramStart"/>
      <w:r w:rsidRPr="00474235">
        <w:rPr>
          <w:lang w:val="en-GB"/>
        </w:rPr>
        <w:t>Prob</w:t>
      </w:r>
      <w:proofErr w:type="spellEnd"/>
      <w:r w:rsidRPr="00474235">
        <w:rPr>
          <w:lang w:val="en-GB"/>
        </w:rPr>
        <w:t>(</w:t>
      </w:r>
      <w:proofErr w:type="spellStart"/>
      <w:proofErr w:type="gramEnd"/>
      <w:r w:rsidRPr="00474235">
        <w:rPr>
          <w:lang w:val="en-GB"/>
        </w:rPr>
        <w:t>Y</w:t>
      </w:r>
      <w:r w:rsidRPr="00474235">
        <w:rPr>
          <w:vertAlign w:val="subscript"/>
          <w:lang w:val="en-GB"/>
        </w:rPr>
        <w:t>t</w:t>
      </w:r>
      <w:proofErr w:type="spellEnd"/>
      <w:r w:rsidRPr="00474235">
        <w:rPr>
          <w:lang w:val="en-GB"/>
        </w:rPr>
        <w:t>=k)= </w:t>
      </w:r>
      <w:proofErr w:type="spellStart"/>
      <w:r w:rsidRPr="00474235">
        <w:rPr>
          <w:lang w:val="en-GB"/>
        </w:rPr>
        <w:t>Prob</w:t>
      </w:r>
      <w:proofErr w:type="spellEnd"/>
      <w:r w:rsidRPr="00474235">
        <w:rPr>
          <w:lang w:val="en-GB"/>
        </w:rPr>
        <w:t>(</w:t>
      </w:r>
      <w:proofErr w:type="spellStart"/>
      <w:r w:rsidRPr="00474235">
        <w:rPr>
          <w:lang w:val="en-GB"/>
        </w:rPr>
        <w:t>Y</w:t>
      </w:r>
      <w:r w:rsidRPr="00474235">
        <w:rPr>
          <w:vertAlign w:val="subscript"/>
          <w:lang w:val="en-GB"/>
        </w:rPr>
        <w:t>t</w:t>
      </w:r>
      <w:r w:rsidRPr="00474235">
        <w:rPr>
          <w:lang w:val="en-GB"/>
        </w:rPr>
        <w:t>≤k</w:t>
      </w:r>
      <w:proofErr w:type="spellEnd"/>
      <w:r w:rsidRPr="00474235">
        <w:rPr>
          <w:lang w:val="en-GB"/>
        </w:rPr>
        <w:t>)− </w:t>
      </w:r>
      <w:proofErr w:type="spellStart"/>
      <w:r w:rsidRPr="00474235">
        <w:rPr>
          <w:lang w:val="en-GB"/>
        </w:rPr>
        <w:t>Prob</w:t>
      </w:r>
      <w:proofErr w:type="spellEnd"/>
      <w:r w:rsidRPr="00474235">
        <w:rPr>
          <w:lang w:val="en-GB"/>
        </w:rPr>
        <w:t>(Y</w:t>
      </w:r>
      <w:r w:rsidRPr="00474235">
        <w:rPr>
          <w:vertAlign w:val="subscript"/>
          <w:lang w:val="en-GB"/>
        </w:rPr>
        <w:t>t</w:t>
      </w:r>
      <w:r w:rsidRPr="00474235">
        <w:rPr>
          <w:lang w:val="en-GB"/>
        </w:rPr>
        <w:t>≤k−1)</w:t>
      </w:r>
    </w:p>
    <w:p w:rsidR="003A357A" w:rsidRPr="00474235" w:rsidRDefault="000B2ED8" w:rsidP="000B2ED8">
      <w:pPr>
        <w:rPr>
          <w:lang w:val="en-GB"/>
        </w:rPr>
      </w:pPr>
      <w:r w:rsidRPr="00474235">
        <w:rPr>
          <w:lang w:val="en-GB"/>
        </w:rPr>
        <w:t>=</w:t>
      </w:r>
      <w:r w:rsidR="00274AF9" w:rsidRPr="00474235">
        <w:rPr>
          <w:lang w:val="en-GB"/>
        </w:rPr>
        <w:t>[</w:t>
      </w:r>
      <w:r w:rsidRPr="00474235">
        <w:rPr>
          <w:lang w:val="en-GB"/>
        </w:rPr>
        <w:t>exp(f(t)+θ</w:t>
      </w:r>
      <w:r w:rsidRPr="00474235">
        <w:rPr>
          <w:vertAlign w:val="subscript"/>
          <w:lang w:val="en-GB"/>
        </w:rPr>
        <w:t>k</w:t>
      </w:r>
      <w:r w:rsidRPr="00474235">
        <w:rPr>
          <w:lang w:val="en-GB"/>
        </w:rPr>
        <w:t>)</w:t>
      </w:r>
      <w:r w:rsidR="00274AF9" w:rsidRPr="00474235">
        <w:rPr>
          <w:lang w:val="en-GB"/>
        </w:rPr>
        <w:t>/(</w:t>
      </w:r>
      <w:r w:rsidRPr="00474235">
        <w:rPr>
          <w:lang w:val="en-GB"/>
        </w:rPr>
        <w:t>1+exp(f(t)+θ</w:t>
      </w:r>
      <w:r w:rsidRPr="00474235">
        <w:rPr>
          <w:vertAlign w:val="subscript"/>
          <w:lang w:val="en-GB"/>
        </w:rPr>
        <w:t>k</w:t>
      </w:r>
      <w:r w:rsidRPr="00474235">
        <w:rPr>
          <w:lang w:val="en-GB"/>
        </w:rPr>
        <w:t>)</w:t>
      </w:r>
      <w:r w:rsidR="00274AF9" w:rsidRPr="00474235">
        <w:rPr>
          <w:lang w:val="en-GB"/>
        </w:rPr>
        <w:t>)]</w:t>
      </w:r>
      <w:r w:rsidRPr="00474235">
        <w:rPr>
          <w:lang w:val="en-GB"/>
        </w:rPr>
        <w:t>−</w:t>
      </w:r>
      <w:r w:rsidR="00274AF9" w:rsidRPr="00474235">
        <w:rPr>
          <w:lang w:val="en-GB"/>
        </w:rPr>
        <w:t>[</w:t>
      </w:r>
      <w:r w:rsidRPr="00474235">
        <w:rPr>
          <w:lang w:val="en-GB"/>
        </w:rPr>
        <w:t>exp(f(t)+θ</w:t>
      </w:r>
      <w:r w:rsidRPr="00474235">
        <w:rPr>
          <w:vertAlign w:val="subscript"/>
          <w:lang w:val="en-GB"/>
        </w:rPr>
        <w:t>k−1</w:t>
      </w:r>
      <w:r w:rsidRPr="00474235">
        <w:rPr>
          <w:lang w:val="en-GB"/>
        </w:rPr>
        <w:t>)</w:t>
      </w:r>
      <w:r w:rsidR="00274AF9" w:rsidRPr="00474235">
        <w:rPr>
          <w:lang w:val="en-GB"/>
        </w:rPr>
        <w:t>/(</w:t>
      </w:r>
      <w:r w:rsidRPr="00474235">
        <w:rPr>
          <w:lang w:val="en-GB"/>
        </w:rPr>
        <w:t>1+exp(f(t)+θ</w:t>
      </w:r>
      <w:r w:rsidRPr="00474235">
        <w:rPr>
          <w:vertAlign w:val="subscript"/>
          <w:lang w:val="en-GB"/>
        </w:rPr>
        <w:t>k−1</w:t>
      </w:r>
      <w:r w:rsidRPr="00474235">
        <w:rPr>
          <w:lang w:val="en-GB"/>
        </w:rPr>
        <w:t>)</w:t>
      </w:r>
      <w:r w:rsidR="00274AF9" w:rsidRPr="00474235">
        <w:rPr>
          <w:lang w:val="en-GB"/>
        </w:rPr>
        <w:t>)]</w:t>
      </w:r>
      <w:r w:rsidRPr="00474235">
        <w:rPr>
          <w:lang w:val="en-GB"/>
        </w:rPr>
        <w:t> </w:t>
      </w:r>
    </w:p>
    <w:p w:rsidR="000B2ED8" w:rsidRPr="00474235" w:rsidRDefault="000B2ED8" w:rsidP="000B2ED8">
      <w:pPr>
        <w:rPr>
          <w:lang w:val="en-GB"/>
        </w:rPr>
      </w:pPr>
      <w:proofErr w:type="gramStart"/>
      <w:r w:rsidRPr="00474235">
        <w:rPr>
          <w:lang w:val="en-GB"/>
        </w:rPr>
        <w:t>with</w:t>
      </w:r>
      <w:proofErr w:type="gramEnd"/>
      <w:r w:rsidRPr="00474235">
        <w:rPr>
          <w:lang w:val="en-GB"/>
        </w:rPr>
        <w:t> </w:t>
      </w:r>
      <w:proofErr w:type="spellStart"/>
      <w:r w:rsidRPr="00474235">
        <w:rPr>
          <w:lang w:val="en-GB"/>
        </w:rPr>
        <w:t>Prob</w:t>
      </w:r>
      <w:proofErr w:type="spellEnd"/>
      <w:r w:rsidRPr="00474235">
        <w:rPr>
          <w:lang w:val="en-GB"/>
        </w:rPr>
        <w:t>(</w:t>
      </w:r>
      <w:proofErr w:type="spellStart"/>
      <w:r w:rsidRPr="00474235">
        <w:rPr>
          <w:lang w:val="en-GB"/>
        </w:rPr>
        <w:t>Yt≤K</w:t>
      </w:r>
      <w:proofErr w:type="spellEnd"/>
      <w:r w:rsidRPr="00474235">
        <w:rPr>
          <w:lang w:val="en-GB"/>
        </w:rPr>
        <w:t>)=</w:t>
      </w:r>
      <w:r w:rsidR="003A357A" w:rsidRPr="00474235">
        <w:rPr>
          <w:lang w:val="en-GB"/>
        </w:rPr>
        <w:t xml:space="preserve"> </w:t>
      </w:r>
      <w:r w:rsidRPr="00474235">
        <w:rPr>
          <w:lang w:val="en-GB"/>
        </w:rPr>
        <w:t>1 as befo</w:t>
      </w:r>
      <w:r w:rsidR="003A357A" w:rsidRPr="00474235">
        <w:rPr>
          <w:lang w:val="en-GB"/>
        </w:rPr>
        <w:t>re. The mean VDS class </w:t>
      </w:r>
      <w:proofErr w:type="gramStart"/>
      <w:r w:rsidR="003A357A" w:rsidRPr="00474235">
        <w:rPr>
          <w:lang w:val="en-GB"/>
        </w:rPr>
        <w:t>v(</w:t>
      </w:r>
      <w:proofErr w:type="gramEnd"/>
      <w:r w:rsidR="003A357A" w:rsidRPr="00474235">
        <w:rPr>
          <w:lang w:val="en-GB"/>
        </w:rPr>
        <w:t xml:space="preserve">t) </w:t>
      </w:r>
      <w:r w:rsidRPr="00474235">
        <w:rPr>
          <w:lang w:val="en-GB"/>
        </w:rPr>
        <w:t>is then estimated by plu</w:t>
      </w:r>
      <w:r w:rsidR="003A357A" w:rsidRPr="00474235">
        <w:rPr>
          <w:lang w:val="en-GB"/>
        </w:rPr>
        <w:t>gging the estimates of f(t)</w:t>
      </w:r>
      <w:r w:rsidRPr="00474235">
        <w:rPr>
          <w:lang w:val="en-GB"/>
        </w:rPr>
        <w:t> and the cut-points into these formulae.</w:t>
      </w:r>
    </w:p>
    <w:p w:rsidR="000B2ED8" w:rsidRPr="00474235" w:rsidRDefault="000B2ED8" w:rsidP="000B2ED8">
      <w:pPr>
        <w:rPr>
          <w:lang w:val="en-GB"/>
        </w:rPr>
      </w:pPr>
      <w:r w:rsidRPr="00474235">
        <w:rPr>
          <w:lang w:val="en-GB"/>
        </w:rPr>
        <w:t xml:space="preserve">Approximate </w:t>
      </w:r>
      <w:r w:rsidR="003A357A" w:rsidRPr="00474235">
        <w:rPr>
          <w:lang w:val="en-GB"/>
        </w:rPr>
        <w:t>confidence intervals on </w:t>
      </w:r>
      <w:proofErr w:type="gramStart"/>
      <w:r w:rsidR="003A357A" w:rsidRPr="00474235">
        <w:rPr>
          <w:lang w:val="en-GB"/>
        </w:rPr>
        <w:t>v(</w:t>
      </w:r>
      <w:proofErr w:type="gramEnd"/>
      <w:r w:rsidR="003A357A" w:rsidRPr="00474235">
        <w:rPr>
          <w:lang w:val="en-GB"/>
        </w:rPr>
        <w:t>t)</w:t>
      </w:r>
      <w:r w:rsidRPr="00474235">
        <w:rPr>
          <w:lang w:val="en-GB"/>
        </w:rPr>
        <w:t> are obtained by simulating the distribut</w:t>
      </w:r>
      <w:r w:rsidR="003A357A" w:rsidRPr="00474235">
        <w:rPr>
          <w:lang w:val="en-GB"/>
        </w:rPr>
        <w:t>ion of the estimates of f(t)</w:t>
      </w:r>
      <w:r w:rsidRPr="00474235">
        <w:rPr>
          <w:lang w:val="en-GB"/>
        </w:rPr>
        <w:t> and the cut-points and hence the distribution of v(t)^</w:t>
      </w:r>
      <w:r w:rsidRPr="00474235">
        <w:rPr>
          <w:rStyle w:val="FootnoteReference"/>
          <w:lang w:val="en-GB"/>
        </w:rPr>
        <w:footnoteReference w:id="14"/>
      </w:r>
      <w:r w:rsidRPr="00474235">
        <w:rPr>
          <w:lang w:val="en-GB"/>
        </w:rPr>
        <w:t xml:space="preserve">. In particular, an upper one-sided </w:t>
      </w:r>
      <w:r w:rsidR="003A357A" w:rsidRPr="00474235">
        <w:rPr>
          <w:lang w:val="en-GB"/>
        </w:rPr>
        <w:t>95% confidence limit on </w:t>
      </w:r>
      <w:proofErr w:type="gramStart"/>
      <w:r w:rsidR="003A357A" w:rsidRPr="00474235">
        <w:rPr>
          <w:lang w:val="en-GB"/>
        </w:rPr>
        <w:t>v(</w:t>
      </w:r>
      <w:proofErr w:type="gramEnd"/>
      <w:r w:rsidR="003A357A" w:rsidRPr="00474235">
        <w:rPr>
          <w:lang w:val="en-GB"/>
        </w:rPr>
        <w:t>t)</w:t>
      </w:r>
      <w:r w:rsidRPr="00474235">
        <w:rPr>
          <w:lang w:val="en-GB"/>
        </w:rPr>
        <w:t> is the 95% ordered value of the simu</w:t>
      </w:r>
      <w:r w:rsidR="003A357A" w:rsidRPr="00474235">
        <w:rPr>
          <w:lang w:val="en-GB"/>
        </w:rPr>
        <w:t>lated distribution of v(t)^</w:t>
      </w:r>
      <w:r w:rsidRPr="00474235">
        <w:rPr>
          <w:lang w:val="en-GB"/>
        </w:rPr>
        <w:t>.</w:t>
      </w:r>
    </w:p>
    <w:p w:rsidR="000B2ED8" w:rsidRPr="00474235" w:rsidRDefault="000B2ED8" w:rsidP="00552FB8">
      <w:pPr>
        <w:pStyle w:val="Heading2"/>
        <w:rPr>
          <w:rFonts w:ascii="Calibri" w:hAnsi="Calibri"/>
        </w:rPr>
      </w:pPr>
      <w:bookmarkStart w:id="27" w:name="_Toc486935822"/>
      <w:r w:rsidRPr="00474235">
        <w:rPr>
          <w:rFonts w:ascii="Calibri" w:hAnsi="Calibri"/>
        </w:rPr>
        <w:t>Assessing environmental status and temporal trends</w:t>
      </w:r>
      <w:bookmarkEnd w:id="27"/>
    </w:p>
    <w:p w:rsidR="000B2ED8" w:rsidRPr="00474235" w:rsidRDefault="000B2ED8" w:rsidP="000B2ED8">
      <w:pPr>
        <w:rPr>
          <w:lang w:val="en-GB"/>
        </w:rPr>
      </w:pPr>
      <w:r w:rsidRPr="00474235">
        <w:rPr>
          <w:lang w:val="en-GB"/>
        </w:rPr>
        <w:t>Environmental status and temporal trends are assessed using the model fitted to the VDS data</w:t>
      </w:r>
    </w:p>
    <w:p w:rsidR="000B2ED8" w:rsidRPr="00474235" w:rsidRDefault="000B2ED8" w:rsidP="000B2ED8">
      <w:pPr>
        <w:rPr>
          <w:lang w:val="en-GB"/>
        </w:rPr>
      </w:pPr>
      <w:r w:rsidRPr="00474235">
        <w:rPr>
          <w:lang w:val="en-GB"/>
        </w:rPr>
        <w:t>Environmental status is assessed by comparing the upper one-sided 95% confidence limit on the mean VDS class in the most recent monitoring year (see previous section) to the available assessment criteria. For example, if the upper confidence limit is below the Background Assessment Concentration (BAC), then the mean VDS class in the most recent monitoring year is significantly below the BAC and VDS levels are said to be ‘at background’.</w:t>
      </w:r>
    </w:p>
    <w:p w:rsidR="000B2ED8" w:rsidRPr="00474235" w:rsidRDefault="000B2ED8" w:rsidP="000B2ED8">
      <w:pPr>
        <w:rPr>
          <w:lang w:val="en-GB"/>
        </w:rPr>
      </w:pPr>
      <w:r w:rsidRPr="00474235">
        <w:rPr>
          <w:lang w:val="en-GB"/>
        </w:rPr>
        <w:t xml:space="preserve">No formal assessment of status is made when there </w:t>
      </w:r>
      <w:proofErr w:type="gramStart"/>
      <w:r w:rsidRPr="00474235">
        <w:rPr>
          <w:lang w:val="en-GB"/>
        </w:rPr>
        <w:t>are</w:t>
      </w:r>
      <w:proofErr w:type="gramEnd"/>
      <w:r w:rsidRPr="00474235">
        <w:rPr>
          <w:lang w:val="en-GB"/>
        </w:rPr>
        <w:t xml:space="preserve"> only 1 or 2 years of data. However, an ad-hoc assessment is made by computing an upper one-sided 95% confidence limit on the mean VDS class in the final monitoring year from the full model used to estimate the cut-points. This confidence limit is then compared to the assessment criteria.</w:t>
      </w:r>
    </w:p>
    <w:p w:rsidR="000B2ED8" w:rsidRPr="00474235" w:rsidRDefault="000B2ED8" w:rsidP="000B2ED8">
      <w:pPr>
        <w:rPr>
          <w:lang w:val="en-GB"/>
        </w:rPr>
      </w:pPr>
      <w:r w:rsidRPr="00474235">
        <w:rPr>
          <w:lang w:val="en-GB"/>
        </w:rPr>
        <w:t xml:space="preserve">Temporal trends are assessed for </w:t>
      </w:r>
      <w:proofErr w:type="spellStart"/>
      <w:r w:rsidRPr="00474235">
        <w:rPr>
          <w:lang w:val="en-GB"/>
        </w:rPr>
        <w:t>all time</w:t>
      </w:r>
      <w:proofErr w:type="spellEnd"/>
      <w:r w:rsidRPr="00474235">
        <w:rPr>
          <w:lang w:val="en-GB"/>
        </w:rPr>
        <w:t xml:space="preserve"> series with at least three years of data. When a linear or a linear change-point model has been fitted, the statistical significance of the temporal trend is obtained from an F test</w:t>
      </w:r>
      <w:r w:rsidRPr="00474235">
        <w:rPr>
          <w:rStyle w:val="FootnoteReference"/>
          <w:lang w:val="en-GB"/>
        </w:rPr>
        <w:footnoteReference w:id="15"/>
      </w:r>
      <w:r w:rsidRPr="00474235">
        <w:rPr>
          <w:lang w:val="en-GB"/>
        </w:rPr>
        <w:t> that compares the fits of the linear (change-point) model and the mean model </w:t>
      </w:r>
      <w:proofErr w:type="gramStart"/>
      <w:r w:rsidRPr="00474235">
        <w:rPr>
          <w:lang w:val="en-GB"/>
        </w:rPr>
        <w:t>f(</w:t>
      </w:r>
      <w:proofErr w:type="gramEnd"/>
      <w:r w:rsidRPr="00474235">
        <w:rPr>
          <w:lang w:val="en-GB"/>
        </w:rPr>
        <w:t>year)=</w:t>
      </w:r>
      <w:proofErr w:type="spellStart"/>
      <w:r w:rsidRPr="00474235">
        <w:rPr>
          <w:lang w:val="en-GB"/>
        </w:rPr>
        <w:t>μf</w:t>
      </w:r>
      <w:proofErr w:type="spellEnd"/>
      <w:r w:rsidRPr="00474235">
        <w:rPr>
          <w:lang w:val="en-GB"/>
        </w:rPr>
        <w:t>(year)=μ. The summary maps show a downward or upward trend if the trend is significant at the 5% significance level.</w:t>
      </w:r>
    </w:p>
    <w:p w:rsidR="000B2ED8" w:rsidRPr="00474235" w:rsidRDefault="000B2ED8" w:rsidP="000B2ED8">
      <w:pPr>
        <w:rPr>
          <w:lang w:val="en-GB"/>
        </w:rPr>
      </w:pPr>
      <w:r w:rsidRPr="00474235">
        <w:rPr>
          <w:lang w:val="en-GB"/>
        </w:rPr>
        <w:t xml:space="preserve">When a smooth or a smooth change-point model has been fitted, a plot of the fitted model is needed to understand the overall pattern of change. (This is available on the </w:t>
      </w:r>
      <w:proofErr w:type="gramStart"/>
      <w:r w:rsidRPr="00474235">
        <w:rPr>
          <w:lang w:val="en-GB"/>
        </w:rPr>
        <w:t>Raw</w:t>
      </w:r>
      <w:proofErr w:type="gramEnd"/>
      <w:r w:rsidRPr="00474235">
        <w:rPr>
          <w:lang w:val="en-GB"/>
        </w:rPr>
        <w:t xml:space="preserve"> data with assessment and Assessment pages on the right side of the summary map under Graphics.) The summary map focusses on just one aspect of the change over time: the change in </w:t>
      </w:r>
      <w:proofErr w:type="gramStart"/>
      <w:r w:rsidRPr="00474235">
        <w:rPr>
          <w:lang w:val="en-GB"/>
        </w:rPr>
        <w:t>f(</w:t>
      </w:r>
      <w:proofErr w:type="gramEnd"/>
      <w:r w:rsidRPr="00474235">
        <w:rPr>
          <w:lang w:val="en-GB"/>
        </w:rPr>
        <w:t>t)f(t) in the most recent twenty monitoring years; i.e. between 1995 and 2014 (the assessment only includes data up to 2014). For this, the fitted value of the smoother in 2014 is compared to the fitted value in 1995 using a t-test, with significance assessed at the 5% level</w:t>
      </w:r>
      <w:r w:rsidRPr="00474235">
        <w:rPr>
          <w:rStyle w:val="FootnoteReference"/>
          <w:lang w:val="en-GB"/>
        </w:rPr>
        <w:footnoteReference w:id="16"/>
      </w:r>
      <w:r w:rsidRPr="00474235">
        <w:rPr>
          <w:lang w:val="en-GB"/>
        </w:rPr>
        <w:t>. The correlation between the two fitted values is accounted for by the t-test. If the time series does not extend to 2014, then the fitted value in the last monitoring year is used instead. Similarly, if the time series starts after 1995, the fitted value in the first monitoring year is used.</w:t>
      </w:r>
    </w:p>
    <w:p w:rsidR="005E10D0" w:rsidRPr="00474235" w:rsidRDefault="005E10D0" w:rsidP="00552FB8">
      <w:pPr>
        <w:pStyle w:val="Heading2"/>
        <w:rPr>
          <w:rFonts w:ascii="Calibri" w:hAnsi="Calibri"/>
        </w:rPr>
      </w:pPr>
      <w:bookmarkStart w:id="28" w:name="_Toc486935823"/>
      <w:r w:rsidRPr="00474235">
        <w:rPr>
          <w:rFonts w:ascii="Calibri" w:hAnsi="Calibri"/>
        </w:rPr>
        <w:t>Assessment criteri</w:t>
      </w:r>
      <w:r w:rsidR="000B2ED8" w:rsidRPr="00474235">
        <w:rPr>
          <w:rFonts w:ascii="Calibri" w:hAnsi="Calibri"/>
        </w:rPr>
        <w:t xml:space="preserve">a: </w:t>
      </w:r>
      <w:proofErr w:type="spellStart"/>
      <w:r w:rsidRPr="00474235">
        <w:rPr>
          <w:rFonts w:ascii="Calibri" w:hAnsi="Calibri"/>
        </w:rPr>
        <w:t>Imposex</w:t>
      </w:r>
      <w:bookmarkEnd w:id="28"/>
      <w:proofErr w:type="spellEnd"/>
    </w:p>
    <w:p w:rsidR="005E10D0" w:rsidRPr="00474235" w:rsidRDefault="005E10D0" w:rsidP="005E10D0">
      <w:pPr>
        <w:rPr>
          <w:lang w:val="en-GB"/>
        </w:rPr>
      </w:pPr>
      <w:r w:rsidRPr="00474235">
        <w:rPr>
          <w:lang w:val="en-GB"/>
        </w:rPr>
        <w:t xml:space="preserve">Two assessment criteria are used to assess </w:t>
      </w:r>
      <w:proofErr w:type="spellStart"/>
      <w:r w:rsidRPr="00474235">
        <w:rPr>
          <w:lang w:val="en-GB"/>
        </w:rPr>
        <w:t>imposex</w:t>
      </w:r>
      <w:proofErr w:type="spellEnd"/>
      <w:r w:rsidRPr="00474235">
        <w:rPr>
          <w:lang w:val="en-GB"/>
        </w:rPr>
        <w:t xml:space="preserve"> in snails: the</w:t>
      </w:r>
    </w:p>
    <w:p w:rsidR="005E10D0" w:rsidRPr="00474235" w:rsidRDefault="005E10D0" w:rsidP="005E10D0">
      <w:pPr>
        <w:numPr>
          <w:ilvl w:val="0"/>
          <w:numId w:val="26"/>
        </w:numPr>
        <w:rPr>
          <w:lang w:val="en-GB"/>
        </w:rPr>
      </w:pPr>
      <w:r w:rsidRPr="00474235">
        <w:rPr>
          <w:b/>
          <w:bCs/>
          <w:lang w:val="en-GB"/>
        </w:rPr>
        <w:t>B</w:t>
      </w:r>
      <w:r w:rsidRPr="00474235">
        <w:rPr>
          <w:lang w:val="en-GB"/>
        </w:rPr>
        <w:t>ackground </w:t>
      </w:r>
      <w:r w:rsidRPr="00474235">
        <w:rPr>
          <w:b/>
          <w:bCs/>
          <w:lang w:val="en-GB"/>
        </w:rPr>
        <w:t>A</w:t>
      </w:r>
      <w:r w:rsidRPr="00474235">
        <w:rPr>
          <w:lang w:val="en-GB"/>
        </w:rPr>
        <w:t>ssessment </w:t>
      </w:r>
      <w:r w:rsidRPr="00474235">
        <w:rPr>
          <w:b/>
          <w:bCs/>
          <w:lang w:val="en-GB"/>
        </w:rPr>
        <w:t>C</w:t>
      </w:r>
      <w:r w:rsidRPr="00474235">
        <w:rPr>
          <w:lang w:val="en-GB"/>
        </w:rPr>
        <w:t>oncentration (BAC)</w:t>
      </w:r>
    </w:p>
    <w:p w:rsidR="005E10D0" w:rsidRPr="00474235" w:rsidRDefault="005E10D0" w:rsidP="005E10D0">
      <w:pPr>
        <w:numPr>
          <w:ilvl w:val="0"/>
          <w:numId w:val="26"/>
        </w:numPr>
        <w:rPr>
          <w:lang w:val="en-GB"/>
        </w:rPr>
      </w:pPr>
      <w:r w:rsidRPr="00474235">
        <w:rPr>
          <w:b/>
          <w:bCs/>
          <w:lang w:val="en-GB"/>
        </w:rPr>
        <w:t>E</w:t>
      </w:r>
      <w:r w:rsidRPr="00474235">
        <w:rPr>
          <w:lang w:val="en-GB"/>
        </w:rPr>
        <w:t>nvironmental </w:t>
      </w:r>
      <w:r w:rsidRPr="00474235">
        <w:rPr>
          <w:b/>
          <w:bCs/>
          <w:lang w:val="en-GB"/>
        </w:rPr>
        <w:t>A</w:t>
      </w:r>
      <w:r w:rsidRPr="00474235">
        <w:rPr>
          <w:lang w:val="en-GB"/>
        </w:rPr>
        <w:t>ssessment </w:t>
      </w:r>
      <w:r w:rsidRPr="00474235">
        <w:rPr>
          <w:b/>
          <w:bCs/>
          <w:lang w:val="en-GB"/>
        </w:rPr>
        <w:t>C</w:t>
      </w:r>
      <w:r w:rsidRPr="00474235">
        <w:rPr>
          <w:lang w:val="en-GB"/>
        </w:rPr>
        <w:t>riteria (EAC)</w:t>
      </w:r>
    </w:p>
    <w:p w:rsidR="00A55641" w:rsidRPr="00474235" w:rsidRDefault="005E10D0" w:rsidP="005E10D0">
      <w:pPr>
        <w:rPr>
          <w:lang w:val="en-GB"/>
        </w:rPr>
      </w:pPr>
      <w:r w:rsidRPr="00474235">
        <w:rPr>
          <w:lang w:val="en-GB"/>
        </w:rPr>
        <w:t>The assessment criteria were developed within the </w:t>
      </w:r>
      <w:hyperlink r:id="rId37" w:history="1">
        <w:r w:rsidRPr="00474235">
          <w:rPr>
            <w:rStyle w:val="Hyperlink"/>
            <w:lang w:val="en-GB"/>
          </w:rPr>
          <w:t>Oslo and Paris Commission</w:t>
        </w:r>
      </w:hyperlink>
      <w:r w:rsidRPr="00474235">
        <w:rPr>
          <w:lang w:val="en-GB"/>
        </w:rPr>
        <w:t> (OSPAR) framework with scientific advice from the </w:t>
      </w:r>
      <w:hyperlink r:id="rId38" w:history="1">
        <w:r w:rsidRPr="00474235">
          <w:rPr>
            <w:rStyle w:val="Hyperlink"/>
            <w:lang w:val="en-GB"/>
          </w:rPr>
          <w:t>International Council for the Exploration of the Sea</w:t>
        </w:r>
      </w:hyperlink>
      <w:r w:rsidRPr="00474235">
        <w:rPr>
          <w:lang w:val="en-GB"/>
        </w:rPr>
        <w:t>. Mean values significantly below the BAC are said to be near background. Values below the EAC indicate no chronic effects of Tributyltin on snails. Full details can be found in </w:t>
      </w:r>
      <w:hyperlink r:id="rId39" w:history="1">
        <w:r w:rsidRPr="00474235">
          <w:rPr>
            <w:rStyle w:val="Hyperlink"/>
            <w:lang w:val="en-GB"/>
          </w:rPr>
          <w:t>OSPAR (2013)</w:t>
        </w:r>
      </w:hyperlink>
      <w:r w:rsidRPr="00474235">
        <w:rPr>
          <w:lang w:val="en-GB"/>
        </w:rPr>
        <w:t>.</w:t>
      </w:r>
    </w:p>
    <w:p w:rsidR="00A55641" w:rsidRPr="00474235" w:rsidRDefault="005E10D0" w:rsidP="005E10D0">
      <w:pPr>
        <w:rPr>
          <w:lang w:val="en-GB"/>
        </w:rPr>
      </w:pPr>
      <w:r w:rsidRPr="00474235">
        <w:rPr>
          <w:lang w:val="en-GB"/>
        </w:rPr>
        <w:t xml:space="preserve">BACs and EACs are available for the following species and </w:t>
      </w:r>
      <w:proofErr w:type="spellStart"/>
      <w:r w:rsidRPr="00474235">
        <w:rPr>
          <w:lang w:val="en-GB"/>
        </w:rPr>
        <w:t>imposex</w:t>
      </w:r>
      <w:proofErr w:type="spellEnd"/>
      <w:r w:rsidRPr="00474235">
        <w:rPr>
          <w:lang w:val="en-GB"/>
        </w:rPr>
        <w:t xml:space="preserve"> measures</w:t>
      </w:r>
      <w:r w:rsidR="00A55641" w:rsidRPr="00474235">
        <w:rPr>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867"/>
        <w:gridCol w:w="1652"/>
        <w:gridCol w:w="1919"/>
        <w:gridCol w:w="434"/>
        <w:gridCol w:w="418"/>
      </w:tblGrid>
      <w:tr w:rsidR="005E10D0" w:rsidRPr="00474235" w:rsidTr="005E10D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b/>
                <w:lang w:val="en-GB"/>
              </w:rPr>
            </w:pPr>
            <w:r w:rsidRPr="00474235">
              <w:rPr>
                <w:b/>
                <w:lang w:val="en-GB"/>
              </w:rPr>
              <w:t>Measure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b/>
                <w:lang w:val="en-GB"/>
              </w:rPr>
            </w:pPr>
            <w:r w:rsidRPr="00474235">
              <w:rPr>
                <w:b/>
                <w:lang w:val="en-GB"/>
              </w:rPr>
              <w:t>Species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b/>
                <w:lang w:val="en-GB"/>
              </w:rPr>
            </w:pPr>
            <w:r w:rsidRPr="00474235">
              <w:rPr>
                <w:b/>
                <w:lang w:val="en-GB"/>
              </w:rPr>
              <w:t>Latin 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b/>
                <w:lang w:val="en-GB"/>
              </w:rPr>
            </w:pPr>
            <w:r w:rsidRPr="00474235">
              <w:rPr>
                <w:b/>
                <w:lang w:val="en-GB"/>
              </w:rPr>
              <w:t>EAC</w:t>
            </w:r>
          </w:p>
        </w:tc>
      </w:tr>
      <w:tr w:rsidR="005E10D0" w:rsidRPr="00474235" w:rsidTr="005E10D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VDS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Dog whelk</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i/>
                <w:lang w:val="en-GB"/>
              </w:rPr>
            </w:pPr>
            <w:proofErr w:type="spellStart"/>
            <w:r w:rsidRPr="00474235">
              <w:rPr>
                <w:i/>
                <w:lang w:val="en-GB"/>
              </w:rPr>
              <w:t>Nucella</w:t>
            </w:r>
            <w:proofErr w:type="spellEnd"/>
            <w:r w:rsidRPr="00474235">
              <w:rPr>
                <w:i/>
                <w:lang w:val="en-GB"/>
              </w:rPr>
              <w:t xml:space="preserve"> lapillus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0.3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2.0</w:t>
            </w:r>
          </w:p>
        </w:tc>
      </w:tr>
      <w:tr w:rsidR="005E10D0" w:rsidRPr="00474235" w:rsidTr="005E10D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VDS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Red whelk</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i/>
                <w:lang w:val="en-GB"/>
              </w:rPr>
            </w:pPr>
            <w:proofErr w:type="spellStart"/>
            <w:r w:rsidRPr="00474235">
              <w:rPr>
                <w:i/>
                <w:lang w:val="en-GB"/>
              </w:rPr>
              <w:t>Neptunea</w:t>
            </w:r>
            <w:proofErr w:type="spellEnd"/>
            <w:r w:rsidRPr="00474235">
              <w:rPr>
                <w:i/>
                <w:lang w:val="en-GB"/>
              </w:rPr>
              <w:t xml:space="preserve"> </w:t>
            </w:r>
            <w:proofErr w:type="spellStart"/>
            <w:r w:rsidRPr="00474235">
              <w:rPr>
                <w:i/>
                <w:lang w:val="en-GB"/>
              </w:rPr>
              <w:t>antiqua</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0.3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2.0</w:t>
            </w:r>
          </w:p>
        </w:tc>
      </w:tr>
      <w:tr w:rsidR="005E10D0" w:rsidRPr="00474235" w:rsidTr="005E10D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VDS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Netted dog whelk</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i/>
                <w:lang w:val="en-GB"/>
              </w:rPr>
            </w:pPr>
            <w:proofErr w:type="spellStart"/>
            <w:r w:rsidRPr="00474235">
              <w:rPr>
                <w:i/>
                <w:lang w:val="en-GB"/>
              </w:rPr>
              <w:t>Nassarius</w:t>
            </w:r>
            <w:proofErr w:type="spellEnd"/>
            <w:r w:rsidRPr="00474235">
              <w:rPr>
                <w:i/>
                <w:lang w:val="en-GB"/>
              </w:rPr>
              <w:t xml:space="preserve"> </w:t>
            </w:r>
            <w:proofErr w:type="spellStart"/>
            <w:r w:rsidRPr="00474235">
              <w:rPr>
                <w:i/>
                <w:lang w:val="en-GB"/>
              </w:rPr>
              <w:t>reticulatus</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0.3</w:t>
            </w:r>
          </w:p>
        </w:tc>
      </w:tr>
      <w:tr w:rsidR="005E10D0" w:rsidRPr="00474235" w:rsidTr="005E10D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IMPS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Common whelk</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i/>
                <w:lang w:val="en-GB"/>
              </w:rPr>
            </w:pPr>
            <w:proofErr w:type="spellStart"/>
            <w:r w:rsidRPr="00474235">
              <w:rPr>
                <w:i/>
                <w:lang w:val="en-GB"/>
              </w:rPr>
              <w:t>Buccinum</w:t>
            </w:r>
            <w:proofErr w:type="spellEnd"/>
            <w:r w:rsidRPr="00474235">
              <w:rPr>
                <w:i/>
                <w:lang w:val="en-GB"/>
              </w:rPr>
              <w:t xml:space="preserve"> </w:t>
            </w:r>
            <w:proofErr w:type="spellStart"/>
            <w:r w:rsidRPr="00474235">
              <w:rPr>
                <w:i/>
                <w:lang w:val="en-GB"/>
              </w:rPr>
              <w:t>undatum</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5E10D0" w:rsidRPr="00474235" w:rsidRDefault="005E10D0" w:rsidP="005E10D0">
            <w:pPr>
              <w:rPr>
                <w:lang w:val="en-GB"/>
              </w:rPr>
            </w:pPr>
            <w:r w:rsidRPr="00474235">
              <w:rPr>
                <w:lang w:val="en-GB"/>
              </w:rPr>
              <w:t>0.3</w:t>
            </w:r>
          </w:p>
        </w:tc>
      </w:tr>
    </w:tbl>
    <w:p w:rsidR="005E10D0" w:rsidRPr="00474235" w:rsidRDefault="005E10D0" w:rsidP="005E10D0">
      <w:pPr>
        <w:rPr>
          <w:lang w:val="en-GB"/>
        </w:rPr>
      </w:pPr>
      <w:r w:rsidRPr="00474235">
        <w:rPr>
          <w:lang w:val="en-GB"/>
        </w:rPr>
        <w:br/>
      </w:r>
      <w:r w:rsidR="00E62025" w:rsidRPr="00474235">
        <w:rPr>
          <w:i/>
          <w:lang w:val="en-GB"/>
        </w:rPr>
        <w:t>References</w:t>
      </w:r>
      <w:r w:rsidR="00E62025" w:rsidRPr="00474235">
        <w:rPr>
          <w:i/>
          <w:lang w:val="en-GB"/>
        </w:rPr>
        <w:br/>
      </w:r>
      <w:r w:rsidRPr="00474235">
        <w:rPr>
          <w:lang w:val="en-GB"/>
        </w:rPr>
        <w:t xml:space="preserve">OSPAR, 2013. </w:t>
      </w:r>
      <w:proofErr w:type="gramStart"/>
      <w:r w:rsidRPr="00474235">
        <w:rPr>
          <w:lang w:val="en-GB"/>
        </w:rPr>
        <w:t>Background documents and technical annexes for biological effects monitoring (Update 2013).</w:t>
      </w:r>
      <w:proofErr w:type="gramEnd"/>
      <w:r w:rsidRPr="00474235">
        <w:rPr>
          <w:lang w:val="en-GB"/>
        </w:rPr>
        <w:t xml:space="preserve"> OSPAR Commission, London. </w:t>
      </w:r>
      <w:proofErr w:type="gramStart"/>
      <w:r w:rsidRPr="00474235">
        <w:rPr>
          <w:lang w:val="en-GB"/>
        </w:rPr>
        <w:t>Publication 589, 238 pp.</w:t>
      </w:r>
      <w:proofErr w:type="gramEnd"/>
    </w:p>
    <w:p w:rsidR="00060C48" w:rsidRPr="00474235" w:rsidRDefault="00060C48" w:rsidP="00552FB8">
      <w:pPr>
        <w:pStyle w:val="Heading1"/>
        <w:rPr>
          <w:rFonts w:ascii="Calibri" w:hAnsi="Calibri"/>
        </w:rPr>
      </w:pPr>
      <w:bookmarkStart w:id="29" w:name="_Toc486935824"/>
      <w:r w:rsidRPr="00474235">
        <w:rPr>
          <w:rFonts w:ascii="Calibri" w:hAnsi="Calibri"/>
        </w:rPr>
        <w:t>Assessment methodology for contaminants in sediment</w:t>
      </w:r>
      <w:bookmarkEnd w:id="29"/>
    </w:p>
    <w:p w:rsidR="00060C48" w:rsidRPr="00474235" w:rsidRDefault="00060C48" w:rsidP="00552FB8">
      <w:pPr>
        <w:pStyle w:val="Heading2"/>
        <w:rPr>
          <w:rFonts w:ascii="Calibri" w:hAnsi="Calibri"/>
        </w:rPr>
      </w:pPr>
      <w:bookmarkStart w:id="30" w:name="_Toc486935825"/>
      <w:r w:rsidRPr="00474235">
        <w:rPr>
          <w:rFonts w:ascii="Calibri" w:hAnsi="Calibri"/>
        </w:rPr>
        <w:t>Overview</w:t>
      </w:r>
      <w:bookmarkEnd w:id="30"/>
    </w:p>
    <w:p w:rsidR="00060C48" w:rsidRPr="00474235" w:rsidRDefault="00060C48" w:rsidP="00060C48">
      <w:pPr>
        <w:rPr>
          <w:lang w:val="en-GB"/>
        </w:rPr>
      </w:pPr>
      <w:r w:rsidRPr="00474235">
        <w:rPr>
          <w:lang w:val="en-GB"/>
        </w:rPr>
        <w:t>Time series of contaminant concentrations in sediment are assessed in three stages:</w:t>
      </w:r>
    </w:p>
    <w:p w:rsidR="00060C48" w:rsidRPr="00474235" w:rsidRDefault="00060C48" w:rsidP="00A55641">
      <w:pPr>
        <w:numPr>
          <w:ilvl w:val="0"/>
          <w:numId w:val="12"/>
        </w:numPr>
        <w:tabs>
          <w:tab w:val="clear" w:pos="720"/>
        </w:tabs>
        <w:ind w:left="993" w:hanging="426"/>
        <w:rPr>
          <w:lang w:val="en-GB"/>
        </w:rPr>
      </w:pPr>
      <w:r w:rsidRPr="00474235">
        <w:rPr>
          <w:lang w:val="en-GB"/>
        </w:rPr>
        <w:t>The </w:t>
      </w:r>
      <w:hyperlink r:id="rId40" w:anchor="Normalisation" w:history="1">
        <w:r w:rsidRPr="00474235">
          <w:rPr>
            <w:rStyle w:val="Hyperlink"/>
            <w:lang w:val="en-GB"/>
          </w:rPr>
          <w:t>concentrations are normalised</w:t>
        </w:r>
      </w:hyperlink>
      <w:r w:rsidRPr="00474235">
        <w:rPr>
          <w:lang w:val="en-GB"/>
        </w:rPr>
        <w:t> to account for changes in the bulk physical composition of the sediment such as particle size distribution or organic carbon content. (This is not done for the Iberian Sea or the Gulf of Cadiz)</w:t>
      </w:r>
    </w:p>
    <w:p w:rsidR="00060C48" w:rsidRPr="00474235" w:rsidRDefault="00060C48" w:rsidP="00A55641">
      <w:pPr>
        <w:numPr>
          <w:ilvl w:val="0"/>
          <w:numId w:val="12"/>
        </w:numPr>
        <w:tabs>
          <w:tab w:val="clear" w:pos="720"/>
        </w:tabs>
        <w:ind w:left="993" w:hanging="426"/>
        <w:rPr>
          <w:lang w:val="en-GB"/>
        </w:rPr>
      </w:pPr>
      <w:r w:rsidRPr="00474235">
        <w:rPr>
          <w:lang w:val="en-GB"/>
        </w:rPr>
        <w:t>The (normalised) concentrations are log transformed and </w:t>
      </w:r>
      <w:hyperlink r:id="rId41" w:anchor="Mixed_model" w:history="1">
        <w:r w:rsidRPr="00474235">
          <w:rPr>
            <w:rStyle w:val="Hyperlink"/>
            <w:lang w:val="en-GB"/>
          </w:rPr>
          <w:t>changes in the log concentrations over time are modelled</w:t>
        </w:r>
      </w:hyperlink>
      <w:r w:rsidRPr="00474235">
        <w:rPr>
          <w:lang w:val="en-GB"/>
        </w:rPr>
        <w:t> using linear mixed models. The type of temporal change that is considered depends on the number of years of data:</w:t>
      </w:r>
    </w:p>
    <w:p w:rsidR="00060C48" w:rsidRPr="00474235" w:rsidRDefault="00060C48" w:rsidP="00A55641">
      <w:pPr>
        <w:numPr>
          <w:ilvl w:val="1"/>
          <w:numId w:val="12"/>
        </w:numPr>
        <w:tabs>
          <w:tab w:val="clear" w:pos="1440"/>
        </w:tabs>
        <w:ind w:left="1276" w:hanging="426"/>
        <w:rPr>
          <w:lang w:val="en-GB"/>
        </w:rPr>
      </w:pPr>
      <w:r w:rsidRPr="00474235">
        <w:rPr>
          <w:lang w:val="en-GB"/>
        </w:rPr>
        <w:t>1-2 years: no model is fitted because there are insufficient data</w:t>
      </w:r>
    </w:p>
    <w:p w:rsidR="00060C48" w:rsidRPr="00474235" w:rsidRDefault="00060C48" w:rsidP="00A55641">
      <w:pPr>
        <w:numPr>
          <w:ilvl w:val="1"/>
          <w:numId w:val="12"/>
        </w:numPr>
        <w:tabs>
          <w:tab w:val="clear" w:pos="1440"/>
        </w:tabs>
        <w:ind w:left="1276" w:hanging="426"/>
        <w:rPr>
          <w:lang w:val="en-GB"/>
        </w:rPr>
      </w:pPr>
      <w:r w:rsidRPr="00474235">
        <w:rPr>
          <w:lang w:val="en-GB"/>
        </w:rPr>
        <w:t>3-4 years: concentrations are assumed to be stable over time and the mean log concentration is estimated</w:t>
      </w:r>
    </w:p>
    <w:p w:rsidR="00060C48" w:rsidRPr="00474235" w:rsidRDefault="00060C48" w:rsidP="00A55641">
      <w:pPr>
        <w:numPr>
          <w:ilvl w:val="1"/>
          <w:numId w:val="12"/>
        </w:numPr>
        <w:tabs>
          <w:tab w:val="clear" w:pos="1440"/>
        </w:tabs>
        <w:ind w:left="1276" w:hanging="426"/>
        <w:rPr>
          <w:lang w:val="en-GB"/>
        </w:rPr>
      </w:pPr>
      <w:r w:rsidRPr="00474235">
        <w:rPr>
          <w:lang w:val="en-GB"/>
        </w:rPr>
        <w:t>5-6 years: a linear trend in log concentration is fitted</w:t>
      </w:r>
    </w:p>
    <w:p w:rsidR="00060C48" w:rsidRPr="00474235" w:rsidRDefault="00060C48" w:rsidP="00A55641">
      <w:pPr>
        <w:numPr>
          <w:ilvl w:val="1"/>
          <w:numId w:val="12"/>
        </w:numPr>
        <w:tabs>
          <w:tab w:val="clear" w:pos="1440"/>
        </w:tabs>
        <w:ind w:left="1276" w:hanging="426"/>
        <w:rPr>
          <w:lang w:val="en-GB"/>
        </w:rPr>
      </w:pPr>
      <w:r w:rsidRPr="00474235">
        <w:rPr>
          <w:lang w:val="en-GB"/>
        </w:rPr>
        <w:t>7+ years: more complex (smooth) patterns of change over time are modelled</w:t>
      </w:r>
    </w:p>
    <w:p w:rsidR="00060C48" w:rsidRPr="00474235" w:rsidRDefault="00060C48" w:rsidP="00A55641">
      <w:pPr>
        <w:numPr>
          <w:ilvl w:val="0"/>
          <w:numId w:val="12"/>
        </w:numPr>
        <w:tabs>
          <w:tab w:val="clear" w:pos="720"/>
        </w:tabs>
        <w:ind w:left="993" w:hanging="426"/>
        <w:rPr>
          <w:lang w:val="en-GB"/>
        </w:rPr>
      </w:pPr>
      <w:r w:rsidRPr="00474235">
        <w:rPr>
          <w:lang w:val="en-GB"/>
        </w:rPr>
        <w:t>The fitted models are used to </w:t>
      </w:r>
      <w:hyperlink r:id="rId42" w:anchor="Assessment" w:history="1">
        <w:r w:rsidRPr="00474235">
          <w:rPr>
            <w:rStyle w:val="Hyperlink"/>
            <w:lang w:val="en-GB"/>
          </w:rPr>
          <w:t>assess</w:t>
        </w:r>
      </w:hyperlink>
      <w:r w:rsidRPr="00474235">
        <w:rPr>
          <w:lang w:val="en-GB"/>
        </w:rPr>
        <w:t> environmental status against available assessment criteria and evidence of temporal change in contaminant levels in the last twenty years</w:t>
      </w:r>
    </w:p>
    <w:p w:rsidR="00060C48" w:rsidRPr="00474235" w:rsidRDefault="00060C48" w:rsidP="00060C48">
      <w:pPr>
        <w:rPr>
          <w:lang w:val="en-GB"/>
        </w:rPr>
      </w:pPr>
      <w:r w:rsidRPr="00474235">
        <w:rPr>
          <w:lang w:val="en-GB"/>
        </w:rPr>
        <w:t>These stages are described in more detail below. Other help files describe how the methodology is adapted when there are </w:t>
      </w:r>
      <w:hyperlink r:id="rId43" w:history="1">
        <w:r w:rsidRPr="00474235">
          <w:rPr>
            <w:rStyle w:val="Hyperlink"/>
            <w:lang w:val="en-GB"/>
          </w:rPr>
          <w:t>‘less-than’ measurements</w:t>
        </w:r>
      </w:hyperlink>
      <w:r w:rsidRPr="00474235">
        <w:rPr>
          <w:lang w:val="en-GB"/>
        </w:rPr>
        <w:t>, i.e. some concentrations are reported as below the detection limit, and </w:t>
      </w:r>
      <w:hyperlink r:id="rId44" w:history="1">
        <w:r w:rsidRPr="00474235">
          <w:rPr>
            <w:rStyle w:val="Hyperlink"/>
            <w:lang w:val="en-GB"/>
          </w:rPr>
          <w:t>missing uncertainties</w:t>
        </w:r>
      </w:hyperlink>
      <w:r w:rsidRPr="00474235">
        <w:rPr>
          <w:lang w:val="en-GB"/>
        </w:rPr>
        <w:t>, i.e. the analytical variability associated with some of the concentration measurements was not reported. Changes to the methodology since the 2014 assessment can be found </w:t>
      </w:r>
      <w:r w:rsidR="00235606" w:rsidRPr="00474235">
        <w:rPr>
          <w:lang w:val="en-GB"/>
        </w:rPr>
        <w:t>in appendix 2</w:t>
      </w:r>
      <w:r w:rsidRPr="00474235">
        <w:rPr>
          <w:lang w:val="en-GB"/>
        </w:rPr>
        <w:t>.</w:t>
      </w:r>
    </w:p>
    <w:p w:rsidR="00060C48" w:rsidRPr="00474235" w:rsidRDefault="00060C48" w:rsidP="00552FB8">
      <w:pPr>
        <w:pStyle w:val="Heading2"/>
        <w:rPr>
          <w:rFonts w:ascii="Calibri" w:hAnsi="Calibri"/>
        </w:rPr>
      </w:pPr>
      <w:bookmarkStart w:id="31" w:name="_Toc486935826"/>
      <w:r w:rsidRPr="00474235">
        <w:rPr>
          <w:rFonts w:ascii="Calibri" w:hAnsi="Calibri"/>
        </w:rPr>
        <w:t>Normalisation</w:t>
      </w:r>
      <w:bookmarkEnd w:id="31"/>
    </w:p>
    <w:p w:rsidR="0032538B" w:rsidRPr="00474235" w:rsidRDefault="00060C48" w:rsidP="00060C48">
      <w:pPr>
        <w:rPr>
          <w:lang w:val="en-GB"/>
        </w:rPr>
      </w:pPr>
      <w:r w:rsidRPr="00474235">
        <w:rPr>
          <w:lang w:val="en-GB"/>
        </w:rPr>
        <w:t>In most sub-regions, the concentrations are first normalised to account for changes in the bulk physical composition of the sediment such as particle size distribution or organic carbon content. (Concentrations from the Iberian Sea and the Gulf of Cadiz are not normalised.) Normalisation requires pivot values, estimates of the concentrations of contaminants and normalisers in pure sand. A normalised concentration is given by:</w:t>
      </w:r>
    </w:p>
    <w:p w:rsidR="00060C48" w:rsidRPr="00474235" w:rsidRDefault="00A8169D" w:rsidP="00060C48">
      <w:pPr>
        <w:rPr>
          <w:rFonts w:ascii="Cambria Math" w:hAnsi="Cambria Math"/>
          <w:lang w:val="en-GB"/>
          <w:oMath/>
        </w:rPr>
      </w:pPr>
      <m:oMathPara>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r>
                <w:rPr>
                  <w:rFonts w:ascii="Cambria Math" w:hAnsi="Cambria Math"/>
                  <w:lang w:val="en-GB"/>
                </w:rPr>
                <m:t>)</m:t>
              </m:r>
            </m:den>
          </m:f>
        </m:oMath>
      </m:oMathPara>
    </w:p>
    <w:p w:rsidR="00060C48" w:rsidRPr="00474235" w:rsidRDefault="00060C48" w:rsidP="00060C48">
      <w:pPr>
        <w:rPr>
          <w:lang w:val="en-GB"/>
        </w:rPr>
      </w:pPr>
      <w:proofErr w:type="gramStart"/>
      <w:r w:rsidRPr="00474235">
        <w:rPr>
          <w:lang w:val="en-GB"/>
        </w:rPr>
        <w:t>where</w:t>
      </w:r>
      <w:proofErr w:type="gramEnd"/>
    </w:p>
    <w:p w:rsidR="00060C48" w:rsidRPr="00474235" w:rsidRDefault="00060C48" w:rsidP="00060C48">
      <w:pPr>
        <w:numPr>
          <w:ilvl w:val="0"/>
          <w:numId w:val="13"/>
        </w:numPr>
        <w:rPr>
          <w:lang w:val="en-GB"/>
        </w:rPr>
      </w:pPr>
      <w:proofErr w:type="spellStart"/>
      <w:r w:rsidRPr="00474235">
        <w:rPr>
          <w:lang w:val="en-GB"/>
        </w:rPr>
        <w:t>c</w:t>
      </w:r>
      <w:r w:rsidRPr="00474235">
        <w:rPr>
          <w:vertAlign w:val="subscript"/>
          <w:lang w:val="en-GB"/>
        </w:rPr>
        <w:t>ss</w:t>
      </w:r>
      <w:proofErr w:type="spellEnd"/>
      <w:r w:rsidRPr="00474235">
        <w:rPr>
          <w:lang w:val="en-GB"/>
        </w:rPr>
        <w:t> is the normalised concentration of the contaminant</w:t>
      </w:r>
    </w:p>
    <w:p w:rsidR="00060C48" w:rsidRPr="00474235" w:rsidRDefault="00060C48" w:rsidP="00060C48">
      <w:pPr>
        <w:numPr>
          <w:ilvl w:val="0"/>
          <w:numId w:val="13"/>
        </w:numPr>
        <w:rPr>
          <w:lang w:val="en-GB"/>
        </w:rPr>
      </w:pPr>
      <w:r w:rsidRPr="00474235">
        <w:rPr>
          <w:lang w:val="en-GB"/>
        </w:rPr>
        <w:t>c</w:t>
      </w:r>
      <w:r w:rsidRPr="00474235">
        <w:rPr>
          <w:vertAlign w:val="subscript"/>
          <w:lang w:val="en-GB"/>
        </w:rPr>
        <w:t>m</w:t>
      </w:r>
      <w:r w:rsidRPr="00474235">
        <w:rPr>
          <w:lang w:val="en-GB"/>
        </w:rPr>
        <w:t> is the measured concentration of the contaminant</w:t>
      </w:r>
    </w:p>
    <w:p w:rsidR="00060C48" w:rsidRPr="00474235" w:rsidRDefault="00060C48" w:rsidP="00060C48">
      <w:pPr>
        <w:numPr>
          <w:ilvl w:val="0"/>
          <w:numId w:val="13"/>
        </w:numPr>
        <w:rPr>
          <w:lang w:val="en-GB"/>
        </w:rPr>
      </w:pPr>
      <w:r w:rsidRPr="00474235">
        <w:rPr>
          <w:lang w:val="en-GB"/>
        </w:rPr>
        <w:t>c</w:t>
      </w:r>
      <w:r w:rsidRPr="00474235">
        <w:rPr>
          <w:vertAlign w:val="subscript"/>
          <w:lang w:val="en-GB"/>
        </w:rPr>
        <w:t>x</w:t>
      </w:r>
      <w:r w:rsidRPr="00474235">
        <w:rPr>
          <w:lang w:val="en-GB"/>
        </w:rPr>
        <w:t> is the pivot concentration for the contaminant</w:t>
      </w:r>
    </w:p>
    <w:p w:rsidR="00060C48" w:rsidRPr="00474235" w:rsidRDefault="00060C48" w:rsidP="00060C48">
      <w:pPr>
        <w:numPr>
          <w:ilvl w:val="0"/>
          <w:numId w:val="13"/>
        </w:numPr>
        <w:rPr>
          <w:lang w:val="en-GB"/>
        </w:rPr>
      </w:pPr>
      <w:proofErr w:type="spellStart"/>
      <w:r w:rsidRPr="00474235">
        <w:rPr>
          <w:lang w:val="en-GB"/>
        </w:rPr>
        <w:t>n</w:t>
      </w:r>
      <w:r w:rsidRPr="00474235">
        <w:rPr>
          <w:vertAlign w:val="subscript"/>
          <w:lang w:val="en-GB"/>
        </w:rPr>
        <w:t>ss</w:t>
      </w:r>
      <w:proofErr w:type="spellEnd"/>
      <w:r w:rsidRPr="00474235">
        <w:rPr>
          <w:lang w:val="en-GB"/>
        </w:rPr>
        <w:t> is the reference concentration of the normaliser</w:t>
      </w:r>
    </w:p>
    <w:p w:rsidR="00060C48" w:rsidRPr="00474235" w:rsidRDefault="00060C48" w:rsidP="00060C48">
      <w:pPr>
        <w:numPr>
          <w:ilvl w:val="0"/>
          <w:numId w:val="13"/>
        </w:numPr>
        <w:rPr>
          <w:lang w:val="en-GB"/>
        </w:rPr>
      </w:pPr>
      <w:r w:rsidRPr="00474235">
        <w:rPr>
          <w:lang w:val="en-GB"/>
        </w:rPr>
        <w:t>n</w:t>
      </w:r>
      <w:r w:rsidRPr="00474235">
        <w:rPr>
          <w:vertAlign w:val="subscript"/>
          <w:lang w:val="en-GB"/>
        </w:rPr>
        <w:t>m</w:t>
      </w:r>
      <w:r w:rsidRPr="00474235">
        <w:rPr>
          <w:lang w:val="en-GB"/>
        </w:rPr>
        <w:t> is the measured concentration of the normaliser</w:t>
      </w:r>
    </w:p>
    <w:p w:rsidR="00060C48" w:rsidRPr="00474235" w:rsidRDefault="00060C48" w:rsidP="00060C48">
      <w:pPr>
        <w:numPr>
          <w:ilvl w:val="0"/>
          <w:numId w:val="13"/>
        </w:numPr>
        <w:rPr>
          <w:lang w:val="en-GB"/>
        </w:rPr>
      </w:pPr>
      <w:proofErr w:type="spellStart"/>
      <w:r w:rsidRPr="00474235">
        <w:rPr>
          <w:lang w:val="en-GB"/>
        </w:rPr>
        <w:t>n</w:t>
      </w:r>
      <w:r w:rsidRPr="00474235">
        <w:rPr>
          <w:vertAlign w:val="subscript"/>
          <w:lang w:val="en-GB"/>
        </w:rPr>
        <w:t>x</w:t>
      </w:r>
      <w:proofErr w:type="spellEnd"/>
      <w:r w:rsidRPr="00474235">
        <w:rPr>
          <w:lang w:val="en-GB"/>
        </w:rPr>
        <w:t> is the pivot concentration for the normaliser</w:t>
      </w:r>
    </w:p>
    <w:p w:rsidR="00992351" w:rsidRPr="00474235" w:rsidRDefault="00060C48" w:rsidP="00060C48">
      <w:pPr>
        <w:rPr>
          <w:lang w:val="en-GB"/>
        </w:rPr>
      </w:pPr>
      <w:r w:rsidRPr="00474235">
        <w:rPr>
          <w:lang w:val="en-GB"/>
        </w:rPr>
        <w:t>The analytical standard deviation </w:t>
      </w:r>
      <w:proofErr w:type="spellStart"/>
      <w:r w:rsidRPr="00474235">
        <w:rPr>
          <w:lang w:val="en-GB"/>
        </w:rPr>
        <w:t>uu</w:t>
      </w:r>
      <w:proofErr w:type="spellEnd"/>
      <w:r w:rsidRPr="00474235">
        <w:rPr>
          <w:lang w:val="en-GB"/>
        </w:rPr>
        <w:t> of the normalised concentration is estimated from:</w:t>
      </w:r>
    </w:p>
    <w:p w:rsidR="00060C48" w:rsidRPr="00474235" w:rsidRDefault="00A8169D" w:rsidP="00060C48">
      <w:pPr>
        <w:rPr>
          <w:rFonts w:ascii="Cambria Math" w:hAnsi="Cambria Math"/>
          <w:lang w:val="en-GB"/>
          <w:oMath/>
        </w:rPr>
      </w:pPr>
      <m:oMathPara>
        <m:oMath>
          <m:sSup>
            <m:sSupPr>
              <m:ctrlPr>
                <w:rPr>
                  <w:rFonts w:ascii="Cambria Math" w:hAnsi="Cambria Math"/>
                  <w:i/>
                  <w:vertAlign w:val="superscript"/>
                  <w:lang w:val="en-GB"/>
                </w:rPr>
              </m:ctrlPr>
            </m:sSupPr>
            <m:e>
              <m:r>
                <w:rPr>
                  <w:rFonts w:ascii="Cambria Math" w:hAnsi="Cambria Math"/>
                  <w:vertAlign w:val="superscript"/>
                  <w:lang w:val="en-GB"/>
                </w:rPr>
                <m:t>u</m:t>
              </m:r>
            </m:e>
            <m:sup>
              <m:r>
                <w:rPr>
                  <w:rFonts w:ascii="Cambria Math" w:hAnsi="Cambria Math"/>
                  <w:vertAlign w:val="superscript"/>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den>
              </m:f>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m:t>
                  </m:r>
                </m:sub>
              </m:sSub>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x</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den>
              </m:f>
              <m:r>
                <w:rPr>
                  <w:rFonts w:ascii="Cambria Math" w:hAnsi="Cambria Math"/>
                  <w:lang w:val="en-GB"/>
                </w:rPr>
                <m:t>)</m:t>
              </m:r>
            </m:e>
            <m:sup>
              <m:r>
                <w:rPr>
                  <w:rFonts w:ascii="Cambria Math" w:hAnsi="Cambria Math"/>
                  <w:lang w:val="en-GB"/>
                </w:rPr>
                <m:t>2</m:t>
              </m:r>
            </m:sup>
          </m:sSup>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n</m:t>
                  </m:r>
                </m:sub>
              </m:sSub>
            </m:e>
            <m:sup>
              <m:r>
                <w:rPr>
                  <w:rFonts w:ascii="Cambria Math" w:hAnsi="Cambria Math"/>
                  <w:lang w:val="en-GB"/>
                </w:rPr>
                <m:t>2</m:t>
              </m:r>
            </m:sup>
          </m:sSup>
          <m:r>
            <w:rPr>
              <w:rFonts w:ascii="Cambria Math" w:hAnsi="Cambria Math"/>
              <w:lang w:val="en-GB"/>
            </w:rPr>
            <m:t>)</m:t>
          </m:r>
        </m:oMath>
      </m:oMathPara>
    </w:p>
    <w:p w:rsidR="00060C48" w:rsidRPr="00474235" w:rsidRDefault="00060C48" w:rsidP="00060C48">
      <w:pPr>
        <w:rPr>
          <w:lang w:val="en-GB"/>
        </w:rPr>
      </w:pPr>
      <w:proofErr w:type="gramStart"/>
      <w:r w:rsidRPr="00474235">
        <w:rPr>
          <w:lang w:val="en-GB"/>
        </w:rPr>
        <w:t>where</w:t>
      </w:r>
      <w:proofErr w:type="gramEnd"/>
      <w:r w:rsidRPr="00474235">
        <w:rPr>
          <w:lang w:val="en-GB"/>
        </w:rPr>
        <w:t> uc and un are the analytical standard deviations of the contaminant and normalised concentration measurements respectively. These are submitted with the data where they are known as ‘uncertainties’.</w:t>
      </w:r>
    </w:p>
    <w:p w:rsidR="00992351" w:rsidRPr="00474235" w:rsidRDefault="00060C48" w:rsidP="00060C48">
      <w:pPr>
        <w:rPr>
          <w:lang w:val="en-GB"/>
        </w:rPr>
      </w:pPr>
      <w:r w:rsidRPr="00474235">
        <w:rPr>
          <w:lang w:val="en-GB"/>
        </w:rPr>
        <w:t xml:space="preserve">Metal concentrations are normalised to </w:t>
      </w:r>
      <w:proofErr w:type="gramStart"/>
      <w:r w:rsidRPr="00474235">
        <w:rPr>
          <w:lang w:val="en-GB"/>
        </w:rPr>
        <w:t>a standard</w:t>
      </w:r>
      <w:proofErr w:type="gramEnd"/>
      <w:r w:rsidRPr="00474235">
        <w:rPr>
          <w:lang w:val="en-GB"/>
        </w:rPr>
        <w:t xml:space="preserve"> sediment with 5% aluminium. The pivot values cx and </w:t>
      </w:r>
      <w:proofErr w:type="spellStart"/>
      <w:r w:rsidRPr="00474235">
        <w:rPr>
          <w:lang w:val="en-GB"/>
        </w:rPr>
        <w:t>nx</w:t>
      </w:r>
      <w:proofErr w:type="spellEnd"/>
      <w:r w:rsidRPr="00474235">
        <w:rPr>
          <w:lang w:val="en-GB"/>
        </w:rPr>
        <w:t> and reference concentration </w:t>
      </w:r>
      <w:proofErr w:type="spellStart"/>
      <w:r w:rsidRPr="00474235">
        <w:rPr>
          <w:lang w:val="en-GB"/>
        </w:rPr>
        <w:t>nss</w:t>
      </w:r>
      <w:proofErr w:type="spellEnd"/>
      <w:r w:rsidRPr="00474235">
        <w:rPr>
          <w:lang w:val="en-GB"/>
        </w:rPr>
        <w:t xml:space="preserve"> depend on the digestion method used in the chemical extraction and can be found </w:t>
      </w:r>
      <w:r w:rsidR="00235606" w:rsidRPr="00474235">
        <w:rPr>
          <w:lang w:val="en-GB"/>
        </w:rPr>
        <w:t>in appendix 3</w:t>
      </w:r>
      <w:r w:rsidRPr="00474235">
        <w:rPr>
          <w:lang w:val="en-GB"/>
        </w:rPr>
        <w:t>. Organic concentrations are normalised to a standard sediment with 2.5% organic carbon content and, regardless of the digestion method, </w:t>
      </w:r>
      <w:proofErr w:type="spellStart"/>
      <w:r w:rsidRPr="00474235">
        <w:rPr>
          <w:lang w:val="en-GB"/>
        </w:rPr>
        <w:t>nssnss</w:t>
      </w:r>
      <w:proofErr w:type="spellEnd"/>
      <w:r w:rsidRPr="00474235">
        <w:rPr>
          <w:lang w:val="en-GB"/>
        </w:rPr>
        <w:t> = 2.5. For organics, the contaminant and normaliser pivot values are both 0, so the formulae above simplify to:</w:t>
      </w:r>
    </w:p>
    <w:p w:rsidR="00992351" w:rsidRPr="00474235" w:rsidRDefault="00A8169D" w:rsidP="00060C48">
      <w:pPr>
        <w:rPr>
          <w:rFonts w:ascii="Cambria Math" w:hAnsi="Cambria Math"/>
          <w:lang w:val="en-GB"/>
          <w:oMath/>
        </w:rPr>
      </w:pPr>
      <m:oMathPara>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ss</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m</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ss</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den>
          </m:f>
        </m:oMath>
      </m:oMathPara>
    </w:p>
    <w:p w:rsidR="00060C48" w:rsidRPr="00474235" w:rsidRDefault="00060C48" w:rsidP="00060C48">
      <w:pPr>
        <w:rPr>
          <w:lang w:val="en-GB"/>
        </w:rPr>
      </w:pPr>
      <w:proofErr w:type="gramStart"/>
      <w:r w:rsidRPr="00474235">
        <w:rPr>
          <w:lang w:val="en-GB"/>
        </w:rPr>
        <w:t>and</w:t>
      </w:r>
      <w:proofErr w:type="gramEnd"/>
    </w:p>
    <w:p w:rsidR="00992351" w:rsidRPr="00474235" w:rsidRDefault="00A8169D" w:rsidP="00060C48">
      <w:pPr>
        <w:rPr>
          <w:rFonts w:ascii="Cambria Math" w:hAnsi="Cambria Math"/>
          <w:lang w:val="en-GB"/>
          <w:oMath/>
        </w:rPr>
      </w:pPr>
      <m:oMathPara>
        <m:oMath>
          <m:sSup>
            <m:sSupPr>
              <m:ctrlPr>
                <w:rPr>
                  <w:rFonts w:ascii="Cambria Math" w:hAnsi="Cambria Math"/>
                  <w:i/>
                  <w:lang w:val="en-GB"/>
                </w:rPr>
              </m:ctrlPr>
            </m:sSupPr>
            <m:e>
              <m:r>
                <w:rPr>
                  <w:rFonts w:ascii="Cambria Math" w:hAnsi="Cambria Math"/>
                  <w:lang w:val="en-GB"/>
                </w:rPr>
                <m:t>u</m:t>
              </m:r>
            </m:e>
            <m:sup>
              <m:r>
                <w:rPr>
                  <w:rFonts w:ascii="Cambria Math" w:hAnsi="Cambria Math"/>
                  <w:lang w:val="en-GB"/>
                </w:rPr>
                <m:t>2</m:t>
              </m:r>
            </m:sup>
          </m:sSup>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ss</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den>
          </m:f>
          <m:r>
            <w:rPr>
              <w:rFonts w:ascii="Cambria Math" w:hAnsi="Cambria Math"/>
              <w:lang w:val="en-GB"/>
            </w:rPr>
            <m:t>)</m:t>
          </m:r>
          <m:r>
            <w:rPr>
              <w:rFonts w:ascii="Cambria Math" w:hAnsi="Cambria Math"/>
              <w:vertAlign w:val="superscript"/>
              <w:lang w:val="en-GB"/>
            </w:rPr>
            <m:t>2</m:t>
          </m:r>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m:t>
                  </m:r>
                </m:sub>
              </m:sSub>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m</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den>
              </m:f>
              <m:r>
                <w:rPr>
                  <w:rFonts w:ascii="Cambria Math" w:hAnsi="Cambria Math"/>
                  <w:lang w:val="en-GB"/>
                </w:rPr>
                <m:t>)</m:t>
              </m:r>
            </m:e>
            <m:sup>
              <m:r>
                <w:rPr>
                  <w:rFonts w:ascii="Cambria Math" w:hAnsi="Cambria Math"/>
                  <w:lang w:val="en-GB"/>
                </w:rPr>
                <m:t>2</m:t>
              </m:r>
            </m:sup>
          </m:sSup>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n</m:t>
                  </m:r>
                </m:sub>
              </m:sSub>
            </m:e>
            <m:sup>
              <m:r>
                <w:rPr>
                  <w:rFonts w:ascii="Cambria Math" w:hAnsi="Cambria Math"/>
                  <w:lang w:val="en-GB"/>
                </w:rPr>
                <m:t>2</m:t>
              </m:r>
            </m:sup>
          </m:sSup>
          <m:r>
            <w:rPr>
              <w:rFonts w:ascii="Cambria Math" w:hAnsi="Cambria Math"/>
              <w:lang w:val="en-GB"/>
            </w:rPr>
            <m:t>)</m:t>
          </m:r>
        </m:oMath>
      </m:oMathPara>
    </w:p>
    <w:p w:rsidR="00060C48" w:rsidRPr="00474235" w:rsidRDefault="00060C48" w:rsidP="00552FB8">
      <w:pPr>
        <w:pStyle w:val="Heading2"/>
        <w:rPr>
          <w:rFonts w:ascii="Calibri" w:hAnsi="Calibri"/>
        </w:rPr>
      </w:pPr>
      <w:bookmarkStart w:id="32" w:name="_Toc486935827"/>
      <w:r w:rsidRPr="00474235">
        <w:rPr>
          <w:rFonts w:ascii="Calibri" w:hAnsi="Calibri"/>
        </w:rPr>
        <w:t>Modelling changes in log concentration over time</w:t>
      </w:r>
      <w:bookmarkEnd w:id="32"/>
    </w:p>
    <w:p w:rsidR="00060C48" w:rsidRPr="00474235" w:rsidRDefault="00060C48" w:rsidP="00060C48">
      <w:pPr>
        <w:rPr>
          <w:lang w:val="en-GB"/>
        </w:rPr>
      </w:pPr>
      <w:r w:rsidRPr="00474235">
        <w:rPr>
          <w:lang w:val="en-GB"/>
        </w:rPr>
        <w:t>The log (normalised) concentrations are modelled by a linear mixed model of the form:</w:t>
      </w:r>
    </w:p>
    <w:p w:rsidR="00060C48" w:rsidRPr="00474235" w:rsidRDefault="00060C48" w:rsidP="00060C48">
      <w:pPr>
        <w:numPr>
          <w:ilvl w:val="0"/>
          <w:numId w:val="14"/>
        </w:numPr>
        <w:rPr>
          <w:lang w:val="en-GB"/>
        </w:rPr>
      </w:pPr>
      <w:r w:rsidRPr="00474235">
        <w:rPr>
          <w:lang w:val="en-GB"/>
        </w:rPr>
        <w:t>response: log concentration</w:t>
      </w:r>
    </w:p>
    <w:p w:rsidR="00060C48" w:rsidRPr="00474235" w:rsidRDefault="00060C48" w:rsidP="00060C48">
      <w:pPr>
        <w:numPr>
          <w:ilvl w:val="0"/>
          <w:numId w:val="14"/>
        </w:numPr>
        <w:rPr>
          <w:lang w:val="en-GB"/>
        </w:rPr>
      </w:pPr>
      <w:r w:rsidRPr="00474235">
        <w:rPr>
          <w:lang w:val="en-GB"/>
        </w:rPr>
        <w:t>fixed: f(year)</w:t>
      </w:r>
    </w:p>
    <w:p w:rsidR="00060C48" w:rsidRPr="00474235" w:rsidRDefault="00060C48" w:rsidP="00060C48">
      <w:pPr>
        <w:numPr>
          <w:ilvl w:val="0"/>
          <w:numId w:val="14"/>
        </w:numPr>
        <w:rPr>
          <w:lang w:val="en-GB"/>
        </w:rPr>
      </w:pPr>
      <w:r w:rsidRPr="00474235">
        <w:rPr>
          <w:lang w:val="en-GB"/>
        </w:rPr>
        <w:t>random: year + sample + analytical</w:t>
      </w:r>
    </w:p>
    <w:p w:rsidR="00060C48" w:rsidRPr="00474235" w:rsidRDefault="00060C48" w:rsidP="00060C48">
      <w:pPr>
        <w:rPr>
          <w:lang w:val="en-GB"/>
        </w:rPr>
      </w:pPr>
      <w:r w:rsidRPr="00474235">
        <w:rPr>
          <w:lang w:val="en-GB"/>
        </w:rPr>
        <w:t xml:space="preserve">The fixed effects model describes how log concentrations change over time (year), where the form of </w:t>
      </w:r>
      <w:proofErr w:type="gramStart"/>
      <w:r w:rsidRPr="00474235">
        <w:rPr>
          <w:lang w:val="en-GB"/>
        </w:rPr>
        <w:t>f(</w:t>
      </w:r>
      <w:proofErr w:type="gramEnd"/>
      <w:r w:rsidRPr="00474235">
        <w:rPr>
          <w:lang w:val="en-GB"/>
        </w:rPr>
        <w:t>year) depends on the number of years of data (described in the next paragraph). The random effects model has three components:</w:t>
      </w:r>
    </w:p>
    <w:p w:rsidR="00060C48" w:rsidRPr="00474235" w:rsidRDefault="00060C48" w:rsidP="00060C48">
      <w:pPr>
        <w:numPr>
          <w:ilvl w:val="0"/>
          <w:numId w:val="15"/>
        </w:numPr>
        <w:rPr>
          <w:lang w:val="en-GB"/>
        </w:rPr>
      </w:pPr>
      <w:proofErr w:type="gramStart"/>
      <w:r w:rsidRPr="00474235">
        <w:rPr>
          <w:lang w:val="en-GB"/>
        </w:rPr>
        <w:t>year</w:t>
      </w:r>
      <w:proofErr w:type="gramEnd"/>
      <w:r w:rsidRPr="00474235">
        <w:rPr>
          <w:lang w:val="en-GB"/>
        </w:rPr>
        <w:t>: random variation in log concentration between years. Here, year is treated as a categorical variable</w:t>
      </w:r>
    </w:p>
    <w:p w:rsidR="00060C48" w:rsidRPr="00474235" w:rsidRDefault="00060C48" w:rsidP="00060C48">
      <w:pPr>
        <w:numPr>
          <w:ilvl w:val="0"/>
          <w:numId w:val="15"/>
        </w:numPr>
        <w:rPr>
          <w:lang w:val="en-GB"/>
        </w:rPr>
      </w:pPr>
      <w:proofErr w:type="gramStart"/>
      <w:r w:rsidRPr="00474235">
        <w:rPr>
          <w:lang w:val="en-GB"/>
        </w:rPr>
        <w:t>sample</w:t>
      </w:r>
      <w:proofErr w:type="gramEnd"/>
      <w:r w:rsidRPr="00474235">
        <w:rPr>
          <w:lang w:val="en-GB"/>
        </w:rPr>
        <w:t>: random variation in log concentration between samples within years. When there is only one sample each year, this term is omitted and implicitly subsumed into the between-year variation</w:t>
      </w:r>
    </w:p>
    <w:p w:rsidR="00060C48" w:rsidRPr="00474235" w:rsidRDefault="00060C48" w:rsidP="00060C48">
      <w:pPr>
        <w:numPr>
          <w:ilvl w:val="0"/>
          <w:numId w:val="15"/>
        </w:numPr>
        <w:rPr>
          <w:lang w:val="en-GB"/>
        </w:rPr>
      </w:pPr>
      <w:proofErr w:type="gramStart"/>
      <w:r w:rsidRPr="00474235">
        <w:rPr>
          <w:lang w:val="en-GB"/>
        </w:rPr>
        <w:t>analytical</w:t>
      </w:r>
      <w:proofErr w:type="gramEnd"/>
      <w:r w:rsidRPr="00474235">
        <w:rPr>
          <w:lang w:val="en-GB"/>
        </w:rPr>
        <w:t xml:space="preserve">: random variation inherent in the chemical measurement process. This is assumed known and derived from the </w:t>
      </w:r>
      <w:proofErr w:type="spellStart"/>
      <w:r w:rsidRPr="00474235">
        <w:rPr>
          <w:lang w:val="en-GB"/>
        </w:rPr>
        <w:t>the</w:t>
      </w:r>
      <w:proofErr w:type="spellEnd"/>
      <w:r w:rsidRPr="00474235">
        <w:rPr>
          <w:lang w:val="en-GB"/>
        </w:rPr>
        <w:t xml:space="preserve"> ‘uncertainties’ reported with the data. Speci</w:t>
      </w:r>
      <w:r w:rsidR="00992351" w:rsidRPr="00474235">
        <w:rPr>
          <w:lang w:val="en-GB"/>
        </w:rPr>
        <w:t>fically, if </w:t>
      </w:r>
      <w:proofErr w:type="spellStart"/>
      <w:r w:rsidR="00992351" w:rsidRPr="00474235">
        <w:rPr>
          <w:lang w:val="en-GB"/>
        </w:rPr>
        <w:t>ui</w:t>
      </w:r>
      <w:proofErr w:type="spellEnd"/>
      <w:r w:rsidR="00992351" w:rsidRPr="00474235">
        <w:rPr>
          <w:lang w:val="en-GB"/>
        </w:rPr>
        <w:t>, </w:t>
      </w:r>
      <w:proofErr w:type="spellStart"/>
      <w:r w:rsidR="00992351" w:rsidRPr="00474235">
        <w:rPr>
          <w:lang w:val="en-GB"/>
        </w:rPr>
        <w:t>i</w:t>
      </w:r>
      <w:proofErr w:type="spellEnd"/>
      <w:r w:rsidR="00992351" w:rsidRPr="00474235">
        <w:rPr>
          <w:lang w:val="en-GB"/>
        </w:rPr>
        <w:t>=1...n</w:t>
      </w:r>
      <w:r w:rsidRPr="00474235">
        <w:rPr>
          <w:lang w:val="en-GB"/>
        </w:rPr>
        <w:t>, are the uncertainties associated with concentrations </w:t>
      </w:r>
      <w:proofErr w:type="spellStart"/>
      <w:r w:rsidRPr="00474235">
        <w:rPr>
          <w:lang w:val="en-GB"/>
        </w:rPr>
        <w:t>cici</w:t>
      </w:r>
      <w:proofErr w:type="spellEnd"/>
      <w:r w:rsidRPr="00474235">
        <w:rPr>
          <w:lang w:val="en-GB"/>
        </w:rPr>
        <w:t> (expressed as the standard deviations of the concentration measurements), then the standard deviations of the log concentration measurements</w:t>
      </w:r>
      <w:proofErr w:type="gramStart"/>
      <w:r w:rsidRPr="00474235">
        <w:rPr>
          <w:lang w:val="en-GB"/>
        </w:rPr>
        <w:t> </w:t>
      </w:r>
      <w:r w:rsidR="00683492" w:rsidRPr="00474235">
        <w:rPr>
          <w:lang w:val="en-GB"/>
        </w:rPr>
        <w:t xml:space="preserve"> </w:t>
      </w:r>
      <w:r w:rsidRPr="00474235">
        <w:rPr>
          <w:lang w:val="en-GB"/>
        </w:rPr>
        <w:t>log</w:t>
      </w:r>
      <w:proofErr w:type="gramEnd"/>
      <w:r w:rsidRPr="00474235">
        <w:rPr>
          <w:lang w:val="en-GB"/>
        </w:rPr>
        <w:t> c</w:t>
      </w:r>
      <w:r w:rsidRPr="00474235">
        <w:rPr>
          <w:vertAlign w:val="subscript"/>
          <w:lang w:val="en-GB"/>
        </w:rPr>
        <w:t>i</w:t>
      </w:r>
      <w:r w:rsidRPr="00474235">
        <w:rPr>
          <w:lang w:val="en-GB"/>
        </w:rPr>
        <w:t> are taken to be </w:t>
      </w:r>
      <w:proofErr w:type="spellStart"/>
      <w:r w:rsidRPr="00474235">
        <w:rPr>
          <w:lang w:val="en-GB"/>
        </w:rPr>
        <w:t>u</w:t>
      </w:r>
      <w:r w:rsidRPr="00474235">
        <w:rPr>
          <w:vertAlign w:val="subscript"/>
          <w:lang w:val="en-GB"/>
        </w:rPr>
        <w:t>i</w:t>
      </w:r>
      <w:proofErr w:type="spellEnd"/>
      <w:r w:rsidRPr="00474235">
        <w:rPr>
          <w:lang w:val="en-GB"/>
        </w:rPr>
        <w:t>/c</w:t>
      </w:r>
      <w:r w:rsidRPr="00474235">
        <w:rPr>
          <w:vertAlign w:val="subscript"/>
          <w:lang w:val="en-GB"/>
        </w:rPr>
        <w:t>i</w:t>
      </w:r>
      <w:r w:rsidR="00992351" w:rsidRPr="00474235">
        <w:rPr>
          <w:lang w:val="en-GB"/>
        </w:rPr>
        <w:t>. Measurements with </w:t>
      </w:r>
      <w:proofErr w:type="spellStart"/>
      <w:r w:rsidR="00992351" w:rsidRPr="00474235">
        <w:rPr>
          <w:lang w:val="en-GB"/>
        </w:rPr>
        <w:t>u</w:t>
      </w:r>
      <w:r w:rsidR="00992351" w:rsidRPr="00474235">
        <w:rPr>
          <w:vertAlign w:val="subscript"/>
          <w:lang w:val="en-GB"/>
        </w:rPr>
        <w:t>i</w:t>
      </w:r>
      <w:proofErr w:type="spellEnd"/>
      <w:r w:rsidR="00992351" w:rsidRPr="00474235">
        <w:rPr>
          <w:lang w:val="en-GB"/>
        </w:rPr>
        <w:t>&gt;c</w:t>
      </w:r>
      <w:r w:rsidR="00992351" w:rsidRPr="00474235">
        <w:rPr>
          <w:vertAlign w:val="subscript"/>
          <w:lang w:val="en-GB"/>
        </w:rPr>
        <w:t>i</w:t>
      </w:r>
      <w:r w:rsidRPr="00474235">
        <w:rPr>
          <w:lang w:val="en-GB"/>
        </w:rPr>
        <w:t> (i.e. an analytical coefficient of variation of more than 100%) are omitted from the time series. When the concentrations are normalised, then the uncertainties are the analytical standard deviations of the normalised concentrations calculated in the previous section.</w:t>
      </w:r>
    </w:p>
    <w:p w:rsidR="00060C48" w:rsidRPr="00474235" w:rsidRDefault="00060C48" w:rsidP="00060C48">
      <w:pPr>
        <w:rPr>
          <w:lang w:val="en-GB"/>
        </w:rPr>
      </w:pPr>
      <w:r w:rsidRPr="00474235">
        <w:rPr>
          <w:lang w:val="en-GB"/>
        </w:rPr>
        <w:t xml:space="preserve">The model is fitted by maximum likelihood assuming each of the random effects </w:t>
      </w:r>
      <w:proofErr w:type="gramStart"/>
      <w:r w:rsidRPr="00474235">
        <w:rPr>
          <w:lang w:val="en-GB"/>
        </w:rPr>
        <w:t>are</w:t>
      </w:r>
      <w:proofErr w:type="gramEnd"/>
      <w:r w:rsidRPr="00474235">
        <w:rPr>
          <w:lang w:val="en-GB"/>
        </w:rPr>
        <w:t xml:space="preserve"> independent and normally distributed (on the log concentration scale)</w:t>
      </w:r>
      <w:r w:rsidR="00992351" w:rsidRPr="00474235">
        <w:rPr>
          <w:rStyle w:val="FootnoteReference"/>
          <w:lang w:val="en-GB"/>
        </w:rPr>
        <w:footnoteReference w:id="17"/>
      </w:r>
      <w:r w:rsidRPr="00474235">
        <w:rPr>
          <w:lang w:val="en-GB"/>
        </w:rPr>
        <w:t>.</w:t>
      </w:r>
    </w:p>
    <w:p w:rsidR="00060C48" w:rsidRPr="00474235" w:rsidRDefault="00060C48" w:rsidP="00060C48">
      <w:pPr>
        <w:rPr>
          <w:lang w:val="en-GB"/>
        </w:rPr>
      </w:pPr>
      <w:r w:rsidRPr="00474235">
        <w:rPr>
          <w:lang w:val="en-GB"/>
        </w:rPr>
        <w:t xml:space="preserve">The form of </w:t>
      </w:r>
      <w:proofErr w:type="gramStart"/>
      <w:r w:rsidRPr="00474235">
        <w:rPr>
          <w:lang w:val="en-GB"/>
        </w:rPr>
        <w:t>f(</w:t>
      </w:r>
      <w:proofErr w:type="gramEnd"/>
      <w:r w:rsidRPr="00474235">
        <w:rPr>
          <w:lang w:val="en-GB"/>
        </w:rPr>
        <w:t>year) depends on the number of years of data:</w:t>
      </w:r>
    </w:p>
    <w:p w:rsidR="00060C48" w:rsidRPr="00474235" w:rsidRDefault="00060C48" w:rsidP="00060C48">
      <w:pPr>
        <w:rPr>
          <w:i/>
          <w:lang w:val="en-GB"/>
        </w:rPr>
      </w:pPr>
      <w:r w:rsidRPr="00474235">
        <w:rPr>
          <w:i/>
          <w:lang w:val="en-GB"/>
        </w:rPr>
        <w:t>1-2 years</w:t>
      </w:r>
    </w:p>
    <w:p w:rsidR="00060C48" w:rsidRPr="00474235" w:rsidRDefault="00060C48" w:rsidP="00060C48">
      <w:pPr>
        <w:rPr>
          <w:lang w:val="en-GB"/>
        </w:rPr>
      </w:pPr>
      <w:proofErr w:type="gramStart"/>
      <w:r w:rsidRPr="00474235">
        <w:rPr>
          <w:lang w:val="en-GB"/>
        </w:rPr>
        <w:t>no</w:t>
      </w:r>
      <w:proofErr w:type="gramEnd"/>
      <w:r w:rsidRPr="00474235">
        <w:rPr>
          <w:lang w:val="en-GB"/>
        </w:rPr>
        <w:t xml:space="preserve"> model is fitted as there are too few years for formal statistical analysis</w:t>
      </w:r>
    </w:p>
    <w:p w:rsidR="00060C48" w:rsidRPr="00474235" w:rsidRDefault="00060C48" w:rsidP="00060C48">
      <w:pPr>
        <w:rPr>
          <w:i/>
          <w:lang w:val="en-GB"/>
        </w:rPr>
      </w:pPr>
      <w:r w:rsidRPr="00474235">
        <w:rPr>
          <w:i/>
          <w:lang w:val="en-GB"/>
        </w:rPr>
        <w:t>3-4 years</w:t>
      </w:r>
    </w:p>
    <w:p w:rsidR="00992351" w:rsidRPr="00474235" w:rsidRDefault="00060C48" w:rsidP="00060C48">
      <w:pPr>
        <w:rPr>
          <w:lang w:val="en-GB"/>
        </w:rPr>
      </w:pPr>
      <w:proofErr w:type="gramStart"/>
      <w:r w:rsidRPr="00474235">
        <w:rPr>
          <w:lang w:val="en-GB"/>
        </w:rPr>
        <w:t>mean</w:t>
      </w:r>
      <w:proofErr w:type="gramEnd"/>
      <w:r w:rsidRPr="00474235">
        <w:rPr>
          <w:lang w:val="en-GB"/>
        </w:rPr>
        <w:t xml:space="preserve"> model f(year)=μ</w:t>
      </w:r>
    </w:p>
    <w:p w:rsidR="00060C48" w:rsidRPr="00474235" w:rsidRDefault="00060C48" w:rsidP="00060C48">
      <w:pPr>
        <w:rPr>
          <w:lang w:val="en-GB"/>
        </w:rPr>
      </w:pPr>
      <w:proofErr w:type="gramStart"/>
      <w:r w:rsidRPr="00474235">
        <w:rPr>
          <w:lang w:val="en-GB"/>
        </w:rPr>
        <w:t>there</w:t>
      </w:r>
      <w:proofErr w:type="gramEnd"/>
      <w:r w:rsidRPr="00474235">
        <w:rPr>
          <w:lang w:val="en-GB"/>
        </w:rPr>
        <w:t xml:space="preserve"> are too few years for a formal trend assessment, but t</w:t>
      </w:r>
      <w:r w:rsidR="00992351" w:rsidRPr="00474235">
        <w:rPr>
          <w:lang w:val="en-GB"/>
        </w:rPr>
        <w:t>he mean level is summarised by </w:t>
      </w:r>
      <w:r w:rsidRPr="00474235">
        <w:rPr>
          <w:lang w:val="en-GB"/>
        </w:rPr>
        <w:t>μ and is used to assess status</w:t>
      </w:r>
    </w:p>
    <w:p w:rsidR="00060C48" w:rsidRPr="00474235" w:rsidRDefault="00060C48" w:rsidP="00060C48">
      <w:pPr>
        <w:rPr>
          <w:i/>
          <w:lang w:val="en-GB"/>
        </w:rPr>
      </w:pPr>
      <w:r w:rsidRPr="00474235">
        <w:rPr>
          <w:i/>
          <w:lang w:val="en-GB"/>
        </w:rPr>
        <w:t>5-6 years</w:t>
      </w:r>
    </w:p>
    <w:p w:rsidR="00992351" w:rsidRPr="00474235" w:rsidRDefault="00060C48" w:rsidP="00060C48">
      <w:pPr>
        <w:rPr>
          <w:lang w:val="en-GB"/>
        </w:rPr>
      </w:pPr>
      <w:proofErr w:type="gramStart"/>
      <w:r w:rsidRPr="00474235">
        <w:rPr>
          <w:lang w:val="en-GB"/>
        </w:rPr>
        <w:t>linear</w:t>
      </w:r>
      <w:proofErr w:type="gramEnd"/>
      <w:r w:rsidRPr="00474235">
        <w:rPr>
          <w:lang w:val="en-GB"/>
        </w:rPr>
        <w:t xml:space="preserve"> model f(year)=μ+βyear</w:t>
      </w:r>
    </w:p>
    <w:p w:rsidR="00060C48" w:rsidRPr="00474235" w:rsidRDefault="00060C48" w:rsidP="00060C48">
      <w:pPr>
        <w:rPr>
          <w:lang w:val="en-GB"/>
        </w:rPr>
      </w:pPr>
      <w:proofErr w:type="gramStart"/>
      <w:r w:rsidRPr="00474235">
        <w:rPr>
          <w:lang w:val="en-GB"/>
        </w:rPr>
        <w:t>log</w:t>
      </w:r>
      <w:proofErr w:type="gramEnd"/>
      <w:r w:rsidRPr="00474235">
        <w:rPr>
          <w:lang w:val="en-GB"/>
        </w:rPr>
        <w:t xml:space="preserve"> concentrations are assumed to vary linearly with time; the fitted model is used to assess status and evidence of temporal change</w:t>
      </w:r>
    </w:p>
    <w:p w:rsidR="00060C48" w:rsidRPr="00474235" w:rsidRDefault="00060C48" w:rsidP="00060C48">
      <w:pPr>
        <w:rPr>
          <w:i/>
          <w:lang w:val="en-GB"/>
        </w:rPr>
      </w:pPr>
      <w:r w:rsidRPr="00474235">
        <w:rPr>
          <w:i/>
          <w:lang w:val="en-GB"/>
        </w:rPr>
        <w:t>7+ years</w:t>
      </w:r>
    </w:p>
    <w:p w:rsidR="00992351" w:rsidRPr="00474235" w:rsidRDefault="00060C48" w:rsidP="00060C48">
      <w:pPr>
        <w:rPr>
          <w:lang w:val="en-GB"/>
        </w:rPr>
      </w:pPr>
      <w:proofErr w:type="gramStart"/>
      <w:r w:rsidRPr="00474235">
        <w:rPr>
          <w:lang w:val="en-GB"/>
        </w:rPr>
        <w:t>smooth</w:t>
      </w:r>
      <w:proofErr w:type="gramEnd"/>
      <w:r w:rsidRPr="00474235">
        <w:rPr>
          <w:lang w:val="en-GB"/>
        </w:rPr>
        <w:t xml:space="preserve"> model f(year) = s(year)</w:t>
      </w:r>
    </w:p>
    <w:p w:rsidR="00060C48" w:rsidRPr="00474235" w:rsidRDefault="00060C48" w:rsidP="00060C48">
      <w:pPr>
        <w:rPr>
          <w:lang w:val="en-GB"/>
        </w:rPr>
      </w:pPr>
      <w:proofErr w:type="gramStart"/>
      <w:r w:rsidRPr="00474235">
        <w:rPr>
          <w:lang w:val="en-GB"/>
        </w:rPr>
        <w:t>log</w:t>
      </w:r>
      <w:proofErr w:type="gramEnd"/>
      <w:r w:rsidRPr="00474235">
        <w:rPr>
          <w:lang w:val="en-GB"/>
        </w:rPr>
        <w:t xml:space="preserve"> concentrations are assumed to vary smoothly over time; the fitted model is used to assess status and evidence of temporal change</w:t>
      </w:r>
    </w:p>
    <w:p w:rsidR="00060C48" w:rsidRPr="00474235" w:rsidRDefault="00060C48" w:rsidP="00060C48">
      <w:pPr>
        <w:rPr>
          <w:lang w:val="en-GB"/>
        </w:rPr>
      </w:pPr>
      <w:r w:rsidRPr="00474235">
        <w:rPr>
          <w:lang w:val="en-GB"/>
        </w:rPr>
        <w:t>The last case requires more explanation. When there are 7-9 years of data, both a linear model and a smoother (thin plate regression spline) on 2 degrees of freedom (</w:t>
      </w:r>
      <w:proofErr w:type="spellStart"/>
      <w:proofErr w:type="gramStart"/>
      <w:r w:rsidRPr="00474235">
        <w:rPr>
          <w:lang w:val="en-GB"/>
        </w:rPr>
        <w:t>df</w:t>
      </w:r>
      <w:proofErr w:type="spellEnd"/>
      <w:proofErr w:type="gramEnd"/>
      <w:r w:rsidRPr="00474235">
        <w:rPr>
          <w:lang w:val="en-GB"/>
        </w:rPr>
        <w:t xml:space="preserve">) are fitted to the data. Of these, the model chosen to make inferences about status and temporal trends is the one with the lower </w:t>
      </w:r>
      <w:proofErr w:type="spellStart"/>
      <w:r w:rsidRPr="00474235">
        <w:rPr>
          <w:lang w:val="en-GB"/>
        </w:rPr>
        <w:t>Akaike’s</w:t>
      </w:r>
      <w:proofErr w:type="spellEnd"/>
      <w:r w:rsidRPr="00474235">
        <w:rPr>
          <w:lang w:val="en-GB"/>
        </w:rPr>
        <w:t xml:space="preserve"> Information Criterion corrected for small sample size (</w:t>
      </w:r>
      <w:proofErr w:type="spellStart"/>
      <w:r w:rsidRPr="00474235">
        <w:rPr>
          <w:lang w:val="en-GB"/>
        </w:rPr>
        <w:t>AICc</w:t>
      </w:r>
      <w:proofErr w:type="spellEnd"/>
      <w:r w:rsidRPr="00474235">
        <w:rPr>
          <w:lang w:val="en-GB"/>
        </w:rPr>
        <w:t>)</w:t>
      </w:r>
      <w:r w:rsidR="00992351" w:rsidRPr="00474235">
        <w:rPr>
          <w:rStyle w:val="FootnoteReference"/>
          <w:lang w:val="en-GB"/>
        </w:rPr>
        <w:footnoteReference w:id="18"/>
      </w:r>
      <w:r w:rsidRPr="00474235">
        <w:rPr>
          <w:lang w:val="en-GB"/>
        </w:rPr>
        <w:t xml:space="preserve">. When there are 10-14 years of data, a linear model and smoothers on 2 and 3 </w:t>
      </w:r>
      <w:proofErr w:type="spellStart"/>
      <w:proofErr w:type="gramStart"/>
      <w:r w:rsidRPr="00474235">
        <w:rPr>
          <w:lang w:val="en-GB"/>
        </w:rPr>
        <w:t>df</w:t>
      </w:r>
      <w:proofErr w:type="spellEnd"/>
      <w:proofErr w:type="gramEnd"/>
      <w:r w:rsidRPr="00474235">
        <w:rPr>
          <w:lang w:val="en-GB"/>
        </w:rPr>
        <w:t xml:space="preserve"> are fitted, with the chosen model that with the lowest </w:t>
      </w:r>
      <w:proofErr w:type="spellStart"/>
      <w:r w:rsidRPr="00474235">
        <w:rPr>
          <w:lang w:val="en-GB"/>
        </w:rPr>
        <w:t>AICc</w:t>
      </w:r>
      <w:proofErr w:type="spellEnd"/>
      <w:r w:rsidRPr="00474235">
        <w:rPr>
          <w:lang w:val="en-GB"/>
        </w:rPr>
        <w:t xml:space="preserve">. And when there are 15+ years of data, a linear model and smoothers on 2, 3, and 4 </w:t>
      </w:r>
      <w:proofErr w:type="spellStart"/>
      <w:proofErr w:type="gramStart"/>
      <w:r w:rsidRPr="00474235">
        <w:rPr>
          <w:lang w:val="en-GB"/>
        </w:rPr>
        <w:t>df</w:t>
      </w:r>
      <w:proofErr w:type="spellEnd"/>
      <w:proofErr w:type="gramEnd"/>
      <w:r w:rsidRPr="00474235">
        <w:rPr>
          <w:lang w:val="en-GB"/>
        </w:rPr>
        <w:t xml:space="preserve"> are fitted, with model selection again based on </w:t>
      </w:r>
      <w:proofErr w:type="spellStart"/>
      <w:r w:rsidRPr="00474235">
        <w:rPr>
          <w:lang w:val="en-GB"/>
        </w:rPr>
        <w:t>AICc</w:t>
      </w:r>
      <w:proofErr w:type="spellEnd"/>
      <w:r w:rsidRPr="00474235">
        <w:rPr>
          <w:lang w:val="en-GB"/>
        </w:rPr>
        <w:t xml:space="preserve">. Effectively, the data determine the amount of smoothing, with </w:t>
      </w:r>
      <w:proofErr w:type="spellStart"/>
      <w:r w:rsidRPr="00474235">
        <w:rPr>
          <w:lang w:val="en-GB"/>
        </w:rPr>
        <w:t>AICc</w:t>
      </w:r>
      <w:proofErr w:type="spellEnd"/>
      <w:r w:rsidRPr="00474235">
        <w:rPr>
          <w:lang w:val="en-GB"/>
        </w:rPr>
        <w:t xml:space="preserve"> providing an appropriate balance between </w:t>
      </w:r>
      <w:proofErr w:type="gramStart"/>
      <w:r w:rsidRPr="00474235">
        <w:rPr>
          <w:lang w:val="en-GB"/>
        </w:rPr>
        <w:t>model</w:t>
      </w:r>
      <w:proofErr w:type="gramEnd"/>
      <w:r w:rsidRPr="00474235">
        <w:rPr>
          <w:lang w:val="en-GB"/>
        </w:rPr>
        <w:t xml:space="preserve"> fit and model parsimony</w:t>
      </w:r>
      <w:r w:rsidR="00067B41" w:rsidRPr="00474235">
        <w:rPr>
          <w:rStyle w:val="FootnoteReference"/>
          <w:lang w:val="en-GB"/>
        </w:rPr>
        <w:footnoteReference w:id="19"/>
      </w:r>
      <w:r w:rsidRPr="00474235">
        <w:rPr>
          <w:lang w:val="en-GB"/>
        </w:rPr>
        <w:t>.</w:t>
      </w:r>
    </w:p>
    <w:p w:rsidR="00060C48" w:rsidRPr="00474235" w:rsidRDefault="00060C48" w:rsidP="00552FB8">
      <w:pPr>
        <w:pStyle w:val="Heading2"/>
        <w:rPr>
          <w:rFonts w:ascii="Calibri" w:hAnsi="Calibri"/>
        </w:rPr>
      </w:pPr>
      <w:bookmarkStart w:id="33" w:name="_Toc486935828"/>
      <w:r w:rsidRPr="00474235">
        <w:rPr>
          <w:rFonts w:ascii="Calibri" w:hAnsi="Calibri"/>
        </w:rPr>
        <w:t>Assessing environmental status and temporal trends</w:t>
      </w:r>
      <w:bookmarkEnd w:id="33"/>
    </w:p>
    <w:p w:rsidR="00060C48" w:rsidRPr="00474235" w:rsidRDefault="00060C48" w:rsidP="00060C48">
      <w:pPr>
        <w:rPr>
          <w:lang w:val="en-GB"/>
        </w:rPr>
      </w:pPr>
      <w:r w:rsidRPr="00474235">
        <w:rPr>
          <w:lang w:val="en-GB"/>
        </w:rPr>
        <w:t>Environmental status and temporal trends are assessed using the </w:t>
      </w:r>
      <w:hyperlink r:id="rId45" w:anchor="Mixed_model" w:history="1">
        <w:r w:rsidRPr="00474235">
          <w:rPr>
            <w:rStyle w:val="Hyperlink"/>
            <w:lang w:val="en-GB"/>
          </w:rPr>
          <w:t>model fitted</w:t>
        </w:r>
      </w:hyperlink>
      <w:r w:rsidRPr="00474235">
        <w:rPr>
          <w:lang w:val="en-GB"/>
        </w:rPr>
        <w:t> to the concentration data.</w:t>
      </w:r>
    </w:p>
    <w:p w:rsidR="00060C48" w:rsidRPr="00474235" w:rsidRDefault="00060C48" w:rsidP="00060C48">
      <w:pPr>
        <w:rPr>
          <w:lang w:val="en-GB"/>
        </w:rPr>
      </w:pPr>
      <w:r w:rsidRPr="00474235">
        <w:rPr>
          <w:lang w:val="en-GB"/>
        </w:rPr>
        <w:t>Environmental status is assessed by:</w:t>
      </w:r>
    </w:p>
    <w:p w:rsidR="00060C48" w:rsidRPr="00474235" w:rsidRDefault="00060C48" w:rsidP="00060C48">
      <w:pPr>
        <w:numPr>
          <w:ilvl w:val="0"/>
          <w:numId w:val="16"/>
        </w:numPr>
        <w:rPr>
          <w:lang w:val="en-GB"/>
        </w:rPr>
      </w:pPr>
      <w:r w:rsidRPr="00474235">
        <w:rPr>
          <w:lang w:val="en-GB"/>
        </w:rPr>
        <w:t>calculating the upper one-sided 95% confidence limit on the fitted mean log concentration in the most recent monitoring year</w:t>
      </w:r>
      <w:r w:rsidR="00067B41" w:rsidRPr="00474235">
        <w:rPr>
          <w:rStyle w:val="FootnoteReference"/>
          <w:lang w:val="en-GB"/>
        </w:rPr>
        <w:footnoteReference w:id="20"/>
      </w:r>
    </w:p>
    <w:p w:rsidR="00060C48" w:rsidRPr="00474235" w:rsidRDefault="00060C48" w:rsidP="00060C48">
      <w:pPr>
        <w:numPr>
          <w:ilvl w:val="0"/>
          <w:numId w:val="16"/>
        </w:numPr>
        <w:rPr>
          <w:lang w:val="en-GB"/>
        </w:rPr>
      </w:pPr>
      <w:r w:rsidRPr="00474235">
        <w:rPr>
          <w:lang w:val="en-GB"/>
        </w:rPr>
        <w:t>back-transforming this to the concentration scale</w:t>
      </w:r>
    </w:p>
    <w:p w:rsidR="00060C48" w:rsidRPr="00474235" w:rsidRDefault="00060C48" w:rsidP="00060C48">
      <w:pPr>
        <w:numPr>
          <w:ilvl w:val="0"/>
          <w:numId w:val="16"/>
        </w:numPr>
        <w:rPr>
          <w:lang w:val="en-GB"/>
        </w:rPr>
      </w:pPr>
      <w:r w:rsidRPr="00474235">
        <w:rPr>
          <w:lang w:val="en-GB"/>
        </w:rPr>
        <w:t>comparing the back-transformed upper confidence limit to the available assessment criteria</w:t>
      </w:r>
    </w:p>
    <w:p w:rsidR="00060C48" w:rsidRPr="00474235" w:rsidRDefault="00060C48" w:rsidP="00060C48">
      <w:pPr>
        <w:rPr>
          <w:lang w:val="en-GB"/>
        </w:rPr>
      </w:pPr>
      <w:r w:rsidRPr="00474235">
        <w:rPr>
          <w:lang w:val="en-GB"/>
        </w:rPr>
        <w:t>For example, if the back-transformed upper confidence limit is below the Background Assessment Concentration (BAC), then the median concentration in the most recent monitoring year is significantly below the BAC and concentrations are said to be ‘at background’. For an example, see Fryer &amp; Nicholson (1999).</w:t>
      </w:r>
    </w:p>
    <w:p w:rsidR="00060C48" w:rsidRPr="00474235" w:rsidRDefault="00060C48" w:rsidP="00060C48">
      <w:pPr>
        <w:rPr>
          <w:lang w:val="en-GB"/>
        </w:rPr>
      </w:pPr>
      <w:r w:rsidRPr="00474235">
        <w:rPr>
          <w:lang w:val="en-GB"/>
        </w:rPr>
        <w:t xml:space="preserve">No formal assessment of status is made when there </w:t>
      </w:r>
      <w:proofErr w:type="gramStart"/>
      <w:r w:rsidRPr="00474235">
        <w:rPr>
          <w:lang w:val="en-GB"/>
        </w:rPr>
        <w:t>are</w:t>
      </w:r>
      <w:proofErr w:type="gramEnd"/>
      <w:r w:rsidRPr="00474235">
        <w:rPr>
          <w:lang w:val="en-GB"/>
        </w:rPr>
        <w:t xml:space="preserve"> only 1 or 2 years of data. However, an ad-hoc assessment is made by:</w:t>
      </w:r>
    </w:p>
    <w:p w:rsidR="00060C48" w:rsidRPr="00474235" w:rsidRDefault="00060C48" w:rsidP="00060C48">
      <w:pPr>
        <w:numPr>
          <w:ilvl w:val="0"/>
          <w:numId w:val="17"/>
        </w:numPr>
        <w:rPr>
          <w:lang w:val="en-GB"/>
        </w:rPr>
      </w:pPr>
      <w:r w:rsidRPr="00474235">
        <w:rPr>
          <w:lang w:val="en-GB"/>
        </w:rPr>
        <w:t>calculating the median of the log concentration measurements in each year</w:t>
      </w:r>
    </w:p>
    <w:p w:rsidR="00060C48" w:rsidRPr="00474235" w:rsidRDefault="00060C48" w:rsidP="00060C48">
      <w:pPr>
        <w:numPr>
          <w:ilvl w:val="0"/>
          <w:numId w:val="17"/>
        </w:numPr>
        <w:rPr>
          <w:lang w:val="en-GB"/>
        </w:rPr>
      </w:pPr>
      <w:r w:rsidRPr="00474235">
        <w:rPr>
          <w:lang w:val="en-GB"/>
        </w:rPr>
        <w:t>back-transforming these to the concentration scale</w:t>
      </w:r>
    </w:p>
    <w:p w:rsidR="00060C48" w:rsidRPr="00474235" w:rsidRDefault="00060C48" w:rsidP="00060C48">
      <w:pPr>
        <w:numPr>
          <w:ilvl w:val="0"/>
          <w:numId w:val="17"/>
        </w:numPr>
        <w:rPr>
          <w:lang w:val="en-GB"/>
        </w:rPr>
      </w:pPr>
      <w:proofErr w:type="gramStart"/>
      <w:r w:rsidRPr="00474235">
        <w:rPr>
          <w:lang w:val="en-GB"/>
        </w:rPr>
        <w:t>comparing</w:t>
      </w:r>
      <w:proofErr w:type="gramEnd"/>
      <w:r w:rsidRPr="00474235">
        <w:rPr>
          <w:lang w:val="en-GB"/>
        </w:rPr>
        <w:t xml:space="preserve"> the back-transformed median log concentration (1 year) or the larger of the two back-transformed median log concentrations (2 years) to the assessment criteria.</w:t>
      </w:r>
    </w:p>
    <w:p w:rsidR="00060C48" w:rsidRPr="00474235" w:rsidRDefault="00060C48" w:rsidP="00060C48">
      <w:pPr>
        <w:rPr>
          <w:lang w:val="en-GB"/>
        </w:rPr>
      </w:pPr>
      <w:r w:rsidRPr="00474235">
        <w:rPr>
          <w:lang w:val="en-GB"/>
        </w:rPr>
        <w:t xml:space="preserve">Temporal trends are assessed for </w:t>
      </w:r>
      <w:proofErr w:type="spellStart"/>
      <w:r w:rsidRPr="00474235">
        <w:rPr>
          <w:lang w:val="en-GB"/>
        </w:rPr>
        <w:t>all time</w:t>
      </w:r>
      <w:proofErr w:type="spellEnd"/>
      <w:r w:rsidRPr="00474235">
        <w:rPr>
          <w:lang w:val="en-GB"/>
        </w:rPr>
        <w:t xml:space="preserve"> series with at least five years of data. When a linear model has been fitted (i.e. when there are 5-6 years of data, or if there are 7+ years of data and no evidence of nonlinearity), the statistical significance of the temporal trend is obtained from a likelihood ratio test</w:t>
      </w:r>
      <w:r w:rsidR="00067B41" w:rsidRPr="00474235">
        <w:rPr>
          <w:rStyle w:val="FootnoteReference"/>
          <w:lang w:val="en-GB"/>
        </w:rPr>
        <w:footnoteReference w:id="21"/>
      </w:r>
      <w:r w:rsidRPr="00474235">
        <w:rPr>
          <w:lang w:val="en-GB"/>
        </w:rPr>
        <w:t> that compares the fits of the linear model </w:t>
      </w:r>
      <w:proofErr w:type="gramStart"/>
      <w:r w:rsidRPr="00474235">
        <w:rPr>
          <w:lang w:val="en-GB"/>
        </w:rPr>
        <w:t>f(</w:t>
      </w:r>
      <w:proofErr w:type="gramEnd"/>
      <w:r w:rsidRPr="00474235">
        <w:rPr>
          <w:lang w:val="en-GB"/>
        </w:rPr>
        <w:t>year)=μ+βyear and the mean model </w:t>
      </w:r>
      <w:r w:rsidR="0032538B" w:rsidRPr="00474235">
        <w:rPr>
          <w:lang w:val="en-GB"/>
        </w:rPr>
        <w:t>f</w:t>
      </w:r>
      <w:r w:rsidRPr="00474235">
        <w:rPr>
          <w:lang w:val="en-GB"/>
        </w:rPr>
        <w:t>(year)=μ. The summary maps show a downward or upward trend if the trend is significant at the 5% significance level.</w:t>
      </w:r>
    </w:p>
    <w:p w:rsidR="00060C48" w:rsidRPr="00474235" w:rsidRDefault="00060C48" w:rsidP="00060C48">
      <w:pPr>
        <w:rPr>
          <w:lang w:val="en-GB"/>
        </w:rPr>
      </w:pPr>
      <w:r w:rsidRPr="00474235">
        <w:rPr>
          <w:lang w:val="en-GB"/>
        </w:rPr>
        <w:t xml:space="preserve">When a smooth model has been fitted, a plot of the fitted model is needed to understand the overall pattern of change. (This is available on the </w:t>
      </w:r>
      <w:proofErr w:type="gramStart"/>
      <w:r w:rsidRPr="00474235">
        <w:rPr>
          <w:lang w:val="en-GB"/>
        </w:rPr>
        <w:t>Raw</w:t>
      </w:r>
      <w:proofErr w:type="gramEnd"/>
      <w:r w:rsidRPr="00474235">
        <w:rPr>
          <w:lang w:val="en-GB"/>
        </w:rPr>
        <w:t xml:space="preserve"> data with assessment and Assessment pages on the right side of the summary map under Graphics.) The summary map focusses on just one aspect of the change over time: the change in concentration in the most recent twenty monitoring years; i.e. between 1995 and 2014 (the assessment only includes data up to 2014). For this, the fitted value of the smoother in 2014 is compared to the fitted value in 1995 using a t-test, with significance assessed at the 5% level. The correlation between the two fitted values is accounted for by the t-test. If the time series does not extend to 2014, then the fitted value in the last monitoring year is used instead. Similarly, if the time series starts after 1995, the fitted value in the first monitoring year is used.</w:t>
      </w:r>
    </w:p>
    <w:p w:rsidR="00060C48" w:rsidRPr="00474235" w:rsidRDefault="00060C48" w:rsidP="00060C48">
      <w:pPr>
        <w:rPr>
          <w:lang w:val="en-GB"/>
        </w:rPr>
      </w:pPr>
      <w:proofErr w:type="gramStart"/>
      <w:r w:rsidRPr="00474235">
        <w:rPr>
          <w:lang w:val="en-GB"/>
        </w:rPr>
        <w:t>Fryer RJ &amp; Nicholson MD, 1999.</w:t>
      </w:r>
      <w:proofErr w:type="gramEnd"/>
      <w:r w:rsidRPr="00474235">
        <w:rPr>
          <w:lang w:val="en-GB"/>
        </w:rPr>
        <w:t xml:space="preserve"> </w:t>
      </w:r>
      <w:proofErr w:type="gramStart"/>
      <w:r w:rsidRPr="00474235">
        <w:rPr>
          <w:lang w:val="en-GB"/>
        </w:rPr>
        <w:t>Using smoothers for comprehensive assessments of contaminant time series in marine biota.</w:t>
      </w:r>
      <w:proofErr w:type="gramEnd"/>
      <w:r w:rsidRPr="00474235">
        <w:rPr>
          <w:lang w:val="en-GB"/>
        </w:rPr>
        <w:t xml:space="preserve"> ICES Journal of Marine Science 56: 779-790.</w:t>
      </w:r>
    </w:p>
    <w:p w:rsidR="00067B41" w:rsidRPr="00474235" w:rsidRDefault="00067B41" w:rsidP="00552FB8">
      <w:pPr>
        <w:pStyle w:val="Heading2"/>
        <w:rPr>
          <w:rFonts w:ascii="Calibri" w:hAnsi="Calibri"/>
        </w:rPr>
      </w:pPr>
      <w:bookmarkStart w:id="34" w:name="_Toc486935829"/>
      <w:r w:rsidRPr="00474235">
        <w:rPr>
          <w:rFonts w:ascii="Calibri" w:hAnsi="Calibri"/>
        </w:rPr>
        <w:t>Assessment criteria: Metals in sediment</w:t>
      </w:r>
      <w:bookmarkEnd w:id="34"/>
    </w:p>
    <w:p w:rsidR="00067B41" w:rsidRPr="00474235" w:rsidRDefault="00067B41" w:rsidP="00836730">
      <w:pPr>
        <w:rPr>
          <w:lang w:val="en-GB"/>
        </w:rPr>
      </w:pPr>
      <w:r w:rsidRPr="00474235">
        <w:rPr>
          <w:lang w:val="en-GB"/>
        </w:rPr>
        <w:t>Two assessment criteria are used to assess metal concentrations in sediment: the </w:t>
      </w:r>
    </w:p>
    <w:p w:rsidR="00067B41" w:rsidRPr="00474235" w:rsidRDefault="00067B41" w:rsidP="00836730">
      <w:pPr>
        <w:rPr>
          <w:lang w:val="en-GB"/>
        </w:rPr>
      </w:pPr>
      <w:r w:rsidRPr="00474235">
        <w:rPr>
          <w:lang w:val="en-GB"/>
        </w:rPr>
        <w:t>Background Assessment Concentration (BAC)</w:t>
      </w:r>
    </w:p>
    <w:p w:rsidR="00067B41" w:rsidRPr="00474235" w:rsidRDefault="00067B41" w:rsidP="00836730">
      <w:pPr>
        <w:rPr>
          <w:lang w:val="en-GB"/>
        </w:rPr>
      </w:pPr>
      <w:r w:rsidRPr="00474235">
        <w:rPr>
          <w:lang w:val="en-GB"/>
        </w:rPr>
        <w:t>Effects Range Low (ERL)</w:t>
      </w:r>
    </w:p>
    <w:p w:rsidR="00A55641" w:rsidRPr="00474235" w:rsidRDefault="00067B41" w:rsidP="00836730">
      <w:pPr>
        <w:rPr>
          <w:lang w:val="en-GB"/>
        </w:rPr>
      </w:pPr>
      <w:r w:rsidRPr="00474235">
        <w:rPr>
          <w:lang w:val="en-GB"/>
        </w:rPr>
        <w:t>BACs were developed by the </w:t>
      </w:r>
      <w:hyperlink r:id="rId46" w:history="1">
        <w:r w:rsidRPr="00474235">
          <w:rPr>
            <w:rStyle w:val="Hyperlink"/>
            <w:lang w:val="en-GB"/>
          </w:rPr>
          <w:t>Oslo and Paris Commission</w:t>
        </w:r>
      </w:hyperlink>
      <w:r w:rsidRPr="00474235">
        <w:rPr>
          <w:lang w:val="en-GB"/>
        </w:rPr>
        <w:t> (OSPAR) for testing whether concentrations are near background levels.  Mean concentrations significantly below the BAC are said to be near background.</w:t>
      </w:r>
      <w:r w:rsidRPr="00474235">
        <w:rPr>
          <w:lang w:val="en-GB"/>
        </w:rPr>
        <w:br/>
      </w:r>
      <w:r w:rsidRPr="00474235">
        <w:rPr>
          <w:lang w:val="en-GB"/>
        </w:rPr>
        <w:br/>
      </w:r>
      <w:hyperlink r:id="rId47" w:history="1">
        <w:r w:rsidRPr="00474235">
          <w:rPr>
            <w:rStyle w:val="Hyperlink"/>
            <w:lang w:val="en-GB"/>
          </w:rPr>
          <w:t>ERLs</w:t>
        </w:r>
      </w:hyperlink>
      <w:r w:rsidRPr="00474235">
        <w:rPr>
          <w:lang w:val="en-GB"/>
        </w:rPr>
        <w:t> were developed by the </w:t>
      </w:r>
      <w:hyperlink r:id="rId48" w:history="1">
        <w:r w:rsidRPr="00474235">
          <w:rPr>
            <w:rStyle w:val="Hyperlink"/>
            <w:lang w:val="en-GB"/>
          </w:rPr>
          <w:t>United States Environmental Protection Agency</w:t>
        </w:r>
      </w:hyperlink>
      <w:r w:rsidRPr="00474235">
        <w:rPr>
          <w:lang w:val="en-GB"/>
        </w:rPr>
        <w:t> for assessing the ecological significance of sediment concentrations.  Concentrations below the ERL rarely cause adverse effects in marine organisms.</w:t>
      </w:r>
    </w:p>
    <w:p w:rsidR="00067B41" w:rsidRPr="00474235" w:rsidRDefault="00067B41" w:rsidP="00836730">
      <w:pPr>
        <w:rPr>
          <w:lang w:val="en-GB"/>
        </w:rPr>
      </w:pPr>
      <w:r w:rsidRPr="00474235">
        <w:rPr>
          <w:lang w:val="en-GB"/>
        </w:rPr>
        <w:t>BACs and / or ERLs are available for the following metals</w:t>
      </w:r>
      <w:r w:rsidR="00A55641" w:rsidRPr="00474235">
        <w:rPr>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004"/>
        <w:gridCol w:w="2621"/>
        <w:gridCol w:w="1577"/>
        <w:gridCol w:w="1314"/>
      </w:tblGrid>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b/>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b/>
                <w:lang w:val="en-GB"/>
              </w:rPr>
            </w:pPr>
            <w:r w:rsidRPr="00474235">
              <w:rPr>
                <w:b/>
                <w:lang w:val="en-GB"/>
              </w:rPr>
              <w:t>ERL</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 xml:space="preserve">All </w:t>
            </w:r>
            <w:proofErr w:type="spellStart"/>
            <w:r w:rsidRPr="00474235">
              <w:rPr>
                <w:lang w:val="en-GB"/>
              </w:rPr>
              <w:t>subregions</w:t>
            </w:r>
            <w:proofErr w:type="spellEnd"/>
            <w:r w:rsidRPr="00474235">
              <w:rPr>
                <w:lang w:val="en-GB"/>
              </w:rPr>
              <w:t xml:space="preserve"> except</w:t>
            </w:r>
            <w:r w:rsidRPr="00474235">
              <w:rPr>
                <w:lang w:val="en-GB"/>
              </w:rPr>
              <w:br/>
              <w:t>Iberian Sea and Gulf of Cadiz</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Iberian Sea</w:t>
            </w:r>
            <w:r w:rsidRPr="00474235">
              <w:rPr>
                <w:lang w:val="en-GB"/>
              </w:rPr>
              <w:br/>
              <w:t>and Gulf of Cadiz</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 xml:space="preserve">All </w:t>
            </w:r>
            <w:proofErr w:type="spellStart"/>
            <w:r w:rsidRPr="00474235">
              <w:rPr>
                <w:lang w:val="en-GB"/>
              </w:rPr>
              <w:t>subregions</w:t>
            </w:r>
            <w:proofErr w:type="spellEnd"/>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Arsenic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25   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right"/>
              <w:rPr>
                <w:lang w:val="en-GB"/>
              </w:rPr>
            </w:pPr>
            <w:r w:rsidRPr="00474235">
              <w:rPr>
                <w:lang w:val="en-GB"/>
              </w:rPr>
              <w:t>  8.2</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Cadmium</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    0.31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    0.129</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right"/>
              <w:rPr>
                <w:lang w:val="en-GB"/>
              </w:rPr>
            </w:pPr>
            <w:r w:rsidRPr="00474235">
              <w:rPr>
                <w:lang w:val="en-GB"/>
              </w:rPr>
              <w:t>  1.2</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Chromium</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81   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right"/>
              <w:rPr>
                <w:lang w:val="en-GB"/>
              </w:rPr>
            </w:pPr>
            <w:r w:rsidRPr="00474235">
              <w:rPr>
                <w:lang w:val="en-GB"/>
              </w:rPr>
              <w:t>81 </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Copper</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27   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FE159C" w:rsidP="00FE159C">
            <w:pPr>
              <w:jc w:val="right"/>
              <w:rPr>
                <w:lang w:val="en-GB"/>
              </w:rPr>
            </w:pPr>
            <w:r w:rsidRPr="00474235">
              <w:rPr>
                <w:lang w:val="en-GB"/>
              </w:rPr>
              <w:t>34</w:t>
            </w:r>
            <w:r w:rsidR="00067B41" w:rsidRPr="00474235">
              <w:rPr>
                <w:lang w:val="en-GB"/>
              </w:rPr>
              <w:t> </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Mercury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    0.07</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    0.091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right"/>
              <w:rPr>
                <w:lang w:val="en-GB"/>
              </w:rPr>
            </w:pPr>
            <w:r w:rsidRPr="00474235">
              <w:rPr>
                <w:lang w:val="en-GB"/>
              </w:rPr>
              <w:t>    0.15</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Nickel</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36   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FE159C" w:rsidP="00FE159C">
            <w:pPr>
              <w:jc w:val="right"/>
              <w:rPr>
                <w:lang w:val="en-GB"/>
              </w:rPr>
            </w:pPr>
            <w:r w:rsidRPr="00474235">
              <w:rPr>
                <w:lang w:val="en-GB"/>
              </w:rPr>
              <w:t>21</w:t>
            </w:r>
            <w:r w:rsidR="00067B41" w:rsidRPr="00474235">
              <w:rPr>
                <w:lang w:val="en-GB"/>
              </w:rPr>
              <w:t> </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Lead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38   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22.4   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FE159C" w:rsidP="00FE159C">
            <w:pPr>
              <w:jc w:val="right"/>
              <w:rPr>
                <w:lang w:val="en-GB"/>
              </w:rPr>
            </w:pPr>
            <w:r w:rsidRPr="00474235">
              <w:rPr>
                <w:lang w:val="en-GB"/>
              </w:rPr>
              <w:t>47</w:t>
            </w:r>
            <w:r w:rsidR="00067B41" w:rsidRPr="00474235">
              <w:rPr>
                <w:lang w:val="en-GB"/>
              </w:rPr>
              <w:t> </w:t>
            </w:r>
          </w:p>
        </w:tc>
      </w:tr>
      <w:tr w:rsidR="00067B41" w:rsidRPr="00474235" w:rsidTr="00067B4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Zinc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r w:rsidRPr="00474235">
              <w:rPr>
                <w:lang w:val="en-GB"/>
              </w:rPr>
              <w:t>122     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067B41"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067B41" w:rsidRPr="00474235" w:rsidRDefault="00FE159C" w:rsidP="00FE159C">
            <w:pPr>
              <w:jc w:val="right"/>
              <w:rPr>
                <w:lang w:val="en-GB"/>
              </w:rPr>
            </w:pPr>
            <w:r w:rsidRPr="00474235">
              <w:rPr>
                <w:lang w:val="en-GB"/>
              </w:rPr>
              <w:t>150</w:t>
            </w:r>
            <w:r w:rsidR="00067B41" w:rsidRPr="00474235">
              <w:rPr>
                <w:lang w:val="en-GB"/>
              </w:rPr>
              <w:t> </w:t>
            </w:r>
          </w:p>
        </w:tc>
      </w:tr>
    </w:tbl>
    <w:p w:rsidR="00067B41" w:rsidRPr="00474235" w:rsidRDefault="00067B41" w:rsidP="00836730">
      <w:pPr>
        <w:rPr>
          <w:lang w:val="en-GB"/>
        </w:rPr>
      </w:pPr>
      <w:r w:rsidRPr="00474235">
        <w:rPr>
          <w:lang w:val="en-GB"/>
        </w:rPr>
        <w:br/>
        <w:t>Notes:</w:t>
      </w:r>
    </w:p>
    <w:p w:rsidR="00067B41" w:rsidRPr="00474235" w:rsidRDefault="00067B41" w:rsidP="00A55641">
      <w:pPr>
        <w:pStyle w:val="ListParagraph"/>
        <w:numPr>
          <w:ilvl w:val="0"/>
          <w:numId w:val="31"/>
        </w:numPr>
        <w:rPr>
          <w:lang w:val="en-GB"/>
        </w:rPr>
      </w:pPr>
      <w:r w:rsidRPr="00474235">
        <w:rPr>
          <w:lang w:val="en-GB"/>
        </w:rPr>
        <w:t>all concentrations are expressed as mg kg</w:t>
      </w:r>
      <w:r w:rsidRPr="00474235">
        <w:rPr>
          <w:vertAlign w:val="superscript"/>
          <w:lang w:val="en-GB"/>
        </w:rPr>
        <w:t>-1</w:t>
      </w:r>
      <w:r w:rsidRPr="00474235">
        <w:rPr>
          <w:lang w:val="en-GB"/>
        </w:rPr>
        <w:t> </w:t>
      </w:r>
      <w:proofErr w:type="spellStart"/>
      <w:r w:rsidRPr="00474235">
        <w:rPr>
          <w:lang w:val="en-GB"/>
        </w:rPr>
        <w:t>dw</w:t>
      </w:r>
      <w:proofErr w:type="spellEnd"/>
    </w:p>
    <w:p w:rsidR="00067B41" w:rsidRPr="00474235" w:rsidRDefault="00067B41" w:rsidP="00A55641">
      <w:pPr>
        <w:pStyle w:val="ListParagraph"/>
        <w:numPr>
          <w:ilvl w:val="0"/>
          <w:numId w:val="31"/>
        </w:numPr>
        <w:rPr>
          <w:lang w:val="en-GB"/>
        </w:rPr>
      </w:pPr>
      <w:r w:rsidRPr="00474235">
        <w:rPr>
          <w:lang w:val="en-GB"/>
        </w:rPr>
        <w:t xml:space="preserve">BACs are normalised to 5% aluminium in all </w:t>
      </w:r>
      <w:proofErr w:type="spellStart"/>
      <w:r w:rsidRPr="00474235">
        <w:rPr>
          <w:lang w:val="en-GB"/>
        </w:rPr>
        <w:t>subregions</w:t>
      </w:r>
      <w:proofErr w:type="spellEnd"/>
      <w:r w:rsidRPr="00474235">
        <w:rPr>
          <w:lang w:val="en-GB"/>
        </w:rPr>
        <w:t xml:space="preserve"> except the Iberian Sea and Gulf of Cadiz, where BACs are not normalised</w:t>
      </w:r>
    </w:p>
    <w:p w:rsidR="00067B41" w:rsidRPr="00474235" w:rsidRDefault="00067B41" w:rsidP="00A55641">
      <w:pPr>
        <w:pStyle w:val="ListParagraph"/>
        <w:numPr>
          <w:ilvl w:val="0"/>
          <w:numId w:val="31"/>
        </w:numPr>
        <w:rPr>
          <w:lang w:val="en-GB"/>
        </w:rPr>
      </w:pPr>
      <w:r w:rsidRPr="00474235">
        <w:rPr>
          <w:lang w:val="en-GB"/>
        </w:rPr>
        <w:t>for arsenic and nickel, the ERLs are below the OSPAR Background Concentrations of 15 and 30 mg kg</w:t>
      </w:r>
      <w:r w:rsidRPr="00474235">
        <w:rPr>
          <w:vertAlign w:val="superscript"/>
          <w:lang w:val="en-GB"/>
        </w:rPr>
        <w:t>-1</w:t>
      </w:r>
      <w:r w:rsidRPr="00474235">
        <w:rPr>
          <w:lang w:val="en-GB"/>
        </w:rPr>
        <w:t> respectively; concentrations are only assessed against the BAC</w:t>
      </w:r>
    </w:p>
    <w:p w:rsidR="00067B41" w:rsidRPr="00474235" w:rsidRDefault="00067B41" w:rsidP="00A55641">
      <w:pPr>
        <w:pStyle w:val="ListParagraph"/>
        <w:numPr>
          <w:ilvl w:val="0"/>
          <w:numId w:val="31"/>
        </w:numPr>
        <w:rPr>
          <w:lang w:val="en-GB"/>
        </w:rPr>
      </w:pPr>
      <w:r w:rsidRPr="00474235">
        <w:rPr>
          <w:lang w:val="en-GB"/>
        </w:rPr>
        <w:t>for chromium, the ERL equals the BAC; concentrations are only assessed against the ERL</w:t>
      </w:r>
    </w:p>
    <w:p w:rsidR="00836730" w:rsidRPr="00474235" w:rsidRDefault="00836730" w:rsidP="00552FB8">
      <w:pPr>
        <w:pStyle w:val="Heading2"/>
        <w:rPr>
          <w:rFonts w:ascii="Calibri" w:hAnsi="Calibri"/>
        </w:rPr>
      </w:pPr>
      <w:bookmarkStart w:id="35" w:name="_Toc486935830"/>
      <w:r w:rsidRPr="00474235">
        <w:rPr>
          <w:rFonts w:ascii="Calibri" w:hAnsi="Calibri"/>
        </w:rPr>
        <w:t>Assessment criteria: PAHs in sediment</w:t>
      </w:r>
      <w:bookmarkEnd w:id="35"/>
    </w:p>
    <w:p w:rsidR="00836730" w:rsidRPr="00474235" w:rsidRDefault="00836730" w:rsidP="00A55641">
      <w:pPr>
        <w:rPr>
          <w:lang w:val="en-GB"/>
        </w:rPr>
      </w:pPr>
      <w:r w:rsidRPr="00474235">
        <w:rPr>
          <w:lang w:val="en-GB"/>
        </w:rPr>
        <w:t>Two assessment criteria are used to assess PAH concentrations in sediment: the </w:t>
      </w:r>
    </w:p>
    <w:p w:rsidR="00836730" w:rsidRPr="00474235" w:rsidRDefault="00836730" w:rsidP="00A55641">
      <w:pPr>
        <w:rPr>
          <w:lang w:val="en-GB"/>
        </w:rPr>
      </w:pPr>
      <w:r w:rsidRPr="00474235">
        <w:rPr>
          <w:lang w:val="en-GB"/>
        </w:rPr>
        <w:t>Background Assessment Concentration (BAC)</w:t>
      </w:r>
    </w:p>
    <w:p w:rsidR="00836730" w:rsidRPr="00474235" w:rsidRDefault="00836730" w:rsidP="00A55641">
      <w:pPr>
        <w:rPr>
          <w:lang w:val="en-GB"/>
        </w:rPr>
      </w:pPr>
      <w:r w:rsidRPr="00474235">
        <w:rPr>
          <w:lang w:val="en-GB"/>
        </w:rPr>
        <w:t>Effects Range Low (ERL)</w:t>
      </w:r>
    </w:p>
    <w:p w:rsidR="00A55641" w:rsidRPr="00474235" w:rsidRDefault="00836730" w:rsidP="00A55641">
      <w:pPr>
        <w:rPr>
          <w:lang w:val="en-GB"/>
        </w:rPr>
      </w:pPr>
      <w:r w:rsidRPr="00474235">
        <w:rPr>
          <w:lang w:val="en-GB"/>
        </w:rPr>
        <w:t>BACs were developed by the </w:t>
      </w:r>
      <w:hyperlink r:id="rId49" w:history="1">
        <w:r w:rsidRPr="00474235">
          <w:rPr>
            <w:rStyle w:val="Hyperlink"/>
            <w:lang w:val="en-GB"/>
          </w:rPr>
          <w:t>Oslo and Paris Commission</w:t>
        </w:r>
      </w:hyperlink>
      <w:r w:rsidRPr="00474235">
        <w:rPr>
          <w:lang w:val="en-GB"/>
        </w:rPr>
        <w:t> (OSPAR) for testing whether concentrations are near background levels.  Mean concentrations significantly below the BAC are said to be near background.</w:t>
      </w:r>
      <w:r w:rsidRPr="00474235">
        <w:rPr>
          <w:lang w:val="en-GB"/>
        </w:rPr>
        <w:br/>
      </w:r>
      <w:hyperlink r:id="rId50" w:history="1">
        <w:r w:rsidRPr="00474235">
          <w:rPr>
            <w:rStyle w:val="Hyperlink"/>
            <w:lang w:val="en-GB"/>
          </w:rPr>
          <w:t>ERLs</w:t>
        </w:r>
      </w:hyperlink>
      <w:r w:rsidRPr="00474235">
        <w:rPr>
          <w:lang w:val="en-GB"/>
        </w:rPr>
        <w:t> were developed by the </w:t>
      </w:r>
      <w:hyperlink r:id="rId51" w:history="1">
        <w:r w:rsidRPr="00474235">
          <w:rPr>
            <w:rStyle w:val="Hyperlink"/>
            <w:lang w:val="en-GB"/>
          </w:rPr>
          <w:t>United States Environmental Protection Agency</w:t>
        </w:r>
      </w:hyperlink>
      <w:r w:rsidRPr="00474235">
        <w:rPr>
          <w:lang w:val="en-GB"/>
        </w:rPr>
        <w:t> for assessing the ecological significance of sediment concentrations.  Concentrations below the ERL rarely cause adverse effects in marine organisms.</w:t>
      </w:r>
    </w:p>
    <w:p w:rsidR="00A55641" w:rsidRPr="00474235" w:rsidRDefault="00836730" w:rsidP="00A55641">
      <w:pPr>
        <w:rPr>
          <w:lang w:val="en-GB"/>
        </w:rPr>
      </w:pPr>
      <w:r w:rsidRPr="00474235">
        <w:rPr>
          <w:lang w:val="en-GB"/>
        </w:rPr>
        <w:t>BACs and / or ERLs are available for the following PAHs</w:t>
      </w:r>
      <w:r w:rsidR="00A55641" w:rsidRPr="00474235">
        <w:rPr>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49"/>
        <w:gridCol w:w="2621"/>
        <w:gridCol w:w="1577"/>
        <w:gridCol w:w="1314"/>
      </w:tblGrid>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b/>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b/>
                <w:lang w:val="en-GB"/>
              </w:rPr>
            </w:pPr>
            <w:r w:rsidRPr="00474235">
              <w:rPr>
                <w:b/>
                <w:lang w:val="en-GB"/>
              </w:rPr>
              <w:t>ERL</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xml:space="preserve">All </w:t>
            </w:r>
            <w:proofErr w:type="spellStart"/>
            <w:r w:rsidRPr="00474235">
              <w:rPr>
                <w:lang w:val="en-GB"/>
              </w:rPr>
              <w:t>subregions</w:t>
            </w:r>
            <w:proofErr w:type="spellEnd"/>
            <w:r w:rsidRPr="00474235">
              <w:rPr>
                <w:lang w:val="en-GB"/>
              </w:rPr>
              <w:t xml:space="preserve"> except</w:t>
            </w:r>
            <w:r w:rsidRPr="00474235">
              <w:rPr>
                <w:lang w:val="en-GB"/>
              </w:rPr>
              <w:br/>
              <w:t>Iberian Sea and Gulf of Cadiz</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Iberian Sea</w:t>
            </w:r>
            <w:r w:rsidRPr="00474235">
              <w:rPr>
                <w:lang w:val="en-GB"/>
              </w:rPr>
              <w:br/>
              <w:t>and Gulf of Cadiz</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xml:space="preserve">All </w:t>
            </w:r>
            <w:proofErr w:type="spellStart"/>
            <w:r w:rsidRPr="00474235">
              <w:rPr>
                <w:lang w:val="en-GB"/>
              </w:rPr>
              <w:t>subregions</w:t>
            </w:r>
            <w:proofErr w:type="spellEnd"/>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Naphthalene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160 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roofErr w:type="spellStart"/>
            <w:r w:rsidRPr="00474235">
              <w:rPr>
                <w:lang w:val="en-GB"/>
              </w:rPr>
              <w:t>Phenanthrene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32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7.3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240 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Anthracene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1.8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 85</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roofErr w:type="spellStart"/>
            <w:r w:rsidRPr="00474235">
              <w:rPr>
                <w:lang w:val="en-GB"/>
              </w:rPr>
              <w:t>Dibenzothiophene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190 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roofErr w:type="spellStart"/>
            <w:r w:rsidRPr="00474235">
              <w:rPr>
                <w:lang w:val="en-GB"/>
              </w:rPr>
              <w:t>Fluoranthene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39</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14.4 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600 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Pyrene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24</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11.3 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665 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Benz[a]anthracene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16</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7.1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261 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Chrysene (</w:t>
            </w:r>
            <w:proofErr w:type="spellStart"/>
            <w:r w:rsidRPr="00474235">
              <w:rPr>
                <w:lang w:val="en-GB"/>
              </w:rPr>
              <w:t>Triphenylene</w:t>
            </w:r>
            <w:proofErr w:type="spellEnd"/>
            <w:r w:rsidRPr="00474235">
              <w:rPr>
                <w:lang w:val="en-GB"/>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20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8.0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384 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Benzo[a]pyrene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30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8.2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430 </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Benzo[</w:t>
            </w:r>
            <w:proofErr w:type="spellStart"/>
            <w:r w:rsidRPr="00474235">
              <w:rPr>
                <w:lang w:val="en-GB"/>
              </w:rPr>
              <w:t>ghi</w:t>
            </w:r>
            <w:proofErr w:type="spellEnd"/>
            <w:r w:rsidRPr="00474235">
              <w:rPr>
                <w:lang w:val="en-GB"/>
              </w:rPr>
              <w:t>]</w:t>
            </w:r>
            <w:proofErr w:type="spellStart"/>
            <w:r w:rsidRPr="00474235">
              <w:rPr>
                <w:lang w:val="en-GB"/>
              </w:rPr>
              <w:t>perylene</w:t>
            </w:r>
            <w:proofErr w:type="spellEnd"/>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80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6.9</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 85</w:t>
            </w:r>
          </w:p>
        </w:tc>
      </w:tr>
      <w:tr w:rsidR="00836730" w:rsidRPr="00474235" w:rsidTr="0083673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proofErr w:type="spellStart"/>
            <w:r w:rsidRPr="00474235">
              <w:rPr>
                <w:lang w:val="en-GB"/>
              </w:rPr>
              <w:t>Indeno</w:t>
            </w:r>
            <w:proofErr w:type="spellEnd"/>
            <w:r w:rsidRPr="00474235">
              <w:rPr>
                <w:lang w:val="en-GB"/>
              </w:rPr>
              <w:t>[123-cd]pyrene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103 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left"/>
              <w:rPr>
                <w:lang w:val="en-GB"/>
              </w:rPr>
            </w:pPr>
            <w:r w:rsidRPr="00474235">
              <w:rPr>
                <w:lang w:val="en-GB"/>
              </w:rPr>
              <w:t> 8.3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836730" w:rsidRPr="00474235" w:rsidRDefault="00836730" w:rsidP="00FE159C">
            <w:pPr>
              <w:jc w:val="right"/>
              <w:rPr>
                <w:lang w:val="en-GB"/>
              </w:rPr>
            </w:pPr>
            <w:r w:rsidRPr="00474235">
              <w:rPr>
                <w:lang w:val="en-GB"/>
              </w:rPr>
              <w:t>240 </w:t>
            </w:r>
          </w:p>
        </w:tc>
      </w:tr>
    </w:tbl>
    <w:p w:rsidR="00A55641" w:rsidRPr="00474235" w:rsidRDefault="00836730" w:rsidP="00A55641">
      <w:pPr>
        <w:rPr>
          <w:lang w:val="en-GB"/>
        </w:rPr>
      </w:pPr>
      <w:r w:rsidRPr="00474235">
        <w:rPr>
          <w:lang w:val="en-GB"/>
        </w:rPr>
        <w:t>Notes:</w:t>
      </w:r>
    </w:p>
    <w:p w:rsidR="00836730" w:rsidRPr="00474235" w:rsidRDefault="00836730" w:rsidP="00A55641">
      <w:pPr>
        <w:pStyle w:val="ListParagraph"/>
        <w:numPr>
          <w:ilvl w:val="0"/>
          <w:numId w:val="33"/>
        </w:numPr>
        <w:rPr>
          <w:lang w:val="en-GB"/>
        </w:rPr>
      </w:pPr>
      <w:r w:rsidRPr="00474235">
        <w:rPr>
          <w:lang w:val="en-GB"/>
        </w:rPr>
        <w:t xml:space="preserve">all concentrations are expressed as </w:t>
      </w:r>
      <w:proofErr w:type="spellStart"/>
      <w:r w:rsidRPr="00474235">
        <w:rPr>
          <w:lang w:val="en-GB"/>
        </w:rPr>
        <w:t>μg</w:t>
      </w:r>
      <w:proofErr w:type="spellEnd"/>
      <w:r w:rsidRPr="00474235">
        <w:rPr>
          <w:lang w:val="en-GB"/>
        </w:rPr>
        <w:t xml:space="preserve"> kg</w:t>
      </w:r>
      <w:r w:rsidRPr="00474235">
        <w:rPr>
          <w:vertAlign w:val="superscript"/>
          <w:lang w:val="en-GB"/>
        </w:rPr>
        <w:t>-1</w:t>
      </w:r>
      <w:r w:rsidRPr="00474235">
        <w:rPr>
          <w:lang w:val="en-GB"/>
        </w:rPr>
        <w:t> </w:t>
      </w:r>
      <w:proofErr w:type="spellStart"/>
      <w:r w:rsidRPr="00474235">
        <w:rPr>
          <w:lang w:val="en-GB"/>
        </w:rPr>
        <w:t>dw</w:t>
      </w:r>
      <w:proofErr w:type="spellEnd"/>
    </w:p>
    <w:p w:rsidR="00836730" w:rsidRPr="00474235" w:rsidRDefault="00836730" w:rsidP="00A55641">
      <w:pPr>
        <w:pStyle w:val="ListParagraph"/>
        <w:numPr>
          <w:ilvl w:val="0"/>
          <w:numId w:val="32"/>
        </w:numPr>
        <w:rPr>
          <w:lang w:val="en-GB"/>
        </w:rPr>
      </w:pPr>
      <w:r w:rsidRPr="00474235">
        <w:rPr>
          <w:lang w:val="en-GB"/>
        </w:rPr>
        <w:t xml:space="preserve">BACs are normalised to 2.5% organic carbon in all </w:t>
      </w:r>
      <w:proofErr w:type="spellStart"/>
      <w:r w:rsidRPr="00474235">
        <w:rPr>
          <w:lang w:val="en-GB"/>
        </w:rPr>
        <w:t>subregions</w:t>
      </w:r>
      <w:proofErr w:type="spellEnd"/>
      <w:r w:rsidRPr="00474235">
        <w:rPr>
          <w:lang w:val="en-GB"/>
        </w:rPr>
        <w:t xml:space="preserve"> except the Iberian Sea and Gulf of Cadiz, where BACs are not normalised</w:t>
      </w:r>
    </w:p>
    <w:p w:rsidR="00235606" w:rsidRPr="00474235" w:rsidRDefault="00235606" w:rsidP="00552FB8">
      <w:pPr>
        <w:pStyle w:val="Heading2"/>
        <w:rPr>
          <w:rFonts w:ascii="Calibri" w:hAnsi="Calibri"/>
        </w:rPr>
      </w:pPr>
      <w:bookmarkStart w:id="36" w:name="_Toc486935831"/>
      <w:r w:rsidRPr="00474235">
        <w:rPr>
          <w:rFonts w:ascii="Calibri" w:hAnsi="Calibri"/>
        </w:rPr>
        <w:t>Assessment criteria: CBs in sediment</w:t>
      </w:r>
      <w:bookmarkEnd w:id="36"/>
    </w:p>
    <w:p w:rsidR="00235606" w:rsidRPr="00474235" w:rsidRDefault="00235606" w:rsidP="00235606">
      <w:pPr>
        <w:rPr>
          <w:lang w:val="en-GB"/>
        </w:rPr>
      </w:pPr>
      <w:r w:rsidRPr="00474235">
        <w:rPr>
          <w:lang w:val="en-GB"/>
        </w:rPr>
        <w:t>Two assessment criteria are used to assess metal concentrations in sediment: the </w:t>
      </w:r>
    </w:p>
    <w:p w:rsidR="00235606" w:rsidRPr="00474235" w:rsidRDefault="00235606" w:rsidP="00235606">
      <w:pPr>
        <w:numPr>
          <w:ilvl w:val="0"/>
          <w:numId w:val="22"/>
        </w:numPr>
        <w:rPr>
          <w:lang w:val="en-GB"/>
        </w:rPr>
      </w:pPr>
      <w:r w:rsidRPr="00474235">
        <w:rPr>
          <w:b/>
          <w:bCs/>
          <w:lang w:val="en-GB"/>
        </w:rPr>
        <w:t>B</w:t>
      </w:r>
      <w:r w:rsidRPr="00474235">
        <w:rPr>
          <w:lang w:val="en-GB"/>
        </w:rPr>
        <w:t>ackground </w:t>
      </w:r>
      <w:r w:rsidRPr="00474235">
        <w:rPr>
          <w:b/>
          <w:bCs/>
          <w:lang w:val="en-GB"/>
        </w:rPr>
        <w:t>A</w:t>
      </w:r>
      <w:r w:rsidRPr="00474235">
        <w:rPr>
          <w:lang w:val="en-GB"/>
        </w:rPr>
        <w:t>ssessment </w:t>
      </w:r>
      <w:r w:rsidRPr="00474235">
        <w:rPr>
          <w:b/>
          <w:bCs/>
          <w:lang w:val="en-GB"/>
        </w:rPr>
        <w:t>C</w:t>
      </w:r>
      <w:r w:rsidRPr="00474235">
        <w:rPr>
          <w:lang w:val="en-GB"/>
        </w:rPr>
        <w:t>oncentration (BAC)</w:t>
      </w:r>
    </w:p>
    <w:p w:rsidR="00235606" w:rsidRPr="00474235" w:rsidRDefault="00235606" w:rsidP="00235606">
      <w:pPr>
        <w:numPr>
          <w:ilvl w:val="0"/>
          <w:numId w:val="22"/>
        </w:numPr>
        <w:rPr>
          <w:lang w:val="en-GB"/>
        </w:rPr>
      </w:pPr>
      <w:r w:rsidRPr="00474235">
        <w:rPr>
          <w:b/>
          <w:bCs/>
          <w:lang w:val="en-GB"/>
        </w:rPr>
        <w:t>E</w:t>
      </w:r>
      <w:r w:rsidRPr="00474235">
        <w:rPr>
          <w:lang w:val="en-GB"/>
        </w:rPr>
        <w:t>nvironmental </w:t>
      </w:r>
      <w:r w:rsidRPr="00474235">
        <w:rPr>
          <w:b/>
          <w:bCs/>
          <w:lang w:val="en-GB"/>
        </w:rPr>
        <w:t>A</w:t>
      </w:r>
      <w:r w:rsidRPr="00474235">
        <w:rPr>
          <w:lang w:val="en-GB"/>
        </w:rPr>
        <w:t>ssessment </w:t>
      </w:r>
      <w:r w:rsidRPr="00474235">
        <w:rPr>
          <w:b/>
          <w:bCs/>
          <w:lang w:val="en-GB"/>
        </w:rPr>
        <w:t>C</w:t>
      </w:r>
      <w:r w:rsidRPr="00474235">
        <w:rPr>
          <w:lang w:val="en-GB"/>
        </w:rPr>
        <w:t>riteria (EAC)</w:t>
      </w:r>
    </w:p>
    <w:p w:rsidR="00A55641" w:rsidRPr="00474235" w:rsidRDefault="00235606" w:rsidP="00235606">
      <w:pPr>
        <w:rPr>
          <w:lang w:val="en-GB"/>
        </w:rPr>
      </w:pPr>
      <w:r w:rsidRPr="00474235">
        <w:rPr>
          <w:lang w:val="en-GB"/>
        </w:rPr>
        <w:t>BACs were developed by the </w:t>
      </w:r>
      <w:hyperlink r:id="rId52" w:history="1">
        <w:r w:rsidRPr="00474235">
          <w:rPr>
            <w:rStyle w:val="Hyperlink"/>
            <w:lang w:val="en-GB"/>
          </w:rPr>
          <w:t>Oslo and Paris Commission</w:t>
        </w:r>
      </w:hyperlink>
      <w:r w:rsidRPr="00474235">
        <w:rPr>
          <w:lang w:val="en-GB"/>
        </w:rPr>
        <w:t> (OSPAR) for testing whether concentrations are near background levels. Mean concentrations significantly below the BAC are said to be near background.</w:t>
      </w:r>
      <w:r w:rsidRPr="00474235">
        <w:rPr>
          <w:lang w:val="en-GB"/>
        </w:rPr>
        <w:br/>
      </w:r>
      <w:r w:rsidRPr="00474235">
        <w:rPr>
          <w:lang w:val="en-GB"/>
        </w:rPr>
        <w:br/>
        <w:t>EACs were developed by OSPAR and the </w:t>
      </w:r>
      <w:hyperlink r:id="rId53" w:history="1">
        <w:r w:rsidRPr="00474235">
          <w:rPr>
            <w:rStyle w:val="Hyperlink"/>
            <w:lang w:val="en-GB"/>
          </w:rPr>
          <w:t>International Council for the Exploration of the Sea</w:t>
        </w:r>
      </w:hyperlink>
      <w:r w:rsidRPr="00474235">
        <w:rPr>
          <w:lang w:val="en-GB"/>
        </w:rPr>
        <w:t> for assessing the ecological significance of sediment concentrations. Concentrations below the EAC should not cause any chronic effects in marine organisms.</w:t>
      </w:r>
    </w:p>
    <w:p w:rsidR="00A8169D" w:rsidRDefault="00A8169D">
      <w:pPr>
        <w:spacing w:after="0" w:line="240" w:lineRule="auto"/>
        <w:jc w:val="left"/>
        <w:rPr>
          <w:lang w:val="en-GB"/>
        </w:rPr>
      </w:pPr>
      <w:r>
        <w:rPr>
          <w:lang w:val="en-GB"/>
        </w:rPr>
        <w:br w:type="page"/>
      </w:r>
    </w:p>
    <w:p w:rsidR="00235606" w:rsidRPr="00474235" w:rsidRDefault="00235606" w:rsidP="00235606">
      <w:pPr>
        <w:rPr>
          <w:lang w:val="en-GB"/>
        </w:rPr>
      </w:pPr>
      <w:r w:rsidRPr="00474235">
        <w:rPr>
          <w:lang w:val="en-GB"/>
        </w:rPr>
        <w:t>BACs and EACs are available for the following CBs</w:t>
      </w:r>
      <w:r w:rsidR="00A55641" w:rsidRPr="00474235">
        <w:rPr>
          <w:lang w:val="en-GB"/>
        </w:rPr>
        <w:t>:</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32"/>
        <w:gridCol w:w="2621"/>
        <w:gridCol w:w="1577"/>
        <w:gridCol w:w="1314"/>
      </w:tblGrid>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b/>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b/>
                <w:lang w:val="en-GB"/>
              </w:rPr>
            </w:pPr>
            <w:r w:rsidRPr="00474235">
              <w:rPr>
                <w:b/>
                <w:lang w:val="en-GB"/>
              </w:rPr>
              <w:t>BAC</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b/>
                <w:lang w:val="en-GB"/>
              </w:rPr>
            </w:pPr>
            <w:r w:rsidRPr="00474235">
              <w:rPr>
                <w:b/>
                <w:lang w:val="en-GB"/>
              </w:rPr>
              <w:t>EAC</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 xml:space="preserve">All </w:t>
            </w:r>
            <w:proofErr w:type="spellStart"/>
            <w:r w:rsidRPr="00474235">
              <w:rPr>
                <w:lang w:val="en-GB"/>
              </w:rPr>
              <w:t>subregions</w:t>
            </w:r>
            <w:proofErr w:type="spellEnd"/>
            <w:r w:rsidRPr="00474235">
              <w:rPr>
                <w:lang w:val="en-GB"/>
              </w:rPr>
              <w:t xml:space="preserve"> except</w:t>
            </w:r>
            <w:r w:rsidRPr="00474235">
              <w:rPr>
                <w:lang w:val="en-GB"/>
              </w:rPr>
              <w:br/>
              <w:t>Iberian Sea and Gulf of Cadiz</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Iberian Sea</w:t>
            </w:r>
            <w:r w:rsidRPr="00474235">
              <w:rPr>
                <w:lang w:val="en-GB"/>
              </w:rPr>
              <w:br/>
              <w:t>and Gulf of Cadiz</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 xml:space="preserve">All </w:t>
            </w:r>
            <w:proofErr w:type="spellStart"/>
            <w:r w:rsidRPr="00474235">
              <w:rPr>
                <w:lang w:val="en-GB"/>
              </w:rPr>
              <w:t>subregions</w:t>
            </w:r>
            <w:proofErr w:type="spellEnd"/>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CB28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0.22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  1.7</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CB52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0.12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  2.7</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CB101</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0.14</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  3.0</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CB118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0.17</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  0.6</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CB138</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0.15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  7.9</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CB153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0.19</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40</w:t>
            </w:r>
            <w:r w:rsidR="00FE159C" w:rsidRPr="00474235">
              <w:rPr>
                <w:lang w:val="en-GB"/>
              </w:rPr>
              <w:t>.0</w:t>
            </w:r>
          </w:p>
        </w:tc>
      </w:tr>
      <w:tr w:rsidR="00235606" w:rsidRPr="00474235" w:rsidTr="0023560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CB180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r w:rsidRPr="00474235">
              <w:rPr>
                <w:lang w:val="en-GB"/>
              </w:rPr>
              <w:t>0.10</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left"/>
              <w:rPr>
                <w:lang w:val="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rsidR="00235606" w:rsidRPr="00474235" w:rsidRDefault="00235606" w:rsidP="00FE159C">
            <w:pPr>
              <w:jc w:val="right"/>
              <w:rPr>
                <w:lang w:val="en-GB"/>
              </w:rPr>
            </w:pPr>
            <w:r w:rsidRPr="00474235">
              <w:rPr>
                <w:lang w:val="en-GB"/>
              </w:rPr>
              <w:t>12</w:t>
            </w:r>
            <w:r w:rsidR="00FE159C" w:rsidRPr="00474235">
              <w:rPr>
                <w:lang w:val="en-GB"/>
              </w:rPr>
              <w:t>.0</w:t>
            </w:r>
            <w:r w:rsidRPr="00474235">
              <w:rPr>
                <w:lang w:val="en-GB"/>
              </w:rPr>
              <w:t> </w:t>
            </w:r>
          </w:p>
        </w:tc>
      </w:tr>
    </w:tbl>
    <w:p w:rsidR="00235606" w:rsidRPr="00474235" w:rsidRDefault="00A55641" w:rsidP="00235606">
      <w:pPr>
        <w:rPr>
          <w:lang w:val="en-GB"/>
        </w:rPr>
      </w:pPr>
      <w:r w:rsidRPr="00474235">
        <w:rPr>
          <w:lang w:val="en-GB"/>
        </w:rPr>
        <w:t>Notes:</w:t>
      </w:r>
    </w:p>
    <w:p w:rsidR="00235606" w:rsidRPr="00474235" w:rsidRDefault="00235606" w:rsidP="00235606">
      <w:pPr>
        <w:numPr>
          <w:ilvl w:val="0"/>
          <w:numId w:val="23"/>
        </w:numPr>
        <w:rPr>
          <w:lang w:val="en-GB"/>
        </w:rPr>
      </w:pPr>
      <w:r w:rsidRPr="00474235">
        <w:rPr>
          <w:lang w:val="en-GB"/>
        </w:rPr>
        <w:t xml:space="preserve">all concentrations are expressed as </w:t>
      </w:r>
      <w:proofErr w:type="spellStart"/>
      <w:r w:rsidRPr="00474235">
        <w:rPr>
          <w:lang w:val="en-GB"/>
        </w:rPr>
        <w:t>μg</w:t>
      </w:r>
      <w:proofErr w:type="spellEnd"/>
      <w:r w:rsidRPr="00474235">
        <w:rPr>
          <w:lang w:val="en-GB"/>
        </w:rPr>
        <w:t xml:space="preserve"> kg</w:t>
      </w:r>
      <w:r w:rsidRPr="00474235">
        <w:rPr>
          <w:vertAlign w:val="superscript"/>
          <w:lang w:val="en-GB"/>
        </w:rPr>
        <w:t>-1</w:t>
      </w:r>
      <w:r w:rsidRPr="00474235">
        <w:rPr>
          <w:lang w:val="en-GB"/>
        </w:rPr>
        <w:t> </w:t>
      </w:r>
      <w:proofErr w:type="spellStart"/>
      <w:r w:rsidRPr="00474235">
        <w:rPr>
          <w:lang w:val="en-GB"/>
        </w:rPr>
        <w:t>dw</w:t>
      </w:r>
      <w:proofErr w:type="spellEnd"/>
    </w:p>
    <w:p w:rsidR="00235606" w:rsidRPr="00474235" w:rsidRDefault="00235606" w:rsidP="00235606">
      <w:pPr>
        <w:numPr>
          <w:ilvl w:val="0"/>
          <w:numId w:val="23"/>
        </w:numPr>
        <w:rPr>
          <w:lang w:val="en-GB"/>
        </w:rPr>
      </w:pPr>
      <w:r w:rsidRPr="00474235">
        <w:rPr>
          <w:lang w:val="en-GB"/>
        </w:rPr>
        <w:t>BACs are normalised to 2.5% organic carbon</w:t>
      </w:r>
    </w:p>
    <w:p w:rsidR="00235606" w:rsidRPr="00474235" w:rsidRDefault="00235606" w:rsidP="00235606">
      <w:pPr>
        <w:numPr>
          <w:ilvl w:val="0"/>
          <w:numId w:val="23"/>
        </w:numPr>
        <w:rPr>
          <w:lang w:val="en-GB"/>
        </w:rPr>
      </w:pPr>
      <w:r w:rsidRPr="00474235">
        <w:rPr>
          <w:lang w:val="en-GB"/>
        </w:rPr>
        <w:t>BACs are under development for the Iberian Sea and Gulf of Cadiz, where concentrations are only assessed against the EAC</w:t>
      </w:r>
    </w:p>
    <w:p w:rsidR="00B57799" w:rsidRPr="00474235" w:rsidRDefault="00B57799" w:rsidP="00552FB8">
      <w:pPr>
        <w:pStyle w:val="Heading2"/>
        <w:rPr>
          <w:rFonts w:ascii="Calibri" w:hAnsi="Calibri"/>
        </w:rPr>
      </w:pPr>
      <w:bookmarkStart w:id="37" w:name="_Toc486935832"/>
      <w:r w:rsidRPr="00474235">
        <w:rPr>
          <w:rFonts w:ascii="Calibri" w:hAnsi="Calibri"/>
        </w:rPr>
        <w:t xml:space="preserve">Assessment criteria: </w:t>
      </w:r>
      <w:proofErr w:type="spellStart"/>
      <w:r w:rsidRPr="00474235">
        <w:rPr>
          <w:rFonts w:ascii="Calibri" w:hAnsi="Calibri"/>
        </w:rPr>
        <w:t>Organo</w:t>
      </w:r>
      <w:proofErr w:type="spellEnd"/>
      <w:r w:rsidRPr="00474235">
        <w:rPr>
          <w:rFonts w:ascii="Calibri" w:hAnsi="Calibri"/>
        </w:rPr>
        <w:t>-metals in sediment</w:t>
      </w:r>
      <w:bookmarkEnd w:id="37"/>
    </w:p>
    <w:p w:rsidR="00B57799" w:rsidRPr="00474235" w:rsidRDefault="00B57799" w:rsidP="00B57799">
      <w:pPr>
        <w:rPr>
          <w:lang w:val="en-GB"/>
        </w:rPr>
      </w:pPr>
      <w:r w:rsidRPr="00474235">
        <w:rPr>
          <w:lang w:val="en-GB"/>
        </w:rPr>
        <w:t xml:space="preserve">Assessment criteria for </w:t>
      </w:r>
      <w:proofErr w:type="spellStart"/>
      <w:r w:rsidRPr="00474235">
        <w:rPr>
          <w:lang w:val="en-GB"/>
        </w:rPr>
        <w:t>organo</w:t>
      </w:r>
      <w:proofErr w:type="spellEnd"/>
      <w:r w:rsidRPr="00474235">
        <w:rPr>
          <w:lang w:val="en-GB"/>
        </w:rPr>
        <w:t>-metals in sediment are under development. </w:t>
      </w:r>
    </w:p>
    <w:p w:rsidR="00B57799" w:rsidRPr="00474235" w:rsidRDefault="00B57799" w:rsidP="00552FB8">
      <w:pPr>
        <w:pStyle w:val="Heading2"/>
        <w:rPr>
          <w:rFonts w:ascii="Calibri" w:hAnsi="Calibri"/>
        </w:rPr>
      </w:pPr>
      <w:bookmarkStart w:id="38" w:name="_Toc486935833"/>
      <w:r w:rsidRPr="00474235">
        <w:rPr>
          <w:rFonts w:ascii="Calibri" w:hAnsi="Calibri"/>
        </w:rPr>
        <w:t xml:space="preserve">Assessment criteria: </w:t>
      </w:r>
      <w:proofErr w:type="spellStart"/>
      <w:r w:rsidRPr="00474235">
        <w:rPr>
          <w:rFonts w:ascii="Calibri" w:hAnsi="Calibri"/>
        </w:rPr>
        <w:t>Organo</w:t>
      </w:r>
      <w:proofErr w:type="spellEnd"/>
      <w:r w:rsidRPr="00474235">
        <w:rPr>
          <w:rFonts w:ascii="Calibri" w:hAnsi="Calibri"/>
        </w:rPr>
        <w:t>-bromines in sediment</w:t>
      </w:r>
      <w:bookmarkEnd w:id="38"/>
    </w:p>
    <w:p w:rsidR="00B57799" w:rsidRPr="00474235" w:rsidRDefault="00B57799" w:rsidP="00B57799">
      <w:pPr>
        <w:rPr>
          <w:lang w:val="en-GB"/>
        </w:rPr>
      </w:pPr>
      <w:r w:rsidRPr="00474235">
        <w:rPr>
          <w:lang w:val="en-GB"/>
        </w:rPr>
        <w:t xml:space="preserve">Assessment criteria for </w:t>
      </w:r>
      <w:proofErr w:type="spellStart"/>
      <w:r w:rsidRPr="00474235">
        <w:rPr>
          <w:lang w:val="en-GB"/>
        </w:rPr>
        <w:t>organo</w:t>
      </w:r>
      <w:proofErr w:type="spellEnd"/>
      <w:r w:rsidRPr="00474235">
        <w:rPr>
          <w:lang w:val="en-GB"/>
        </w:rPr>
        <w:t>-bromines in sediment are under development. </w:t>
      </w:r>
    </w:p>
    <w:p w:rsidR="00A55641" w:rsidRPr="00474235" w:rsidRDefault="00A55641">
      <w:pPr>
        <w:spacing w:after="0" w:line="240" w:lineRule="auto"/>
        <w:jc w:val="left"/>
        <w:rPr>
          <w:rFonts w:eastAsiaTheme="majorEastAsia" w:cstheme="majorBidi"/>
          <w:bCs/>
          <w:sz w:val="32"/>
          <w:szCs w:val="32"/>
          <w:lang w:val="en-GB"/>
        </w:rPr>
      </w:pPr>
      <w:r w:rsidRPr="00474235">
        <w:rPr>
          <w:lang w:val="en-GB"/>
        </w:rPr>
        <w:br w:type="page"/>
      </w:r>
    </w:p>
    <w:p w:rsidR="00DF6EB5" w:rsidRPr="00474235" w:rsidRDefault="00DF6EB5" w:rsidP="00552FB8">
      <w:pPr>
        <w:pStyle w:val="Heading1"/>
        <w:rPr>
          <w:rFonts w:ascii="Calibri" w:hAnsi="Calibri"/>
        </w:rPr>
      </w:pPr>
      <w:bookmarkStart w:id="39" w:name="_Toc486935834"/>
      <w:r w:rsidRPr="00474235">
        <w:rPr>
          <w:rFonts w:ascii="Calibri" w:hAnsi="Calibri"/>
        </w:rPr>
        <w:t>Appendix 1</w:t>
      </w:r>
      <w:bookmarkEnd w:id="39"/>
    </w:p>
    <w:p w:rsidR="00B57799" w:rsidRPr="00474235" w:rsidRDefault="00B57799" w:rsidP="00552FB8">
      <w:pPr>
        <w:pStyle w:val="Heading2"/>
        <w:rPr>
          <w:rFonts w:ascii="Calibri" w:hAnsi="Calibri"/>
        </w:rPr>
      </w:pPr>
      <w:bookmarkStart w:id="40" w:name="_Toc486935835"/>
      <w:r w:rsidRPr="00474235">
        <w:rPr>
          <w:rFonts w:ascii="Calibri" w:hAnsi="Calibri"/>
        </w:rPr>
        <w:t xml:space="preserve">Changes to the assessment </w:t>
      </w:r>
      <w:proofErr w:type="spellStart"/>
      <w:r w:rsidRPr="00474235">
        <w:rPr>
          <w:rFonts w:ascii="Calibri" w:hAnsi="Calibri"/>
        </w:rPr>
        <w:t>methodolgy</w:t>
      </w:r>
      <w:bookmarkEnd w:id="40"/>
      <w:proofErr w:type="spellEnd"/>
    </w:p>
    <w:p w:rsidR="00B57799" w:rsidRPr="00474235" w:rsidRDefault="00B57799" w:rsidP="00B57799">
      <w:pPr>
        <w:shd w:val="clear" w:color="auto" w:fill="FFFFFF"/>
        <w:spacing w:before="300"/>
        <w:rPr>
          <w:rFonts w:cs="Times New Roman"/>
          <w:color w:val="333333"/>
          <w:sz w:val="21"/>
          <w:szCs w:val="21"/>
          <w:lang w:val="en-GB"/>
        </w:rPr>
      </w:pPr>
      <w:r w:rsidRPr="00474235">
        <w:rPr>
          <w:rFonts w:cs="Times New Roman"/>
          <w:color w:val="333333"/>
          <w:sz w:val="21"/>
          <w:szCs w:val="21"/>
          <w:lang w:val="en-GB"/>
        </w:rPr>
        <w:t>Changes made since the 2014 Assessment are described below:</w:t>
      </w:r>
    </w:p>
    <w:p w:rsidR="00B57799" w:rsidRPr="00474235" w:rsidRDefault="00A8169D" w:rsidP="00B57799">
      <w:pPr>
        <w:numPr>
          <w:ilvl w:val="0"/>
          <w:numId w:val="24"/>
        </w:numPr>
        <w:shd w:val="clear" w:color="auto" w:fill="FFFFFF"/>
        <w:spacing w:before="100" w:beforeAutospacing="1" w:after="100" w:afterAutospacing="1"/>
        <w:rPr>
          <w:rFonts w:eastAsia="Times New Roman" w:cs="Times New Roman"/>
          <w:color w:val="333333"/>
          <w:sz w:val="21"/>
          <w:szCs w:val="21"/>
          <w:lang w:val="en-GB"/>
        </w:rPr>
      </w:pPr>
      <w:hyperlink r:id="rId54" w:anchor="Assessment2016" w:history="1">
        <w:r w:rsidR="00B57799" w:rsidRPr="00474235">
          <w:rPr>
            <w:rFonts w:eastAsia="Times New Roman" w:cs="Times New Roman"/>
            <w:color w:val="337AB7"/>
            <w:sz w:val="21"/>
            <w:szCs w:val="21"/>
            <w:u w:val="single"/>
            <w:lang w:val="en-GB"/>
          </w:rPr>
          <w:t>2016 Assessment</w:t>
        </w:r>
      </w:hyperlink>
    </w:p>
    <w:p w:rsidR="00B57799" w:rsidRPr="00474235" w:rsidRDefault="00A8169D" w:rsidP="00B57799">
      <w:pPr>
        <w:numPr>
          <w:ilvl w:val="0"/>
          <w:numId w:val="24"/>
        </w:numPr>
        <w:shd w:val="clear" w:color="auto" w:fill="FFFFFF"/>
        <w:spacing w:before="100" w:beforeAutospacing="1" w:after="100" w:afterAutospacing="1"/>
        <w:rPr>
          <w:rFonts w:eastAsia="Times New Roman" w:cs="Times New Roman"/>
          <w:color w:val="333333"/>
          <w:sz w:val="21"/>
          <w:szCs w:val="21"/>
          <w:lang w:val="en-GB"/>
        </w:rPr>
      </w:pPr>
      <w:hyperlink r:id="rId55" w:anchor="Assessment2015" w:history="1">
        <w:r w:rsidR="00B57799" w:rsidRPr="00474235">
          <w:rPr>
            <w:rFonts w:eastAsia="Times New Roman" w:cs="Times New Roman"/>
            <w:color w:val="337AB7"/>
            <w:sz w:val="21"/>
            <w:szCs w:val="21"/>
            <w:u w:val="single"/>
            <w:lang w:val="en-GB"/>
          </w:rPr>
          <w:t>2015 Assessment</w:t>
        </w:r>
      </w:hyperlink>
    </w:p>
    <w:p w:rsidR="00B57799" w:rsidRPr="00474235" w:rsidRDefault="00B57799" w:rsidP="00B57799">
      <w:pPr>
        <w:shd w:val="clear" w:color="auto" w:fill="FFFFFF"/>
        <w:spacing w:before="360"/>
        <w:rPr>
          <w:rFonts w:cs="Times New Roman"/>
          <w:color w:val="333333"/>
          <w:sz w:val="21"/>
          <w:szCs w:val="21"/>
          <w:lang w:val="en-GB"/>
        </w:rPr>
      </w:pPr>
      <w:proofErr w:type="spellStart"/>
      <w:r w:rsidRPr="00474235">
        <w:rPr>
          <w:rFonts w:cs="Times New Roman"/>
          <w:color w:val="333333"/>
          <w:sz w:val="21"/>
          <w:szCs w:val="21"/>
          <w:lang w:val="en-GB"/>
        </w:rPr>
        <w:t>Helpfiles</w:t>
      </w:r>
      <w:proofErr w:type="spellEnd"/>
      <w:r w:rsidRPr="00474235">
        <w:rPr>
          <w:rFonts w:cs="Times New Roman"/>
          <w:color w:val="333333"/>
          <w:sz w:val="21"/>
          <w:szCs w:val="21"/>
          <w:lang w:val="en-GB"/>
        </w:rPr>
        <w:t xml:space="preserve"> for previous assessments can be found below:</w:t>
      </w:r>
    </w:p>
    <w:p w:rsidR="00B57799" w:rsidRPr="00474235" w:rsidRDefault="00B57799" w:rsidP="00B57799">
      <w:pPr>
        <w:shd w:val="clear" w:color="auto" w:fill="FFFFFF"/>
        <w:rPr>
          <w:rFonts w:eastAsia="Times New Roman" w:cs="Times New Roman"/>
          <w:color w:val="333333"/>
          <w:sz w:val="21"/>
          <w:szCs w:val="21"/>
          <w:lang w:val="en-GB"/>
        </w:rPr>
      </w:pPr>
      <w:r w:rsidRPr="00474235">
        <w:rPr>
          <w:rFonts w:eastAsia="Times New Roman" w:cs="Times New Roman"/>
          <w:color w:val="333333"/>
          <w:sz w:val="21"/>
          <w:szCs w:val="21"/>
          <w:lang w:val="en-GB"/>
        </w:rPr>
        <w:t>2015 assessment</w:t>
      </w:r>
    </w:p>
    <w:p w:rsidR="00B57799" w:rsidRPr="00474235" w:rsidRDefault="00A8169D" w:rsidP="00B57799">
      <w:pPr>
        <w:shd w:val="clear" w:color="auto" w:fill="FFFFFF"/>
        <w:ind w:left="720"/>
        <w:rPr>
          <w:rFonts w:eastAsia="Times New Roman" w:cs="Times New Roman"/>
          <w:color w:val="333333"/>
          <w:sz w:val="21"/>
          <w:szCs w:val="21"/>
          <w:lang w:val="en-GB"/>
        </w:rPr>
      </w:pPr>
      <w:hyperlink r:id="rId56"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contaminants in biota</w:t>
        </w:r>
      </w:hyperlink>
    </w:p>
    <w:p w:rsidR="00B57799" w:rsidRPr="00474235" w:rsidRDefault="00A8169D" w:rsidP="00B57799">
      <w:pPr>
        <w:shd w:val="clear" w:color="auto" w:fill="FFFFFF"/>
        <w:ind w:left="720"/>
        <w:rPr>
          <w:rFonts w:eastAsia="Times New Roman" w:cs="Times New Roman"/>
          <w:color w:val="333333"/>
          <w:sz w:val="21"/>
          <w:szCs w:val="21"/>
          <w:lang w:val="en-GB"/>
        </w:rPr>
      </w:pPr>
      <w:hyperlink r:id="rId57"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contaminants in sediment</w:t>
        </w:r>
      </w:hyperlink>
    </w:p>
    <w:p w:rsidR="00B57799" w:rsidRPr="00474235" w:rsidRDefault="00A8169D" w:rsidP="00B57799">
      <w:pPr>
        <w:shd w:val="clear" w:color="auto" w:fill="FFFFFF"/>
        <w:ind w:left="720"/>
        <w:rPr>
          <w:rFonts w:eastAsia="Times New Roman" w:cs="Times New Roman"/>
          <w:color w:val="333333"/>
          <w:sz w:val="21"/>
          <w:szCs w:val="21"/>
          <w:lang w:val="en-GB"/>
        </w:rPr>
      </w:pPr>
      <w:hyperlink r:id="rId58"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biological effects</w:t>
        </w:r>
      </w:hyperlink>
    </w:p>
    <w:p w:rsidR="00B57799" w:rsidRPr="00474235" w:rsidRDefault="00A8169D" w:rsidP="00B57799">
      <w:pPr>
        <w:shd w:val="clear" w:color="auto" w:fill="FFFFFF"/>
        <w:ind w:left="720"/>
        <w:rPr>
          <w:rFonts w:eastAsia="Times New Roman" w:cs="Times New Roman"/>
          <w:color w:val="333333"/>
          <w:sz w:val="21"/>
          <w:szCs w:val="21"/>
          <w:lang w:val="en-GB"/>
        </w:rPr>
      </w:pPr>
      <w:hyperlink r:id="rId59"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w:t>
        </w:r>
        <w:proofErr w:type="spellStart"/>
        <w:r w:rsidR="00B57799" w:rsidRPr="00474235">
          <w:rPr>
            <w:rFonts w:eastAsia="Times New Roman" w:cs="Times New Roman"/>
            <w:color w:val="337AB7"/>
            <w:sz w:val="21"/>
            <w:szCs w:val="21"/>
            <w:u w:val="single"/>
            <w:lang w:val="en-GB"/>
          </w:rPr>
          <w:t>imposex</w:t>
        </w:r>
        <w:proofErr w:type="spellEnd"/>
      </w:hyperlink>
    </w:p>
    <w:p w:rsidR="00B57799" w:rsidRPr="00474235" w:rsidRDefault="00B57799" w:rsidP="00B57799">
      <w:pPr>
        <w:shd w:val="clear" w:color="auto" w:fill="FFFFFF"/>
        <w:rPr>
          <w:rFonts w:eastAsia="Times New Roman" w:cs="Times New Roman"/>
          <w:color w:val="333333"/>
          <w:sz w:val="21"/>
          <w:szCs w:val="21"/>
          <w:lang w:val="en-GB"/>
        </w:rPr>
      </w:pPr>
      <w:r w:rsidRPr="00474235">
        <w:rPr>
          <w:rFonts w:eastAsia="Times New Roman" w:cs="Times New Roman"/>
          <w:color w:val="333333"/>
          <w:sz w:val="21"/>
          <w:szCs w:val="21"/>
          <w:lang w:val="en-GB"/>
        </w:rPr>
        <w:t>2014 assessment</w:t>
      </w:r>
    </w:p>
    <w:p w:rsidR="00B57799" w:rsidRPr="00474235" w:rsidRDefault="00A8169D" w:rsidP="00B57799">
      <w:pPr>
        <w:shd w:val="clear" w:color="auto" w:fill="FFFFFF"/>
        <w:ind w:left="720"/>
        <w:rPr>
          <w:rFonts w:eastAsia="Times New Roman" w:cs="Times New Roman"/>
          <w:color w:val="333333"/>
          <w:sz w:val="21"/>
          <w:szCs w:val="21"/>
          <w:lang w:val="en-GB"/>
        </w:rPr>
      </w:pPr>
      <w:hyperlink r:id="rId60"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contaminants in biota</w:t>
        </w:r>
      </w:hyperlink>
    </w:p>
    <w:p w:rsidR="00B57799" w:rsidRPr="00474235" w:rsidRDefault="00A8169D" w:rsidP="00B57799">
      <w:pPr>
        <w:shd w:val="clear" w:color="auto" w:fill="FFFFFF"/>
        <w:ind w:left="720"/>
        <w:rPr>
          <w:rFonts w:eastAsia="Times New Roman" w:cs="Times New Roman"/>
          <w:color w:val="333333"/>
          <w:sz w:val="21"/>
          <w:szCs w:val="21"/>
          <w:lang w:val="en-GB"/>
        </w:rPr>
      </w:pPr>
      <w:hyperlink r:id="rId61"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contaminants in sediment</w:t>
        </w:r>
      </w:hyperlink>
    </w:p>
    <w:p w:rsidR="00B57799" w:rsidRPr="00474235" w:rsidRDefault="00A8169D" w:rsidP="00B57799">
      <w:pPr>
        <w:shd w:val="clear" w:color="auto" w:fill="FFFFFF"/>
        <w:ind w:left="720"/>
        <w:rPr>
          <w:rFonts w:eastAsia="Times New Roman" w:cs="Times New Roman"/>
          <w:color w:val="333333"/>
          <w:sz w:val="21"/>
          <w:szCs w:val="21"/>
          <w:lang w:val="en-GB"/>
        </w:rPr>
      </w:pPr>
      <w:hyperlink r:id="rId62"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biological effects</w:t>
        </w:r>
      </w:hyperlink>
    </w:p>
    <w:p w:rsidR="00B57799" w:rsidRPr="00474235" w:rsidRDefault="00A8169D" w:rsidP="00B57799">
      <w:pPr>
        <w:shd w:val="clear" w:color="auto" w:fill="FFFFFF"/>
        <w:ind w:left="720"/>
        <w:rPr>
          <w:rFonts w:eastAsia="Times New Roman" w:cs="Times New Roman"/>
          <w:color w:val="333333"/>
          <w:sz w:val="21"/>
          <w:szCs w:val="21"/>
          <w:lang w:val="en-GB"/>
        </w:rPr>
      </w:pPr>
      <w:hyperlink r:id="rId63" w:history="1">
        <w:proofErr w:type="gramStart"/>
        <w:r w:rsidR="00B57799" w:rsidRPr="00474235">
          <w:rPr>
            <w:rFonts w:eastAsia="Times New Roman" w:cs="Times New Roman"/>
            <w:color w:val="337AB7"/>
            <w:sz w:val="21"/>
            <w:szCs w:val="21"/>
            <w:u w:val="single"/>
            <w:lang w:val="en-GB"/>
          </w:rPr>
          <w:t>assessment</w:t>
        </w:r>
        <w:proofErr w:type="gramEnd"/>
        <w:r w:rsidR="00B57799" w:rsidRPr="00474235">
          <w:rPr>
            <w:rFonts w:eastAsia="Times New Roman" w:cs="Times New Roman"/>
            <w:color w:val="337AB7"/>
            <w:sz w:val="21"/>
            <w:szCs w:val="21"/>
            <w:u w:val="single"/>
            <w:lang w:val="en-GB"/>
          </w:rPr>
          <w:t xml:space="preserve"> of </w:t>
        </w:r>
        <w:proofErr w:type="spellStart"/>
        <w:r w:rsidR="00B57799" w:rsidRPr="00474235">
          <w:rPr>
            <w:rFonts w:eastAsia="Times New Roman" w:cs="Times New Roman"/>
            <w:color w:val="337AB7"/>
            <w:sz w:val="21"/>
            <w:szCs w:val="21"/>
            <w:u w:val="single"/>
            <w:lang w:val="en-GB"/>
          </w:rPr>
          <w:t>imposex</w:t>
        </w:r>
        <w:proofErr w:type="spellEnd"/>
      </w:hyperlink>
    </w:p>
    <w:p w:rsidR="00B57799" w:rsidRPr="00474235" w:rsidRDefault="00B57799" w:rsidP="00B27AB4">
      <w:pPr>
        <w:rPr>
          <w:lang w:val="en-GB"/>
        </w:rPr>
      </w:pPr>
    </w:p>
    <w:p w:rsidR="00DF6EB5" w:rsidRPr="00474235" w:rsidRDefault="00DF6EB5" w:rsidP="00552FB8">
      <w:pPr>
        <w:pStyle w:val="Heading2"/>
        <w:rPr>
          <w:rFonts w:ascii="Calibri" w:hAnsi="Calibri"/>
        </w:rPr>
      </w:pPr>
      <w:bookmarkStart w:id="41" w:name="_Toc486935836"/>
      <w:r w:rsidRPr="00474235">
        <w:rPr>
          <w:rFonts w:ascii="Calibri" w:hAnsi="Calibri"/>
        </w:rPr>
        <w:t>2016 Assessment</w:t>
      </w:r>
      <w:r w:rsidR="00E609FA" w:rsidRPr="00474235">
        <w:rPr>
          <w:rFonts w:ascii="Calibri" w:hAnsi="Calibri"/>
        </w:rPr>
        <w:t xml:space="preserve"> </w:t>
      </w:r>
      <w:r w:rsidRPr="00474235">
        <w:rPr>
          <w:rFonts w:ascii="Calibri" w:hAnsi="Calibri"/>
        </w:rPr>
        <w:t>Modelling of contaminants and biological effects</w:t>
      </w:r>
      <w:bookmarkEnd w:id="41"/>
    </w:p>
    <w:p w:rsidR="00DF6EB5" w:rsidRPr="00474235" w:rsidRDefault="00DF6EB5" w:rsidP="00DF6EB5">
      <w:pPr>
        <w:rPr>
          <w:lang w:val="en-GB"/>
        </w:rPr>
      </w:pPr>
      <w:r w:rsidRPr="00474235">
        <w:rPr>
          <w:lang w:val="en-GB"/>
        </w:rPr>
        <w:t>There were major changes in the way contaminant and biological effects time series were assessed. These included</w:t>
      </w:r>
    </w:p>
    <w:p w:rsidR="00DF6EB5" w:rsidRPr="00474235" w:rsidRDefault="00303DD1" w:rsidP="00DF6EB5">
      <w:pPr>
        <w:rPr>
          <w:lang w:val="en-GB"/>
        </w:rPr>
      </w:pPr>
      <w:r w:rsidRPr="00474235">
        <w:rPr>
          <w:lang w:val="en-GB"/>
        </w:rPr>
        <w:t>M</w:t>
      </w:r>
      <w:r w:rsidR="00DF6EB5" w:rsidRPr="00474235">
        <w:rPr>
          <w:lang w:val="en-GB"/>
        </w:rPr>
        <w:t>odelling the original data, rather than annual indices derived from the data</w:t>
      </w:r>
      <w:r w:rsidRPr="00474235">
        <w:rPr>
          <w:lang w:val="en-GB"/>
        </w:rPr>
        <w:t xml:space="preserve"> </w:t>
      </w:r>
      <w:r w:rsidR="00DF6EB5" w:rsidRPr="00474235">
        <w:rPr>
          <w:lang w:val="en-GB"/>
        </w:rPr>
        <w:t xml:space="preserve">using a linear mixed model that estimated the variance components in the data, rather than </w:t>
      </w:r>
      <w:proofErr w:type="gramStart"/>
      <w:r w:rsidR="00DF6EB5" w:rsidRPr="00474235">
        <w:rPr>
          <w:lang w:val="en-GB"/>
        </w:rPr>
        <w:t>a loess</w:t>
      </w:r>
      <w:proofErr w:type="gramEnd"/>
      <w:r w:rsidR="00DF6EB5" w:rsidRPr="00474235">
        <w:rPr>
          <w:lang w:val="en-GB"/>
        </w:rPr>
        <w:t xml:space="preserve"> smoother applied to the annual indices</w:t>
      </w:r>
      <w:r w:rsidRPr="00474235">
        <w:rPr>
          <w:lang w:val="en-GB"/>
        </w:rPr>
        <w:t xml:space="preserve"> </w:t>
      </w:r>
    </w:p>
    <w:p w:rsidR="00DF6EB5" w:rsidRPr="00474235" w:rsidRDefault="00303DD1" w:rsidP="00DF6EB5">
      <w:pPr>
        <w:rPr>
          <w:lang w:val="en-GB"/>
        </w:rPr>
      </w:pPr>
      <w:r w:rsidRPr="00474235">
        <w:rPr>
          <w:lang w:val="en-GB"/>
        </w:rPr>
        <w:t>C</w:t>
      </w:r>
      <w:r w:rsidR="00DF6EB5" w:rsidRPr="00474235">
        <w:rPr>
          <w:lang w:val="en-GB"/>
        </w:rPr>
        <w:t>orrectly incorporating the analytical variation in the data (supplied as uncertainties), rather than using an ad-hoc ‘scaled weight’ to measure analytical quality</w:t>
      </w:r>
    </w:p>
    <w:p w:rsidR="00DF6EB5" w:rsidRPr="00474235" w:rsidRDefault="00303DD1" w:rsidP="00DF6EB5">
      <w:pPr>
        <w:rPr>
          <w:lang w:val="en-GB"/>
        </w:rPr>
      </w:pPr>
      <w:r w:rsidRPr="00474235">
        <w:rPr>
          <w:lang w:val="en-GB"/>
        </w:rPr>
        <w:t>A</w:t>
      </w:r>
      <w:r w:rsidR="00DF6EB5" w:rsidRPr="00474235">
        <w:rPr>
          <w:lang w:val="en-GB"/>
        </w:rPr>
        <w:t>dapting the likelihood so that less-than measurements are treated as left-censored observations</w:t>
      </w:r>
    </w:p>
    <w:p w:rsidR="00DF6EB5" w:rsidRPr="00474235" w:rsidRDefault="00DF6EB5" w:rsidP="00DF6EB5">
      <w:pPr>
        <w:rPr>
          <w:lang w:val="en-GB"/>
        </w:rPr>
      </w:pPr>
      <w:r w:rsidRPr="00474235">
        <w:rPr>
          <w:lang w:val="en-GB"/>
        </w:rPr>
        <w:t>The changes are so wide-ranging that, to understand them properly, it is probably best to compare the current help files with the 2015 help files (which can be found in the links above).</w:t>
      </w:r>
    </w:p>
    <w:p w:rsidR="00DF6EB5" w:rsidRPr="00474235" w:rsidRDefault="00DF6EB5" w:rsidP="00DF6EB5">
      <w:pPr>
        <w:rPr>
          <w:lang w:val="en-GB"/>
        </w:rPr>
      </w:pPr>
      <w:r w:rsidRPr="00474235">
        <w:rPr>
          <w:lang w:val="en-GB"/>
        </w:rPr>
        <w:t xml:space="preserve">Modelling of </w:t>
      </w:r>
      <w:proofErr w:type="spellStart"/>
      <w:r w:rsidRPr="00474235">
        <w:rPr>
          <w:lang w:val="en-GB"/>
        </w:rPr>
        <w:t>imposex</w:t>
      </w:r>
      <w:proofErr w:type="spellEnd"/>
      <w:r w:rsidRPr="00474235">
        <w:rPr>
          <w:lang w:val="en-GB"/>
        </w:rPr>
        <w:t xml:space="preserve"> (VDS)</w:t>
      </w:r>
    </w:p>
    <w:p w:rsidR="00DF6EB5" w:rsidRPr="00474235" w:rsidRDefault="00DF6EB5" w:rsidP="00DF6EB5">
      <w:pPr>
        <w:rPr>
          <w:lang w:val="en-GB"/>
        </w:rPr>
      </w:pPr>
    </w:p>
    <w:p w:rsidR="00DF6EB5" w:rsidRPr="00474235" w:rsidRDefault="00DF6EB5" w:rsidP="00DF6EB5">
      <w:pPr>
        <w:rPr>
          <w:lang w:val="en-GB"/>
        </w:rPr>
      </w:pPr>
      <w:r w:rsidRPr="00474235">
        <w:rPr>
          <w:lang w:val="en-GB"/>
        </w:rPr>
        <w:t xml:space="preserve">There were also major changes in the assessment of </w:t>
      </w:r>
      <w:proofErr w:type="spellStart"/>
      <w:r w:rsidRPr="00474235">
        <w:rPr>
          <w:lang w:val="en-GB"/>
        </w:rPr>
        <w:t>imposex</w:t>
      </w:r>
      <w:proofErr w:type="spellEnd"/>
      <w:r w:rsidRPr="00474235">
        <w:rPr>
          <w:lang w:val="en-GB"/>
        </w:rPr>
        <w:t xml:space="preserve"> time series when submitted as individual VDS measurements. These included</w:t>
      </w:r>
    </w:p>
    <w:p w:rsidR="00DF6EB5" w:rsidRPr="00474235" w:rsidRDefault="00303DD1" w:rsidP="00DF6EB5">
      <w:pPr>
        <w:rPr>
          <w:lang w:val="en-GB"/>
        </w:rPr>
      </w:pPr>
      <w:r w:rsidRPr="00474235">
        <w:rPr>
          <w:lang w:val="en-GB"/>
        </w:rPr>
        <w:t>M</w:t>
      </w:r>
      <w:r w:rsidR="00DF6EB5" w:rsidRPr="00474235">
        <w:rPr>
          <w:lang w:val="en-GB"/>
        </w:rPr>
        <w:t>odelling the individual measurements, rather than annual indices, using a proportional odds model</w:t>
      </w:r>
    </w:p>
    <w:p w:rsidR="00DF6EB5" w:rsidRPr="00474235" w:rsidRDefault="00303DD1" w:rsidP="00DF6EB5">
      <w:pPr>
        <w:rPr>
          <w:lang w:val="en-GB"/>
        </w:rPr>
      </w:pPr>
      <w:r w:rsidRPr="00474235">
        <w:rPr>
          <w:lang w:val="en-GB"/>
        </w:rPr>
        <w:t>C</w:t>
      </w:r>
      <w:r w:rsidR="00DF6EB5" w:rsidRPr="00474235">
        <w:rPr>
          <w:lang w:val="en-GB"/>
        </w:rPr>
        <w:t>onsidering smooth changes in VDS levels over time</w:t>
      </w:r>
    </w:p>
    <w:p w:rsidR="00DF6EB5" w:rsidRPr="00474235" w:rsidRDefault="00303DD1" w:rsidP="00DF6EB5">
      <w:pPr>
        <w:rPr>
          <w:lang w:val="en-GB"/>
        </w:rPr>
      </w:pPr>
      <w:r w:rsidRPr="00474235">
        <w:rPr>
          <w:lang w:val="en-GB"/>
        </w:rPr>
        <w:t>C</w:t>
      </w:r>
      <w:r w:rsidR="00DF6EB5" w:rsidRPr="00474235">
        <w:rPr>
          <w:lang w:val="en-GB"/>
        </w:rPr>
        <w:t>onsidering change-point models in which VDS levels suddenly begin to change; the change-point is constrained to a year in the period 2004-2008, when the ban on the use of TBT was being implemented</w:t>
      </w:r>
    </w:p>
    <w:p w:rsidR="00DF6EB5" w:rsidRPr="00474235" w:rsidRDefault="00DF6EB5" w:rsidP="00DF6EB5">
      <w:pPr>
        <w:rPr>
          <w:lang w:val="en-GB"/>
        </w:rPr>
      </w:pPr>
      <w:r w:rsidRPr="00474235">
        <w:rPr>
          <w:lang w:val="en-GB"/>
        </w:rPr>
        <w:t xml:space="preserve">Again, to </w:t>
      </w:r>
      <w:proofErr w:type="spellStart"/>
      <w:r w:rsidRPr="00474235">
        <w:rPr>
          <w:lang w:val="en-GB"/>
        </w:rPr>
        <w:t>undestand</w:t>
      </w:r>
      <w:proofErr w:type="spellEnd"/>
      <w:r w:rsidRPr="00474235">
        <w:rPr>
          <w:lang w:val="en-GB"/>
        </w:rPr>
        <w:t xml:space="preserve"> the changes properly, it is best to compare the current help files with the 2015 help file (which can be found in the links above).</w:t>
      </w:r>
    </w:p>
    <w:p w:rsidR="00DF6EB5" w:rsidRPr="00474235" w:rsidRDefault="00DF6EB5" w:rsidP="00552FB8">
      <w:pPr>
        <w:pStyle w:val="Heading2"/>
        <w:rPr>
          <w:rFonts w:ascii="Calibri" w:hAnsi="Calibri"/>
        </w:rPr>
      </w:pPr>
      <w:bookmarkStart w:id="42" w:name="_Toc486935837"/>
      <w:r w:rsidRPr="00474235">
        <w:rPr>
          <w:rFonts w:ascii="Calibri" w:hAnsi="Calibri"/>
        </w:rPr>
        <w:t>2015 Assessment</w:t>
      </w:r>
      <w:bookmarkEnd w:id="42"/>
    </w:p>
    <w:p w:rsidR="00DF6EB5" w:rsidRPr="00474235" w:rsidRDefault="00DF6EB5" w:rsidP="00DF6EB5">
      <w:pPr>
        <w:rPr>
          <w:lang w:val="en-GB"/>
        </w:rPr>
      </w:pPr>
      <w:r w:rsidRPr="00474235">
        <w:rPr>
          <w:lang w:val="en-GB"/>
        </w:rPr>
        <w:t>Recent trends</w:t>
      </w:r>
    </w:p>
    <w:p w:rsidR="00DF6EB5" w:rsidRPr="00474235" w:rsidRDefault="00DF6EB5" w:rsidP="00DF6EB5">
      <w:pPr>
        <w:rPr>
          <w:lang w:val="en-GB"/>
        </w:rPr>
      </w:pPr>
      <w:r w:rsidRPr="00474235">
        <w:rPr>
          <w:lang w:val="en-GB"/>
        </w:rPr>
        <w:t xml:space="preserve">The definition of recent trends was extended from 10 to 20 years for contaminants and biological effects (other than </w:t>
      </w:r>
      <w:proofErr w:type="spellStart"/>
      <w:r w:rsidRPr="00474235">
        <w:rPr>
          <w:lang w:val="en-GB"/>
        </w:rPr>
        <w:t>imposex</w:t>
      </w:r>
      <w:proofErr w:type="spellEnd"/>
      <w:r w:rsidRPr="00474235">
        <w:rPr>
          <w:lang w:val="en-GB"/>
        </w:rPr>
        <w:t>) in biota. This brings it into line with the definition for contaminants in sediment and reflects the increasing use of year-skipping monitoring strategies, particularly for stations with low concentrations. A recent trend thus indicates a significant change in concentration in the period 1994 to 2013 (for the 2015 assessment).</w:t>
      </w:r>
    </w:p>
    <w:p w:rsidR="00DF6EB5" w:rsidRPr="00474235" w:rsidRDefault="00DF6EB5" w:rsidP="00DF6EB5">
      <w:pPr>
        <w:rPr>
          <w:lang w:val="en-GB"/>
        </w:rPr>
      </w:pPr>
      <w:r w:rsidRPr="00474235">
        <w:rPr>
          <w:lang w:val="en-GB"/>
        </w:rPr>
        <w:t>Type and width of smoothing neighbourhood</w:t>
      </w:r>
    </w:p>
    <w:p w:rsidR="00DF6EB5" w:rsidRPr="00474235" w:rsidRDefault="00DF6EB5" w:rsidP="00DF6EB5">
      <w:pPr>
        <w:rPr>
          <w:lang w:val="en-GB"/>
        </w:rPr>
      </w:pPr>
      <w:r w:rsidRPr="00474235">
        <w:rPr>
          <w:lang w:val="en-GB"/>
        </w:rPr>
        <w:t xml:space="preserve">Loess smoothers are used to model smooth changes in contaminant concentrations (for both biota and sediment) and biological effects measurements (apart from </w:t>
      </w:r>
      <w:proofErr w:type="spellStart"/>
      <w:r w:rsidRPr="00474235">
        <w:rPr>
          <w:lang w:val="en-GB"/>
        </w:rPr>
        <w:t>imposex</w:t>
      </w:r>
      <w:proofErr w:type="spellEnd"/>
      <w:r w:rsidRPr="00474235">
        <w:rPr>
          <w:lang w:val="en-GB"/>
        </w:rPr>
        <w:t xml:space="preserve">) when there are 7+ years of data. The amount of smoothing is determined by the type and width of the neighbourhood of contaminant indices that is used to estimate each </w:t>
      </w:r>
      <w:proofErr w:type="gramStart"/>
      <w:r w:rsidR="00B57799" w:rsidRPr="00474235">
        <w:rPr>
          <w:lang w:val="en-GB"/>
        </w:rPr>
        <w:t>f(</w:t>
      </w:r>
      <w:proofErr w:type="gramEnd"/>
      <w:r w:rsidR="00B57799" w:rsidRPr="00474235">
        <w:rPr>
          <w:lang w:val="en-GB"/>
        </w:rPr>
        <w:t>t) as t runs from 1 to T</w:t>
      </w:r>
      <w:r w:rsidRPr="00474235">
        <w:rPr>
          <w:lang w:val="en-GB"/>
        </w:rPr>
        <w:t>. Previously, a fixed-width neighbourhood (Fryer &amp; Nicholson, 1999) was used with, for example, a width of 9 meaning that only the ind</w:t>
      </w:r>
      <w:r w:rsidR="00B57799" w:rsidRPr="00474235">
        <w:rPr>
          <w:lang w:val="en-GB"/>
        </w:rPr>
        <w:t xml:space="preserve">ices in the 9 years closest to </w:t>
      </w:r>
      <w:r w:rsidRPr="00474235">
        <w:rPr>
          <w:lang w:val="en-GB"/>
        </w:rPr>
        <w:t>t were used to est</w:t>
      </w:r>
      <w:r w:rsidR="00B57799" w:rsidRPr="00474235">
        <w:rPr>
          <w:lang w:val="en-GB"/>
        </w:rPr>
        <w:t>imate f(t)</w:t>
      </w:r>
      <w:r w:rsidRPr="00474235">
        <w:rPr>
          <w:lang w:val="en-GB"/>
        </w:rPr>
        <w:t>. This worked well if there was annual monitoring, but was less effective when monitoring was less frequent since some parts of the fit were sometimes based on only a few indices. This has been replaced by a neighbourhood in which a fixed number of indices ar</w:t>
      </w:r>
      <w:r w:rsidR="00B57799" w:rsidRPr="00474235">
        <w:rPr>
          <w:lang w:val="en-GB"/>
        </w:rPr>
        <w:t xml:space="preserve">e used to estimate each </w:t>
      </w:r>
      <w:proofErr w:type="gramStart"/>
      <w:r w:rsidR="00B57799" w:rsidRPr="00474235">
        <w:rPr>
          <w:lang w:val="en-GB"/>
        </w:rPr>
        <w:t>f(</w:t>
      </w:r>
      <w:proofErr w:type="gramEnd"/>
      <w:r w:rsidR="00B57799" w:rsidRPr="00474235">
        <w:rPr>
          <w:lang w:val="en-GB"/>
        </w:rPr>
        <w:t>t)</w:t>
      </w:r>
      <w:r w:rsidRPr="00474235">
        <w:rPr>
          <w:lang w:val="en-GB"/>
        </w:rPr>
        <w:t>. For example, a neighbourhood of 9 now uses the 9 indices that are cl</w:t>
      </w:r>
      <w:r w:rsidR="00B57799" w:rsidRPr="00474235">
        <w:rPr>
          <w:lang w:val="en-GB"/>
        </w:rPr>
        <w:t xml:space="preserve">osest to t to estimate </w:t>
      </w:r>
      <w:proofErr w:type="gramStart"/>
      <w:r w:rsidR="00B57799" w:rsidRPr="00474235">
        <w:rPr>
          <w:lang w:val="en-GB"/>
        </w:rPr>
        <w:t>f(</w:t>
      </w:r>
      <w:proofErr w:type="gramEnd"/>
      <w:r w:rsidR="00B57799" w:rsidRPr="00474235">
        <w:rPr>
          <w:lang w:val="en-GB"/>
        </w:rPr>
        <w:t>t)</w:t>
      </w:r>
      <w:r w:rsidRPr="00474235">
        <w:rPr>
          <w:lang w:val="en-GB"/>
        </w:rPr>
        <w:t xml:space="preserve">. The fit in year </w:t>
      </w:r>
      <w:proofErr w:type="spellStart"/>
      <w:r w:rsidRPr="00474235">
        <w:rPr>
          <w:lang w:val="en-GB"/>
        </w:rPr>
        <w:t>tt</w:t>
      </w:r>
      <w:proofErr w:type="spellEnd"/>
      <w:r w:rsidRPr="00474235">
        <w:rPr>
          <w:lang w:val="en-GB"/>
        </w:rPr>
        <w:t xml:space="preserve"> can now be influenced by indices from years relatively distant to </w:t>
      </w:r>
      <w:proofErr w:type="spellStart"/>
      <w:r w:rsidRPr="00474235">
        <w:rPr>
          <w:lang w:val="en-GB"/>
        </w:rPr>
        <w:t>tt</w:t>
      </w:r>
      <w:proofErr w:type="spellEnd"/>
      <w:r w:rsidRPr="00474235">
        <w:rPr>
          <w:lang w:val="en-GB"/>
        </w:rPr>
        <w:t>, but the fit is always based on the same number of indices. This type of neighbourhood was used in the original development of loess smoothers (Cleveland, 1979).</w:t>
      </w:r>
    </w:p>
    <w:p w:rsidR="00DF6EB5" w:rsidRPr="00474235" w:rsidRDefault="00DF6EB5" w:rsidP="00DF6EB5">
      <w:pPr>
        <w:rPr>
          <w:lang w:val="en-GB"/>
        </w:rPr>
      </w:pPr>
      <w:r w:rsidRPr="00474235">
        <w:rPr>
          <w:lang w:val="en-GB"/>
        </w:rPr>
        <w:t xml:space="preserve">A greater range of neighbourhood widths are also now considered. Previously, widths of 7, 9, and 11 years were considered, with the final choice being the width giving the smallest </w:t>
      </w:r>
      <w:proofErr w:type="spellStart"/>
      <w:r w:rsidRPr="00474235">
        <w:rPr>
          <w:lang w:val="en-GB"/>
        </w:rPr>
        <w:t>Akaike’s</w:t>
      </w:r>
      <w:proofErr w:type="spellEnd"/>
      <w:r w:rsidRPr="00474235">
        <w:rPr>
          <w:lang w:val="en-GB"/>
        </w:rPr>
        <w:t xml:space="preserve"> Information Criterion corrected for small sample size (</w:t>
      </w:r>
      <w:proofErr w:type="spellStart"/>
      <w:r w:rsidRPr="00474235">
        <w:rPr>
          <w:lang w:val="en-GB"/>
        </w:rPr>
        <w:t>AICc</w:t>
      </w:r>
      <w:proofErr w:type="spellEnd"/>
      <w:r w:rsidRPr="00474235">
        <w:rPr>
          <w:lang w:val="en-GB"/>
        </w:rPr>
        <w:t>). Now, wi</w:t>
      </w:r>
      <w:r w:rsidR="00B57799" w:rsidRPr="00474235">
        <w:rPr>
          <w:lang w:val="en-GB"/>
        </w:rPr>
        <w:t xml:space="preserve">dths of 7, 9, 11 up to T (if T is odd) or T+1 (if </w:t>
      </w:r>
      <w:r w:rsidRPr="00474235">
        <w:rPr>
          <w:lang w:val="en-GB"/>
        </w:rPr>
        <w:t xml:space="preserve">T is even) are considered, with the final choice again based on </w:t>
      </w:r>
      <w:proofErr w:type="spellStart"/>
      <w:r w:rsidRPr="00474235">
        <w:rPr>
          <w:lang w:val="en-GB"/>
        </w:rPr>
        <w:t>AICc</w:t>
      </w:r>
      <w:proofErr w:type="spellEnd"/>
      <w:r w:rsidRPr="00474235">
        <w:rPr>
          <w:lang w:val="en-GB"/>
        </w:rPr>
        <w:t xml:space="preserve">. However, if there is no evidence of nonlinearity in the data (i.e. if the </w:t>
      </w:r>
      <w:proofErr w:type="spellStart"/>
      <w:r w:rsidRPr="00474235">
        <w:rPr>
          <w:lang w:val="en-GB"/>
        </w:rPr>
        <w:t>AICc</w:t>
      </w:r>
      <w:proofErr w:type="spellEnd"/>
      <w:r w:rsidRPr="00474235">
        <w:rPr>
          <w:lang w:val="en-GB"/>
        </w:rPr>
        <w:t xml:space="preserve"> of the linear model is lower than that of the best smoother) then the linear model</w:t>
      </w:r>
      <w:r w:rsidR="00B57799" w:rsidRPr="00474235">
        <w:rPr>
          <w:lang w:val="en-GB"/>
        </w:rPr>
        <w:t xml:space="preserve"> </w:t>
      </w:r>
      <w:proofErr w:type="gramStart"/>
      <w:r w:rsidRPr="00474235">
        <w:rPr>
          <w:lang w:val="en-GB"/>
        </w:rPr>
        <w:t>f(</w:t>
      </w:r>
      <w:proofErr w:type="gramEnd"/>
      <w:r w:rsidRPr="00474235">
        <w:rPr>
          <w:lang w:val="en-GB"/>
        </w:rPr>
        <w:t>t)=μ+βt is used instead.</w:t>
      </w:r>
    </w:p>
    <w:p w:rsidR="00DF6EB5" w:rsidRPr="00474235" w:rsidRDefault="00DF6EB5" w:rsidP="00DF6EB5">
      <w:pPr>
        <w:rPr>
          <w:lang w:val="en-GB"/>
        </w:rPr>
      </w:pPr>
      <w:proofErr w:type="gramStart"/>
      <w:r w:rsidRPr="00474235">
        <w:rPr>
          <w:lang w:val="en-GB"/>
        </w:rPr>
        <w:t>Cleveland WS, 1979.</w:t>
      </w:r>
      <w:proofErr w:type="gramEnd"/>
      <w:r w:rsidRPr="00474235">
        <w:rPr>
          <w:lang w:val="en-GB"/>
        </w:rPr>
        <w:t xml:space="preserve"> </w:t>
      </w:r>
      <w:proofErr w:type="gramStart"/>
      <w:r w:rsidRPr="00474235">
        <w:rPr>
          <w:lang w:val="en-GB"/>
        </w:rPr>
        <w:t>Robust locally-weighted regression and smoothing scatterplots.</w:t>
      </w:r>
      <w:proofErr w:type="gramEnd"/>
      <w:r w:rsidRPr="00474235">
        <w:rPr>
          <w:lang w:val="en-GB"/>
        </w:rPr>
        <w:t xml:space="preserve"> Journal of the American Statistical Association 74: 829-836.</w:t>
      </w:r>
    </w:p>
    <w:p w:rsidR="00DF6EB5" w:rsidRPr="00474235" w:rsidRDefault="00DF6EB5" w:rsidP="00DF6EB5">
      <w:pPr>
        <w:rPr>
          <w:lang w:val="en-GB"/>
        </w:rPr>
      </w:pPr>
    </w:p>
    <w:p w:rsidR="00DF6EB5" w:rsidRPr="00474235" w:rsidRDefault="00DF6EB5" w:rsidP="00DF6EB5">
      <w:pPr>
        <w:rPr>
          <w:lang w:val="en-GB"/>
        </w:rPr>
      </w:pPr>
      <w:proofErr w:type="gramStart"/>
      <w:r w:rsidRPr="00474235">
        <w:rPr>
          <w:lang w:val="en-GB"/>
        </w:rPr>
        <w:t>Fryer RJ &amp; Nicholson MD, 1999.</w:t>
      </w:r>
      <w:proofErr w:type="gramEnd"/>
      <w:r w:rsidRPr="00474235">
        <w:rPr>
          <w:lang w:val="en-GB"/>
        </w:rPr>
        <w:t xml:space="preserve"> </w:t>
      </w:r>
      <w:proofErr w:type="gramStart"/>
      <w:r w:rsidRPr="00474235">
        <w:rPr>
          <w:lang w:val="en-GB"/>
        </w:rPr>
        <w:t>Using smoothers for comprehensive assessments of contaminant time series in marine biota.</w:t>
      </w:r>
      <w:proofErr w:type="gramEnd"/>
      <w:r w:rsidRPr="00474235">
        <w:rPr>
          <w:lang w:val="en-GB"/>
        </w:rPr>
        <w:t xml:space="preserve"> ICES Journal of Marine Science 56: 779-790.</w:t>
      </w:r>
    </w:p>
    <w:p w:rsidR="00DF6EB5" w:rsidRPr="00474235" w:rsidRDefault="00DF6EB5" w:rsidP="00552FB8">
      <w:pPr>
        <w:pStyle w:val="Heading2"/>
        <w:rPr>
          <w:rFonts w:ascii="Calibri" w:hAnsi="Calibri"/>
        </w:rPr>
      </w:pPr>
      <w:bookmarkStart w:id="43" w:name="_Toc486935838"/>
      <w:proofErr w:type="spellStart"/>
      <w:r w:rsidRPr="00474235">
        <w:rPr>
          <w:rFonts w:ascii="Calibri" w:hAnsi="Calibri"/>
        </w:rPr>
        <w:t>Determinands</w:t>
      </w:r>
      <w:bookmarkEnd w:id="43"/>
      <w:proofErr w:type="spellEnd"/>
    </w:p>
    <w:p w:rsidR="00DF6EB5" w:rsidRPr="00474235" w:rsidRDefault="00DF6EB5" w:rsidP="00DF6EB5">
      <w:pPr>
        <w:rPr>
          <w:lang w:val="en-GB"/>
        </w:rPr>
      </w:pPr>
      <w:r w:rsidRPr="00474235">
        <w:rPr>
          <w:lang w:val="en-GB"/>
        </w:rPr>
        <w:t>Persistent organic pollutants were introduced as a group of contaminants for biota.</w:t>
      </w:r>
    </w:p>
    <w:p w:rsidR="00DF6EB5" w:rsidRPr="00474235" w:rsidRDefault="00DF6EB5" w:rsidP="00DF6EB5">
      <w:pPr>
        <w:rPr>
          <w:lang w:val="en-GB"/>
        </w:rPr>
      </w:pPr>
      <w:r w:rsidRPr="00474235">
        <w:rPr>
          <w:lang w:val="en-GB"/>
        </w:rPr>
        <w:t xml:space="preserve">Scope for growth and </w:t>
      </w:r>
      <w:proofErr w:type="spellStart"/>
      <w:r w:rsidRPr="00474235">
        <w:rPr>
          <w:lang w:val="en-GB"/>
        </w:rPr>
        <w:t>glutathionine</w:t>
      </w:r>
      <w:proofErr w:type="spellEnd"/>
      <w:r w:rsidRPr="00474235">
        <w:rPr>
          <w:lang w:val="en-GB"/>
        </w:rPr>
        <w:t xml:space="preserve"> transferase were introduced as biological effects for biota. For both, high values indicate healthy organisms. </w:t>
      </w:r>
      <w:proofErr w:type="spellStart"/>
      <w:r w:rsidRPr="00474235">
        <w:rPr>
          <w:lang w:val="en-GB"/>
        </w:rPr>
        <w:t>Glutathionine</w:t>
      </w:r>
      <w:proofErr w:type="spellEnd"/>
      <w:r w:rsidRPr="00474235">
        <w:rPr>
          <w:lang w:val="en-GB"/>
        </w:rPr>
        <w:t xml:space="preserve"> transferase is assessed in exactly the same way as chemical contaminants in biota, except that the lower confidence limit on the fitted value in the last monitoring year is used to assess status. For scope for growth, the annual indices are the median values of the scope for growth measurements in each year (there is no log transformation). This is because scope for growth can be negative (with negative values indicating bad status). The annual indices are then modelled in the same way as chemical contaminant indices, except that the lower confidence limit is used to assess status.</w:t>
      </w:r>
    </w:p>
    <w:p w:rsidR="00DF6EB5" w:rsidRPr="00474235" w:rsidRDefault="00DF6EB5" w:rsidP="00552FB8">
      <w:pPr>
        <w:pStyle w:val="Heading2"/>
        <w:rPr>
          <w:rFonts w:ascii="Calibri" w:hAnsi="Calibri"/>
        </w:rPr>
      </w:pPr>
      <w:bookmarkStart w:id="44" w:name="_Toc486935839"/>
      <w:r w:rsidRPr="00474235">
        <w:rPr>
          <w:rFonts w:ascii="Calibri" w:hAnsi="Calibri"/>
        </w:rPr>
        <w:t>Assessment criteria</w:t>
      </w:r>
      <w:bookmarkEnd w:id="44"/>
    </w:p>
    <w:p w:rsidR="00DF6EB5" w:rsidRPr="00474235" w:rsidRDefault="00DF6EB5" w:rsidP="00DF6EB5">
      <w:pPr>
        <w:rPr>
          <w:lang w:val="en-GB"/>
        </w:rPr>
      </w:pPr>
      <w:r w:rsidRPr="00474235">
        <w:rPr>
          <w:lang w:val="en-GB"/>
        </w:rPr>
        <w:t>The ERLs for C1-naphthalene, C2-naphthalene, C1-phenanthrene, C2-phenanthrene and C1-dibenzothiophene were not used as it was not possible to find sufficient justification for them in the literature.</w:t>
      </w:r>
    </w:p>
    <w:p w:rsidR="00DF6EB5" w:rsidRPr="00474235" w:rsidRDefault="00DF6EB5" w:rsidP="00552FB8">
      <w:pPr>
        <w:pStyle w:val="Heading2"/>
        <w:rPr>
          <w:rFonts w:ascii="Calibri" w:hAnsi="Calibri"/>
        </w:rPr>
      </w:pPr>
      <w:bookmarkStart w:id="45" w:name="_Toc486935840"/>
      <w:r w:rsidRPr="00474235">
        <w:rPr>
          <w:rFonts w:ascii="Calibri" w:hAnsi="Calibri"/>
        </w:rPr>
        <w:t xml:space="preserve">Assessing status of </w:t>
      </w:r>
      <w:proofErr w:type="spellStart"/>
      <w:r w:rsidRPr="00474235">
        <w:rPr>
          <w:rFonts w:ascii="Calibri" w:hAnsi="Calibri"/>
        </w:rPr>
        <w:t>imposex</w:t>
      </w:r>
      <w:bookmarkEnd w:id="45"/>
      <w:proofErr w:type="spellEnd"/>
    </w:p>
    <w:p w:rsidR="00DF6EB5" w:rsidRPr="00474235" w:rsidRDefault="00DF6EB5" w:rsidP="00DF6EB5">
      <w:pPr>
        <w:rPr>
          <w:lang w:val="en-GB"/>
        </w:rPr>
      </w:pPr>
      <w:r w:rsidRPr="00474235">
        <w:rPr>
          <w:lang w:val="en-GB"/>
        </w:rPr>
        <w:t xml:space="preserve">Previously, environmental status of </w:t>
      </w:r>
      <w:proofErr w:type="spellStart"/>
      <w:r w:rsidRPr="00474235">
        <w:rPr>
          <w:lang w:val="en-GB"/>
        </w:rPr>
        <w:t>imposex</w:t>
      </w:r>
      <w:proofErr w:type="spellEnd"/>
      <w:r w:rsidRPr="00474235">
        <w:rPr>
          <w:lang w:val="en-GB"/>
        </w:rPr>
        <w:t xml:space="preserve"> levels was assessed using the model fitted to the annual indices. The upper one-sided 95% confidence limit on the fitted value in the most recent monitoring year was compared to the available assessment criteria. However, in many time series, </w:t>
      </w:r>
      <w:proofErr w:type="spellStart"/>
      <w:r w:rsidRPr="00474235">
        <w:rPr>
          <w:lang w:val="en-GB"/>
        </w:rPr>
        <w:t>imposex</w:t>
      </w:r>
      <w:proofErr w:type="spellEnd"/>
      <w:r w:rsidRPr="00474235">
        <w:rPr>
          <w:lang w:val="en-GB"/>
        </w:rPr>
        <w:t xml:space="preserve"> levels have declined so rapidly that the linear models used to assess trends cannot track the change completely. The linear models correctly show evidence of a decline, but over-estimate </w:t>
      </w:r>
      <w:proofErr w:type="spellStart"/>
      <w:r w:rsidRPr="00474235">
        <w:rPr>
          <w:lang w:val="en-GB"/>
        </w:rPr>
        <w:t>imposex</w:t>
      </w:r>
      <w:proofErr w:type="spellEnd"/>
      <w:r w:rsidRPr="00474235">
        <w:rPr>
          <w:lang w:val="en-GB"/>
        </w:rPr>
        <w:t xml:space="preserve"> levels in the final monitoring year suggesting that environmental status is worse than it actually is. To overcome this, an alternative test of status is now used when there are individual measurements in the final monitoring year. A proportional odds model is fitted to the individual measurements and used to place an upper one-sided 95% confidence limit on the annual index in the final monitoring year. This confidence limit is then compared to the available assessment criteria.</w:t>
      </w:r>
    </w:p>
    <w:p w:rsidR="00060C48" w:rsidRPr="00474235" w:rsidRDefault="00060C48" w:rsidP="00DF6EB5">
      <w:pPr>
        <w:rPr>
          <w:lang w:val="en-GB"/>
        </w:rPr>
      </w:pPr>
    </w:p>
    <w:p w:rsidR="00041404" w:rsidRPr="00474235" w:rsidRDefault="00041404" w:rsidP="00041404">
      <w:pPr>
        <w:rPr>
          <w:lang w:val="en-GB"/>
        </w:rPr>
      </w:pPr>
      <w:r w:rsidRPr="00474235">
        <w:rPr>
          <w:lang w:val="en-GB"/>
        </w:rPr>
        <w:br w:type="page"/>
      </w:r>
    </w:p>
    <w:p w:rsidR="00041404" w:rsidRPr="00474235" w:rsidRDefault="00041404" w:rsidP="00552FB8">
      <w:pPr>
        <w:pStyle w:val="Heading1"/>
        <w:rPr>
          <w:rFonts w:ascii="Calibri" w:hAnsi="Calibri"/>
        </w:rPr>
      </w:pPr>
      <w:bookmarkStart w:id="46" w:name="_Toc486935841"/>
      <w:r w:rsidRPr="00474235">
        <w:rPr>
          <w:rFonts w:ascii="Calibri" w:hAnsi="Calibri"/>
        </w:rPr>
        <w:t>Appendix 2</w:t>
      </w:r>
      <w:bookmarkEnd w:id="46"/>
    </w:p>
    <w:p w:rsidR="00041404" w:rsidRPr="00474235" w:rsidRDefault="00041404" w:rsidP="00552FB8">
      <w:pPr>
        <w:pStyle w:val="Heading2"/>
        <w:rPr>
          <w:rFonts w:ascii="Calibri" w:hAnsi="Calibri"/>
        </w:rPr>
      </w:pPr>
      <w:bookmarkStart w:id="47" w:name="_Toc486935842"/>
      <w:r w:rsidRPr="00474235">
        <w:rPr>
          <w:rFonts w:ascii="Calibri" w:hAnsi="Calibri"/>
        </w:rPr>
        <w:t>Factors for converting the basis of assessment concentrations in biota</w:t>
      </w:r>
      <w:bookmarkEnd w:id="47"/>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644"/>
        <w:gridCol w:w="1946"/>
        <w:gridCol w:w="1343"/>
        <w:gridCol w:w="1343"/>
        <w:gridCol w:w="1229"/>
        <w:gridCol w:w="1343"/>
      </w:tblGrid>
      <w:tr w:rsidR="00041404" w:rsidRPr="00474235" w:rsidTr="00041404">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4E50E6" w:rsidP="004D5231">
            <w:pPr>
              <w:jc w:val="left"/>
              <w:rPr>
                <w:b/>
                <w:szCs w:val="22"/>
                <w:lang w:val="en-GB"/>
              </w:rPr>
            </w:pPr>
            <w:r w:rsidRPr="00474235">
              <w:rPr>
                <w:b/>
                <w:szCs w:val="22"/>
                <w:lang w:val="en-GB"/>
              </w:rPr>
              <w:t>S</w:t>
            </w:r>
            <w:r w:rsidR="00041404" w:rsidRPr="00474235">
              <w:rPr>
                <w:b/>
                <w:szCs w:val="22"/>
                <w:lang w:val="en-GB"/>
              </w:rPr>
              <w:t>pecies</w:t>
            </w:r>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4E50E6" w:rsidP="004D5231">
            <w:pPr>
              <w:jc w:val="left"/>
              <w:rPr>
                <w:b/>
                <w:szCs w:val="22"/>
                <w:lang w:val="en-GB"/>
              </w:rPr>
            </w:pPr>
            <w:r w:rsidRPr="00474235">
              <w:rPr>
                <w:b/>
                <w:szCs w:val="22"/>
                <w:lang w:val="en-GB"/>
              </w:rPr>
              <w:t>C</w:t>
            </w:r>
            <w:r w:rsidR="00041404" w:rsidRPr="00474235">
              <w:rPr>
                <w:b/>
                <w:szCs w:val="22"/>
                <w:lang w:val="en-GB"/>
              </w:rPr>
              <w:t>ommon name</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b/>
                <w:szCs w:val="22"/>
                <w:lang w:val="en-GB"/>
              </w:rPr>
            </w:pPr>
            <w:r w:rsidRPr="00474235">
              <w:rPr>
                <w:b/>
                <w:szCs w:val="22"/>
                <w:lang w:val="en-GB"/>
              </w:rPr>
              <w:t>% lipid weight</w:t>
            </w:r>
          </w:p>
          <w:p w:rsidR="00041404" w:rsidRPr="00474235" w:rsidRDefault="00041404" w:rsidP="004D5231">
            <w:pPr>
              <w:jc w:val="left"/>
              <w:rPr>
                <w:b/>
                <w:szCs w:val="22"/>
                <w:lang w:val="en-GB"/>
              </w:rPr>
            </w:pPr>
            <w:r w:rsidRPr="00474235">
              <w:rPr>
                <w:b/>
                <w:szCs w:val="22"/>
                <w:lang w:val="en-GB"/>
              </w:rPr>
              <w:t>in muscle</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b/>
                <w:szCs w:val="22"/>
                <w:lang w:val="en-GB"/>
              </w:rPr>
            </w:pPr>
            <w:r w:rsidRPr="00474235">
              <w:rPr>
                <w:b/>
                <w:szCs w:val="22"/>
                <w:lang w:val="en-GB"/>
              </w:rPr>
              <w:t>% lipid weight</w:t>
            </w:r>
          </w:p>
          <w:p w:rsidR="00041404" w:rsidRPr="00474235" w:rsidRDefault="00041404" w:rsidP="004D5231">
            <w:pPr>
              <w:jc w:val="left"/>
              <w:rPr>
                <w:b/>
                <w:szCs w:val="22"/>
                <w:lang w:val="en-GB"/>
              </w:rPr>
            </w:pPr>
            <w:r w:rsidRPr="00474235">
              <w:rPr>
                <w:b/>
                <w:szCs w:val="22"/>
                <w:lang w:val="en-GB"/>
              </w:rPr>
              <w:t>in liver</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b/>
                <w:szCs w:val="22"/>
                <w:lang w:val="en-GB"/>
              </w:rPr>
            </w:pPr>
            <w:r w:rsidRPr="00474235">
              <w:rPr>
                <w:b/>
                <w:szCs w:val="22"/>
                <w:lang w:val="en-GB"/>
              </w:rPr>
              <w:t>% dry weight</w:t>
            </w:r>
          </w:p>
          <w:p w:rsidR="00041404" w:rsidRPr="00474235" w:rsidRDefault="00041404" w:rsidP="004D5231">
            <w:pPr>
              <w:jc w:val="left"/>
              <w:rPr>
                <w:b/>
                <w:szCs w:val="22"/>
                <w:lang w:val="en-GB"/>
              </w:rPr>
            </w:pPr>
            <w:r w:rsidRPr="00474235">
              <w:rPr>
                <w:b/>
                <w:szCs w:val="22"/>
                <w:lang w:val="en-GB"/>
              </w:rPr>
              <w:t>in soft body</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4D5231">
            <w:pPr>
              <w:jc w:val="left"/>
              <w:rPr>
                <w:b/>
                <w:szCs w:val="22"/>
                <w:lang w:val="en-GB"/>
              </w:rPr>
            </w:pPr>
            <w:r w:rsidRPr="00474235">
              <w:rPr>
                <w:b/>
                <w:szCs w:val="22"/>
                <w:lang w:val="en-GB"/>
              </w:rPr>
              <w:t>% lipid weight</w:t>
            </w:r>
          </w:p>
          <w:p w:rsidR="00041404" w:rsidRPr="00474235" w:rsidRDefault="00041404" w:rsidP="004D5231">
            <w:pPr>
              <w:jc w:val="left"/>
              <w:rPr>
                <w:b/>
                <w:szCs w:val="22"/>
                <w:lang w:val="en-GB"/>
              </w:rPr>
            </w:pPr>
            <w:r w:rsidRPr="00474235">
              <w:rPr>
                <w:b/>
                <w:szCs w:val="22"/>
                <w:lang w:val="en-GB"/>
              </w:rPr>
              <w:t>in soft body</w:t>
            </w: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Clupea</w:t>
            </w:r>
            <w:proofErr w:type="spellEnd"/>
            <w:r w:rsidRPr="00474235">
              <w:rPr>
                <w:i/>
                <w:szCs w:val="22"/>
                <w:lang w:val="en-GB"/>
              </w:rPr>
              <w:t xml:space="preserve"> </w:t>
            </w:r>
            <w:proofErr w:type="spellStart"/>
            <w:r w:rsidRPr="00474235">
              <w:rPr>
                <w:i/>
                <w:szCs w:val="22"/>
                <w:lang w:val="en-GB"/>
              </w:rPr>
              <w:t>harengus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herring</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4.5</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   6.2</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Gadus</w:t>
            </w:r>
            <w:proofErr w:type="spellEnd"/>
            <w:r w:rsidRPr="00474235">
              <w:rPr>
                <w:i/>
                <w:szCs w:val="22"/>
                <w:lang w:val="en-GB"/>
              </w:rPr>
              <w:t xml:space="preserve"> </w:t>
            </w:r>
            <w:proofErr w:type="spellStart"/>
            <w:r w:rsidRPr="00474235">
              <w:rPr>
                <w:i/>
                <w:szCs w:val="22"/>
                <w:lang w:val="en-GB"/>
              </w:rPr>
              <w:t>morhua</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cod</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45  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Lepidorhombus</w:t>
            </w:r>
            <w:proofErr w:type="spellEnd"/>
            <w:r w:rsidRPr="00474235">
              <w:rPr>
                <w:i/>
                <w:szCs w:val="22"/>
                <w:lang w:val="en-GB"/>
              </w:rPr>
              <w:t xml:space="preserve"> </w:t>
            </w:r>
            <w:proofErr w:type="spellStart"/>
            <w:r w:rsidRPr="00474235">
              <w:rPr>
                <w:i/>
                <w:szCs w:val="22"/>
                <w:lang w:val="en-GB"/>
              </w:rPr>
              <w:t>whiffiagonis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megrim</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23  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Limanda</w:t>
            </w:r>
            <w:proofErr w:type="spellEnd"/>
            <w:r w:rsidRPr="00474235">
              <w:rPr>
                <w:i/>
                <w:szCs w:val="22"/>
                <w:lang w:val="en-GB"/>
              </w:rPr>
              <w:t xml:space="preserve"> </w:t>
            </w:r>
            <w:proofErr w:type="spellStart"/>
            <w:r w:rsidRPr="00474235">
              <w:rPr>
                <w:i/>
                <w:szCs w:val="22"/>
                <w:lang w:val="en-GB"/>
              </w:rPr>
              <w:t>limanda</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common dab</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16  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Melanogrammus</w:t>
            </w:r>
            <w:proofErr w:type="spellEnd"/>
            <w:r w:rsidRPr="00474235">
              <w:rPr>
                <w:i/>
                <w:szCs w:val="22"/>
                <w:lang w:val="en-GB"/>
              </w:rPr>
              <w:t xml:space="preserve"> </w:t>
            </w:r>
            <w:proofErr w:type="spellStart"/>
            <w:r w:rsidRPr="00474235">
              <w:rPr>
                <w:i/>
                <w:szCs w:val="22"/>
                <w:lang w:val="en-GB"/>
              </w:rPr>
              <w:t>aeglefinus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haddock</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65  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Merlangius</w:t>
            </w:r>
            <w:proofErr w:type="spellEnd"/>
            <w:r w:rsidRPr="00474235">
              <w:rPr>
                <w:i/>
                <w:szCs w:val="22"/>
                <w:lang w:val="en-GB"/>
              </w:rPr>
              <w:t xml:space="preserve"> </w:t>
            </w:r>
            <w:proofErr w:type="spellStart"/>
            <w:r w:rsidRPr="00474235">
              <w:rPr>
                <w:i/>
                <w:szCs w:val="22"/>
                <w:lang w:val="en-GB"/>
              </w:rPr>
              <w:t>merlangus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whiting</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45  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Merluccius</w:t>
            </w:r>
            <w:proofErr w:type="spellEnd"/>
            <w:r w:rsidRPr="00474235">
              <w:rPr>
                <w:i/>
                <w:szCs w:val="22"/>
                <w:lang w:val="en-GB"/>
              </w:rPr>
              <w:t xml:space="preserve"> </w:t>
            </w:r>
            <w:proofErr w:type="spellStart"/>
            <w:r w:rsidRPr="00474235">
              <w:rPr>
                <w:i/>
                <w:szCs w:val="22"/>
                <w:lang w:val="en-GB"/>
              </w:rPr>
              <w:t>merluccius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hake</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44  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Molva</w:t>
            </w:r>
            <w:proofErr w:type="spellEnd"/>
            <w:r w:rsidRPr="00474235">
              <w:rPr>
                <w:i/>
                <w:szCs w:val="22"/>
                <w:lang w:val="en-GB"/>
              </w:rPr>
              <w:t xml:space="preserve"> </w:t>
            </w:r>
            <w:proofErr w:type="spellStart"/>
            <w:r w:rsidRPr="00474235">
              <w:rPr>
                <w:i/>
                <w:szCs w:val="22"/>
                <w:lang w:val="en-GB"/>
              </w:rPr>
              <w:t>molva</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common ling</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54  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Perca</w:t>
            </w:r>
            <w:proofErr w:type="spellEnd"/>
            <w:r w:rsidRPr="00474235">
              <w:rPr>
                <w:i/>
                <w:szCs w:val="22"/>
                <w:lang w:val="en-GB"/>
              </w:rPr>
              <w:t xml:space="preserve"> </w:t>
            </w:r>
            <w:proofErr w:type="spellStart"/>
            <w:r w:rsidRPr="00474235">
              <w:rPr>
                <w:i/>
                <w:szCs w:val="22"/>
                <w:lang w:val="en-GB"/>
              </w:rPr>
              <w:t>fluviatilis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European perch</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0.7</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   0.7</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Platichthys</w:t>
            </w:r>
            <w:proofErr w:type="spellEnd"/>
            <w:r w:rsidRPr="00474235">
              <w:rPr>
                <w:i/>
                <w:szCs w:val="22"/>
                <w:lang w:val="en-GB"/>
              </w:rPr>
              <w:t xml:space="preserve"> </w:t>
            </w:r>
            <w:proofErr w:type="spellStart"/>
            <w:r w:rsidRPr="00474235">
              <w:rPr>
                <w:i/>
                <w:szCs w:val="22"/>
                <w:lang w:val="en-GB"/>
              </w:rPr>
              <w:t>flesus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flounder</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13  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Pleuronectes</w:t>
            </w:r>
            <w:proofErr w:type="spellEnd"/>
            <w:r w:rsidRPr="00474235">
              <w:rPr>
                <w:i/>
                <w:szCs w:val="22"/>
                <w:lang w:val="en-GB"/>
              </w:rPr>
              <w:t xml:space="preserve"> </w:t>
            </w:r>
            <w:proofErr w:type="spellStart"/>
            <w:r w:rsidRPr="00474235">
              <w:rPr>
                <w:i/>
                <w:szCs w:val="22"/>
                <w:lang w:val="en-GB"/>
              </w:rPr>
              <w:t>platessa</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plaice</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10  </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Zoarces</w:t>
            </w:r>
            <w:proofErr w:type="spellEnd"/>
            <w:r w:rsidRPr="00474235">
              <w:rPr>
                <w:i/>
                <w:szCs w:val="22"/>
                <w:lang w:val="en-GB"/>
              </w:rPr>
              <w:t xml:space="preserve"> </w:t>
            </w:r>
            <w:proofErr w:type="spellStart"/>
            <w:r w:rsidRPr="00474235">
              <w:rPr>
                <w:i/>
                <w:szCs w:val="22"/>
                <w:lang w:val="en-GB"/>
              </w:rPr>
              <w:t>vivparus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eelpout</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0.6</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   0.7</w:t>
            </w: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Crassostrea</w:t>
            </w:r>
            <w:proofErr w:type="spellEnd"/>
            <w:r w:rsidRPr="00474235">
              <w:rPr>
                <w:i/>
                <w:szCs w:val="22"/>
                <w:lang w:val="en-GB"/>
              </w:rPr>
              <w:t xml:space="preserve"> </w:t>
            </w:r>
            <w:proofErr w:type="spellStart"/>
            <w:r w:rsidRPr="00474235">
              <w:rPr>
                <w:i/>
                <w:szCs w:val="22"/>
                <w:lang w:val="en-GB"/>
              </w:rPr>
              <w:t>gigas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Pacific oyster</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19</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1.8</w:t>
            </w: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r w:rsidRPr="00474235">
              <w:rPr>
                <w:i/>
                <w:szCs w:val="22"/>
                <w:lang w:val="en-GB"/>
              </w:rPr>
              <w:t xml:space="preserve">Mya </w:t>
            </w:r>
            <w:proofErr w:type="spellStart"/>
            <w:r w:rsidRPr="00474235">
              <w:rPr>
                <w:i/>
                <w:szCs w:val="22"/>
                <w:lang w:val="en-GB"/>
              </w:rPr>
              <w:t>arenaria</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softshell clam</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14</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0.6</w:t>
            </w: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Mytilus</w:t>
            </w:r>
            <w:proofErr w:type="spellEnd"/>
            <w:r w:rsidRPr="00474235">
              <w:rPr>
                <w:i/>
                <w:szCs w:val="22"/>
                <w:lang w:val="en-GB"/>
              </w:rPr>
              <w:t xml:space="preserve"> edulis</w:t>
            </w:r>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blue mussel</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17</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1.3</w:t>
            </w: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Mytilus</w:t>
            </w:r>
            <w:proofErr w:type="spellEnd"/>
            <w:r w:rsidRPr="00474235">
              <w:rPr>
                <w:i/>
                <w:szCs w:val="22"/>
                <w:lang w:val="en-GB"/>
              </w:rPr>
              <w:t xml:space="preserve"> </w:t>
            </w:r>
            <w:proofErr w:type="spellStart"/>
            <w:r w:rsidRPr="00474235">
              <w:rPr>
                <w:i/>
                <w:szCs w:val="22"/>
                <w:lang w:val="en-GB"/>
              </w:rPr>
              <w:t>galloprovincialis</w:t>
            </w:r>
            <w:proofErr w:type="spellEnd"/>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proofErr w:type="spellStart"/>
            <w:r w:rsidRPr="00474235">
              <w:rPr>
                <w:szCs w:val="22"/>
                <w:lang w:val="en-GB"/>
              </w:rPr>
              <w:t>Mediteranean</w:t>
            </w:r>
            <w:proofErr w:type="spellEnd"/>
            <w:r w:rsidRPr="00474235">
              <w:rPr>
                <w:szCs w:val="22"/>
                <w:lang w:val="en-GB"/>
              </w:rPr>
              <w:t xml:space="preserve"> mussel</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19</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2.0</w:t>
            </w:r>
          </w:p>
        </w:tc>
      </w:tr>
      <w:tr w:rsidR="00041404" w:rsidRPr="00474235" w:rsidTr="00041404">
        <w:tblPrEx>
          <w:tblBorders>
            <w:top w:val="none" w:sz="0" w:space="0" w:color="auto"/>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Ostrea</w:t>
            </w:r>
            <w:proofErr w:type="spellEnd"/>
            <w:r w:rsidRPr="00474235">
              <w:rPr>
                <w:i/>
                <w:szCs w:val="22"/>
                <w:lang w:val="en-GB"/>
              </w:rPr>
              <w:t xml:space="preserve"> edulis</w:t>
            </w:r>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native oyster</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22</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1.8</w:t>
            </w:r>
          </w:p>
        </w:tc>
      </w:tr>
      <w:tr w:rsidR="00041404" w:rsidRPr="00474235" w:rsidTr="00041404">
        <w:tblPrEx>
          <w:tblBorders>
            <w:top w:val="none" w:sz="0" w:space="0" w:color="auto"/>
            <w:bottom w:val="single" w:sz="8" w:space="0" w:color="6D6D6D"/>
          </w:tblBorders>
        </w:tblPrEx>
        <w:tc>
          <w:tcPr>
            <w:tcW w:w="1342" w:type="pct"/>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i/>
                <w:szCs w:val="22"/>
                <w:lang w:val="en-GB"/>
              </w:rPr>
            </w:pPr>
            <w:proofErr w:type="spellStart"/>
            <w:r w:rsidRPr="00474235">
              <w:rPr>
                <w:i/>
                <w:szCs w:val="22"/>
                <w:lang w:val="en-GB"/>
              </w:rPr>
              <w:t>Nucella</w:t>
            </w:r>
            <w:proofErr w:type="spellEnd"/>
            <w:r w:rsidRPr="00474235">
              <w:rPr>
                <w:i/>
                <w:szCs w:val="22"/>
                <w:lang w:val="en-GB"/>
              </w:rPr>
              <w:t xml:space="preserve"> lapillus</w:t>
            </w:r>
          </w:p>
        </w:tc>
        <w:tc>
          <w:tcPr>
            <w:tcW w:w="988"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4D5231">
            <w:pPr>
              <w:jc w:val="left"/>
              <w:rPr>
                <w:szCs w:val="22"/>
                <w:lang w:val="en-GB"/>
              </w:rPr>
            </w:pPr>
            <w:r w:rsidRPr="00474235">
              <w:rPr>
                <w:szCs w:val="22"/>
                <w:lang w:val="en-GB"/>
              </w:rPr>
              <w:t>dog whelk</w:t>
            </w: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82"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c>
          <w:tcPr>
            <w:tcW w:w="624"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r w:rsidRPr="00474235">
              <w:rPr>
                <w:szCs w:val="22"/>
                <w:lang w:val="en-GB"/>
              </w:rPr>
              <w:t>34</w:t>
            </w:r>
          </w:p>
        </w:tc>
        <w:tc>
          <w:tcPr>
            <w:tcW w:w="682" w:type="pct"/>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041404" w:rsidRPr="00474235" w:rsidRDefault="00041404" w:rsidP="00FE159C">
            <w:pPr>
              <w:jc w:val="right"/>
              <w:rPr>
                <w:szCs w:val="22"/>
                <w:lang w:val="en-GB"/>
              </w:rPr>
            </w:pPr>
          </w:p>
        </w:tc>
      </w:tr>
    </w:tbl>
    <w:p w:rsidR="00041404" w:rsidRPr="00474235" w:rsidRDefault="00041404" w:rsidP="00041404">
      <w:pPr>
        <w:rPr>
          <w:lang w:val="en-GB"/>
        </w:rPr>
      </w:pPr>
      <w:r w:rsidRPr="00474235">
        <w:rPr>
          <w:lang w:val="en-GB"/>
        </w:rPr>
        <w:br w:type="page"/>
      </w:r>
    </w:p>
    <w:p w:rsidR="00041404" w:rsidRPr="00474235" w:rsidRDefault="00041404" w:rsidP="00552FB8">
      <w:pPr>
        <w:pStyle w:val="Heading1"/>
        <w:rPr>
          <w:rFonts w:ascii="Calibri" w:hAnsi="Calibri"/>
        </w:rPr>
      </w:pPr>
      <w:bookmarkStart w:id="48" w:name="_Toc486935843"/>
      <w:r w:rsidRPr="00474235">
        <w:rPr>
          <w:rFonts w:ascii="Calibri" w:hAnsi="Calibri"/>
        </w:rPr>
        <w:t>Appendix 3</w:t>
      </w:r>
      <w:bookmarkEnd w:id="48"/>
    </w:p>
    <w:p w:rsidR="00060C48" w:rsidRPr="00474235" w:rsidRDefault="00060C48" w:rsidP="00552FB8">
      <w:pPr>
        <w:pStyle w:val="Heading2"/>
        <w:rPr>
          <w:rFonts w:ascii="Calibri" w:hAnsi="Calibri"/>
        </w:rPr>
      </w:pPr>
      <w:bookmarkStart w:id="49" w:name="_Toc486935844"/>
      <w:r w:rsidRPr="00474235">
        <w:rPr>
          <w:rFonts w:ascii="Calibri" w:hAnsi="Calibri"/>
        </w:rPr>
        <w:t xml:space="preserve">Pivot values for </w:t>
      </w:r>
      <w:r w:rsidR="004D5231" w:rsidRPr="00474235">
        <w:rPr>
          <w:rFonts w:ascii="Calibri" w:hAnsi="Calibri"/>
        </w:rPr>
        <w:t>normalis</w:t>
      </w:r>
      <w:r w:rsidR="00EB6AC9" w:rsidRPr="00474235">
        <w:rPr>
          <w:rFonts w:ascii="Calibri" w:hAnsi="Calibri"/>
        </w:rPr>
        <w:t xml:space="preserve">ation of </w:t>
      </w:r>
      <w:r w:rsidRPr="00474235">
        <w:rPr>
          <w:rFonts w:ascii="Calibri" w:hAnsi="Calibri"/>
        </w:rPr>
        <w:t>metals</w:t>
      </w:r>
      <w:r w:rsidR="00EB6AC9" w:rsidRPr="00474235">
        <w:rPr>
          <w:rFonts w:ascii="Calibri" w:hAnsi="Calibri"/>
        </w:rPr>
        <w:t xml:space="preserve"> in sediment</w:t>
      </w:r>
      <w:bookmarkEnd w:id="49"/>
    </w:p>
    <w:p w:rsidR="00060C48" w:rsidRPr="00474235" w:rsidRDefault="00060C48" w:rsidP="00060C48">
      <w:pPr>
        <w:rPr>
          <w:b/>
          <w:bCs/>
          <w:lang w:val="en-GB"/>
        </w:rPr>
      </w:pPr>
      <w:r w:rsidRPr="00474235">
        <w:rPr>
          <w:b/>
          <w:bCs/>
          <w:lang w:val="en-GB"/>
        </w:rPr>
        <w:t>Metals</w:t>
      </w:r>
    </w:p>
    <w:tbl>
      <w:tblPr>
        <w:tblW w:w="3150" w:type="pct"/>
        <w:tblBorders>
          <w:top w:val="single" w:sz="8" w:space="0" w:color="6D6D6D"/>
          <w:left w:val="single" w:sz="8" w:space="0" w:color="6D6D6D"/>
          <w:right w:val="single" w:sz="8" w:space="0" w:color="6D6D6D"/>
        </w:tblBorders>
        <w:tblLook w:val="0000" w:firstRow="0" w:lastRow="0" w:firstColumn="0" w:lastColumn="0" w:noHBand="0" w:noVBand="0"/>
      </w:tblPr>
      <w:tblGrid>
        <w:gridCol w:w="2238"/>
        <w:gridCol w:w="1419"/>
        <w:gridCol w:w="1558"/>
        <w:gridCol w:w="989"/>
      </w:tblGrid>
      <w:tr w:rsidR="00060C48" w:rsidRPr="00474235" w:rsidTr="00FE159C">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b/>
                <w:szCs w:val="22"/>
                <w:lang w:val="en-GB"/>
              </w:rPr>
            </w:pP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b/>
                <w:szCs w:val="22"/>
                <w:lang w:val="en-GB"/>
              </w:rPr>
            </w:pPr>
            <w:r w:rsidRPr="00474235">
              <w:rPr>
                <w:b/>
                <w:szCs w:val="22"/>
                <w:lang w:val="en-GB"/>
              </w:rPr>
              <w:t>Units</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b/>
                <w:szCs w:val="22"/>
                <w:lang w:val="en-GB"/>
              </w:rPr>
            </w:pPr>
            <w:r w:rsidRPr="00474235">
              <w:rPr>
                <w:b/>
                <w:szCs w:val="22"/>
                <w:lang w:val="en-GB"/>
              </w:rPr>
              <w:t>Digestion*</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b/>
                <w:szCs w:val="22"/>
                <w:lang w:val="en-GB"/>
              </w:rPr>
            </w:pPr>
            <w:r w:rsidRPr="00474235">
              <w:rPr>
                <w:b/>
                <w:i/>
                <w:iCs/>
                <w:szCs w:val="22"/>
                <w:lang w:val="en-GB"/>
              </w:rPr>
              <w:t>c</w:t>
            </w:r>
            <w:r w:rsidRPr="00474235">
              <w:rPr>
                <w:b/>
                <w:i/>
                <w:iCs/>
                <w:szCs w:val="22"/>
                <w:vertAlign w:val="subscript"/>
                <w:lang w:val="en-GB"/>
              </w:rPr>
              <w:t>x</w:t>
            </w:r>
          </w:p>
        </w:tc>
      </w:tr>
      <w:tr w:rsidR="00060C48"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szCs w:val="22"/>
                <w:lang w:val="en-GB"/>
              </w:rPr>
            </w:pPr>
            <w:r w:rsidRPr="00474235">
              <w:rPr>
                <w:szCs w:val="22"/>
                <w:lang w:val="en-GB"/>
              </w:rPr>
              <w:t>Cadmium</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FE159C" w:rsidP="00060C48">
            <w:pPr>
              <w:rPr>
                <w:szCs w:val="22"/>
                <w:vertAlign w:val="superscript"/>
                <w:lang w:val="en-GB"/>
              </w:rPr>
            </w:pPr>
            <w:r w:rsidRPr="00474235">
              <w:rPr>
                <w:szCs w:val="22"/>
                <w:lang w:val="en-GB"/>
              </w:rPr>
              <w:t xml:space="preserve">mg </w:t>
            </w:r>
            <w:r w:rsidR="00060C48" w:rsidRPr="00474235">
              <w:rPr>
                <w:szCs w:val="22"/>
                <w:lang w:val="en-GB"/>
              </w:rPr>
              <w:t>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szCs w:val="22"/>
                <w:lang w:val="en-GB"/>
              </w:rPr>
            </w:pPr>
            <w:r w:rsidRPr="00474235">
              <w:rPr>
                <w:szCs w:val="22"/>
                <w:lang w:val="en-GB"/>
              </w:rPr>
              <w:t xml:space="preserve">Ps, Tot, </w:t>
            </w: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szCs w:val="22"/>
                <w:lang w:val="en-GB"/>
              </w:rPr>
            </w:pPr>
            <w:r w:rsidRPr="00474235">
              <w:rPr>
                <w:szCs w:val="22"/>
                <w:lang w:val="en-GB"/>
              </w:rPr>
              <w:t>0.03</w:t>
            </w:r>
          </w:p>
        </w:tc>
      </w:tr>
      <w:tr w:rsidR="00060C48"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szCs w:val="22"/>
                <w:lang w:val="en-GB"/>
              </w:rPr>
            </w:pPr>
            <w:r w:rsidRPr="00474235">
              <w:rPr>
                <w:szCs w:val="22"/>
                <w:lang w:val="en-GB"/>
              </w:rPr>
              <w:t>Mercury</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FE159C" w:rsidP="00060C48">
            <w:pPr>
              <w:rPr>
                <w:szCs w:val="22"/>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szCs w:val="22"/>
                <w:lang w:val="en-GB"/>
              </w:rPr>
            </w:pPr>
            <w:r w:rsidRPr="00474235">
              <w:rPr>
                <w:szCs w:val="22"/>
                <w:lang w:val="en-GB"/>
              </w:rPr>
              <w:t xml:space="preserve">Ps, Tot, </w:t>
            </w: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szCs w:val="22"/>
                <w:lang w:val="en-GB"/>
              </w:rPr>
            </w:pPr>
            <w:r w:rsidRPr="00474235">
              <w:rPr>
                <w:szCs w:val="22"/>
                <w:lang w:val="en-GB"/>
              </w:rPr>
              <w:t>0</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Lead</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 xml:space="preserve">Ps, </w:t>
            </w: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2</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Lead</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Tot</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9</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Arsenic</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Ps</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3</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Arsenic</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Tot</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5</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Arsenic</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1.5</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Chromium</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Ps, Tot</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13</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Chromium</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10</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Copper</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 xml:space="preserve">Ps, </w:t>
            </w: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1</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Copper</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Tot</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3</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Nickel</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 xml:space="preserve">Ps, </w:t>
            </w: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2.5</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Nickel</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Tot</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4</w:t>
            </w:r>
          </w:p>
        </w:tc>
      </w:tr>
      <w:tr w:rsidR="00FE159C" w:rsidRPr="00474235" w:rsidTr="00FE159C">
        <w:tblPrEx>
          <w:tblBorders>
            <w:top w:val="none" w:sz="0" w:space="0" w:color="auto"/>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Zinc</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 xml:space="preserve">Ps, </w:t>
            </w:r>
            <w:proofErr w:type="spellStart"/>
            <w:r w:rsidRPr="00474235">
              <w:rPr>
                <w:szCs w:val="22"/>
                <w:lang w:val="en-GB"/>
              </w:rPr>
              <w:t>Pw</w:t>
            </w:r>
            <w:proofErr w:type="spellEnd"/>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8</w:t>
            </w:r>
          </w:p>
        </w:tc>
      </w:tr>
      <w:tr w:rsidR="00FE159C" w:rsidRPr="00474235" w:rsidTr="00FE159C">
        <w:tblPrEx>
          <w:tblBorders>
            <w:top w:val="none" w:sz="0" w:space="0" w:color="auto"/>
            <w:bottom w:val="single" w:sz="8" w:space="0" w:color="6D6D6D"/>
          </w:tblBorders>
        </w:tblPrEx>
        <w:tc>
          <w:tcPr>
            <w:tcW w:w="1803"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Zinc</w:t>
            </w:r>
          </w:p>
        </w:tc>
        <w:tc>
          <w:tcPr>
            <w:tcW w:w="1144"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FE159C" w:rsidRPr="00474235" w:rsidRDefault="00FE159C">
            <w:pPr>
              <w:rPr>
                <w:lang w:val="en-GB"/>
              </w:rPr>
            </w:pPr>
            <w:r w:rsidRPr="00474235">
              <w:rPr>
                <w:szCs w:val="22"/>
                <w:lang w:val="en-GB"/>
              </w:rPr>
              <w:t>mg kg</w:t>
            </w:r>
            <w:r w:rsidRPr="00474235">
              <w:rPr>
                <w:szCs w:val="22"/>
                <w:vertAlign w:val="superscript"/>
                <w:lang w:val="en-GB"/>
              </w:rPr>
              <w:t>-1</w:t>
            </w:r>
          </w:p>
        </w:tc>
        <w:tc>
          <w:tcPr>
            <w:tcW w:w="1256"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Tot</w:t>
            </w:r>
          </w:p>
        </w:tc>
        <w:tc>
          <w:tcPr>
            <w:tcW w:w="798"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FE159C" w:rsidRPr="00474235" w:rsidRDefault="00FE159C" w:rsidP="00060C48">
            <w:pPr>
              <w:rPr>
                <w:szCs w:val="22"/>
                <w:lang w:val="en-GB"/>
              </w:rPr>
            </w:pPr>
            <w:r w:rsidRPr="00474235">
              <w:rPr>
                <w:szCs w:val="22"/>
                <w:lang w:val="en-GB"/>
              </w:rPr>
              <w:t>13</w:t>
            </w:r>
          </w:p>
        </w:tc>
      </w:tr>
    </w:tbl>
    <w:p w:rsidR="00060C48" w:rsidRPr="00474235" w:rsidRDefault="00060C48" w:rsidP="00060C48">
      <w:pPr>
        <w:rPr>
          <w:lang w:val="en-GB"/>
        </w:rPr>
      </w:pPr>
    </w:p>
    <w:p w:rsidR="00060C48" w:rsidRPr="00474235" w:rsidRDefault="00060C48" w:rsidP="00060C48">
      <w:pPr>
        <w:rPr>
          <w:b/>
          <w:bCs/>
          <w:lang w:val="en-GB"/>
        </w:rPr>
      </w:pPr>
      <w:r w:rsidRPr="00474235">
        <w:rPr>
          <w:b/>
          <w:bCs/>
          <w:lang w:val="en-GB"/>
        </w:rPr>
        <w:t>Aluminium (normaliser)</w:t>
      </w:r>
    </w:p>
    <w:tbl>
      <w:tblPr>
        <w:tblW w:w="3366" w:type="pct"/>
        <w:tblBorders>
          <w:top w:val="single" w:sz="8" w:space="0" w:color="6D6D6D"/>
          <w:left w:val="single" w:sz="8" w:space="0" w:color="6D6D6D"/>
          <w:right w:val="single" w:sz="8" w:space="0" w:color="6D6D6D"/>
        </w:tblBorders>
        <w:tblLook w:val="0000" w:firstRow="0" w:lastRow="0" w:firstColumn="0" w:lastColumn="0" w:noHBand="0" w:noVBand="0"/>
      </w:tblPr>
      <w:tblGrid>
        <w:gridCol w:w="2359"/>
        <w:gridCol w:w="1439"/>
        <w:gridCol w:w="1416"/>
        <w:gridCol w:w="1416"/>
      </w:tblGrid>
      <w:tr w:rsidR="00060C48" w:rsidRPr="00474235" w:rsidTr="00FE159C">
        <w:tc>
          <w:tcPr>
            <w:tcW w:w="1779"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b/>
                <w:lang w:val="en-GB"/>
              </w:rPr>
            </w:pPr>
            <w:r w:rsidRPr="00474235">
              <w:rPr>
                <w:b/>
                <w:lang w:val="en-GB"/>
              </w:rPr>
              <w:t>Units</w:t>
            </w:r>
          </w:p>
        </w:tc>
        <w:tc>
          <w:tcPr>
            <w:tcW w:w="1085"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b/>
                <w:lang w:val="en-GB"/>
              </w:rPr>
            </w:pPr>
            <w:r w:rsidRPr="00474235">
              <w:rPr>
                <w:b/>
                <w:lang w:val="en-GB"/>
              </w:rPr>
              <w:t>Digestion*</w:t>
            </w:r>
          </w:p>
        </w:tc>
        <w:tc>
          <w:tcPr>
            <w:tcW w:w="1068"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b/>
                <w:lang w:val="en-GB"/>
              </w:rPr>
            </w:pPr>
            <w:proofErr w:type="spellStart"/>
            <w:r w:rsidRPr="00474235">
              <w:rPr>
                <w:b/>
                <w:i/>
                <w:iCs/>
                <w:lang w:val="en-GB"/>
              </w:rPr>
              <w:t>n</w:t>
            </w:r>
            <w:r w:rsidRPr="00474235">
              <w:rPr>
                <w:b/>
                <w:i/>
                <w:iCs/>
                <w:vertAlign w:val="subscript"/>
                <w:lang w:val="en-GB"/>
              </w:rPr>
              <w:t>x</w:t>
            </w:r>
            <w:proofErr w:type="spellEnd"/>
          </w:p>
        </w:tc>
        <w:tc>
          <w:tcPr>
            <w:tcW w:w="1069"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b/>
                <w:lang w:val="en-GB"/>
              </w:rPr>
            </w:pPr>
            <w:proofErr w:type="spellStart"/>
            <w:r w:rsidRPr="00474235">
              <w:rPr>
                <w:b/>
                <w:i/>
                <w:iCs/>
                <w:lang w:val="en-GB"/>
              </w:rPr>
              <w:t>n</w:t>
            </w:r>
            <w:r w:rsidRPr="00474235">
              <w:rPr>
                <w:b/>
                <w:i/>
                <w:iCs/>
                <w:vertAlign w:val="subscript"/>
                <w:lang w:val="en-GB"/>
              </w:rPr>
              <w:t>ss</w:t>
            </w:r>
            <w:proofErr w:type="spellEnd"/>
          </w:p>
        </w:tc>
      </w:tr>
      <w:tr w:rsidR="00060C48" w:rsidRPr="00474235" w:rsidTr="00FE159C">
        <w:tblPrEx>
          <w:tblBorders>
            <w:top w:val="none" w:sz="0" w:space="0" w:color="auto"/>
          </w:tblBorders>
        </w:tblPrEx>
        <w:tc>
          <w:tcPr>
            <w:tcW w:w="1779"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w:t>
            </w:r>
          </w:p>
        </w:tc>
        <w:tc>
          <w:tcPr>
            <w:tcW w:w="1085"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Ps</w:t>
            </w:r>
          </w:p>
        </w:tc>
        <w:tc>
          <w:tcPr>
            <w:tcW w:w="1068"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0.4</w:t>
            </w:r>
          </w:p>
        </w:tc>
        <w:tc>
          <w:tcPr>
            <w:tcW w:w="1069"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5.0</w:t>
            </w:r>
          </w:p>
        </w:tc>
      </w:tr>
      <w:tr w:rsidR="00060C48" w:rsidRPr="00474235" w:rsidTr="00FE159C">
        <w:tblPrEx>
          <w:tblBorders>
            <w:top w:val="none" w:sz="0" w:space="0" w:color="auto"/>
          </w:tblBorders>
        </w:tblPrEx>
        <w:tc>
          <w:tcPr>
            <w:tcW w:w="1779"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w:t>
            </w:r>
          </w:p>
        </w:tc>
        <w:tc>
          <w:tcPr>
            <w:tcW w:w="1085"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Tot</w:t>
            </w:r>
          </w:p>
        </w:tc>
        <w:tc>
          <w:tcPr>
            <w:tcW w:w="1068"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1.4</w:t>
            </w:r>
          </w:p>
        </w:tc>
        <w:tc>
          <w:tcPr>
            <w:tcW w:w="1069"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5.8</w:t>
            </w:r>
          </w:p>
        </w:tc>
      </w:tr>
      <w:tr w:rsidR="00060C48" w:rsidRPr="00474235" w:rsidTr="00FE159C">
        <w:tblPrEx>
          <w:tblBorders>
            <w:top w:val="none" w:sz="0" w:space="0" w:color="auto"/>
            <w:bottom w:val="single" w:sz="8" w:space="0" w:color="6D6D6D"/>
          </w:tblBorders>
        </w:tblPrEx>
        <w:tc>
          <w:tcPr>
            <w:tcW w:w="1779"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w:t>
            </w:r>
          </w:p>
        </w:tc>
        <w:tc>
          <w:tcPr>
            <w:tcW w:w="1085"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proofErr w:type="spellStart"/>
            <w:r w:rsidRPr="00474235">
              <w:rPr>
                <w:lang w:val="en-GB"/>
              </w:rPr>
              <w:t>Pw</w:t>
            </w:r>
            <w:proofErr w:type="spellEnd"/>
          </w:p>
        </w:tc>
        <w:tc>
          <w:tcPr>
            <w:tcW w:w="1068" w:type="pct"/>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0.3</w:t>
            </w:r>
          </w:p>
        </w:tc>
        <w:tc>
          <w:tcPr>
            <w:tcW w:w="1069"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060C48" w:rsidRPr="00474235" w:rsidRDefault="00060C48" w:rsidP="00060C48">
            <w:pPr>
              <w:rPr>
                <w:lang w:val="en-GB"/>
              </w:rPr>
            </w:pPr>
            <w:r w:rsidRPr="00474235">
              <w:rPr>
                <w:lang w:val="en-GB"/>
              </w:rPr>
              <w:t>4.0</w:t>
            </w:r>
          </w:p>
        </w:tc>
      </w:tr>
    </w:tbl>
    <w:p w:rsidR="00060C48" w:rsidRPr="00474235" w:rsidRDefault="00060C48" w:rsidP="00DF6EB5">
      <w:pPr>
        <w:rPr>
          <w:lang w:val="en-GB"/>
        </w:rPr>
      </w:pPr>
      <w:r w:rsidRPr="00474235">
        <w:rPr>
          <w:lang w:val="en-GB"/>
        </w:rPr>
        <w:t xml:space="preserve">* Digestion codes: </w:t>
      </w:r>
      <w:proofErr w:type="spellStart"/>
      <w:r w:rsidRPr="00474235">
        <w:rPr>
          <w:lang w:val="en-GB"/>
        </w:rPr>
        <w:t>Pw</w:t>
      </w:r>
      <w:proofErr w:type="spellEnd"/>
      <w:r w:rsidRPr="00474235">
        <w:rPr>
          <w:lang w:val="en-GB"/>
        </w:rPr>
        <w:t xml:space="preserve"> (Partial weak), Ps (Partial strong), Tot (Total)</w:t>
      </w:r>
    </w:p>
    <w:p w:rsidR="00041404" w:rsidRPr="00474235" w:rsidRDefault="00041404" w:rsidP="00DF6EB5">
      <w:pPr>
        <w:rPr>
          <w:lang w:val="en-GB"/>
        </w:rPr>
      </w:pPr>
    </w:p>
    <w:p w:rsidR="003A357A" w:rsidRPr="00474235" w:rsidRDefault="003A357A">
      <w:pPr>
        <w:rPr>
          <w:lang w:val="en-GB"/>
        </w:rPr>
      </w:pPr>
      <w:r w:rsidRPr="00474235">
        <w:rPr>
          <w:lang w:val="en-GB"/>
        </w:rPr>
        <w:br w:type="page"/>
      </w:r>
    </w:p>
    <w:p w:rsidR="003A357A" w:rsidRPr="00474235" w:rsidRDefault="003A357A" w:rsidP="00552FB8">
      <w:pPr>
        <w:pStyle w:val="Heading1"/>
        <w:rPr>
          <w:rFonts w:ascii="Calibri" w:hAnsi="Calibri"/>
        </w:rPr>
      </w:pPr>
      <w:bookmarkStart w:id="50" w:name="_Toc486935845"/>
      <w:r w:rsidRPr="00474235">
        <w:rPr>
          <w:rFonts w:ascii="Calibri" w:hAnsi="Calibri"/>
        </w:rPr>
        <w:t>Appendix 4</w:t>
      </w:r>
      <w:bookmarkEnd w:id="50"/>
    </w:p>
    <w:p w:rsidR="003A357A" w:rsidRPr="00474235" w:rsidRDefault="003A357A" w:rsidP="00552FB8">
      <w:pPr>
        <w:pStyle w:val="Heading2"/>
        <w:rPr>
          <w:rFonts w:ascii="Calibri" w:hAnsi="Calibri"/>
        </w:rPr>
      </w:pPr>
      <w:bookmarkStart w:id="51" w:name="_Toc486935846"/>
      <w:r w:rsidRPr="00474235">
        <w:rPr>
          <w:rFonts w:ascii="Calibri" w:hAnsi="Calibri"/>
        </w:rPr>
        <w:t>Species area combinations used for cut-point estimation</w:t>
      </w:r>
      <w:bookmarkEnd w:id="51"/>
    </w:p>
    <w:p w:rsidR="003A357A" w:rsidRPr="00474235" w:rsidRDefault="003A357A" w:rsidP="003A357A">
      <w:pPr>
        <w:rPr>
          <w:lang w:val="en-GB"/>
        </w:rPr>
      </w:pPr>
      <w:r w:rsidRPr="00474235">
        <w:rPr>
          <w:lang w:val="en-GB"/>
        </w:rPr>
        <w:t xml:space="preserve">The cut-points are estimated for the following combinations of species and area. To make the estimation problem more tractable, the data are further split by contracting party. The value of </w:t>
      </w:r>
      <w:r w:rsidRPr="00474235">
        <w:rPr>
          <w:i/>
          <w:iCs/>
          <w:lang w:val="en-GB"/>
        </w:rPr>
        <w:t xml:space="preserve">K </w:t>
      </w:r>
      <w:r w:rsidRPr="00474235">
        <w:rPr>
          <w:lang w:val="en-GB"/>
        </w:rPr>
        <w:t>is the highest VDS class considered having combined the upper classes that have few observations.</w:t>
      </w:r>
    </w:p>
    <w:p w:rsidR="003A357A" w:rsidRPr="00474235" w:rsidRDefault="003A357A" w:rsidP="003A357A">
      <w:pPr>
        <w:rPr>
          <w:lang w:val="en-GB"/>
        </w:rPr>
      </w:pPr>
      <w:proofErr w:type="gramStart"/>
      <w:r w:rsidRPr="00474235">
        <w:rPr>
          <w:lang w:val="en-GB"/>
        </w:rPr>
        <w:t>html</w:t>
      </w:r>
      <w:proofErr w:type="gramEnd"/>
      <w:r w:rsidRPr="00474235">
        <w:rPr>
          <w:lang w:val="en-GB"/>
        </w:rPr>
        <w:t xml:space="preserve"> table generated in R 3.3.1 by </w:t>
      </w:r>
      <w:proofErr w:type="spellStart"/>
      <w:r w:rsidRPr="00474235">
        <w:rPr>
          <w:lang w:val="en-GB"/>
        </w:rPr>
        <w:t>xtable</w:t>
      </w:r>
      <w:proofErr w:type="spellEnd"/>
      <w:r w:rsidRPr="00474235">
        <w:rPr>
          <w:lang w:val="en-GB"/>
        </w:rPr>
        <w:t xml:space="preserve"> 1.8-2 package Mon Oct 24 09:00:19 2016</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376"/>
        <w:gridCol w:w="3261"/>
        <w:gridCol w:w="2551"/>
        <w:gridCol w:w="567"/>
      </w:tblGrid>
      <w:tr w:rsidR="003A357A" w:rsidRPr="00474235" w:rsidTr="00FE159C">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4D5231" w:rsidP="003A357A">
            <w:pPr>
              <w:rPr>
                <w:b/>
                <w:bCs/>
                <w:lang w:val="en-GB"/>
              </w:rPr>
            </w:pPr>
            <w:r w:rsidRPr="00474235">
              <w:rPr>
                <w:b/>
                <w:bCs/>
                <w:lang w:val="en-GB"/>
              </w:rPr>
              <w:t>S</w:t>
            </w:r>
            <w:r w:rsidR="003A357A" w:rsidRPr="00474235">
              <w:rPr>
                <w:b/>
                <w:bCs/>
                <w:lang w:val="en-GB"/>
              </w:rPr>
              <w:t>pecies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4E50E6" w:rsidP="003A357A">
            <w:pPr>
              <w:rPr>
                <w:b/>
                <w:bCs/>
                <w:lang w:val="en-GB"/>
              </w:rPr>
            </w:pPr>
            <w:r w:rsidRPr="00474235">
              <w:rPr>
                <w:b/>
                <w:bCs/>
                <w:lang w:val="en-GB"/>
              </w:rPr>
              <w:t>R</w:t>
            </w:r>
            <w:r w:rsidR="003A357A" w:rsidRPr="00474235">
              <w:rPr>
                <w:b/>
                <w:bCs/>
                <w:lang w:val="en-GB"/>
              </w:rPr>
              <w:t>egion</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4E50E6" w:rsidP="003A357A">
            <w:pPr>
              <w:rPr>
                <w:b/>
                <w:bCs/>
                <w:lang w:val="en-GB"/>
              </w:rPr>
            </w:pPr>
            <w:r w:rsidRPr="00474235">
              <w:rPr>
                <w:b/>
                <w:bCs/>
                <w:lang w:val="en-GB"/>
              </w:rPr>
              <w:t>C</w:t>
            </w:r>
            <w:r w:rsidR="003A357A" w:rsidRPr="00474235">
              <w:rPr>
                <w:b/>
                <w:bCs/>
                <w:lang w:val="en-GB"/>
              </w:rPr>
              <w:t>ountry</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b/>
                <w:bCs/>
                <w:lang w:val="en-GB"/>
              </w:rPr>
            </w:pPr>
            <w:r w:rsidRPr="00474235">
              <w:rPr>
                <w:b/>
                <w:bCs/>
                <w:lang w:val="en-GB"/>
              </w:rPr>
              <w:t>K</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Celtic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Ireland</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5</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Celtic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United Kingdom</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Irish and Scottish West Coast</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Ireland</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6</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Irish and Scottish West Coast</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United Kingdom</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5</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Irish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Ireland</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5</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Irish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United Kingdom</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Barents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Norway</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Norwegian Trench</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Norway</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proofErr w:type="spellStart"/>
            <w:r w:rsidRPr="00474235">
              <w:rPr>
                <w:lang w:val="en-GB"/>
              </w:rPr>
              <w:t>Skaggerak</w:t>
            </w:r>
            <w:proofErr w:type="spellEnd"/>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Norway</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Southern North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The Netherlands</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Southern North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United Kingdom</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Channel</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United Kingdom</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Nucella</w:t>
            </w:r>
            <w:proofErr w:type="spellEnd"/>
            <w:r w:rsidRPr="00474235">
              <w:rPr>
                <w:i/>
                <w:lang w:val="en-GB"/>
              </w:rPr>
              <w:t xml:space="preserve"> lapillus</w:t>
            </w:r>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Northern North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United Kingdom</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5</w:t>
            </w:r>
          </w:p>
        </w:tc>
      </w:tr>
      <w:tr w:rsidR="003A357A" w:rsidRPr="00474235" w:rsidTr="00FE159C">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Nassarius</w:t>
            </w:r>
            <w:proofErr w:type="spellEnd"/>
            <w:r w:rsidRPr="00474235">
              <w:rPr>
                <w:i/>
                <w:lang w:val="en-GB"/>
              </w:rPr>
              <w:t xml:space="preserve"> </w:t>
            </w:r>
            <w:proofErr w:type="spellStart"/>
            <w:r w:rsidRPr="00474235">
              <w:rPr>
                <w:i/>
                <w:lang w:val="en-GB"/>
              </w:rPr>
              <w:t>reticulatus</w:t>
            </w:r>
            <w:proofErr w:type="spellEnd"/>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proofErr w:type="spellStart"/>
            <w:r w:rsidRPr="00474235">
              <w:rPr>
                <w:lang w:val="en-GB"/>
              </w:rPr>
              <w:t>Skaggerak</w:t>
            </w:r>
            <w:proofErr w:type="spellEnd"/>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Sweden</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4</w:t>
            </w:r>
          </w:p>
        </w:tc>
      </w:tr>
      <w:tr w:rsidR="003A357A" w:rsidRPr="00474235" w:rsidTr="00FE159C">
        <w:tblPrEx>
          <w:tblBorders>
            <w:top w:val="none" w:sz="0" w:space="0" w:color="auto"/>
            <w:bottom w:val="single" w:sz="8" w:space="0" w:color="6D6D6D"/>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i/>
                <w:lang w:val="en-GB"/>
              </w:rPr>
            </w:pPr>
            <w:proofErr w:type="spellStart"/>
            <w:r w:rsidRPr="00474235">
              <w:rPr>
                <w:i/>
                <w:lang w:val="en-GB"/>
              </w:rPr>
              <w:t>Nassarius</w:t>
            </w:r>
            <w:proofErr w:type="spellEnd"/>
            <w:r w:rsidRPr="00474235">
              <w:rPr>
                <w:i/>
                <w:lang w:val="en-GB"/>
              </w:rPr>
              <w:t xml:space="preserve"> </w:t>
            </w:r>
            <w:proofErr w:type="spellStart"/>
            <w:r w:rsidRPr="00474235">
              <w:rPr>
                <w:i/>
                <w:lang w:val="en-GB"/>
              </w:rPr>
              <w:t>reticulatus</w:t>
            </w:r>
            <w:proofErr w:type="spellEnd"/>
          </w:p>
        </w:tc>
        <w:tc>
          <w:tcPr>
            <w:tcW w:w="326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Southern North Sea</w:t>
            </w:r>
          </w:p>
        </w:tc>
        <w:tc>
          <w:tcPr>
            <w:tcW w:w="255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The Netherlands</w:t>
            </w:r>
          </w:p>
        </w:tc>
        <w:tc>
          <w:tcPr>
            <w:tcW w:w="567"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3A357A" w:rsidRPr="00474235" w:rsidRDefault="003A357A" w:rsidP="003A357A">
            <w:pPr>
              <w:rPr>
                <w:lang w:val="en-GB"/>
              </w:rPr>
            </w:pPr>
            <w:r w:rsidRPr="00474235">
              <w:rPr>
                <w:lang w:val="en-GB"/>
              </w:rPr>
              <w:t>1</w:t>
            </w:r>
          </w:p>
        </w:tc>
      </w:tr>
    </w:tbl>
    <w:p w:rsidR="003A357A" w:rsidRPr="00474235" w:rsidRDefault="003A357A" w:rsidP="00DF6EB5">
      <w:pPr>
        <w:rPr>
          <w:lang w:val="en-GB"/>
        </w:rPr>
      </w:pPr>
      <w:bookmarkStart w:id="52" w:name="_GoBack"/>
      <w:bookmarkEnd w:id="52"/>
    </w:p>
    <w:sectPr w:rsidR="003A357A" w:rsidRPr="00474235" w:rsidSect="00A8169D">
      <w:footerReference w:type="default" r:id="rId64"/>
      <w:pgSz w:w="11900" w:h="16840"/>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B8" w:rsidRDefault="00F668B8" w:rsidP="00DF6EB5">
      <w:r>
        <w:separator/>
      </w:r>
    </w:p>
  </w:endnote>
  <w:endnote w:type="continuationSeparator" w:id="0">
    <w:p w:rsidR="00F668B8" w:rsidRDefault="00F668B8" w:rsidP="00DF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
    <w:charset w:val="81"/>
    <w:family w:val="auto"/>
    <w:pitch w:val="variable"/>
    <w:sig w:usb0="A1002AFF" w:usb1="5B0FFDFF" w:usb2="02000030"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7" w:type="dxa"/>
        <w:left w:w="0" w:type="dxa"/>
        <w:bottom w:w="57" w:type="dxa"/>
        <w:right w:w="0" w:type="dxa"/>
      </w:tblCellMar>
      <w:tblLook w:val="0000" w:firstRow="0" w:lastRow="0" w:firstColumn="0" w:lastColumn="0" w:noHBand="0" w:noVBand="0"/>
    </w:tblPr>
    <w:tblGrid>
      <w:gridCol w:w="9632"/>
    </w:tblGrid>
    <w:tr w:rsidR="00F668B8" w:rsidRPr="00B27AB4" w:rsidTr="00285FD3">
      <w:trPr>
        <w:cantSplit/>
        <w:trHeight w:hRule="exact" w:val="284"/>
      </w:trPr>
      <w:tc>
        <w:tcPr>
          <w:tcW w:w="5000" w:type="pct"/>
          <w:tcBorders>
            <w:bottom w:val="single" w:sz="4" w:space="0" w:color="auto"/>
          </w:tcBorders>
        </w:tcPr>
        <w:p w:rsidR="00F668B8" w:rsidRPr="00B27AB4" w:rsidRDefault="00F668B8" w:rsidP="00285FD3">
          <w:pPr>
            <w:pStyle w:val="Footer"/>
            <w:jc w:val="right"/>
            <w:rPr>
              <w:rFonts w:cs="Arial"/>
              <w:sz w:val="20"/>
            </w:rPr>
          </w:pPr>
          <w:r w:rsidRPr="00B27AB4">
            <w:rPr>
              <w:rStyle w:val="PageNumber"/>
              <w:sz w:val="20"/>
            </w:rPr>
            <w:fldChar w:fldCharType="begin"/>
          </w:r>
          <w:r w:rsidRPr="00B27AB4">
            <w:rPr>
              <w:rStyle w:val="PageNumber"/>
              <w:sz w:val="20"/>
            </w:rPr>
            <w:instrText xml:space="preserve"> PAGE </w:instrText>
          </w:r>
          <w:r w:rsidRPr="00B27AB4">
            <w:rPr>
              <w:rStyle w:val="PageNumber"/>
              <w:sz w:val="20"/>
            </w:rPr>
            <w:fldChar w:fldCharType="separate"/>
          </w:r>
          <w:r w:rsidR="00A8169D">
            <w:rPr>
              <w:rStyle w:val="PageNumber"/>
              <w:noProof/>
              <w:sz w:val="20"/>
            </w:rPr>
            <w:t>33</w:t>
          </w:r>
          <w:r w:rsidRPr="00B27AB4">
            <w:rPr>
              <w:rStyle w:val="PageNumber"/>
              <w:sz w:val="20"/>
            </w:rPr>
            <w:fldChar w:fldCharType="end"/>
          </w:r>
          <w:r w:rsidRPr="00B27AB4">
            <w:rPr>
              <w:rStyle w:val="PageNumber"/>
              <w:sz w:val="20"/>
            </w:rPr>
            <w:t xml:space="preserve"> </w:t>
          </w:r>
          <w:r w:rsidRPr="00B27AB4">
            <w:rPr>
              <w:rStyle w:val="PageNumber"/>
              <w:sz w:val="20"/>
            </w:rPr>
            <w:t xml:space="preserve">of </w:t>
          </w:r>
          <w:r w:rsidRPr="00B27AB4">
            <w:rPr>
              <w:rStyle w:val="PageNumber"/>
              <w:sz w:val="20"/>
            </w:rPr>
            <w:fldChar w:fldCharType="begin"/>
          </w:r>
          <w:r w:rsidRPr="00B27AB4">
            <w:rPr>
              <w:rStyle w:val="PageNumber"/>
              <w:sz w:val="20"/>
            </w:rPr>
            <w:instrText xml:space="preserve"> NUMPAGES </w:instrText>
          </w:r>
          <w:r w:rsidRPr="00B27AB4">
            <w:rPr>
              <w:rStyle w:val="PageNumber"/>
              <w:sz w:val="20"/>
            </w:rPr>
            <w:fldChar w:fldCharType="separate"/>
          </w:r>
          <w:r w:rsidR="00A8169D">
            <w:rPr>
              <w:rStyle w:val="PageNumber"/>
              <w:noProof/>
              <w:sz w:val="20"/>
            </w:rPr>
            <w:t>33</w:t>
          </w:r>
          <w:r w:rsidRPr="00B27AB4">
            <w:rPr>
              <w:rStyle w:val="PageNumber"/>
              <w:sz w:val="20"/>
            </w:rPr>
            <w:fldChar w:fldCharType="end"/>
          </w:r>
        </w:p>
      </w:tc>
    </w:tr>
  </w:tbl>
  <w:p w:rsidR="00F668B8" w:rsidRDefault="0004770B" w:rsidP="0004770B">
    <w:pPr>
      <w:pStyle w:val="Footer"/>
      <w:tabs>
        <w:tab w:val="clear" w:pos="9026"/>
        <w:tab w:val="right" w:pos="9639"/>
      </w:tabs>
    </w:pPr>
    <w:r>
      <w:t>OSPAR Commission</w:t>
    </w:r>
    <w:r>
      <w:tab/>
    </w:r>
    <w:r>
      <w:tab/>
      <w:t>Agreement 2017-01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B8" w:rsidRDefault="00F668B8" w:rsidP="00DF6EB5">
      <w:r>
        <w:separator/>
      </w:r>
    </w:p>
  </w:footnote>
  <w:footnote w:type="continuationSeparator" w:id="0">
    <w:p w:rsidR="00F668B8" w:rsidRDefault="00F668B8" w:rsidP="00DF6EB5">
      <w:r>
        <w:continuationSeparator/>
      </w:r>
    </w:p>
  </w:footnote>
  <w:footnote w:id="1">
    <w:p w:rsidR="0004770B" w:rsidRPr="0004770B" w:rsidRDefault="0004770B">
      <w:pPr>
        <w:pStyle w:val="FootnoteText"/>
        <w:rPr>
          <w:lang w:val="en-GB"/>
        </w:rPr>
      </w:pPr>
      <w:r>
        <w:rPr>
          <w:rStyle w:val="FootnoteReference"/>
        </w:rPr>
        <w:footnoteRef/>
      </w:r>
      <w:r>
        <w:t xml:space="preserve"> </w:t>
      </w:r>
      <w:r>
        <w:rPr>
          <w:lang w:val="en-GB"/>
        </w:rPr>
        <w:t>English only</w:t>
      </w:r>
    </w:p>
  </w:footnote>
  <w:footnote w:id="2">
    <w:p w:rsidR="00F668B8" w:rsidRPr="009601C7" w:rsidRDefault="00F668B8">
      <w:pPr>
        <w:pStyle w:val="FootnoteText"/>
        <w:rPr>
          <w:lang w:val="en-GB"/>
        </w:rPr>
      </w:pPr>
      <w:r>
        <w:rPr>
          <w:rStyle w:val="FootnoteReference"/>
        </w:rPr>
        <w:footnoteRef/>
      </w:r>
      <w:r w:rsidRPr="009601C7">
        <w:rPr>
          <w:lang w:val="en-GB"/>
        </w:rPr>
        <w:t xml:space="preserve"> </w:t>
      </w:r>
      <w:r w:rsidRPr="009601C7">
        <w:rPr>
          <w:sz w:val="20"/>
          <w:szCs w:val="20"/>
          <w:lang w:val="en-GB"/>
        </w:rPr>
        <w:t xml:space="preserve">Such models cannot be readily fitted in the R statistical environment </w:t>
      </w:r>
      <w:proofErr w:type="spellStart"/>
      <w:r w:rsidRPr="009601C7">
        <w:rPr>
          <w:sz w:val="20"/>
          <w:szCs w:val="20"/>
          <w:lang w:val="en-GB"/>
        </w:rPr>
        <w:t>becuase</w:t>
      </w:r>
      <w:proofErr w:type="spellEnd"/>
      <w:r w:rsidRPr="009601C7">
        <w:rPr>
          <w:sz w:val="20"/>
          <w:szCs w:val="20"/>
          <w:lang w:val="en-GB"/>
        </w:rPr>
        <w:t xml:space="preserve"> the </w:t>
      </w:r>
      <w:proofErr w:type="spellStart"/>
      <w:r w:rsidRPr="009601C7">
        <w:rPr>
          <w:sz w:val="20"/>
          <w:szCs w:val="20"/>
          <w:lang w:val="en-GB"/>
        </w:rPr>
        <w:t>analyticalanalytical</w:t>
      </w:r>
      <w:proofErr w:type="spellEnd"/>
      <w:r w:rsidRPr="009601C7">
        <w:rPr>
          <w:sz w:val="20"/>
          <w:szCs w:val="20"/>
          <w:lang w:val="en-GB"/>
        </w:rPr>
        <w:t xml:space="preserve"> variance is assumed know. Instead, the likelihood is maximised directly using the </w:t>
      </w:r>
      <w:proofErr w:type="spellStart"/>
      <w:r w:rsidRPr="009601C7">
        <w:rPr>
          <w:sz w:val="20"/>
          <w:szCs w:val="20"/>
          <w:lang w:val="en-GB"/>
        </w:rPr>
        <w:t>optim</w:t>
      </w:r>
      <w:proofErr w:type="spellEnd"/>
      <w:r w:rsidRPr="009601C7">
        <w:rPr>
          <w:sz w:val="20"/>
          <w:szCs w:val="20"/>
          <w:lang w:val="en-GB"/>
        </w:rPr>
        <w:t xml:space="preserve"> function. Ideally, the models should be fitted by restricted maximum likelihood (apart from when being used for likelihood ratio tests), but this has not been implemented yet.</w:t>
      </w:r>
    </w:p>
  </w:footnote>
  <w:footnote w:id="3">
    <w:p w:rsidR="00F668B8" w:rsidRPr="009601C7" w:rsidRDefault="00F668B8" w:rsidP="00DF6EB5">
      <w:pPr>
        <w:rPr>
          <w:sz w:val="20"/>
          <w:szCs w:val="20"/>
          <w:lang w:val="en-GB"/>
        </w:rPr>
      </w:pPr>
      <w:r>
        <w:rPr>
          <w:rStyle w:val="FootnoteReference"/>
        </w:rPr>
        <w:footnoteRef/>
      </w:r>
      <w:r w:rsidRPr="009601C7">
        <w:rPr>
          <w:lang w:val="en-GB"/>
        </w:rPr>
        <w:t xml:space="preserve"> </w:t>
      </w:r>
      <w:proofErr w:type="spellStart"/>
      <w:r w:rsidRPr="009601C7">
        <w:rPr>
          <w:sz w:val="20"/>
          <w:szCs w:val="20"/>
          <w:lang w:val="en-GB"/>
        </w:rPr>
        <w:t>AICc</w:t>
      </w:r>
      <w:proofErr w:type="spellEnd"/>
      <w:r w:rsidRPr="009601C7">
        <w:rPr>
          <w:sz w:val="20"/>
          <w:szCs w:val="20"/>
          <w:lang w:val="en-GB"/>
        </w:rPr>
        <w:t xml:space="preserve"> is a model selection criterion that gives greater protection against overfitting than AIC when the sample size is small. For contaminant time series, small sample sizes correspond </w:t>
      </w:r>
      <w:proofErr w:type="gramStart"/>
      <w:r w:rsidRPr="009601C7">
        <w:rPr>
          <w:sz w:val="20"/>
          <w:szCs w:val="20"/>
          <w:lang w:val="en-GB"/>
        </w:rPr>
        <w:t>to</w:t>
      </w:r>
      <w:proofErr w:type="gramEnd"/>
      <w:r w:rsidRPr="009601C7">
        <w:rPr>
          <w:sz w:val="20"/>
          <w:szCs w:val="20"/>
          <w:lang w:val="en-GB"/>
        </w:rPr>
        <w:t xml:space="preserve"> few years of data. </w:t>
      </w:r>
      <w:proofErr w:type="spellStart"/>
      <w:r w:rsidRPr="009601C7">
        <w:rPr>
          <w:sz w:val="20"/>
          <w:szCs w:val="20"/>
          <w:lang w:val="en-GB"/>
        </w:rPr>
        <w:t>AICc</w:t>
      </w:r>
      <w:proofErr w:type="spellEnd"/>
      <w:r w:rsidRPr="009601C7">
        <w:rPr>
          <w:sz w:val="20"/>
          <w:szCs w:val="20"/>
          <w:lang w:val="en-GB"/>
        </w:rPr>
        <w:t xml:space="preserve"> is not formally defined for mixed models, but the usual definition is adapted to give a sensible criterion for the models considered here. The usual definition of </w:t>
      </w:r>
      <w:proofErr w:type="spellStart"/>
      <w:r w:rsidRPr="009601C7">
        <w:rPr>
          <w:sz w:val="20"/>
          <w:szCs w:val="20"/>
          <w:lang w:val="en-GB"/>
        </w:rPr>
        <w:t>AICc</w:t>
      </w:r>
      <w:proofErr w:type="spellEnd"/>
      <w:r w:rsidRPr="009601C7">
        <w:rPr>
          <w:sz w:val="20"/>
          <w:szCs w:val="20"/>
          <w:lang w:val="en-GB"/>
        </w:rPr>
        <w:t xml:space="preserve"> is</w:t>
      </w:r>
    </w:p>
    <w:p w:rsidR="00F668B8" w:rsidRPr="009601C7" w:rsidRDefault="00F668B8" w:rsidP="00DF6EB5">
      <w:pPr>
        <w:rPr>
          <w:sz w:val="20"/>
          <w:szCs w:val="20"/>
          <w:lang w:val="en-GB"/>
        </w:rPr>
      </w:pPr>
      <w:proofErr w:type="spellStart"/>
      <w:r w:rsidRPr="009601C7">
        <w:rPr>
          <w:sz w:val="20"/>
          <w:szCs w:val="20"/>
          <w:lang w:val="en-GB"/>
        </w:rPr>
        <w:t>AICc</w:t>
      </w:r>
      <w:proofErr w:type="spellEnd"/>
      <w:r w:rsidRPr="009601C7">
        <w:rPr>
          <w:sz w:val="20"/>
          <w:szCs w:val="20"/>
          <w:lang w:val="en-GB"/>
        </w:rPr>
        <w:t xml:space="preserve"> = - 2 log likelihood+2kn/(n−k−1)</w:t>
      </w:r>
    </w:p>
    <w:p w:rsidR="00F668B8" w:rsidRPr="009601C7" w:rsidRDefault="00F668B8" w:rsidP="00DF6EB5">
      <w:pPr>
        <w:rPr>
          <w:sz w:val="20"/>
          <w:szCs w:val="20"/>
          <w:lang w:val="en-GB"/>
        </w:rPr>
      </w:pPr>
      <w:proofErr w:type="gramStart"/>
      <w:r w:rsidRPr="009601C7">
        <w:rPr>
          <w:sz w:val="20"/>
          <w:szCs w:val="20"/>
          <w:lang w:val="en-GB"/>
        </w:rPr>
        <w:t>where</w:t>
      </w:r>
      <w:proofErr w:type="gramEnd"/>
      <w:r w:rsidRPr="009601C7">
        <w:rPr>
          <w:sz w:val="20"/>
          <w:szCs w:val="20"/>
          <w:lang w:val="en-GB"/>
        </w:rPr>
        <w:t xml:space="preserve"> n is the sample size and </w:t>
      </w:r>
      <w:proofErr w:type="spellStart"/>
      <w:r w:rsidRPr="009601C7">
        <w:rPr>
          <w:sz w:val="20"/>
          <w:szCs w:val="20"/>
          <w:lang w:val="en-GB"/>
        </w:rPr>
        <w:t>kk</w:t>
      </w:r>
      <w:proofErr w:type="spellEnd"/>
      <w:r w:rsidRPr="009601C7">
        <w:rPr>
          <w:sz w:val="20"/>
          <w:szCs w:val="20"/>
          <w:lang w:val="en-GB"/>
        </w:rPr>
        <w:t xml:space="preserve"> is the number of parameters in the model. For a contaminant time series, the natural definition of the sample size i</w:t>
      </w:r>
      <w:r>
        <w:rPr>
          <w:sz w:val="20"/>
          <w:szCs w:val="20"/>
          <w:lang w:val="en-GB"/>
        </w:rPr>
        <w:t xml:space="preserve">s the number of years of data, </w:t>
      </w:r>
      <w:r w:rsidRPr="009601C7">
        <w:rPr>
          <w:sz w:val="20"/>
          <w:szCs w:val="20"/>
          <w:lang w:val="en-GB"/>
        </w:rPr>
        <w:t xml:space="preserve">N, say. </w:t>
      </w:r>
      <w:proofErr w:type="gramStart"/>
      <w:r w:rsidRPr="009601C7">
        <w:rPr>
          <w:sz w:val="20"/>
          <w:szCs w:val="20"/>
          <w:lang w:val="en-GB"/>
        </w:rPr>
        <w:t xml:space="preserve">The number of parameters in the number of </w:t>
      </w:r>
      <w:r>
        <w:rPr>
          <w:sz w:val="20"/>
          <w:szCs w:val="20"/>
          <w:lang w:val="en-GB"/>
        </w:rPr>
        <w:t xml:space="preserve">fixed effects parameters, </w:t>
      </w:r>
      <w:proofErr w:type="spellStart"/>
      <w:r w:rsidRPr="009601C7">
        <w:rPr>
          <w:sz w:val="20"/>
          <w:szCs w:val="20"/>
          <w:lang w:val="en-GB"/>
        </w:rPr>
        <w:t>k</w:t>
      </w:r>
      <w:r w:rsidRPr="00B53DED">
        <w:rPr>
          <w:sz w:val="20"/>
          <w:szCs w:val="20"/>
          <w:vertAlign w:val="subscript"/>
          <w:lang w:val="en-GB"/>
        </w:rPr>
        <w:t>fixed</w:t>
      </w:r>
      <w:proofErr w:type="spellEnd"/>
      <w:r w:rsidRPr="009601C7">
        <w:rPr>
          <w:sz w:val="20"/>
          <w:szCs w:val="20"/>
          <w:lang w:val="en-GB"/>
        </w:rPr>
        <w:t>, plus the number of (unknow</w:t>
      </w:r>
      <w:r>
        <w:rPr>
          <w:sz w:val="20"/>
          <w:szCs w:val="20"/>
          <w:lang w:val="en-GB"/>
        </w:rPr>
        <w:t xml:space="preserve">n) variance parameters, </w:t>
      </w:r>
      <w:proofErr w:type="spellStart"/>
      <w:r>
        <w:rPr>
          <w:sz w:val="20"/>
          <w:szCs w:val="20"/>
          <w:lang w:val="en-GB"/>
        </w:rPr>
        <w:t>k</w:t>
      </w:r>
      <w:r w:rsidRPr="00B53DED">
        <w:rPr>
          <w:sz w:val="20"/>
          <w:szCs w:val="20"/>
          <w:vertAlign w:val="subscript"/>
          <w:lang w:val="en-GB"/>
        </w:rPr>
        <w:t>random</w:t>
      </w:r>
      <w:proofErr w:type="spellEnd"/>
      <w:r w:rsidRPr="009601C7">
        <w:rPr>
          <w:sz w:val="20"/>
          <w:szCs w:val="20"/>
          <w:lang w:val="en-GB"/>
        </w:rPr>
        <w:t>.</w:t>
      </w:r>
      <w:proofErr w:type="gramEnd"/>
      <w:r w:rsidRPr="009601C7">
        <w:rPr>
          <w:sz w:val="20"/>
          <w:szCs w:val="20"/>
          <w:lang w:val="en-GB"/>
        </w:rPr>
        <w:t xml:space="preserve"> For example, t</w:t>
      </w:r>
      <w:r>
        <w:rPr>
          <w:sz w:val="20"/>
          <w:szCs w:val="20"/>
          <w:lang w:val="en-GB"/>
        </w:rPr>
        <w:t xml:space="preserve">he linear model has </w:t>
      </w:r>
      <w:proofErr w:type="spellStart"/>
      <w:r>
        <w:rPr>
          <w:sz w:val="20"/>
          <w:szCs w:val="20"/>
          <w:lang w:val="en-GB"/>
        </w:rPr>
        <w:t>k</w:t>
      </w:r>
      <w:r w:rsidRPr="00B53DED">
        <w:rPr>
          <w:sz w:val="20"/>
          <w:szCs w:val="20"/>
          <w:vertAlign w:val="subscript"/>
          <w:lang w:val="en-GB"/>
        </w:rPr>
        <w:t>fixed</w:t>
      </w:r>
      <w:proofErr w:type="spellEnd"/>
      <w:r>
        <w:rPr>
          <w:sz w:val="20"/>
          <w:szCs w:val="20"/>
          <w:lang w:val="en-GB"/>
        </w:rPr>
        <w:t xml:space="preserve"> = 2 and </w:t>
      </w:r>
      <w:proofErr w:type="spellStart"/>
      <w:r>
        <w:rPr>
          <w:sz w:val="20"/>
          <w:szCs w:val="20"/>
          <w:lang w:val="en-GB"/>
        </w:rPr>
        <w:t>k</w:t>
      </w:r>
      <w:r w:rsidRPr="00B53DED">
        <w:rPr>
          <w:sz w:val="20"/>
          <w:szCs w:val="20"/>
          <w:vertAlign w:val="subscript"/>
          <w:lang w:val="en-GB"/>
        </w:rPr>
        <w:t>random</w:t>
      </w:r>
      <w:proofErr w:type="spellEnd"/>
      <w:r w:rsidRPr="009601C7">
        <w:rPr>
          <w:sz w:val="20"/>
          <w:szCs w:val="20"/>
          <w:lang w:val="en-GB"/>
        </w:rPr>
        <w:t xml:space="preserve"> = 2 (or 1 if the sample variance component is subsumed into the year variance component). This suggests using</w:t>
      </w:r>
    </w:p>
    <w:p w:rsidR="00F668B8" w:rsidRPr="009601C7" w:rsidRDefault="00F668B8" w:rsidP="00DF6EB5">
      <w:pPr>
        <w:rPr>
          <w:sz w:val="20"/>
          <w:szCs w:val="20"/>
          <w:lang w:val="en-GB"/>
        </w:rPr>
      </w:pPr>
      <w:proofErr w:type="spellStart"/>
      <w:r w:rsidRPr="009601C7">
        <w:rPr>
          <w:sz w:val="20"/>
          <w:szCs w:val="20"/>
          <w:lang w:val="en-GB"/>
        </w:rPr>
        <w:t>AICc</w:t>
      </w:r>
      <w:proofErr w:type="spellEnd"/>
      <w:r w:rsidRPr="009601C7">
        <w:rPr>
          <w:sz w:val="20"/>
          <w:szCs w:val="20"/>
          <w:lang w:val="en-GB"/>
        </w:rPr>
        <w:t xml:space="preserve"> = - 2 log likelihood+2(</w:t>
      </w:r>
      <w:proofErr w:type="spellStart"/>
      <w:r w:rsidRPr="009601C7">
        <w:rPr>
          <w:sz w:val="20"/>
          <w:szCs w:val="20"/>
          <w:lang w:val="en-GB"/>
        </w:rPr>
        <w:t>kf</w:t>
      </w:r>
      <w:r w:rsidRPr="009601C7">
        <w:rPr>
          <w:sz w:val="20"/>
          <w:szCs w:val="20"/>
          <w:vertAlign w:val="subscript"/>
          <w:lang w:val="en-GB"/>
        </w:rPr>
        <w:t>ixed</w:t>
      </w:r>
      <w:r w:rsidRPr="009601C7">
        <w:rPr>
          <w:sz w:val="20"/>
          <w:szCs w:val="20"/>
          <w:lang w:val="en-GB"/>
        </w:rPr>
        <w:t>+k</w:t>
      </w:r>
      <w:r w:rsidRPr="009601C7">
        <w:rPr>
          <w:sz w:val="20"/>
          <w:szCs w:val="20"/>
          <w:vertAlign w:val="subscript"/>
          <w:lang w:val="en-GB"/>
        </w:rPr>
        <w:t>random</w:t>
      </w:r>
      <w:proofErr w:type="spellEnd"/>
      <w:r w:rsidRPr="009601C7">
        <w:rPr>
          <w:sz w:val="20"/>
          <w:szCs w:val="20"/>
          <w:lang w:val="en-GB"/>
        </w:rPr>
        <w:t>)N/(N−k</w:t>
      </w:r>
      <w:r w:rsidRPr="009601C7">
        <w:rPr>
          <w:sz w:val="20"/>
          <w:szCs w:val="20"/>
          <w:vertAlign w:val="subscript"/>
          <w:lang w:val="en-GB"/>
        </w:rPr>
        <w:t>fixed</w:t>
      </w:r>
      <w:r w:rsidRPr="009601C7">
        <w:rPr>
          <w:sz w:val="20"/>
          <w:szCs w:val="20"/>
          <w:lang w:val="en-GB"/>
        </w:rPr>
        <w:t>−k</w:t>
      </w:r>
      <w:r w:rsidRPr="009601C7">
        <w:rPr>
          <w:sz w:val="20"/>
          <w:szCs w:val="20"/>
          <w:vertAlign w:val="subscript"/>
          <w:lang w:val="en-GB"/>
        </w:rPr>
        <w:t>random</w:t>
      </w:r>
      <w:r w:rsidRPr="009601C7">
        <w:rPr>
          <w:sz w:val="20"/>
          <w:szCs w:val="20"/>
          <w:lang w:val="en-GB"/>
        </w:rPr>
        <w:t>−1)</w:t>
      </w:r>
    </w:p>
    <w:p w:rsidR="00F668B8" w:rsidRPr="009601C7" w:rsidRDefault="00F668B8" w:rsidP="00DF6EB5">
      <w:pPr>
        <w:rPr>
          <w:sz w:val="20"/>
          <w:szCs w:val="20"/>
          <w:lang w:val="en-GB"/>
        </w:rPr>
      </w:pPr>
      <w:r w:rsidRPr="009601C7">
        <w:rPr>
          <w:sz w:val="20"/>
          <w:szCs w:val="20"/>
          <w:lang w:val="en-GB"/>
        </w:rPr>
        <w:t xml:space="preserve">However, the denominator now overly penalises models because the ‘sample size’ is the number of years and, whilst subtracting </w:t>
      </w:r>
      <w:proofErr w:type="spellStart"/>
      <w:r w:rsidRPr="009601C7">
        <w:rPr>
          <w:sz w:val="20"/>
          <w:szCs w:val="20"/>
          <w:lang w:val="en-GB"/>
        </w:rPr>
        <w:t>krandomkrandom</w:t>
      </w:r>
      <w:proofErr w:type="spellEnd"/>
      <w:r w:rsidRPr="009601C7">
        <w:rPr>
          <w:sz w:val="20"/>
          <w:szCs w:val="20"/>
          <w:lang w:val="en-GB"/>
        </w:rPr>
        <w:t xml:space="preserve"> correctly corrects for the year variance component, it also corrects for the sample variance component which measures within-year variation. (</w:t>
      </w:r>
      <w:r>
        <w:rPr>
          <w:sz w:val="20"/>
          <w:szCs w:val="20"/>
          <w:lang w:val="en-GB"/>
        </w:rPr>
        <w:t xml:space="preserve">Indeed, the denominator = 0 if </w:t>
      </w:r>
      <w:r w:rsidRPr="009601C7">
        <w:rPr>
          <w:sz w:val="20"/>
          <w:szCs w:val="20"/>
          <w:lang w:val="en-GB"/>
        </w:rPr>
        <w:t xml:space="preserve">N = 5 and the linear model is fitted, or NN = 3 or 4 and the mean model is fitted). It therefore makes sense to take </w:t>
      </w:r>
      <w:proofErr w:type="spellStart"/>
      <w:r w:rsidRPr="009601C7">
        <w:rPr>
          <w:sz w:val="20"/>
          <w:szCs w:val="20"/>
          <w:lang w:val="en-GB"/>
        </w:rPr>
        <w:t>k</w:t>
      </w:r>
      <w:r w:rsidRPr="00B53DED">
        <w:rPr>
          <w:sz w:val="20"/>
          <w:szCs w:val="20"/>
          <w:vertAlign w:val="subscript"/>
          <w:lang w:val="en-GB"/>
        </w:rPr>
        <w:t>random</w:t>
      </w:r>
      <w:proofErr w:type="spellEnd"/>
      <w:r w:rsidRPr="009601C7">
        <w:rPr>
          <w:sz w:val="20"/>
          <w:szCs w:val="20"/>
          <w:lang w:val="en-GB"/>
        </w:rPr>
        <w:t xml:space="preserve"> in the denominator to be 1, corresponding to the year variance component, giving</w:t>
      </w:r>
      <w:r>
        <w:rPr>
          <w:sz w:val="20"/>
          <w:szCs w:val="20"/>
          <w:lang w:val="en-GB"/>
        </w:rPr>
        <w:t>:</w:t>
      </w:r>
    </w:p>
    <w:p w:rsidR="00F668B8" w:rsidRPr="009601C7" w:rsidRDefault="00F668B8" w:rsidP="00DF6EB5">
      <w:pPr>
        <w:rPr>
          <w:sz w:val="20"/>
          <w:szCs w:val="20"/>
          <w:lang w:val="en-GB"/>
        </w:rPr>
      </w:pPr>
      <w:proofErr w:type="spellStart"/>
      <w:r w:rsidRPr="009601C7">
        <w:rPr>
          <w:sz w:val="20"/>
          <w:szCs w:val="20"/>
          <w:lang w:val="en-GB"/>
        </w:rPr>
        <w:t>AICc</w:t>
      </w:r>
      <w:proofErr w:type="spellEnd"/>
      <w:r w:rsidRPr="009601C7">
        <w:rPr>
          <w:sz w:val="20"/>
          <w:szCs w:val="20"/>
          <w:lang w:val="en-GB"/>
        </w:rPr>
        <w:t xml:space="preserve"> = - 2 log likelihood+2(</w:t>
      </w:r>
      <w:proofErr w:type="spellStart"/>
      <w:r w:rsidRPr="009601C7">
        <w:rPr>
          <w:sz w:val="20"/>
          <w:szCs w:val="20"/>
          <w:lang w:val="en-GB"/>
        </w:rPr>
        <w:t>k</w:t>
      </w:r>
      <w:r w:rsidRPr="009601C7">
        <w:rPr>
          <w:sz w:val="20"/>
          <w:szCs w:val="20"/>
          <w:vertAlign w:val="subscript"/>
          <w:lang w:val="en-GB"/>
        </w:rPr>
        <w:t>fixed</w:t>
      </w:r>
      <w:r w:rsidRPr="009601C7">
        <w:rPr>
          <w:sz w:val="20"/>
          <w:szCs w:val="20"/>
          <w:lang w:val="en-GB"/>
        </w:rPr>
        <w:t>+k</w:t>
      </w:r>
      <w:r w:rsidRPr="009601C7">
        <w:rPr>
          <w:sz w:val="20"/>
          <w:szCs w:val="20"/>
          <w:vertAlign w:val="subscript"/>
          <w:lang w:val="en-GB"/>
        </w:rPr>
        <w:t>random</w:t>
      </w:r>
      <w:proofErr w:type="spellEnd"/>
      <w:r w:rsidRPr="009601C7">
        <w:rPr>
          <w:sz w:val="20"/>
          <w:szCs w:val="20"/>
          <w:lang w:val="en-GB"/>
        </w:rPr>
        <w:t>)N/(N−kf</w:t>
      </w:r>
      <w:r w:rsidRPr="009601C7">
        <w:rPr>
          <w:sz w:val="20"/>
          <w:szCs w:val="20"/>
          <w:vertAlign w:val="subscript"/>
          <w:lang w:val="en-GB"/>
        </w:rPr>
        <w:t>ixed</w:t>
      </w:r>
      <w:r w:rsidRPr="009601C7">
        <w:rPr>
          <w:sz w:val="20"/>
          <w:szCs w:val="20"/>
          <w:lang w:val="en-GB"/>
        </w:rPr>
        <w:t>−2)</w:t>
      </w:r>
    </w:p>
    <w:p w:rsidR="00F668B8" w:rsidRPr="009601C7" w:rsidRDefault="00F668B8" w:rsidP="00DF6EB5">
      <w:pPr>
        <w:pStyle w:val="FootnoteText"/>
        <w:rPr>
          <w:sz w:val="20"/>
          <w:szCs w:val="20"/>
          <w:lang w:val="en-GB"/>
        </w:rPr>
      </w:pPr>
      <w:r w:rsidRPr="009601C7">
        <w:rPr>
          <w:sz w:val="20"/>
          <w:szCs w:val="20"/>
          <w:lang w:val="en-GB"/>
        </w:rPr>
        <w:t>The denominator is now analogous to that used in a linear model with a single normally distributed error term. Th</w:t>
      </w:r>
      <w:r>
        <w:rPr>
          <w:sz w:val="20"/>
          <w:szCs w:val="20"/>
          <w:lang w:val="en-GB"/>
        </w:rPr>
        <w:t xml:space="preserve">e </w:t>
      </w:r>
      <w:proofErr w:type="spellStart"/>
      <w:r>
        <w:rPr>
          <w:sz w:val="20"/>
          <w:szCs w:val="20"/>
          <w:lang w:val="en-GB"/>
        </w:rPr>
        <w:t>AICc</w:t>
      </w:r>
      <w:proofErr w:type="spellEnd"/>
      <w:r>
        <w:rPr>
          <w:sz w:val="20"/>
          <w:szCs w:val="20"/>
          <w:lang w:val="en-GB"/>
        </w:rPr>
        <w:t xml:space="preserve"> is still undefined when </w:t>
      </w:r>
      <w:r w:rsidRPr="009601C7">
        <w:rPr>
          <w:sz w:val="20"/>
          <w:szCs w:val="20"/>
          <w:lang w:val="en-GB"/>
        </w:rPr>
        <w:t>N = 3 and the mean model is fitted, but this doesn’t matter in practice.</w:t>
      </w:r>
    </w:p>
  </w:footnote>
  <w:footnote w:id="4">
    <w:p w:rsidR="00F668B8" w:rsidRPr="00E108F3" w:rsidRDefault="00F668B8">
      <w:pPr>
        <w:pStyle w:val="FootnoteText"/>
        <w:rPr>
          <w:sz w:val="20"/>
          <w:szCs w:val="20"/>
          <w:lang w:val="en-GB"/>
        </w:rPr>
      </w:pPr>
      <w:r>
        <w:rPr>
          <w:rStyle w:val="FootnoteReference"/>
        </w:rPr>
        <w:footnoteRef/>
      </w:r>
      <w:r w:rsidRPr="009601C7">
        <w:rPr>
          <w:lang w:val="en-GB"/>
        </w:rPr>
        <w:t xml:space="preserve"> </w:t>
      </w:r>
      <w:proofErr w:type="gramStart"/>
      <w:r w:rsidRPr="009601C7">
        <w:rPr>
          <w:sz w:val="20"/>
          <w:szCs w:val="20"/>
          <w:lang w:val="en-GB"/>
        </w:rPr>
        <w:t>Methods for estimating the smoothing degrees of freedom as part of the fitting process, for example by treating the amount of smoothing as an extra variance component, are available for several classes of models.</w:t>
      </w:r>
      <w:proofErr w:type="gramEnd"/>
      <w:r w:rsidRPr="009601C7">
        <w:rPr>
          <w:sz w:val="20"/>
          <w:szCs w:val="20"/>
          <w:lang w:val="en-GB"/>
        </w:rPr>
        <w:t xml:space="preserve"> However, such methods are not implemented in R for the case when the residual variance (the </w:t>
      </w:r>
      <w:proofErr w:type="spellStart"/>
      <w:r w:rsidRPr="009601C7">
        <w:rPr>
          <w:sz w:val="20"/>
          <w:szCs w:val="20"/>
          <w:lang w:val="en-GB"/>
        </w:rPr>
        <w:t>analyticalanalytical</w:t>
      </w:r>
      <w:proofErr w:type="spellEnd"/>
      <w:r w:rsidRPr="009601C7">
        <w:rPr>
          <w:sz w:val="20"/>
          <w:szCs w:val="20"/>
          <w:lang w:val="en-GB"/>
        </w:rPr>
        <w:t xml:space="preserve"> variance) is known. This is a topic for future development.</w:t>
      </w:r>
    </w:p>
  </w:footnote>
  <w:footnote w:id="5">
    <w:p w:rsidR="00F668B8" w:rsidRPr="00001406" w:rsidRDefault="00F668B8">
      <w:pPr>
        <w:pStyle w:val="FootnoteText"/>
        <w:rPr>
          <w:sz w:val="20"/>
          <w:szCs w:val="20"/>
          <w:lang w:val="en-GB"/>
        </w:rPr>
      </w:pPr>
      <w:r>
        <w:rPr>
          <w:rStyle w:val="FootnoteReference"/>
        </w:rPr>
        <w:footnoteRef/>
      </w:r>
      <w:r w:rsidRPr="009601C7">
        <w:rPr>
          <w:lang w:val="en-GB"/>
        </w:rPr>
        <w:t xml:space="preserve"> </w:t>
      </w:r>
      <w:r w:rsidRPr="009601C7">
        <w:rPr>
          <w:sz w:val="20"/>
          <w:szCs w:val="20"/>
          <w:lang w:val="en-GB"/>
        </w:rPr>
        <w:t xml:space="preserve">Approximate standard errors on the fixed effects parameter estimates are obtained from the Hessian matrix. These are used to estimate standard errors on the fitted values, with confidence intervals based on a t-distribution with NN - </w:t>
      </w:r>
      <w:proofErr w:type="spellStart"/>
      <w:r w:rsidRPr="009601C7">
        <w:rPr>
          <w:sz w:val="20"/>
          <w:szCs w:val="20"/>
          <w:lang w:val="en-GB"/>
        </w:rPr>
        <w:t>kfixedkfixed</w:t>
      </w:r>
      <w:proofErr w:type="spellEnd"/>
      <w:r w:rsidRPr="009601C7">
        <w:rPr>
          <w:sz w:val="20"/>
          <w:szCs w:val="20"/>
          <w:lang w:val="en-GB"/>
        </w:rPr>
        <w:t xml:space="preserve"> - </w:t>
      </w:r>
      <w:proofErr w:type="gramStart"/>
      <w:r w:rsidRPr="009601C7">
        <w:rPr>
          <w:sz w:val="20"/>
          <w:szCs w:val="20"/>
          <w:lang w:val="en-GB"/>
        </w:rPr>
        <w:t>1 degrees of freedom</w:t>
      </w:r>
      <w:proofErr w:type="gramEnd"/>
      <w:r w:rsidRPr="009601C7">
        <w:rPr>
          <w:sz w:val="20"/>
          <w:szCs w:val="20"/>
          <w:lang w:val="en-GB"/>
        </w:rPr>
        <w:t xml:space="preserve">. One-sided t-tests of whether the fitted value in the last monitoring year is below the assessment criteria can be found on the Statistical analysis page on the right hand side of the summary map under Graphics. The standard errors can be computed analytically (i.e. without using the Hessian), but this hasn’t been implemented yet. The </w:t>
      </w:r>
      <w:proofErr w:type="gramStart"/>
      <w:r w:rsidRPr="009601C7">
        <w:rPr>
          <w:sz w:val="20"/>
          <w:szCs w:val="20"/>
          <w:lang w:val="en-GB"/>
        </w:rPr>
        <w:t>degrees of freedom for the t-tests is</w:t>
      </w:r>
      <w:proofErr w:type="gramEnd"/>
      <w:r w:rsidRPr="009601C7">
        <w:rPr>
          <w:sz w:val="20"/>
          <w:szCs w:val="20"/>
          <w:lang w:val="en-GB"/>
        </w:rPr>
        <w:t xml:space="preserve"> a sensible approximation because, for time series models, the natural definition of the ‘sample size’ is NN, the number of years of data (see discussion on </w:t>
      </w:r>
      <w:proofErr w:type="spellStart"/>
      <w:r w:rsidRPr="009601C7">
        <w:rPr>
          <w:sz w:val="20"/>
          <w:szCs w:val="20"/>
          <w:lang w:val="en-GB"/>
        </w:rPr>
        <w:t>AICc</w:t>
      </w:r>
      <w:proofErr w:type="spellEnd"/>
      <w:r w:rsidRPr="009601C7">
        <w:rPr>
          <w:sz w:val="20"/>
          <w:szCs w:val="20"/>
          <w:lang w:val="en-GB"/>
        </w:rPr>
        <w:t xml:space="preserve"> above). However, if the year variance is small compared to the other variances, the degrees of freedom might be too small leading to a loss of statistical power. This is a topic for future development.</w:t>
      </w:r>
    </w:p>
  </w:footnote>
  <w:footnote w:id="6">
    <w:p w:rsidR="00F668B8" w:rsidRPr="00B53DED" w:rsidRDefault="00F668B8">
      <w:pPr>
        <w:pStyle w:val="FootnoteText"/>
        <w:rPr>
          <w:lang w:val="en-GB"/>
        </w:rPr>
      </w:pPr>
      <w:r>
        <w:rPr>
          <w:rStyle w:val="FootnoteReference"/>
        </w:rPr>
        <w:footnoteRef/>
      </w:r>
      <w:r w:rsidRPr="009601C7">
        <w:rPr>
          <w:lang w:val="en-GB"/>
        </w:rPr>
        <w:t xml:space="preserve"> </w:t>
      </w:r>
      <w:r w:rsidRPr="009601C7">
        <w:rPr>
          <w:sz w:val="20"/>
          <w:szCs w:val="20"/>
          <w:lang w:val="en-GB"/>
        </w:rPr>
        <w:t xml:space="preserve">These tests have a type 1 error that is larger than the nominal value. For example, tests conducted at the 5% significance level will find ‘significant’ trends in more than 5% of time series, even when there are no trends. Using the standard error of the estimate of </w:t>
      </w:r>
      <w:r w:rsidRPr="00AC7E8C">
        <w:rPr>
          <w:sz w:val="20"/>
          <w:szCs w:val="20"/>
        </w:rPr>
        <w:t>ββ</w:t>
      </w:r>
      <w:r w:rsidRPr="009601C7">
        <w:rPr>
          <w:sz w:val="20"/>
          <w:szCs w:val="20"/>
          <w:lang w:val="en-GB"/>
        </w:rPr>
        <w:t xml:space="preserve"> from a restricted maximum likelihood fit of the linear model would be one way to improve the situation. </w:t>
      </w:r>
      <w:r w:rsidRPr="00B53DED">
        <w:rPr>
          <w:sz w:val="20"/>
          <w:szCs w:val="20"/>
          <w:lang w:val="en-GB"/>
        </w:rPr>
        <w:t xml:space="preserve">Better still would be to use the </w:t>
      </w:r>
      <w:proofErr w:type="spellStart"/>
      <w:r w:rsidRPr="00B53DED">
        <w:rPr>
          <w:sz w:val="20"/>
          <w:szCs w:val="20"/>
          <w:lang w:val="en-GB"/>
        </w:rPr>
        <w:t>Kenward</w:t>
      </w:r>
      <w:proofErr w:type="spellEnd"/>
      <w:r w:rsidRPr="00B53DED">
        <w:rPr>
          <w:sz w:val="20"/>
          <w:szCs w:val="20"/>
          <w:lang w:val="en-GB"/>
        </w:rPr>
        <w:t xml:space="preserve"> Roger modification of F tests for linear mixed models (</w:t>
      </w:r>
      <w:proofErr w:type="spellStart"/>
      <w:r w:rsidRPr="00B53DED">
        <w:rPr>
          <w:sz w:val="20"/>
          <w:szCs w:val="20"/>
          <w:lang w:val="en-GB"/>
        </w:rPr>
        <w:t>Kenward</w:t>
      </w:r>
      <w:proofErr w:type="spellEnd"/>
      <w:r w:rsidRPr="00B53DED">
        <w:rPr>
          <w:sz w:val="20"/>
          <w:szCs w:val="20"/>
          <w:lang w:val="en-GB"/>
        </w:rPr>
        <w:t xml:space="preserve"> MG &amp; Roger JH, 1997; Small Sample Inference for Fixed Effects from Restricted Maximum Likelihood, Biometrics 53: 983-997).</w:t>
      </w:r>
    </w:p>
  </w:footnote>
  <w:footnote w:id="7">
    <w:p w:rsidR="00F668B8" w:rsidRPr="00B53DED" w:rsidRDefault="00F668B8">
      <w:pPr>
        <w:pStyle w:val="FootnoteText"/>
        <w:rPr>
          <w:lang w:val="en-GB"/>
        </w:rPr>
      </w:pPr>
      <w:r>
        <w:rPr>
          <w:rStyle w:val="FootnoteReference"/>
        </w:rPr>
        <w:footnoteRef/>
      </w:r>
      <w:r w:rsidRPr="00B53DED">
        <w:rPr>
          <w:lang w:val="en-GB"/>
        </w:rPr>
        <w:t xml:space="preserve"> </w:t>
      </w:r>
      <w:proofErr w:type="spellStart"/>
      <w:r w:rsidRPr="00B53DED">
        <w:rPr>
          <w:lang w:val="en-GB"/>
        </w:rPr>
        <w:t>Imposex</w:t>
      </w:r>
      <w:proofErr w:type="spellEnd"/>
      <w:r w:rsidRPr="00B53DED">
        <w:rPr>
          <w:lang w:val="en-GB"/>
        </w:rPr>
        <w:t xml:space="preserve"> in </w:t>
      </w:r>
      <w:proofErr w:type="spellStart"/>
      <w:r w:rsidRPr="00B53DED">
        <w:rPr>
          <w:lang w:val="en-GB"/>
        </w:rPr>
        <w:t>Nassarius</w:t>
      </w:r>
      <w:proofErr w:type="spellEnd"/>
      <w:r w:rsidRPr="00B53DED">
        <w:rPr>
          <w:lang w:val="en-GB"/>
        </w:rPr>
        <w:t xml:space="preserve"> </w:t>
      </w:r>
      <w:proofErr w:type="spellStart"/>
      <w:r w:rsidRPr="00B53DED">
        <w:rPr>
          <w:lang w:val="en-GB"/>
        </w:rPr>
        <w:t>reticulatus</w:t>
      </w:r>
      <w:proofErr w:type="spellEnd"/>
      <w:r w:rsidRPr="00B53DED">
        <w:rPr>
          <w:lang w:val="en-GB"/>
        </w:rPr>
        <w:t xml:space="preserve">, </w:t>
      </w:r>
      <w:proofErr w:type="spellStart"/>
      <w:r w:rsidRPr="00B53DED">
        <w:rPr>
          <w:lang w:val="en-GB"/>
        </w:rPr>
        <w:t>Neptunea</w:t>
      </w:r>
      <w:proofErr w:type="spellEnd"/>
      <w:r w:rsidRPr="00B53DED">
        <w:rPr>
          <w:lang w:val="en-GB"/>
        </w:rPr>
        <w:t xml:space="preserve"> </w:t>
      </w:r>
      <w:proofErr w:type="spellStart"/>
      <w:r w:rsidRPr="00B53DED">
        <w:rPr>
          <w:lang w:val="en-GB"/>
        </w:rPr>
        <w:t>antiqua</w:t>
      </w:r>
      <w:proofErr w:type="spellEnd"/>
      <w:r w:rsidRPr="00B53DED">
        <w:rPr>
          <w:lang w:val="en-GB"/>
        </w:rPr>
        <w:t xml:space="preserve">, </w:t>
      </w:r>
      <w:proofErr w:type="spellStart"/>
      <w:r w:rsidRPr="00B53DED">
        <w:rPr>
          <w:lang w:val="en-GB"/>
        </w:rPr>
        <w:t>Nucella</w:t>
      </w:r>
      <w:proofErr w:type="spellEnd"/>
      <w:r w:rsidRPr="00B53DED">
        <w:rPr>
          <w:lang w:val="en-GB"/>
        </w:rPr>
        <w:t xml:space="preserve"> lapillus and </w:t>
      </w:r>
      <w:proofErr w:type="spellStart"/>
      <w:r w:rsidRPr="00B53DED">
        <w:rPr>
          <w:lang w:val="en-GB"/>
        </w:rPr>
        <w:t>Ocenebra</w:t>
      </w:r>
      <w:proofErr w:type="spellEnd"/>
      <w:r w:rsidRPr="00B53DED">
        <w:rPr>
          <w:lang w:val="en-GB"/>
        </w:rPr>
        <w:t xml:space="preserve"> </w:t>
      </w:r>
      <w:proofErr w:type="spellStart"/>
      <w:r w:rsidRPr="00B53DED">
        <w:rPr>
          <w:lang w:val="en-GB"/>
        </w:rPr>
        <w:t>erinaceus</w:t>
      </w:r>
      <w:proofErr w:type="spellEnd"/>
      <w:r w:rsidRPr="00B53DED">
        <w:rPr>
          <w:lang w:val="en-GB"/>
        </w:rPr>
        <w:t xml:space="preserve"> is assessed using VDS. </w:t>
      </w:r>
      <w:proofErr w:type="spellStart"/>
      <w:r w:rsidRPr="00B53DED">
        <w:rPr>
          <w:lang w:val="en-GB"/>
        </w:rPr>
        <w:t>Imposex</w:t>
      </w:r>
      <w:proofErr w:type="spellEnd"/>
      <w:r w:rsidRPr="00B53DED">
        <w:rPr>
          <w:lang w:val="en-GB"/>
        </w:rPr>
        <w:t xml:space="preserve"> in </w:t>
      </w:r>
      <w:proofErr w:type="spellStart"/>
      <w:r w:rsidRPr="00B53DED">
        <w:rPr>
          <w:lang w:val="en-GB"/>
        </w:rPr>
        <w:t>Littorina</w:t>
      </w:r>
      <w:proofErr w:type="spellEnd"/>
      <w:r w:rsidRPr="00B53DED">
        <w:rPr>
          <w:lang w:val="en-GB"/>
        </w:rPr>
        <w:t xml:space="preserve"> </w:t>
      </w:r>
      <w:proofErr w:type="spellStart"/>
      <w:r w:rsidRPr="00B53DED">
        <w:rPr>
          <w:lang w:val="en-GB"/>
        </w:rPr>
        <w:t>littorea</w:t>
      </w:r>
      <w:proofErr w:type="spellEnd"/>
      <w:r w:rsidRPr="00B53DED">
        <w:rPr>
          <w:lang w:val="en-GB"/>
        </w:rPr>
        <w:t xml:space="preserve"> and </w:t>
      </w:r>
      <w:proofErr w:type="spellStart"/>
      <w:r w:rsidRPr="00B53DED">
        <w:rPr>
          <w:lang w:val="en-GB"/>
        </w:rPr>
        <w:t>Buccinum</w:t>
      </w:r>
      <w:proofErr w:type="spellEnd"/>
      <w:r w:rsidRPr="00B53DED">
        <w:rPr>
          <w:lang w:val="en-GB"/>
        </w:rPr>
        <w:t xml:space="preserve"> </w:t>
      </w:r>
      <w:proofErr w:type="spellStart"/>
      <w:r w:rsidRPr="00B53DED">
        <w:rPr>
          <w:lang w:val="en-GB"/>
        </w:rPr>
        <w:t>undatum</w:t>
      </w:r>
      <w:proofErr w:type="spellEnd"/>
      <w:r w:rsidRPr="00B53DED">
        <w:rPr>
          <w:lang w:val="en-GB"/>
        </w:rPr>
        <w:t xml:space="preserve"> is assessed using intersex stage and </w:t>
      </w:r>
      <w:proofErr w:type="spellStart"/>
      <w:r w:rsidRPr="00B53DED">
        <w:rPr>
          <w:lang w:val="en-GB"/>
        </w:rPr>
        <w:t>imposex</w:t>
      </w:r>
      <w:proofErr w:type="spellEnd"/>
      <w:r w:rsidRPr="00B53DED">
        <w:rPr>
          <w:lang w:val="en-GB"/>
        </w:rPr>
        <w:t xml:space="preserve"> stage respectively. </w:t>
      </w:r>
    </w:p>
  </w:footnote>
  <w:footnote w:id="8">
    <w:p w:rsidR="00F668B8" w:rsidRPr="00B53DED" w:rsidRDefault="00F668B8">
      <w:pPr>
        <w:pStyle w:val="FootnoteText"/>
        <w:rPr>
          <w:lang w:val="en-GB"/>
        </w:rPr>
      </w:pPr>
      <w:r>
        <w:rPr>
          <w:rStyle w:val="FootnoteReference"/>
        </w:rPr>
        <w:footnoteRef/>
      </w:r>
      <w:r w:rsidRPr="00B53DED">
        <w:rPr>
          <w:lang w:val="en-GB"/>
        </w:rPr>
        <w:t xml:space="preserve"> K = 6 for </w:t>
      </w:r>
      <w:proofErr w:type="spellStart"/>
      <w:r w:rsidRPr="00B53DED">
        <w:rPr>
          <w:lang w:val="en-GB"/>
        </w:rPr>
        <w:t>Nassarius</w:t>
      </w:r>
      <w:proofErr w:type="spellEnd"/>
      <w:r w:rsidRPr="00B53DED">
        <w:rPr>
          <w:lang w:val="en-GB"/>
        </w:rPr>
        <w:t xml:space="preserve"> </w:t>
      </w:r>
      <w:proofErr w:type="spellStart"/>
      <w:r w:rsidRPr="00B53DED">
        <w:rPr>
          <w:lang w:val="en-GB"/>
        </w:rPr>
        <w:t>reticulatus</w:t>
      </w:r>
      <w:proofErr w:type="spellEnd"/>
      <w:r w:rsidRPr="00B53DED">
        <w:rPr>
          <w:lang w:val="en-GB"/>
        </w:rPr>
        <w:t xml:space="preserve">, </w:t>
      </w:r>
      <w:proofErr w:type="spellStart"/>
      <w:r w:rsidRPr="00B53DED">
        <w:rPr>
          <w:lang w:val="en-GB"/>
        </w:rPr>
        <w:t>Nucella</w:t>
      </w:r>
      <w:proofErr w:type="spellEnd"/>
      <w:r w:rsidRPr="00B53DED">
        <w:rPr>
          <w:lang w:val="en-GB"/>
        </w:rPr>
        <w:t xml:space="preserve"> lapillus and </w:t>
      </w:r>
      <w:proofErr w:type="spellStart"/>
      <w:r w:rsidRPr="00B53DED">
        <w:rPr>
          <w:lang w:val="en-GB"/>
        </w:rPr>
        <w:t>Ocenebra</w:t>
      </w:r>
      <w:proofErr w:type="spellEnd"/>
      <w:r w:rsidRPr="00B53DED">
        <w:rPr>
          <w:lang w:val="en-GB"/>
        </w:rPr>
        <w:t xml:space="preserve"> </w:t>
      </w:r>
      <w:proofErr w:type="spellStart"/>
      <w:r w:rsidRPr="00B53DED">
        <w:rPr>
          <w:lang w:val="en-GB"/>
        </w:rPr>
        <w:t>erinaceus</w:t>
      </w:r>
      <w:proofErr w:type="spellEnd"/>
      <w:r w:rsidRPr="00B53DED">
        <w:rPr>
          <w:lang w:val="en-GB"/>
        </w:rPr>
        <w:t xml:space="preserve"> and K = 4 for </w:t>
      </w:r>
      <w:proofErr w:type="spellStart"/>
      <w:r w:rsidRPr="00B53DED">
        <w:rPr>
          <w:lang w:val="en-GB"/>
        </w:rPr>
        <w:t>Neptunea</w:t>
      </w:r>
      <w:proofErr w:type="spellEnd"/>
      <w:r w:rsidRPr="00B53DED">
        <w:rPr>
          <w:lang w:val="en-GB"/>
        </w:rPr>
        <w:t xml:space="preserve"> </w:t>
      </w:r>
      <w:proofErr w:type="spellStart"/>
      <w:r w:rsidRPr="00B53DED">
        <w:rPr>
          <w:lang w:val="en-GB"/>
        </w:rPr>
        <w:t>antiqua</w:t>
      </w:r>
      <w:proofErr w:type="spellEnd"/>
      <w:r w:rsidRPr="00B53DED">
        <w:rPr>
          <w:lang w:val="en-GB"/>
        </w:rPr>
        <w:t>. </w:t>
      </w:r>
    </w:p>
  </w:footnote>
  <w:footnote w:id="9">
    <w:p w:rsidR="00F668B8" w:rsidRPr="00B53DED" w:rsidRDefault="00F668B8">
      <w:pPr>
        <w:pStyle w:val="FootnoteText"/>
        <w:rPr>
          <w:lang w:val="en-GB"/>
        </w:rPr>
      </w:pPr>
      <w:r>
        <w:rPr>
          <w:rStyle w:val="FootnoteReference"/>
        </w:rPr>
        <w:footnoteRef/>
      </w:r>
      <w:r w:rsidRPr="00B53DED">
        <w:rPr>
          <w:lang w:val="en-GB"/>
        </w:rPr>
        <w:t xml:space="preserve"> An additional constraint is necessary for identifiability since </w:t>
      </w:r>
      <w:proofErr w:type="gramStart"/>
      <w:r w:rsidRPr="00B53DED">
        <w:rPr>
          <w:lang w:val="en-GB"/>
        </w:rPr>
        <w:t>f(</w:t>
      </w:r>
      <w:proofErr w:type="gramEnd"/>
      <w:r w:rsidRPr="00B53DED">
        <w:rPr>
          <w:lang w:val="en-GB"/>
        </w:rPr>
        <w:t>t) is also in the linear predictor. Typically, one of the intermediate cut-points is set to zero. </w:t>
      </w:r>
    </w:p>
  </w:footnote>
  <w:footnote w:id="10">
    <w:p w:rsidR="00F668B8" w:rsidRPr="00E336DA" w:rsidRDefault="00F668B8" w:rsidP="002E1DFD">
      <w:pPr>
        <w:rPr>
          <w:sz w:val="20"/>
          <w:szCs w:val="20"/>
          <w:lang w:val="en-GB"/>
        </w:rPr>
      </w:pPr>
      <w:r>
        <w:rPr>
          <w:rStyle w:val="FootnoteReference"/>
        </w:rPr>
        <w:footnoteRef/>
      </w:r>
      <w:r w:rsidRPr="00B53DED">
        <w:rPr>
          <w:lang w:val="en-GB"/>
        </w:rPr>
        <w:t xml:space="preserve"> Even with multiple time series, there are sometimes very few snails with VDS mea</w:t>
      </w:r>
      <w:r>
        <w:rPr>
          <w:lang w:val="en-GB"/>
        </w:rPr>
        <w:t>surements in the highest class </w:t>
      </w:r>
      <w:r w:rsidRPr="00B53DED">
        <w:rPr>
          <w:lang w:val="en-GB"/>
        </w:rPr>
        <w:t xml:space="preserve">K. This can lead to difficulties estimating the highest cut-point, so the </w:t>
      </w:r>
      <w:r w:rsidRPr="00E336DA">
        <w:rPr>
          <w:sz w:val="20"/>
          <w:szCs w:val="20"/>
          <w:lang w:val="en-GB"/>
        </w:rPr>
        <w:t>pragmatic decision is taken to combine the upper two classes with e.g. K reducing from 6 to 5.</w:t>
      </w:r>
      <w:r w:rsidRPr="00B53DED">
        <w:rPr>
          <w:lang w:val="en-GB"/>
        </w:rPr>
        <w:t xml:space="preserve"> </w:t>
      </w:r>
      <w:r w:rsidRPr="00E336DA">
        <w:rPr>
          <w:sz w:val="20"/>
          <w:szCs w:val="20"/>
          <w:lang w:val="en-GB"/>
        </w:rPr>
        <w:t>If there are still few snails in the (new) highest class, the process is repeated with e.g. K reducing to 4. </w:t>
      </w:r>
    </w:p>
  </w:footnote>
  <w:footnote w:id="11">
    <w:p w:rsidR="00F668B8" w:rsidRPr="00E336DA" w:rsidRDefault="00F668B8" w:rsidP="00E336DA">
      <w:pPr>
        <w:rPr>
          <w:sz w:val="20"/>
          <w:szCs w:val="20"/>
          <w:lang w:val="en-GB"/>
        </w:rPr>
      </w:pPr>
      <w:r w:rsidRPr="00E336DA">
        <w:rPr>
          <w:rStyle w:val="FootnoteReference"/>
          <w:sz w:val="20"/>
          <w:szCs w:val="20"/>
        </w:rPr>
        <w:footnoteRef/>
      </w:r>
      <w:r w:rsidRPr="00E336DA">
        <w:rPr>
          <w:sz w:val="20"/>
          <w:szCs w:val="20"/>
          <w:lang w:val="en-GB"/>
        </w:rPr>
        <w:t xml:space="preserve"> Even with multiple time series, there are sometimes very few snails with VDS measurements in the highest class KK. This can lead to difficulties estimating the highest cut-point, so the pragmatic decision is taken to combine the upper two classes with e.g. K reducing from 6 to 5. If there are still few snails in the (new) highest class, the process is repeated with e.g. K reducing to 4. </w:t>
      </w:r>
    </w:p>
    <w:p w:rsidR="00F668B8" w:rsidRPr="00E336DA" w:rsidRDefault="00F668B8" w:rsidP="00E336DA">
      <w:pPr>
        <w:rPr>
          <w:sz w:val="20"/>
          <w:szCs w:val="20"/>
          <w:lang w:val="en-GB"/>
        </w:rPr>
      </w:pPr>
      <w:r w:rsidRPr="00E336DA">
        <w:rPr>
          <w:sz w:val="20"/>
          <w:szCs w:val="20"/>
          <w:vertAlign w:val="superscript"/>
          <w:lang w:val="en-GB"/>
        </w:rPr>
        <w:t>5</w:t>
      </w:r>
      <w:r w:rsidRPr="00E336DA">
        <w:rPr>
          <w:sz w:val="20"/>
          <w:szCs w:val="20"/>
          <w:lang w:val="en-GB"/>
        </w:rPr>
        <w:t> The variance of the parameter estimates is obtained from the Hessian matrix in the usual way. If there is any evidence of over-dispersion (see footnote 7), the variance matrix is then multiplied by the estimate of the dispersion parameter. </w:t>
      </w:r>
    </w:p>
  </w:footnote>
  <w:footnote w:id="12">
    <w:p w:rsidR="00F668B8" w:rsidRPr="00E336DA" w:rsidRDefault="00F668B8">
      <w:pPr>
        <w:pStyle w:val="FootnoteText"/>
        <w:rPr>
          <w:sz w:val="20"/>
          <w:szCs w:val="20"/>
          <w:lang w:val="en-GB"/>
        </w:rPr>
      </w:pPr>
      <w:r w:rsidRPr="00E336DA">
        <w:rPr>
          <w:rStyle w:val="FootnoteReference"/>
          <w:sz w:val="20"/>
          <w:szCs w:val="20"/>
        </w:rPr>
        <w:footnoteRef/>
      </w:r>
      <w:r w:rsidRPr="00E336DA">
        <w:rPr>
          <w:sz w:val="20"/>
          <w:szCs w:val="20"/>
          <w:lang w:val="en-GB"/>
        </w:rPr>
        <w:t xml:space="preserve"> If all the VDS measurements for a series of years are equal to K, then there is negligible information with which to ‘anchor’ the estimates of </w:t>
      </w:r>
      <w:proofErr w:type="gramStart"/>
      <w:r w:rsidRPr="00E336DA">
        <w:rPr>
          <w:sz w:val="20"/>
          <w:szCs w:val="20"/>
          <w:lang w:val="en-GB"/>
        </w:rPr>
        <w:t>f(</w:t>
      </w:r>
      <w:proofErr w:type="gramEnd"/>
      <w:r w:rsidRPr="00E336DA">
        <w:rPr>
          <w:sz w:val="20"/>
          <w:szCs w:val="20"/>
          <w:lang w:val="en-GB"/>
        </w:rPr>
        <w:t>t). All we know is that, on the logistic scale, </w:t>
      </w:r>
      <w:proofErr w:type="gramStart"/>
      <w:r w:rsidRPr="00E336DA">
        <w:rPr>
          <w:sz w:val="20"/>
          <w:szCs w:val="20"/>
          <w:lang w:val="en-GB"/>
        </w:rPr>
        <w:t>f(</w:t>
      </w:r>
      <w:proofErr w:type="gramEnd"/>
      <w:r w:rsidRPr="00E336DA">
        <w:rPr>
          <w:sz w:val="20"/>
          <w:szCs w:val="20"/>
          <w:lang w:val="en-GB"/>
        </w:rPr>
        <w:t>t) could be anywhere between ‘large’ and infinite. </w:t>
      </w:r>
    </w:p>
  </w:footnote>
  <w:footnote w:id="13">
    <w:p w:rsidR="00F668B8" w:rsidRPr="00B53DED" w:rsidRDefault="00F668B8" w:rsidP="003A357A">
      <w:pPr>
        <w:rPr>
          <w:sz w:val="20"/>
          <w:szCs w:val="20"/>
          <w:lang w:val="en-GB"/>
        </w:rPr>
      </w:pPr>
      <w:r>
        <w:rPr>
          <w:rStyle w:val="FootnoteReference"/>
        </w:rPr>
        <w:footnoteRef/>
      </w:r>
      <w:r w:rsidRPr="00B53DED">
        <w:rPr>
          <w:lang w:val="en-GB"/>
        </w:rPr>
        <w:t xml:space="preserve"> </w:t>
      </w:r>
      <w:proofErr w:type="spellStart"/>
      <w:r w:rsidRPr="00B53DED">
        <w:rPr>
          <w:sz w:val="20"/>
          <w:szCs w:val="20"/>
          <w:lang w:val="en-GB"/>
        </w:rPr>
        <w:t>AICc</w:t>
      </w:r>
      <w:proofErr w:type="spellEnd"/>
      <w:r w:rsidRPr="00B53DED">
        <w:rPr>
          <w:sz w:val="20"/>
          <w:szCs w:val="20"/>
          <w:lang w:val="en-GB"/>
        </w:rPr>
        <w:t xml:space="preserve"> is a model selection criterion that gives greater protection against overfitting than AIC when the sample size is small. The usual definition of </w:t>
      </w:r>
      <w:proofErr w:type="spellStart"/>
      <w:r w:rsidRPr="00B53DED">
        <w:rPr>
          <w:sz w:val="20"/>
          <w:szCs w:val="20"/>
          <w:lang w:val="en-GB"/>
        </w:rPr>
        <w:t>AICc</w:t>
      </w:r>
      <w:proofErr w:type="spellEnd"/>
      <w:r w:rsidRPr="00B53DED">
        <w:rPr>
          <w:sz w:val="20"/>
          <w:szCs w:val="20"/>
          <w:lang w:val="en-GB"/>
        </w:rPr>
        <w:t xml:space="preserve"> is</w:t>
      </w:r>
    </w:p>
    <w:p w:rsidR="00F668B8" w:rsidRPr="00B53DED" w:rsidRDefault="00F668B8" w:rsidP="003A357A">
      <w:pPr>
        <w:rPr>
          <w:sz w:val="20"/>
          <w:szCs w:val="20"/>
          <w:lang w:val="en-GB"/>
        </w:rPr>
      </w:pPr>
      <w:proofErr w:type="spellStart"/>
      <w:r w:rsidRPr="00B53DED">
        <w:rPr>
          <w:sz w:val="20"/>
          <w:szCs w:val="20"/>
          <w:lang w:val="en-GB"/>
        </w:rPr>
        <w:t>AICc</w:t>
      </w:r>
      <w:proofErr w:type="spellEnd"/>
      <w:r w:rsidRPr="00B53DED">
        <w:rPr>
          <w:sz w:val="20"/>
          <w:szCs w:val="20"/>
          <w:lang w:val="en-GB"/>
        </w:rPr>
        <w:t xml:space="preserve"> = - 2 log likelihood</w:t>
      </w:r>
      <w:r>
        <w:rPr>
          <w:sz w:val="20"/>
          <w:szCs w:val="20"/>
          <w:lang w:val="en-GB"/>
        </w:rPr>
        <w:t xml:space="preserve"> </w:t>
      </w:r>
      <w:r w:rsidRPr="00B53DED">
        <w:rPr>
          <w:sz w:val="20"/>
          <w:szCs w:val="20"/>
          <w:lang w:val="en-GB"/>
        </w:rPr>
        <w:t>+</w:t>
      </w:r>
      <w:r>
        <w:rPr>
          <w:sz w:val="20"/>
          <w:szCs w:val="20"/>
          <w:lang w:val="en-GB"/>
        </w:rPr>
        <w:t xml:space="preserve"> </w:t>
      </w:r>
      <w:r w:rsidRPr="00B53DED">
        <w:rPr>
          <w:sz w:val="20"/>
          <w:szCs w:val="20"/>
          <w:lang w:val="en-GB"/>
        </w:rPr>
        <w:t>2</w:t>
      </w:r>
      <w:r w:rsidRPr="00D30BBC">
        <w:rPr>
          <w:sz w:val="20"/>
          <w:szCs w:val="20"/>
          <w:lang w:val="en-GB"/>
        </w:rPr>
        <w:t>pn</w:t>
      </w:r>
      <w:r>
        <w:rPr>
          <w:sz w:val="20"/>
          <w:szCs w:val="20"/>
          <w:lang w:val="en-GB"/>
        </w:rPr>
        <w:t>/(n</w:t>
      </w:r>
      <w:r w:rsidRPr="00B53DED">
        <w:rPr>
          <w:sz w:val="20"/>
          <w:szCs w:val="20"/>
          <w:lang w:val="en-GB"/>
        </w:rPr>
        <w:t>−p−1</w:t>
      </w:r>
      <w:r>
        <w:rPr>
          <w:sz w:val="20"/>
          <w:szCs w:val="20"/>
          <w:lang w:val="en-GB"/>
        </w:rPr>
        <w:t>)</w:t>
      </w:r>
    </w:p>
    <w:p w:rsidR="00F668B8" w:rsidRPr="00B53DED" w:rsidRDefault="00F668B8" w:rsidP="003A357A">
      <w:pPr>
        <w:rPr>
          <w:sz w:val="20"/>
          <w:szCs w:val="20"/>
          <w:lang w:val="en-GB"/>
        </w:rPr>
      </w:pPr>
      <w:proofErr w:type="gramStart"/>
      <w:r w:rsidRPr="00B53DED">
        <w:rPr>
          <w:sz w:val="20"/>
          <w:szCs w:val="20"/>
          <w:lang w:val="en-GB"/>
        </w:rPr>
        <w:t>where</w:t>
      </w:r>
      <w:proofErr w:type="gramEnd"/>
      <w:r w:rsidRPr="00B53DED">
        <w:rPr>
          <w:sz w:val="20"/>
          <w:szCs w:val="20"/>
          <w:lang w:val="en-GB"/>
        </w:rPr>
        <w:t> n is the sample size and p is the number of parameters in the model. For a VDS time series, the natural definition of the sample size is the number of years of data, N. (One might consider using </w:t>
      </w:r>
      <w:proofErr w:type="spellStart"/>
      <w:r w:rsidRPr="00B53DED">
        <w:rPr>
          <w:sz w:val="20"/>
          <w:szCs w:val="20"/>
          <w:lang w:val="en-GB"/>
        </w:rPr>
        <w:t>Nmid</w:t>
      </w:r>
      <w:proofErr w:type="spellEnd"/>
      <w:r w:rsidRPr="00B53DED">
        <w:rPr>
          <w:sz w:val="20"/>
          <w:szCs w:val="20"/>
          <w:lang w:val="en-GB"/>
        </w:rPr>
        <w:t> but things are complicated enough as it is.) Further, pp is the number of parameters associated with </w:t>
      </w:r>
      <w:proofErr w:type="gramStart"/>
      <w:r w:rsidRPr="00B53DED">
        <w:rPr>
          <w:sz w:val="20"/>
          <w:szCs w:val="20"/>
          <w:lang w:val="en-GB"/>
        </w:rPr>
        <w:t>f(</w:t>
      </w:r>
      <w:proofErr w:type="gramEnd"/>
      <w:r w:rsidRPr="00B53DED">
        <w:rPr>
          <w:sz w:val="20"/>
          <w:szCs w:val="20"/>
          <w:lang w:val="en-GB"/>
        </w:rPr>
        <w:t xml:space="preserve">t) (with the cut-points ignored). For example, the linear model has p = 2. However, there is often evidence of over-dispersion and, although </w:t>
      </w:r>
      <w:proofErr w:type="spellStart"/>
      <w:r w:rsidRPr="00B53DED">
        <w:rPr>
          <w:sz w:val="20"/>
          <w:szCs w:val="20"/>
          <w:lang w:val="en-GB"/>
        </w:rPr>
        <w:t>AICc</w:t>
      </w:r>
      <w:proofErr w:type="spellEnd"/>
      <w:r w:rsidRPr="00B53DED">
        <w:rPr>
          <w:sz w:val="20"/>
          <w:szCs w:val="20"/>
          <w:lang w:val="en-GB"/>
        </w:rPr>
        <w:t xml:space="preserve"> is then formally undefined, a sensible adjustment can be made by dividing the log likelihood by an estimate of the dispersion parameter, and extending the second term to account for the additional (dispersion) parameter. This gives</w:t>
      </w:r>
    </w:p>
    <w:p w:rsidR="00F668B8" w:rsidRPr="00B53DED" w:rsidRDefault="00F668B8" w:rsidP="003A357A">
      <w:pPr>
        <w:rPr>
          <w:sz w:val="20"/>
          <w:szCs w:val="20"/>
          <w:lang w:val="en-GB"/>
        </w:rPr>
      </w:pPr>
      <w:proofErr w:type="spellStart"/>
      <w:r w:rsidRPr="00B53DED">
        <w:rPr>
          <w:sz w:val="20"/>
          <w:szCs w:val="20"/>
          <w:lang w:val="en-GB"/>
        </w:rPr>
        <w:t>AICc</w:t>
      </w:r>
      <w:proofErr w:type="spellEnd"/>
      <w:r w:rsidRPr="00B53DED">
        <w:rPr>
          <w:sz w:val="20"/>
          <w:szCs w:val="20"/>
          <w:lang w:val="en-GB"/>
        </w:rPr>
        <w:t xml:space="preserve"> = - 2 log likelihood</w:t>
      </w:r>
      <w:r>
        <w:rPr>
          <w:sz w:val="20"/>
          <w:szCs w:val="20"/>
          <w:lang w:val="en-GB"/>
        </w:rPr>
        <w:t>/</w:t>
      </w:r>
      <w:r w:rsidRPr="002E1DFD">
        <w:rPr>
          <w:sz w:val="20"/>
          <w:szCs w:val="20"/>
        </w:rPr>
        <w:t>ϕ</w:t>
      </w:r>
      <w:r w:rsidRPr="00D30BBC">
        <w:rPr>
          <w:sz w:val="20"/>
          <w:szCs w:val="20"/>
          <w:lang w:val="en-GB"/>
        </w:rPr>
        <w:t xml:space="preserve"> </w:t>
      </w:r>
      <w:r w:rsidRPr="00B53DED">
        <w:rPr>
          <w:sz w:val="20"/>
          <w:szCs w:val="20"/>
          <w:lang w:val="en-GB"/>
        </w:rPr>
        <w:t>+</w:t>
      </w:r>
      <w:r>
        <w:rPr>
          <w:sz w:val="20"/>
          <w:szCs w:val="20"/>
          <w:lang w:val="en-GB"/>
        </w:rPr>
        <w:t xml:space="preserve"> </w:t>
      </w:r>
      <w:r w:rsidRPr="00B53DED">
        <w:rPr>
          <w:sz w:val="20"/>
          <w:szCs w:val="20"/>
          <w:lang w:val="en-GB"/>
        </w:rPr>
        <w:t>2(p+1)N</w:t>
      </w:r>
      <w:r>
        <w:rPr>
          <w:sz w:val="20"/>
          <w:szCs w:val="20"/>
          <w:lang w:val="en-GB"/>
        </w:rPr>
        <w:t>/</w:t>
      </w:r>
      <w:r w:rsidRPr="00B53DED">
        <w:rPr>
          <w:sz w:val="20"/>
          <w:szCs w:val="20"/>
          <w:lang w:val="en-GB"/>
        </w:rPr>
        <w:t>(N−p−2)</w:t>
      </w:r>
    </w:p>
    <w:p w:rsidR="00F668B8" w:rsidRPr="00B53DED" w:rsidRDefault="00F668B8" w:rsidP="003A357A">
      <w:pPr>
        <w:rPr>
          <w:sz w:val="20"/>
          <w:szCs w:val="20"/>
          <w:lang w:val="en-GB"/>
        </w:rPr>
      </w:pPr>
      <w:proofErr w:type="gramStart"/>
      <w:r w:rsidRPr="00B53DED">
        <w:rPr>
          <w:sz w:val="20"/>
          <w:szCs w:val="20"/>
          <w:lang w:val="en-GB"/>
        </w:rPr>
        <w:t>where</w:t>
      </w:r>
      <w:proofErr w:type="gramEnd"/>
      <w:r w:rsidRPr="00B53DED">
        <w:rPr>
          <w:sz w:val="20"/>
          <w:szCs w:val="20"/>
          <w:lang w:val="en-GB"/>
        </w:rPr>
        <w:t> </w:t>
      </w:r>
      <w:r w:rsidRPr="002E1DFD">
        <w:rPr>
          <w:sz w:val="20"/>
          <w:szCs w:val="20"/>
        </w:rPr>
        <w:t>ϕ</w:t>
      </w:r>
      <w:r w:rsidRPr="00B53DED">
        <w:rPr>
          <w:sz w:val="20"/>
          <w:szCs w:val="20"/>
          <w:lang w:val="en-GB"/>
        </w:rPr>
        <w:t> is the dispersion parameter. The value of </w:t>
      </w:r>
      <w:r w:rsidRPr="002E1DFD">
        <w:rPr>
          <w:sz w:val="20"/>
          <w:szCs w:val="20"/>
        </w:rPr>
        <w:t>ϕ</w:t>
      </w:r>
      <w:r w:rsidRPr="00B53DED">
        <w:rPr>
          <w:sz w:val="20"/>
          <w:szCs w:val="20"/>
          <w:lang w:val="en-GB"/>
        </w:rPr>
        <w:t> is common to all the candidate models and is estimated by fitting all the candidate models in turn and comparing each to the fit of a full model. Let d</w:t>
      </w:r>
      <w:r w:rsidRPr="00B53DED">
        <w:rPr>
          <w:sz w:val="20"/>
          <w:szCs w:val="20"/>
          <w:vertAlign w:val="subscript"/>
          <w:lang w:val="en-GB"/>
        </w:rPr>
        <w:t>i</w:t>
      </w:r>
      <w:r w:rsidRPr="00B53DED">
        <w:rPr>
          <w:sz w:val="20"/>
          <w:szCs w:val="20"/>
          <w:lang w:val="en-GB"/>
        </w:rPr>
        <w:t> be the deviance (- 2 log likelihood) of candidate model </w:t>
      </w:r>
      <w:proofErr w:type="spellStart"/>
      <w:r w:rsidRPr="00B53DED">
        <w:rPr>
          <w:sz w:val="20"/>
          <w:szCs w:val="20"/>
          <w:lang w:val="en-GB"/>
        </w:rPr>
        <w:t>i</w:t>
      </w:r>
      <w:proofErr w:type="spellEnd"/>
      <w:r w:rsidRPr="00B53DED">
        <w:rPr>
          <w:sz w:val="20"/>
          <w:szCs w:val="20"/>
          <w:lang w:val="en-GB"/>
        </w:rPr>
        <w:t> and let p</w:t>
      </w:r>
      <w:r w:rsidRPr="00B53DED">
        <w:rPr>
          <w:sz w:val="20"/>
          <w:szCs w:val="20"/>
          <w:vertAlign w:val="subscript"/>
          <w:lang w:val="en-GB"/>
        </w:rPr>
        <w:t>i</w:t>
      </w:r>
      <w:r w:rsidRPr="00B53DED">
        <w:rPr>
          <w:sz w:val="20"/>
          <w:szCs w:val="20"/>
          <w:lang w:val="en-GB"/>
        </w:rPr>
        <w:t> be the corresponding number of model parameters. Further, let </w:t>
      </w:r>
      <w:proofErr w:type="spellStart"/>
      <w:r w:rsidRPr="00B53DED">
        <w:rPr>
          <w:sz w:val="20"/>
          <w:szCs w:val="20"/>
          <w:lang w:val="en-GB"/>
        </w:rPr>
        <w:t>dfulldfull</w:t>
      </w:r>
      <w:proofErr w:type="spellEnd"/>
      <w:r w:rsidRPr="00B53DED">
        <w:rPr>
          <w:sz w:val="20"/>
          <w:szCs w:val="20"/>
          <w:lang w:val="en-GB"/>
        </w:rPr>
        <w:t> be the deviance of a full model in which </w:t>
      </w:r>
      <w:proofErr w:type="gramStart"/>
      <w:r w:rsidRPr="00B53DED">
        <w:rPr>
          <w:sz w:val="20"/>
          <w:szCs w:val="20"/>
          <w:lang w:val="en-GB"/>
        </w:rPr>
        <w:t>f(</w:t>
      </w:r>
      <w:proofErr w:type="gramEnd"/>
      <w:r w:rsidRPr="00B53DED">
        <w:rPr>
          <w:sz w:val="20"/>
          <w:szCs w:val="20"/>
          <w:lang w:val="en-GB"/>
        </w:rPr>
        <w:t>t)=</w:t>
      </w:r>
      <w:r w:rsidRPr="002E1DFD">
        <w:rPr>
          <w:sz w:val="20"/>
          <w:szCs w:val="20"/>
        </w:rPr>
        <w:t>μ</w:t>
      </w:r>
      <w:r w:rsidRPr="00B53DED">
        <w:rPr>
          <w:sz w:val="20"/>
          <w:szCs w:val="20"/>
          <w:lang w:val="en-GB"/>
        </w:rPr>
        <w:t>t; i.e. there is a separate parameter estimated for each year. Then the dispersion parameter for model ii is estimated to be</w:t>
      </w:r>
    </w:p>
    <w:p w:rsidR="00F668B8" w:rsidRPr="00B53DED" w:rsidRDefault="00F668B8" w:rsidP="003A357A">
      <w:pPr>
        <w:rPr>
          <w:sz w:val="20"/>
          <w:szCs w:val="20"/>
          <w:lang w:val="en-GB"/>
        </w:rPr>
      </w:pPr>
      <w:r w:rsidRPr="002E1DFD">
        <w:rPr>
          <w:sz w:val="20"/>
          <w:szCs w:val="20"/>
        </w:rPr>
        <w:t>ϕ</w:t>
      </w:r>
      <w:proofErr w:type="spellStart"/>
      <w:r w:rsidRPr="00D30BBC">
        <w:rPr>
          <w:sz w:val="20"/>
          <w:szCs w:val="20"/>
          <w:vertAlign w:val="subscript"/>
          <w:lang w:val="en-GB"/>
        </w:rPr>
        <w:t>i</w:t>
      </w:r>
      <w:proofErr w:type="spellEnd"/>
      <w:r w:rsidRPr="00B53DED">
        <w:rPr>
          <w:sz w:val="20"/>
          <w:szCs w:val="20"/>
          <w:lang w:val="en-GB"/>
        </w:rPr>
        <w:t>=max(1,d</w:t>
      </w:r>
      <w:r w:rsidRPr="00D30BBC">
        <w:rPr>
          <w:sz w:val="20"/>
          <w:szCs w:val="20"/>
          <w:vertAlign w:val="subscript"/>
          <w:lang w:val="en-GB"/>
        </w:rPr>
        <w:t>i</w:t>
      </w:r>
      <w:r w:rsidRPr="00B53DED">
        <w:rPr>
          <w:sz w:val="20"/>
          <w:szCs w:val="20"/>
          <w:lang w:val="en-GB"/>
        </w:rPr>
        <w:t>−d</w:t>
      </w:r>
      <w:r w:rsidRPr="00D30BBC">
        <w:rPr>
          <w:sz w:val="20"/>
          <w:szCs w:val="20"/>
          <w:vertAlign w:val="subscript"/>
          <w:lang w:val="en-GB"/>
        </w:rPr>
        <w:t>full</w:t>
      </w:r>
      <w:r>
        <w:rPr>
          <w:sz w:val="20"/>
          <w:szCs w:val="20"/>
          <w:lang w:val="en-GB"/>
        </w:rPr>
        <w:t>/(</w:t>
      </w:r>
      <w:r w:rsidRPr="00B53DED">
        <w:rPr>
          <w:sz w:val="20"/>
          <w:szCs w:val="20"/>
          <w:lang w:val="en-GB"/>
        </w:rPr>
        <w:t>N−p</w:t>
      </w:r>
      <w:r w:rsidRPr="00D30BBC">
        <w:rPr>
          <w:sz w:val="20"/>
          <w:szCs w:val="20"/>
          <w:vertAlign w:val="subscript"/>
          <w:lang w:val="en-GB"/>
        </w:rPr>
        <w:t>i</w:t>
      </w:r>
      <w:r>
        <w:rPr>
          <w:sz w:val="20"/>
          <w:szCs w:val="20"/>
          <w:lang w:val="en-GB"/>
        </w:rPr>
        <w:t>)</w:t>
      </w:r>
      <w:r w:rsidRPr="00B53DED">
        <w:rPr>
          <w:sz w:val="20"/>
          <w:szCs w:val="20"/>
          <w:lang w:val="en-GB"/>
        </w:rPr>
        <w:t>)</w:t>
      </w:r>
    </w:p>
    <w:p w:rsidR="00F668B8" w:rsidRPr="00B53DED" w:rsidRDefault="00F668B8" w:rsidP="003A357A">
      <w:pPr>
        <w:rPr>
          <w:sz w:val="20"/>
          <w:szCs w:val="20"/>
          <w:lang w:val="en-GB"/>
        </w:rPr>
      </w:pPr>
      <w:proofErr w:type="gramStart"/>
      <w:r w:rsidRPr="00B53DED">
        <w:rPr>
          <w:sz w:val="20"/>
          <w:szCs w:val="20"/>
          <w:lang w:val="en-GB"/>
        </w:rPr>
        <w:t>and</w:t>
      </w:r>
      <w:proofErr w:type="gramEnd"/>
      <w:r w:rsidRPr="00B53DED">
        <w:rPr>
          <w:sz w:val="20"/>
          <w:szCs w:val="20"/>
          <w:lang w:val="en-GB"/>
        </w:rPr>
        <w:t xml:space="preserve"> the dispersion parameter used in the </w:t>
      </w:r>
      <w:proofErr w:type="spellStart"/>
      <w:r w:rsidRPr="00B53DED">
        <w:rPr>
          <w:sz w:val="20"/>
          <w:szCs w:val="20"/>
          <w:lang w:val="en-GB"/>
        </w:rPr>
        <w:t>AICc</w:t>
      </w:r>
      <w:proofErr w:type="spellEnd"/>
      <w:r w:rsidRPr="00B53DED">
        <w:rPr>
          <w:sz w:val="20"/>
          <w:szCs w:val="20"/>
          <w:lang w:val="en-GB"/>
        </w:rPr>
        <w:t xml:space="preserve"> calculations is </w:t>
      </w:r>
      <w:r w:rsidRPr="002E1DFD">
        <w:rPr>
          <w:sz w:val="20"/>
          <w:szCs w:val="20"/>
        </w:rPr>
        <w:t>ϕ</w:t>
      </w:r>
      <w:r w:rsidRPr="00B53DED">
        <w:rPr>
          <w:sz w:val="20"/>
          <w:szCs w:val="20"/>
          <w:lang w:val="en-GB"/>
        </w:rPr>
        <w:t>=min(</w:t>
      </w:r>
      <w:r w:rsidRPr="002E1DFD">
        <w:rPr>
          <w:sz w:val="20"/>
          <w:szCs w:val="20"/>
        </w:rPr>
        <w:t>ϕ</w:t>
      </w:r>
      <w:proofErr w:type="spellStart"/>
      <w:r w:rsidRPr="00B377D1">
        <w:rPr>
          <w:sz w:val="20"/>
          <w:szCs w:val="20"/>
          <w:vertAlign w:val="subscript"/>
          <w:lang w:val="en-GB"/>
        </w:rPr>
        <w:t>i</w:t>
      </w:r>
      <w:proofErr w:type="spellEnd"/>
      <w:r w:rsidRPr="00B53DED">
        <w:rPr>
          <w:sz w:val="20"/>
          <w:szCs w:val="20"/>
          <w:lang w:val="en-GB"/>
        </w:rPr>
        <w:t xml:space="preserve">). If N≤4, then </w:t>
      </w:r>
      <w:proofErr w:type="spellStart"/>
      <w:r w:rsidRPr="00B53DED">
        <w:rPr>
          <w:sz w:val="20"/>
          <w:szCs w:val="20"/>
          <w:lang w:val="en-GB"/>
        </w:rPr>
        <w:t>AICc</w:t>
      </w:r>
      <w:proofErr w:type="spellEnd"/>
      <w:r w:rsidRPr="00B53DED">
        <w:rPr>
          <w:sz w:val="20"/>
          <w:szCs w:val="20"/>
          <w:lang w:val="en-GB"/>
        </w:rPr>
        <w:t xml:space="preserve"> is undefined, and AIC is used instead where</w:t>
      </w:r>
    </w:p>
    <w:p w:rsidR="00F668B8" w:rsidRDefault="00F668B8" w:rsidP="003A357A">
      <w:pPr>
        <w:rPr>
          <w:sz w:val="20"/>
          <w:szCs w:val="20"/>
          <w:lang w:val="en-GB"/>
        </w:rPr>
      </w:pPr>
      <w:r w:rsidRPr="00B53DED">
        <w:rPr>
          <w:sz w:val="20"/>
          <w:szCs w:val="20"/>
          <w:lang w:val="en-GB"/>
        </w:rPr>
        <w:t>AIC = - 2 log likelihood</w:t>
      </w:r>
      <w:r>
        <w:rPr>
          <w:sz w:val="20"/>
          <w:szCs w:val="20"/>
          <w:lang w:val="en-GB"/>
        </w:rPr>
        <w:t>/</w:t>
      </w:r>
      <w:r w:rsidRPr="002E1DFD">
        <w:rPr>
          <w:sz w:val="20"/>
          <w:szCs w:val="20"/>
        </w:rPr>
        <w:t>ϕ</w:t>
      </w:r>
      <w:r w:rsidRPr="00D30BBC">
        <w:rPr>
          <w:sz w:val="20"/>
          <w:szCs w:val="20"/>
          <w:lang w:val="en-GB"/>
        </w:rPr>
        <w:t xml:space="preserve"> </w:t>
      </w:r>
      <w:r w:rsidRPr="00B53DED">
        <w:rPr>
          <w:sz w:val="20"/>
          <w:szCs w:val="20"/>
          <w:lang w:val="en-GB"/>
        </w:rPr>
        <w:t>+</w:t>
      </w:r>
      <w:r>
        <w:rPr>
          <w:sz w:val="20"/>
          <w:szCs w:val="20"/>
          <w:lang w:val="en-GB"/>
        </w:rPr>
        <w:t xml:space="preserve"> </w:t>
      </w:r>
      <w:r w:rsidRPr="00B53DED">
        <w:rPr>
          <w:sz w:val="20"/>
          <w:szCs w:val="20"/>
          <w:lang w:val="en-GB"/>
        </w:rPr>
        <w:t>2p</w:t>
      </w:r>
    </w:p>
    <w:p w:rsidR="00F668B8" w:rsidRPr="00B53DED" w:rsidRDefault="00F668B8">
      <w:pPr>
        <w:pStyle w:val="FootnoteText"/>
        <w:rPr>
          <w:sz w:val="20"/>
          <w:szCs w:val="20"/>
          <w:lang w:val="en-GB"/>
        </w:rPr>
      </w:pPr>
    </w:p>
  </w:footnote>
  <w:footnote w:id="14">
    <w:p w:rsidR="00F668B8" w:rsidRPr="00B53DED" w:rsidRDefault="00F668B8">
      <w:pPr>
        <w:pStyle w:val="FootnoteText"/>
        <w:rPr>
          <w:sz w:val="20"/>
          <w:szCs w:val="20"/>
          <w:lang w:val="en-GB"/>
        </w:rPr>
      </w:pPr>
      <w:r>
        <w:rPr>
          <w:rStyle w:val="FootnoteReference"/>
        </w:rPr>
        <w:footnoteRef/>
      </w:r>
      <w:r w:rsidRPr="00B53DED">
        <w:rPr>
          <w:lang w:val="en-GB"/>
        </w:rPr>
        <w:t xml:space="preserve"> </w:t>
      </w:r>
      <w:r w:rsidRPr="00B53DED">
        <w:rPr>
          <w:sz w:val="20"/>
          <w:szCs w:val="20"/>
          <w:lang w:val="en-GB"/>
        </w:rPr>
        <w:t>The estimates of the parameters of </w:t>
      </w:r>
      <w:proofErr w:type="gramStart"/>
      <w:r w:rsidRPr="00B53DED">
        <w:rPr>
          <w:sz w:val="20"/>
          <w:szCs w:val="20"/>
          <w:lang w:val="en-GB"/>
        </w:rPr>
        <w:t>f(</w:t>
      </w:r>
      <w:proofErr w:type="gramEnd"/>
      <w:r w:rsidRPr="00B53DED">
        <w:rPr>
          <w:sz w:val="20"/>
          <w:szCs w:val="20"/>
          <w:lang w:val="en-GB"/>
        </w:rPr>
        <w:t>t) are assumed to be normally distributed with variance obtained from the Hessian matrix of the likelihood of the individual time series data (and multiplied by the over-dispersion parameter). The estimates of the cut-points are also assumed to be normally distributed with variance obtained from the Hessian matrix of the likelihood of the multiple time series data used to estimate the cut-points. For simplicity, the two sets of estimates are assumed to be independent. Typically, 1000 realisations are simulated. </w:t>
      </w:r>
    </w:p>
  </w:footnote>
  <w:footnote w:id="15">
    <w:p w:rsidR="00F668B8" w:rsidRPr="00B53DED" w:rsidRDefault="00F668B8">
      <w:pPr>
        <w:pStyle w:val="FootnoteText"/>
        <w:rPr>
          <w:lang w:val="en-GB"/>
        </w:rPr>
      </w:pPr>
      <w:r>
        <w:rPr>
          <w:rStyle w:val="FootnoteReference"/>
        </w:rPr>
        <w:footnoteRef/>
      </w:r>
      <w:r w:rsidRPr="00B53DED">
        <w:rPr>
          <w:lang w:val="en-GB"/>
        </w:rPr>
        <w:t xml:space="preserve"> </w:t>
      </w:r>
      <w:r w:rsidRPr="00B53DED">
        <w:rPr>
          <w:sz w:val="20"/>
          <w:szCs w:val="20"/>
          <w:lang w:val="en-GB"/>
        </w:rPr>
        <w:t>Let </w:t>
      </w:r>
      <w:proofErr w:type="spellStart"/>
      <w:r w:rsidRPr="00B53DED">
        <w:rPr>
          <w:sz w:val="20"/>
          <w:szCs w:val="20"/>
          <w:lang w:val="en-GB"/>
        </w:rPr>
        <w:t>d</w:t>
      </w:r>
      <w:r w:rsidRPr="00B53DED">
        <w:rPr>
          <w:sz w:val="20"/>
          <w:szCs w:val="20"/>
          <w:vertAlign w:val="subscript"/>
          <w:lang w:val="en-GB"/>
        </w:rPr>
        <w:t>final</w:t>
      </w:r>
      <w:proofErr w:type="spellEnd"/>
      <w:r w:rsidRPr="00B53DED">
        <w:rPr>
          <w:sz w:val="20"/>
          <w:szCs w:val="20"/>
          <w:lang w:val="en-GB"/>
        </w:rPr>
        <w:t> be the deviance (-2 log likelihood) of the linear (change-point) model, </w:t>
      </w:r>
      <w:proofErr w:type="spellStart"/>
      <w:r w:rsidRPr="00B53DED">
        <w:rPr>
          <w:sz w:val="20"/>
          <w:szCs w:val="20"/>
          <w:lang w:val="en-GB"/>
        </w:rPr>
        <w:t>d</w:t>
      </w:r>
      <w:r w:rsidRPr="00B53DED">
        <w:rPr>
          <w:sz w:val="20"/>
          <w:szCs w:val="20"/>
          <w:vertAlign w:val="subscript"/>
          <w:lang w:val="en-GB"/>
        </w:rPr>
        <w:t>mean</w:t>
      </w:r>
      <w:proofErr w:type="spellEnd"/>
      <w:r w:rsidRPr="00B53DED">
        <w:rPr>
          <w:sz w:val="20"/>
          <w:szCs w:val="20"/>
          <w:lang w:val="en-GB"/>
        </w:rPr>
        <w:t> be the deviance of the mean model, and </w:t>
      </w:r>
      <w:r w:rsidRPr="002E1DFD">
        <w:rPr>
          <w:sz w:val="20"/>
          <w:szCs w:val="20"/>
        </w:rPr>
        <w:t>ϕ</w:t>
      </w:r>
      <w:r w:rsidRPr="00B53DED">
        <w:rPr>
          <w:sz w:val="20"/>
          <w:szCs w:val="20"/>
          <w:lang w:val="en-GB"/>
        </w:rPr>
        <w:t> be the dispersion parameter. Then F</w:t>
      </w:r>
      <w:proofErr w:type="gramStart"/>
      <w:r w:rsidRPr="00B53DED">
        <w:rPr>
          <w:sz w:val="20"/>
          <w:szCs w:val="20"/>
          <w:lang w:val="en-GB"/>
        </w:rPr>
        <w:t>=(</w:t>
      </w:r>
      <w:proofErr w:type="spellStart"/>
      <w:proofErr w:type="gramEnd"/>
      <w:r w:rsidRPr="00B53DED">
        <w:rPr>
          <w:sz w:val="20"/>
          <w:szCs w:val="20"/>
          <w:lang w:val="en-GB"/>
        </w:rPr>
        <w:t>d</w:t>
      </w:r>
      <w:r w:rsidRPr="00B53DED">
        <w:rPr>
          <w:sz w:val="20"/>
          <w:szCs w:val="20"/>
          <w:vertAlign w:val="subscript"/>
          <w:lang w:val="en-GB"/>
        </w:rPr>
        <w:t>final</w:t>
      </w:r>
      <w:r w:rsidRPr="00B53DED">
        <w:rPr>
          <w:sz w:val="20"/>
          <w:szCs w:val="20"/>
          <w:lang w:val="en-GB"/>
        </w:rPr>
        <w:t>−d</w:t>
      </w:r>
      <w:r w:rsidRPr="00B53DED">
        <w:rPr>
          <w:sz w:val="20"/>
          <w:szCs w:val="20"/>
          <w:vertAlign w:val="subscript"/>
          <w:lang w:val="en-GB"/>
        </w:rPr>
        <w:t>mean</w:t>
      </w:r>
      <w:proofErr w:type="spellEnd"/>
      <w:r w:rsidRPr="00B53DED">
        <w:rPr>
          <w:sz w:val="20"/>
          <w:szCs w:val="20"/>
          <w:lang w:val="en-GB"/>
        </w:rPr>
        <w:t>)/</w:t>
      </w:r>
      <w:r w:rsidRPr="002E1DFD">
        <w:rPr>
          <w:sz w:val="20"/>
          <w:szCs w:val="20"/>
        </w:rPr>
        <w:t>ϕ</w:t>
      </w:r>
      <w:r w:rsidRPr="00B53DED">
        <w:rPr>
          <w:sz w:val="20"/>
          <w:szCs w:val="20"/>
          <w:lang w:val="en-GB"/>
        </w:rPr>
        <w:t> is referred to an F distribution on 1 and N−2 degrees of freedom</w:t>
      </w:r>
      <w:r w:rsidRPr="00B53DED">
        <w:rPr>
          <w:lang w:val="en-GB"/>
        </w:rPr>
        <w:t>. </w:t>
      </w:r>
    </w:p>
  </w:footnote>
  <w:footnote w:id="16">
    <w:p w:rsidR="00F668B8" w:rsidRPr="00B53DED" w:rsidRDefault="00F668B8">
      <w:pPr>
        <w:pStyle w:val="FootnoteText"/>
        <w:rPr>
          <w:sz w:val="20"/>
          <w:szCs w:val="20"/>
          <w:lang w:val="en-GB"/>
        </w:rPr>
      </w:pPr>
      <w:r>
        <w:rPr>
          <w:rStyle w:val="FootnoteReference"/>
        </w:rPr>
        <w:footnoteRef/>
      </w:r>
      <w:r w:rsidRPr="00B53DED">
        <w:rPr>
          <w:lang w:val="en-GB"/>
        </w:rPr>
        <w:t xml:space="preserve"> </w:t>
      </w:r>
      <w:r w:rsidRPr="00B53DED">
        <w:rPr>
          <w:sz w:val="20"/>
          <w:szCs w:val="20"/>
          <w:lang w:val="en-GB"/>
        </w:rPr>
        <w:t>The t test has N−p degrees of freedom, where p is the number of parameters in </w:t>
      </w:r>
      <w:proofErr w:type="gramStart"/>
      <w:r w:rsidRPr="00B53DED">
        <w:rPr>
          <w:sz w:val="20"/>
          <w:szCs w:val="20"/>
          <w:lang w:val="en-GB"/>
        </w:rPr>
        <w:t>f(</w:t>
      </w:r>
      <w:proofErr w:type="gramEnd"/>
      <w:r w:rsidRPr="00B53DED">
        <w:rPr>
          <w:sz w:val="20"/>
          <w:szCs w:val="20"/>
          <w:lang w:val="en-GB"/>
        </w:rPr>
        <w:t>t). </w:t>
      </w:r>
    </w:p>
  </w:footnote>
  <w:footnote w:id="17">
    <w:p w:rsidR="00F668B8" w:rsidRPr="00B53DED" w:rsidRDefault="00F668B8">
      <w:pPr>
        <w:pStyle w:val="FootnoteText"/>
        <w:rPr>
          <w:lang w:val="en-GB"/>
        </w:rPr>
      </w:pPr>
      <w:r>
        <w:rPr>
          <w:rStyle w:val="FootnoteReference"/>
        </w:rPr>
        <w:footnoteRef/>
      </w:r>
      <w:r w:rsidRPr="00B53DED">
        <w:rPr>
          <w:lang w:val="en-GB"/>
        </w:rPr>
        <w:t xml:space="preserve"> </w:t>
      </w:r>
      <w:r w:rsidRPr="00B53DED">
        <w:rPr>
          <w:sz w:val="20"/>
          <w:szCs w:val="20"/>
          <w:lang w:val="en-GB"/>
        </w:rPr>
        <w:t xml:space="preserve">Such models cannot be readily fitted in the R statistical environment because the analytical variance is assumed know. Instead, the likelihood is maximised directly using the </w:t>
      </w:r>
      <w:proofErr w:type="spellStart"/>
      <w:r w:rsidRPr="00B53DED">
        <w:rPr>
          <w:sz w:val="20"/>
          <w:szCs w:val="20"/>
          <w:lang w:val="en-GB"/>
        </w:rPr>
        <w:t>optim</w:t>
      </w:r>
      <w:proofErr w:type="spellEnd"/>
      <w:r w:rsidRPr="00B53DED">
        <w:rPr>
          <w:sz w:val="20"/>
          <w:szCs w:val="20"/>
          <w:lang w:val="en-GB"/>
        </w:rPr>
        <w:t xml:space="preserve"> function. Ideally, the models should be fitted by restricted maximum likelihood (apart from when being used for likelihood ratio tests), but this has not been implemented yet. </w:t>
      </w:r>
    </w:p>
  </w:footnote>
  <w:footnote w:id="18">
    <w:p w:rsidR="00F668B8" w:rsidRPr="00B53DED" w:rsidRDefault="00F668B8" w:rsidP="00067B41">
      <w:pPr>
        <w:rPr>
          <w:sz w:val="20"/>
          <w:szCs w:val="20"/>
          <w:lang w:val="en-GB"/>
        </w:rPr>
      </w:pPr>
      <w:r>
        <w:rPr>
          <w:rStyle w:val="FootnoteReference"/>
        </w:rPr>
        <w:footnoteRef/>
      </w:r>
      <w:r w:rsidRPr="00B53DED">
        <w:rPr>
          <w:lang w:val="en-GB"/>
        </w:rPr>
        <w:t xml:space="preserve"> </w:t>
      </w:r>
      <w:proofErr w:type="spellStart"/>
      <w:r w:rsidRPr="00B53DED">
        <w:rPr>
          <w:sz w:val="20"/>
          <w:szCs w:val="20"/>
          <w:lang w:val="en-GB"/>
        </w:rPr>
        <w:t>AICc</w:t>
      </w:r>
      <w:proofErr w:type="spellEnd"/>
      <w:r w:rsidRPr="00B53DED">
        <w:rPr>
          <w:sz w:val="20"/>
          <w:szCs w:val="20"/>
          <w:lang w:val="en-GB"/>
        </w:rPr>
        <w:t xml:space="preserve"> is a model selection criterion that gives greater protection against overfitting than AIC when the sample size is small. For contaminant time series, small sample sizes correspond </w:t>
      </w:r>
      <w:proofErr w:type="gramStart"/>
      <w:r w:rsidRPr="00B53DED">
        <w:rPr>
          <w:sz w:val="20"/>
          <w:szCs w:val="20"/>
          <w:lang w:val="en-GB"/>
        </w:rPr>
        <w:t>to</w:t>
      </w:r>
      <w:proofErr w:type="gramEnd"/>
      <w:r w:rsidRPr="00B53DED">
        <w:rPr>
          <w:sz w:val="20"/>
          <w:szCs w:val="20"/>
          <w:lang w:val="en-GB"/>
        </w:rPr>
        <w:t xml:space="preserve"> few years of data. </w:t>
      </w:r>
      <w:proofErr w:type="spellStart"/>
      <w:r w:rsidRPr="00B53DED">
        <w:rPr>
          <w:sz w:val="20"/>
          <w:szCs w:val="20"/>
          <w:lang w:val="en-GB"/>
        </w:rPr>
        <w:t>AICc</w:t>
      </w:r>
      <w:proofErr w:type="spellEnd"/>
      <w:r w:rsidRPr="00B53DED">
        <w:rPr>
          <w:sz w:val="20"/>
          <w:szCs w:val="20"/>
          <w:lang w:val="en-GB"/>
        </w:rPr>
        <w:t xml:space="preserve"> is not formally defined for mixed models, but the usual definition is adapted to give a sensible criterion for the models considered here. The usual definition of </w:t>
      </w:r>
      <w:proofErr w:type="spellStart"/>
      <w:r w:rsidRPr="00B53DED">
        <w:rPr>
          <w:sz w:val="20"/>
          <w:szCs w:val="20"/>
          <w:lang w:val="en-GB"/>
        </w:rPr>
        <w:t>AICc</w:t>
      </w:r>
      <w:proofErr w:type="spellEnd"/>
      <w:r w:rsidRPr="00B53DED">
        <w:rPr>
          <w:sz w:val="20"/>
          <w:szCs w:val="20"/>
          <w:lang w:val="en-GB"/>
        </w:rPr>
        <w:t xml:space="preserve"> is </w:t>
      </w:r>
    </w:p>
    <w:p w:rsidR="00F668B8" w:rsidRPr="00B53DED" w:rsidRDefault="00F668B8" w:rsidP="00067B41">
      <w:pPr>
        <w:rPr>
          <w:sz w:val="20"/>
          <w:szCs w:val="20"/>
          <w:lang w:val="en-GB"/>
        </w:rPr>
      </w:pPr>
      <w:proofErr w:type="spellStart"/>
      <w:r w:rsidRPr="00B53DED">
        <w:rPr>
          <w:sz w:val="20"/>
          <w:szCs w:val="20"/>
          <w:lang w:val="en-GB"/>
        </w:rPr>
        <w:t>AICc</w:t>
      </w:r>
      <w:proofErr w:type="spellEnd"/>
      <w:r w:rsidRPr="00B53DED">
        <w:rPr>
          <w:sz w:val="20"/>
          <w:szCs w:val="20"/>
          <w:lang w:val="en-GB"/>
        </w:rPr>
        <w:t xml:space="preserve"> = - 2 log likelihood+2kn/(n−k−1)</w:t>
      </w:r>
    </w:p>
    <w:p w:rsidR="00F668B8" w:rsidRPr="00B53DED" w:rsidRDefault="00F668B8" w:rsidP="00067B41">
      <w:pPr>
        <w:rPr>
          <w:sz w:val="20"/>
          <w:szCs w:val="20"/>
          <w:lang w:val="en-GB"/>
        </w:rPr>
      </w:pPr>
      <w:proofErr w:type="gramStart"/>
      <w:r w:rsidRPr="00B53DED">
        <w:rPr>
          <w:sz w:val="20"/>
          <w:szCs w:val="20"/>
          <w:lang w:val="en-GB"/>
        </w:rPr>
        <w:t>where</w:t>
      </w:r>
      <w:proofErr w:type="gramEnd"/>
      <w:r w:rsidRPr="00B53DED">
        <w:rPr>
          <w:sz w:val="20"/>
          <w:szCs w:val="20"/>
          <w:lang w:val="en-GB"/>
        </w:rPr>
        <w:t xml:space="preserve"> n is the sample size and k is the number of parameters in the model. For a contaminant time series, the natural definition of the sample size is the number of years of data, N, say. </w:t>
      </w:r>
      <w:proofErr w:type="gramStart"/>
      <w:r w:rsidRPr="00B53DED">
        <w:rPr>
          <w:sz w:val="20"/>
          <w:szCs w:val="20"/>
          <w:lang w:val="en-GB"/>
        </w:rPr>
        <w:t>The number of parameters in the number of fixed effects parameters, </w:t>
      </w:r>
      <w:proofErr w:type="spellStart"/>
      <w:r w:rsidRPr="00B53DED">
        <w:rPr>
          <w:sz w:val="20"/>
          <w:szCs w:val="20"/>
          <w:lang w:val="en-GB"/>
        </w:rPr>
        <w:t>kfixed</w:t>
      </w:r>
      <w:proofErr w:type="spellEnd"/>
      <w:r w:rsidRPr="00B53DED">
        <w:rPr>
          <w:sz w:val="20"/>
          <w:szCs w:val="20"/>
          <w:lang w:val="en-GB"/>
        </w:rPr>
        <w:t>, plus the number of (unknown) variance parameters, </w:t>
      </w:r>
      <w:proofErr w:type="spellStart"/>
      <w:r w:rsidRPr="00B53DED">
        <w:rPr>
          <w:sz w:val="20"/>
          <w:szCs w:val="20"/>
          <w:lang w:val="en-GB"/>
        </w:rPr>
        <w:t>krandomkrandom</w:t>
      </w:r>
      <w:proofErr w:type="spellEnd"/>
      <w:r w:rsidRPr="00B53DED">
        <w:rPr>
          <w:sz w:val="20"/>
          <w:szCs w:val="20"/>
          <w:lang w:val="en-GB"/>
        </w:rPr>
        <w:t>.</w:t>
      </w:r>
      <w:proofErr w:type="gramEnd"/>
      <w:r w:rsidRPr="00B53DED">
        <w:rPr>
          <w:sz w:val="20"/>
          <w:szCs w:val="20"/>
          <w:lang w:val="en-GB"/>
        </w:rPr>
        <w:t xml:space="preserve"> For example, the linear model has </w:t>
      </w:r>
      <w:proofErr w:type="spellStart"/>
      <w:r w:rsidRPr="00B53DED">
        <w:rPr>
          <w:sz w:val="20"/>
          <w:szCs w:val="20"/>
          <w:lang w:val="en-GB"/>
        </w:rPr>
        <w:t>k</w:t>
      </w:r>
      <w:r w:rsidRPr="00B53DED">
        <w:rPr>
          <w:sz w:val="20"/>
          <w:szCs w:val="20"/>
          <w:vertAlign w:val="subscript"/>
          <w:lang w:val="en-GB"/>
        </w:rPr>
        <w:t>fixed</w:t>
      </w:r>
      <w:proofErr w:type="spellEnd"/>
      <w:r w:rsidRPr="00B53DED">
        <w:rPr>
          <w:sz w:val="20"/>
          <w:szCs w:val="20"/>
          <w:lang w:val="en-GB"/>
        </w:rPr>
        <w:t> = 2 and </w:t>
      </w:r>
      <w:proofErr w:type="spellStart"/>
      <w:r w:rsidRPr="00B53DED">
        <w:rPr>
          <w:sz w:val="20"/>
          <w:szCs w:val="20"/>
          <w:lang w:val="en-GB"/>
        </w:rPr>
        <w:t>k</w:t>
      </w:r>
      <w:r w:rsidRPr="00B53DED">
        <w:rPr>
          <w:sz w:val="20"/>
          <w:szCs w:val="20"/>
          <w:vertAlign w:val="subscript"/>
          <w:lang w:val="en-GB"/>
        </w:rPr>
        <w:t>random</w:t>
      </w:r>
      <w:proofErr w:type="spellEnd"/>
      <w:r w:rsidRPr="00B53DED">
        <w:rPr>
          <w:sz w:val="20"/>
          <w:szCs w:val="20"/>
          <w:lang w:val="en-GB"/>
        </w:rPr>
        <w:t> = 2 (or 1 if the sample variance component is subsumed into the year variance component). This suggests using</w:t>
      </w:r>
    </w:p>
    <w:p w:rsidR="00F668B8" w:rsidRPr="00B53DED" w:rsidRDefault="00F668B8" w:rsidP="00067B41">
      <w:pPr>
        <w:rPr>
          <w:sz w:val="20"/>
          <w:szCs w:val="20"/>
          <w:lang w:val="en-GB"/>
        </w:rPr>
      </w:pPr>
      <w:proofErr w:type="spellStart"/>
      <w:r w:rsidRPr="00B53DED">
        <w:rPr>
          <w:sz w:val="20"/>
          <w:szCs w:val="20"/>
          <w:lang w:val="en-GB"/>
        </w:rPr>
        <w:t>AICc</w:t>
      </w:r>
      <w:proofErr w:type="spellEnd"/>
      <w:r w:rsidRPr="00B53DED">
        <w:rPr>
          <w:sz w:val="20"/>
          <w:szCs w:val="20"/>
          <w:lang w:val="en-GB"/>
        </w:rPr>
        <w:t xml:space="preserve"> = - 2 log likelihood+2(</w:t>
      </w:r>
      <w:proofErr w:type="spellStart"/>
      <w:r w:rsidRPr="00B53DED">
        <w:rPr>
          <w:sz w:val="20"/>
          <w:szCs w:val="20"/>
          <w:lang w:val="en-GB"/>
        </w:rPr>
        <w:t>kf</w:t>
      </w:r>
      <w:r w:rsidRPr="00B53DED">
        <w:rPr>
          <w:sz w:val="20"/>
          <w:szCs w:val="20"/>
          <w:vertAlign w:val="subscript"/>
          <w:lang w:val="en-GB"/>
        </w:rPr>
        <w:t>ixed</w:t>
      </w:r>
      <w:r w:rsidRPr="00B53DED">
        <w:rPr>
          <w:sz w:val="20"/>
          <w:szCs w:val="20"/>
          <w:lang w:val="en-GB"/>
        </w:rPr>
        <w:t>+k</w:t>
      </w:r>
      <w:r w:rsidRPr="00B53DED">
        <w:rPr>
          <w:sz w:val="20"/>
          <w:szCs w:val="20"/>
          <w:vertAlign w:val="subscript"/>
          <w:lang w:val="en-GB"/>
        </w:rPr>
        <w:t>random</w:t>
      </w:r>
      <w:proofErr w:type="spellEnd"/>
      <w:r w:rsidRPr="00B53DED">
        <w:rPr>
          <w:sz w:val="20"/>
          <w:szCs w:val="20"/>
          <w:lang w:val="en-GB"/>
        </w:rPr>
        <w:t>)N/(N−k</w:t>
      </w:r>
      <w:r w:rsidRPr="00B53DED">
        <w:rPr>
          <w:sz w:val="20"/>
          <w:szCs w:val="20"/>
          <w:vertAlign w:val="subscript"/>
          <w:lang w:val="en-GB"/>
        </w:rPr>
        <w:t>fixed</w:t>
      </w:r>
      <w:r w:rsidRPr="00B53DED">
        <w:rPr>
          <w:sz w:val="20"/>
          <w:szCs w:val="20"/>
          <w:lang w:val="en-GB"/>
        </w:rPr>
        <w:t>−k</w:t>
      </w:r>
      <w:r w:rsidRPr="00B53DED">
        <w:rPr>
          <w:sz w:val="20"/>
          <w:szCs w:val="20"/>
          <w:vertAlign w:val="subscript"/>
          <w:lang w:val="en-GB"/>
        </w:rPr>
        <w:t>random</w:t>
      </w:r>
      <w:r w:rsidRPr="00B53DED">
        <w:rPr>
          <w:sz w:val="20"/>
          <w:szCs w:val="20"/>
          <w:lang w:val="en-GB"/>
        </w:rPr>
        <w:t>−1)</w:t>
      </w:r>
    </w:p>
    <w:p w:rsidR="00F668B8" w:rsidRPr="00B53DED" w:rsidRDefault="00F668B8" w:rsidP="00067B41">
      <w:pPr>
        <w:rPr>
          <w:sz w:val="20"/>
          <w:szCs w:val="20"/>
          <w:lang w:val="en-GB"/>
        </w:rPr>
      </w:pPr>
      <w:r w:rsidRPr="00B53DED">
        <w:rPr>
          <w:sz w:val="20"/>
          <w:szCs w:val="20"/>
          <w:lang w:val="en-GB"/>
        </w:rPr>
        <w:t>However, the denominator now overly penalises models because the ‘sample size’ is the number of years and, whilst subtracting </w:t>
      </w:r>
      <w:proofErr w:type="spellStart"/>
      <w:r w:rsidRPr="00B53DED">
        <w:rPr>
          <w:sz w:val="20"/>
          <w:szCs w:val="20"/>
          <w:lang w:val="en-GB"/>
        </w:rPr>
        <w:t>krandomkrandomcorrectly</w:t>
      </w:r>
      <w:proofErr w:type="spellEnd"/>
      <w:r w:rsidRPr="00B53DED">
        <w:rPr>
          <w:sz w:val="20"/>
          <w:szCs w:val="20"/>
          <w:lang w:val="en-GB"/>
        </w:rPr>
        <w:t xml:space="preserve"> corrects for the year variance component, it also corrects for the sample variance component which measures within-year variation. (Indeed, the denominator = 0 if N = 5 and the linear model is fitted, or N = 3 or 4 and the mean model is fitted). It therefore makes sense to take </w:t>
      </w:r>
      <w:proofErr w:type="spellStart"/>
      <w:r w:rsidRPr="00B53DED">
        <w:rPr>
          <w:sz w:val="20"/>
          <w:szCs w:val="20"/>
          <w:lang w:val="en-GB"/>
        </w:rPr>
        <w:t>krandomkrandom</w:t>
      </w:r>
      <w:proofErr w:type="spellEnd"/>
      <w:r w:rsidRPr="00B53DED">
        <w:rPr>
          <w:sz w:val="20"/>
          <w:szCs w:val="20"/>
          <w:lang w:val="en-GB"/>
        </w:rPr>
        <w:t> in the denominator to be 1, corresponding to the year variance component, giving</w:t>
      </w:r>
    </w:p>
    <w:p w:rsidR="00F668B8" w:rsidRPr="00B53DED" w:rsidRDefault="00F668B8" w:rsidP="00067B41">
      <w:pPr>
        <w:rPr>
          <w:sz w:val="20"/>
          <w:szCs w:val="20"/>
          <w:lang w:val="en-GB"/>
        </w:rPr>
      </w:pPr>
      <w:proofErr w:type="spellStart"/>
      <w:r w:rsidRPr="00B53DED">
        <w:rPr>
          <w:sz w:val="20"/>
          <w:szCs w:val="20"/>
          <w:lang w:val="en-GB"/>
        </w:rPr>
        <w:t>AICc</w:t>
      </w:r>
      <w:proofErr w:type="spellEnd"/>
      <w:r w:rsidRPr="00B53DED">
        <w:rPr>
          <w:sz w:val="20"/>
          <w:szCs w:val="20"/>
          <w:lang w:val="en-GB"/>
        </w:rPr>
        <w:t xml:space="preserve"> = - 2 log likelihood+2(</w:t>
      </w:r>
      <w:proofErr w:type="spellStart"/>
      <w:r w:rsidRPr="00B53DED">
        <w:rPr>
          <w:sz w:val="20"/>
          <w:szCs w:val="20"/>
          <w:lang w:val="en-GB"/>
        </w:rPr>
        <w:t>k</w:t>
      </w:r>
      <w:r w:rsidRPr="00B53DED">
        <w:rPr>
          <w:sz w:val="20"/>
          <w:szCs w:val="20"/>
          <w:vertAlign w:val="subscript"/>
          <w:lang w:val="en-GB"/>
        </w:rPr>
        <w:t>fixed</w:t>
      </w:r>
      <w:r w:rsidRPr="00B53DED">
        <w:rPr>
          <w:sz w:val="20"/>
          <w:szCs w:val="20"/>
          <w:lang w:val="en-GB"/>
        </w:rPr>
        <w:t>+k</w:t>
      </w:r>
      <w:r w:rsidRPr="00B53DED">
        <w:rPr>
          <w:sz w:val="20"/>
          <w:szCs w:val="20"/>
          <w:vertAlign w:val="subscript"/>
          <w:lang w:val="en-GB"/>
        </w:rPr>
        <w:t>random</w:t>
      </w:r>
      <w:proofErr w:type="spellEnd"/>
      <w:r w:rsidRPr="00B53DED">
        <w:rPr>
          <w:sz w:val="20"/>
          <w:szCs w:val="20"/>
          <w:lang w:val="en-GB"/>
        </w:rPr>
        <w:t>)N/(N−k</w:t>
      </w:r>
      <w:r w:rsidRPr="00B53DED">
        <w:rPr>
          <w:sz w:val="20"/>
          <w:szCs w:val="20"/>
          <w:vertAlign w:val="subscript"/>
          <w:lang w:val="en-GB"/>
        </w:rPr>
        <w:t>fixed</w:t>
      </w:r>
      <w:r w:rsidRPr="00B53DED">
        <w:rPr>
          <w:sz w:val="20"/>
          <w:szCs w:val="20"/>
          <w:lang w:val="en-GB"/>
        </w:rPr>
        <w:t>−2)</w:t>
      </w:r>
    </w:p>
    <w:p w:rsidR="00F668B8" w:rsidRPr="00B53DED" w:rsidRDefault="00F668B8" w:rsidP="00067B41">
      <w:pPr>
        <w:pStyle w:val="FootnoteText"/>
        <w:rPr>
          <w:lang w:val="en-GB"/>
        </w:rPr>
      </w:pPr>
      <w:r w:rsidRPr="00B53DED">
        <w:rPr>
          <w:sz w:val="20"/>
          <w:szCs w:val="20"/>
          <w:lang w:val="en-GB"/>
        </w:rPr>
        <w:t xml:space="preserve">The denominator is now analogous to that used in a linear model with a single normally distributed error term. The </w:t>
      </w:r>
      <w:proofErr w:type="spellStart"/>
      <w:r w:rsidRPr="00B53DED">
        <w:rPr>
          <w:sz w:val="20"/>
          <w:szCs w:val="20"/>
          <w:lang w:val="en-GB"/>
        </w:rPr>
        <w:t>AICc</w:t>
      </w:r>
      <w:proofErr w:type="spellEnd"/>
      <w:r w:rsidRPr="00B53DED">
        <w:rPr>
          <w:sz w:val="20"/>
          <w:szCs w:val="20"/>
          <w:lang w:val="en-GB"/>
        </w:rPr>
        <w:t xml:space="preserve"> is still undefined when N= 3 and the mean model is fitted, but this doesn’t matter in practice. </w:t>
      </w:r>
    </w:p>
  </w:footnote>
  <w:footnote w:id="19">
    <w:p w:rsidR="00F668B8" w:rsidRPr="00B53DED" w:rsidRDefault="00F668B8">
      <w:pPr>
        <w:pStyle w:val="FootnoteText"/>
        <w:rPr>
          <w:lang w:val="en-GB"/>
        </w:rPr>
      </w:pPr>
      <w:r>
        <w:rPr>
          <w:rStyle w:val="FootnoteReference"/>
        </w:rPr>
        <w:footnoteRef/>
      </w:r>
      <w:r w:rsidRPr="00B53DED">
        <w:rPr>
          <w:lang w:val="en-GB"/>
        </w:rPr>
        <w:t xml:space="preserve"> </w:t>
      </w:r>
      <w:proofErr w:type="gramStart"/>
      <w:r w:rsidRPr="00B53DED">
        <w:rPr>
          <w:sz w:val="20"/>
          <w:szCs w:val="20"/>
          <w:lang w:val="en-GB"/>
        </w:rPr>
        <w:t>Methods for estimating the smoothing degrees of freedom as part of the fitting process, for example by treating the amount of smoothing as an extra variance component, are available for several classes of models.</w:t>
      </w:r>
      <w:proofErr w:type="gramEnd"/>
      <w:r w:rsidRPr="00B53DED">
        <w:rPr>
          <w:sz w:val="20"/>
          <w:szCs w:val="20"/>
          <w:lang w:val="en-GB"/>
        </w:rPr>
        <w:t xml:space="preserve"> However, such methods are not implemented in R for the case when the residual variance (the </w:t>
      </w:r>
      <w:proofErr w:type="spellStart"/>
      <w:r w:rsidRPr="00B53DED">
        <w:rPr>
          <w:sz w:val="20"/>
          <w:szCs w:val="20"/>
          <w:lang w:val="en-GB"/>
        </w:rPr>
        <w:t>analyticalanalytical</w:t>
      </w:r>
      <w:proofErr w:type="spellEnd"/>
      <w:r w:rsidRPr="00B53DED">
        <w:rPr>
          <w:sz w:val="20"/>
          <w:szCs w:val="20"/>
          <w:lang w:val="en-GB"/>
        </w:rPr>
        <w:t> variance) is known. This is a topic for future development. </w:t>
      </w:r>
    </w:p>
  </w:footnote>
  <w:footnote w:id="20">
    <w:p w:rsidR="00F668B8" w:rsidRPr="00B53DED" w:rsidRDefault="00F668B8">
      <w:pPr>
        <w:pStyle w:val="FootnoteText"/>
        <w:rPr>
          <w:lang w:val="en-GB"/>
        </w:rPr>
      </w:pPr>
      <w:r>
        <w:rPr>
          <w:rStyle w:val="FootnoteReference"/>
        </w:rPr>
        <w:footnoteRef/>
      </w:r>
      <w:r w:rsidRPr="00B53DED">
        <w:rPr>
          <w:lang w:val="en-GB"/>
        </w:rPr>
        <w:t xml:space="preserve"> </w:t>
      </w:r>
      <w:r w:rsidRPr="00B53DED">
        <w:rPr>
          <w:sz w:val="20"/>
          <w:szCs w:val="20"/>
          <w:lang w:val="en-GB"/>
        </w:rPr>
        <w:t>Approximate standard errors on the fixed effects parameter estimates are obtained from the Hessian matrix. These are used to estimate standard errors on the fitted values, with confidence intervals based on a t-distribution with N - </w:t>
      </w:r>
      <w:proofErr w:type="spellStart"/>
      <w:r w:rsidRPr="00B53DED">
        <w:rPr>
          <w:sz w:val="20"/>
          <w:szCs w:val="20"/>
          <w:lang w:val="en-GB"/>
        </w:rPr>
        <w:t>kfixed</w:t>
      </w:r>
      <w:proofErr w:type="spellEnd"/>
      <w:r w:rsidRPr="00B53DED">
        <w:rPr>
          <w:sz w:val="20"/>
          <w:szCs w:val="20"/>
          <w:lang w:val="en-GB"/>
        </w:rPr>
        <w:t xml:space="preserve"> - </w:t>
      </w:r>
      <w:proofErr w:type="gramStart"/>
      <w:r w:rsidRPr="00B53DED">
        <w:rPr>
          <w:sz w:val="20"/>
          <w:szCs w:val="20"/>
          <w:lang w:val="en-GB"/>
        </w:rPr>
        <w:t>1 degrees of freedom</w:t>
      </w:r>
      <w:proofErr w:type="gramEnd"/>
      <w:r w:rsidRPr="00B53DED">
        <w:rPr>
          <w:sz w:val="20"/>
          <w:szCs w:val="20"/>
          <w:lang w:val="en-GB"/>
        </w:rPr>
        <w:t xml:space="preserve">. One-sided t-tests of whether the fitted value in the last monitoring year is below the assessment criteria can be found on the Statistical analysis page on the right hand side of the summary map under Graphics. The standard errors can be computed analytically (i.e. without using the Hessian), but this hasn’t been implemented yet. The degrees of freedom for the t-tests is a sensible approximation because, for time series models, the natural definition of the ‘sample size’ is N, the number of years of data (see discussion on </w:t>
      </w:r>
      <w:proofErr w:type="spellStart"/>
      <w:r w:rsidRPr="00B53DED">
        <w:rPr>
          <w:sz w:val="20"/>
          <w:szCs w:val="20"/>
          <w:lang w:val="en-GB"/>
        </w:rPr>
        <w:t>AICc</w:t>
      </w:r>
      <w:proofErr w:type="spellEnd"/>
      <w:r w:rsidRPr="00B53DED">
        <w:rPr>
          <w:sz w:val="20"/>
          <w:szCs w:val="20"/>
          <w:lang w:val="en-GB"/>
        </w:rPr>
        <w:t xml:space="preserve"> above). However, if the year variance is small compared to the other variances, the degrees of freedom might be too small leading to a loss of statistical power. This is a topic for future development. </w:t>
      </w:r>
    </w:p>
  </w:footnote>
  <w:footnote w:id="21">
    <w:p w:rsidR="00F668B8" w:rsidRPr="00B53DED" w:rsidRDefault="00F668B8">
      <w:pPr>
        <w:pStyle w:val="FootnoteText"/>
        <w:rPr>
          <w:lang w:val="en-GB"/>
        </w:rPr>
      </w:pPr>
      <w:r>
        <w:rPr>
          <w:rStyle w:val="FootnoteReference"/>
        </w:rPr>
        <w:footnoteRef/>
      </w:r>
      <w:r w:rsidRPr="00B53DED">
        <w:rPr>
          <w:lang w:val="en-GB"/>
        </w:rPr>
        <w:t xml:space="preserve"> </w:t>
      </w:r>
      <w:r w:rsidRPr="00B53DED">
        <w:rPr>
          <w:sz w:val="20"/>
          <w:szCs w:val="20"/>
          <w:lang w:val="en-GB"/>
        </w:rPr>
        <w:t>These tests have a type 1 error that is larger than the nominal value. For example, tests conducted at the 5% significance level will find ‘significant’ trends in more than 5% of time series, even when there are no trends. Using the standard error of the estimate of </w:t>
      </w:r>
      <w:r w:rsidRPr="00067B41">
        <w:rPr>
          <w:sz w:val="20"/>
          <w:szCs w:val="20"/>
        </w:rPr>
        <w:t>β</w:t>
      </w:r>
      <w:r w:rsidRPr="00B53DED">
        <w:rPr>
          <w:sz w:val="20"/>
          <w:szCs w:val="20"/>
          <w:lang w:val="en-GB"/>
        </w:rPr>
        <w:t xml:space="preserve"> from a restricted maximum likelihood fit of the linear model would be one way to improve the situation. Better still would be to use the </w:t>
      </w:r>
      <w:proofErr w:type="spellStart"/>
      <w:r w:rsidRPr="00B53DED">
        <w:rPr>
          <w:sz w:val="20"/>
          <w:szCs w:val="20"/>
          <w:lang w:val="en-GB"/>
        </w:rPr>
        <w:t>Kenward</w:t>
      </w:r>
      <w:proofErr w:type="spellEnd"/>
      <w:r w:rsidRPr="00B53DED">
        <w:rPr>
          <w:sz w:val="20"/>
          <w:szCs w:val="20"/>
          <w:lang w:val="en-GB"/>
        </w:rPr>
        <w:t xml:space="preserve"> Roger modification of F tests for linear mixed models (</w:t>
      </w:r>
      <w:proofErr w:type="spellStart"/>
      <w:r w:rsidRPr="00B53DED">
        <w:rPr>
          <w:sz w:val="20"/>
          <w:szCs w:val="20"/>
          <w:lang w:val="en-GB"/>
        </w:rPr>
        <w:t>Kenward</w:t>
      </w:r>
      <w:proofErr w:type="spellEnd"/>
      <w:r w:rsidRPr="00B53DED">
        <w:rPr>
          <w:sz w:val="20"/>
          <w:szCs w:val="20"/>
          <w:lang w:val="en-GB"/>
        </w:rPr>
        <w:t xml:space="preserve"> MG &amp; Roger JH, 1997; Small Sample Inference for Fixed Effects from Restricted Maximum Likelihood, Biometrics 53: 983-997).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B7BC8"/>
    <w:multiLevelType w:val="multilevel"/>
    <w:tmpl w:val="FC7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220C4"/>
    <w:multiLevelType w:val="multilevel"/>
    <w:tmpl w:val="857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A7111"/>
    <w:multiLevelType w:val="hybridMultilevel"/>
    <w:tmpl w:val="E592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71261"/>
    <w:multiLevelType w:val="hybridMultilevel"/>
    <w:tmpl w:val="93EE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20D1C"/>
    <w:multiLevelType w:val="multilevel"/>
    <w:tmpl w:val="238A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D1EF1"/>
    <w:multiLevelType w:val="hybridMultilevel"/>
    <w:tmpl w:val="7CE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35672"/>
    <w:multiLevelType w:val="hybridMultilevel"/>
    <w:tmpl w:val="2494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D2867"/>
    <w:multiLevelType w:val="multilevel"/>
    <w:tmpl w:val="501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71EBB"/>
    <w:multiLevelType w:val="multilevel"/>
    <w:tmpl w:val="2CE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256CA"/>
    <w:multiLevelType w:val="multilevel"/>
    <w:tmpl w:val="986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23901"/>
    <w:multiLevelType w:val="multilevel"/>
    <w:tmpl w:val="226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85B60"/>
    <w:multiLevelType w:val="multilevel"/>
    <w:tmpl w:val="5FD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46EA8"/>
    <w:multiLevelType w:val="hybridMultilevel"/>
    <w:tmpl w:val="F3886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20CF2"/>
    <w:multiLevelType w:val="multilevel"/>
    <w:tmpl w:val="8B9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F301D"/>
    <w:multiLevelType w:val="multilevel"/>
    <w:tmpl w:val="0F6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A3091"/>
    <w:multiLevelType w:val="multilevel"/>
    <w:tmpl w:val="BE6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063859"/>
    <w:multiLevelType w:val="multilevel"/>
    <w:tmpl w:val="DFF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E533A"/>
    <w:multiLevelType w:val="multilevel"/>
    <w:tmpl w:val="2FAC5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96036"/>
    <w:multiLevelType w:val="multilevel"/>
    <w:tmpl w:val="84D8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A7F01"/>
    <w:multiLevelType w:val="multilevel"/>
    <w:tmpl w:val="285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7D71E1"/>
    <w:multiLevelType w:val="multilevel"/>
    <w:tmpl w:val="2AA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C3FC5"/>
    <w:multiLevelType w:val="multilevel"/>
    <w:tmpl w:val="3FA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B951F5"/>
    <w:multiLevelType w:val="multilevel"/>
    <w:tmpl w:val="C148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45C93"/>
    <w:multiLevelType w:val="hybridMultilevel"/>
    <w:tmpl w:val="CD3281D4"/>
    <w:lvl w:ilvl="0" w:tplc="485C8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FE3E98"/>
    <w:multiLevelType w:val="multilevel"/>
    <w:tmpl w:val="FDF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CC2684"/>
    <w:multiLevelType w:val="multilevel"/>
    <w:tmpl w:val="A33E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355306"/>
    <w:multiLevelType w:val="hybridMultilevel"/>
    <w:tmpl w:val="DC542550"/>
    <w:lvl w:ilvl="0" w:tplc="08090019">
      <w:start w:val="1"/>
      <w:numFmt w:val="lowerLetter"/>
      <w:lvlText w:val="%1."/>
      <w:lvlJc w:val="left"/>
      <w:pPr>
        <w:ind w:left="1287" w:hanging="360"/>
      </w:pPr>
    </w:lvl>
    <w:lvl w:ilvl="1" w:tplc="0809001B">
      <w:start w:val="1"/>
      <w:numFmt w:val="lowerRoman"/>
      <w:lvlText w:val="%2."/>
      <w:lvlJc w:val="right"/>
      <w:pPr>
        <w:ind w:left="2007" w:hanging="360"/>
      </w:p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8">
    <w:nsid w:val="6D842237"/>
    <w:multiLevelType w:val="multilevel"/>
    <w:tmpl w:val="9C1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6E3272"/>
    <w:multiLevelType w:val="multilevel"/>
    <w:tmpl w:val="0134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1829A4"/>
    <w:multiLevelType w:val="multilevel"/>
    <w:tmpl w:val="757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046709"/>
    <w:multiLevelType w:val="multilevel"/>
    <w:tmpl w:val="201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F60F51"/>
    <w:multiLevelType w:val="multilevel"/>
    <w:tmpl w:val="74E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31"/>
  </w:num>
  <w:num w:numId="4">
    <w:abstractNumId w:val="20"/>
  </w:num>
  <w:num w:numId="5">
    <w:abstractNumId w:val="15"/>
  </w:num>
  <w:num w:numId="6">
    <w:abstractNumId w:val="9"/>
  </w:num>
  <w:num w:numId="7">
    <w:abstractNumId w:val="11"/>
  </w:num>
  <w:num w:numId="8">
    <w:abstractNumId w:val="10"/>
  </w:num>
  <w:num w:numId="9">
    <w:abstractNumId w:val="8"/>
  </w:num>
  <w:num w:numId="10">
    <w:abstractNumId w:val="17"/>
  </w:num>
  <w:num w:numId="11">
    <w:abstractNumId w:val="2"/>
  </w:num>
  <w:num w:numId="12">
    <w:abstractNumId w:val="18"/>
  </w:num>
  <w:num w:numId="13">
    <w:abstractNumId w:val="19"/>
  </w:num>
  <w:num w:numId="14">
    <w:abstractNumId w:val="5"/>
  </w:num>
  <w:num w:numId="15">
    <w:abstractNumId w:val="26"/>
  </w:num>
  <w:num w:numId="16">
    <w:abstractNumId w:val="29"/>
  </w:num>
  <w:num w:numId="17">
    <w:abstractNumId w:val="16"/>
  </w:num>
  <w:num w:numId="18">
    <w:abstractNumId w:val="1"/>
  </w:num>
  <w:num w:numId="19">
    <w:abstractNumId w:val="22"/>
  </w:num>
  <w:num w:numId="20">
    <w:abstractNumId w:val="12"/>
  </w:num>
  <w:num w:numId="21">
    <w:abstractNumId w:val="30"/>
  </w:num>
  <w:num w:numId="22">
    <w:abstractNumId w:val="14"/>
  </w:num>
  <w:num w:numId="23">
    <w:abstractNumId w:val="28"/>
  </w:num>
  <w:num w:numId="24">
    <w:abstractNumId w:val="25"/>
  </w:num>
  <w:num w:numId="25">
    <w:abstractNumId w:val="0"/>
  </w:num>
  <w:num w:numId="26">
    <w:abstractNumId w:val="32"/>
  </w:num>
  <w:num w:numId="27">
    <w:abstractNumId w:val="27"/>
  </w:num>
  <w:num w:numId="28">
    <w:abstractNumId w:val="24"/>
  </w:num>
  <w:num w:numId="29">
    <w:abstractNumId w:val="13"/>
  </w:num>
  <w:num w:numId="30">
    <w:abstractNumId w:val="7"/>
  </w:num>
  <w:num w:numId="31">
    <w:abstractNumId w:val="3"/>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B5"/>
    <w:rsid w:val="00001406"/>
    <w:rsid w:val="00041404"/>
    <w:rsid w:val="0004770B"/>
    <w:rsid w:val="00060C48"/>
    <w:rsid w:val="00067B41"/>
    <w:rsid w:val="000B2ED8"/>
    <w:rsid w:val="00174A19"/>
    <w:rsid w:val="00212A43"/>
    <w:rsid w:val="00235606"/>
    <w:rsid w:val="00274AF9"/>
    <w:rsid w:val="00285FD3"/>
    <w:rsid w:val="002E00EF"/>
    <w:rsid w:val="002E1DFD"/>
    <w:rsid w:val="002F4696"/>
    <w:rsid w:val="00303DD1"/>
    <w:rsid w:val="0032538B"/>
    <w:rsid w:val="003A357A"/>
    <w:rsid w:val="003D7AC3"/>
    <w:rsid w:val="003F4FE1"/>
    <w:rsid w:val="003F68F9"/>
    <w:rsid w:val="0045418D"/>
    <w:rsid w:val="00474235"/>
    <w:rsid w:val="004D5231"/>
    <w:rsid w:val="004E50E6"/>
    <w:rsid w:val="00552FB8"/>
    <w:rsid w:val="005E10D0"/>
    <w:rsid w:val="005E3F89"/>
    <w:rsid w:val="006154CC"/>
    <w:rsid w:val="00644F28"/>
    <w:rsid w:val="00683492"/>
    <w:rsid w:val="006C1519"/>
    <w:rsid w:val="00836730"/>
    <w:rsid w:val="009231ED"/>
    <w:rsid w:val="009601C7"/>
    <w:rsid w:val="00992351"/>
    <w:rsid w:val="00A55641"/>
    <w:rsid w:val="00A8169D"/>
    <w:rsid w:val="00AC7E8C"/>
    <w:rsid w:val="00AF65B8"/>
    <w:rsid w:val="00B27AB4"/>
    <w:rsid w:val="00B377D1"/>
    <w:rsid w:val="00B53DED"/>
    <w:rsid w:val="00B57799"/>
    <w:rsid w:val="00BD16E2"/>
    <w:rsid w:val="00BE0C1A"/>
    <w:rsid w:val="00C67337"/>
    <w:rsid w:val="00CE69B7"/>
    <w:rsid w:val="00D05116"/>
    <w:rsid w:val="00D30BBC"/>
    <w:rsid w:val="00D418F6"/>
    <w:rsid w:val="00D67860"/>
    <w:rsid w:val="00D75C2B"/>
    <w:rsid w:val="00DC6994"/>
    <w:rsid w:val="00DF6EB5"/>
    <w:rsid w:val="00E108F3"/>
    <w:rsid w:val="00E336DA"/>
    <w:rsid w:val="00E609FA"/>
    <w:rsid w:val="00E62025"/>
    <w:rsid w:val="00EB6AC9"/>
    <w:rsid w:val="00EF11E4"/>
    <w:rsid w:val="00EF4F3C"/>
    <w:rsid w:val="00F668B8"/>
    <w:rsid w:val="00F868AD"/>
    <w:rsid w:val="00FE159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B8"/>
    <w:pPr>
      <w:spacing w:after="120" w:line="276" w:lineRule="auto"/>
      <w:jc w:val="both"/>
    </w:pPr>
    <w:rPr>
      <w:rFonts w:ascii="Calibri" w:hAnsi="Calibri"/>
      <w:sz w:val="22"/>
    </w:rPr>
  </w:style>
  <w:style w:type="paragraph" w:styleId="Heading1">
    <w:name w:val="heading 1"/>
    <w:basedOn w:val="Normal"/>
    <w:next w:val="Normal"/>
    <w:link w:val="Heading1Char"/>
    <w:uiPriority w:val="9"/>
    <w:qFormat/>
    <w:rsid w:val="00552FB8"/>
    <w:pPr>
      <w:keepNext/>
      <w:keepLines/>
      <w:spacing w:before="360" w:after="240"/>
      <w:outlineLvl w:val="0"/>
    </w:pPr>
    <w:rPr>
      <w:rFonts w:asciiTheme="majorHAnsi" w:eastAsiaTheme="majorEastAsia" w:hAnsiTheme="majorHAnsi" w:cstheme="majorBidi"/>
      <w:bCs/>
      <w:sz w:val="32"/>
      <w:szCs w:val="32"/>
      <w:lang w:val="en-GB"/>
    </w:rPr>
  </w:style>
  <w:style w:type="paragraph" w:styleId="Heading2">
    <w:name w:val="heading 2"/>
    <w:basedOn w:val="Normal"/>
    <w:next w:val="Normal"/>
    <w:link w:val="Heading2Char"/>
    <w:uiPriority w:val="9"/>
    <w:unhideWhenUsed/>
    <w:qFormat/>
    <w:rsid w:val="00552FB8"/>
    <w:pPr>
      <w:keepNext/>
      <w:keepLines/>
      <w:spacing w:before="200"/>
      <w:outlineLvl w:val="1"/>
    </w:pPr>
    <w:rPr>
      <w:rFonts w:asciiTheme="majorHAnsi" w:eastAsiaTheme="majorEastAsia" w:hAnsiTheme="majorHAnsi" w:cstheme="majorBidi"/>
      <w:bCs/>
      <w:sz w:val="26"/>
      <w:szCs w:val="26"/>
      <w:lang w:val="en-GB"/>
    </w:rPr>
  </w:style>
  <w:style w:type="paragraph" w:styleId="Heading3">
    <w:name w:val="heading 3"/>
    <w:basedOn w:val="Normal"/>
    <w:next w:val="Normal"/>
    <w:link w:val="Heading3Char"/>
    <w:uiPriority w:val="9"/>
    <w:unhideWhenUsed/>
    <w:qFormat/>
    <w:rsid w:val="00AC7E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B8"/>
    <w:rPr>
      <w:rFonts w:asciiTheme="majorHAnsi" w:eastAsiaTheme="majorEastAsia" w:hAnsiTheme="majorHAnsi" w:cstheme="majorBidi"/>
      <w:bCs/>
      <w:sz w:val="32"/>
      <w:szCs w:val="32"/>
      <w:lang w:val="en-GB"/>
    </w:rPr>
  </w:style>
  <w:style w:type="character" w:customStyle="1" w:styleId="Heading2Char">
    <w:name w:val="Heading 2 Char"/>
    <w:basedOn w:val="DefaultParagraphFont"/>
    <w:link w:val="Heading2"/>
    <w:uiPriority w:val="9"/>
    <w:rsid w:val="00552FB8"/>
    <w:rPr>
      <w:rFonts w:asciiTheme="majorHAnsi" w:eastAsiaTheme="majorEastAsia" w:hAnsiTheme="majorHAnsi" w:cstheme="majorBidi"/>
      <w:bCs/>
      <w:sz w:val="26"/>
      <w:szCs w:val="26"/>
      <w:lang w:val="en-GB"/>
    </w:rPr>
  </w:style>
  <w:style w:type="paragraph" w:styleId="FootnoteText">
    <w:name w:val="footnote text"/>
    <w:basedOn w:val="Normal"/>
    <w:link w:val="FootnoteTextChar"/>
    <w:uiPriority w:val="99"/>
    <w:unhideWhenUsed/>
    <w:rsid w:val="00DF6EB5"/>
  </w:style>
  <w:style w:type="character" w:customStyle="1" w:styleId="FootnoteTextChar">
    <w:name w:val="Footnote Text Char"/>
    <w:basedOn w:val="DefaultParagraphFont"/>
    <w:link w:val="FootnoteText"/>
    <w:uiPriority w:val="99"/>
    <w:rsid w:val="00DF6EB5"/>
  </w:style>
  <w:style w:type="character" w:styleId="FootnoteReference">
    <w:name w:val="footnote reference"/>
    <w:basedOn w:val="DefaultParagraphFont"/>
    <w:uiPriority w:val="99"/>
    <w:unhideWhenUsed/>
    <w:rsid w:val="00DF6EB5"/>
    <w:rPr>
      <w:vertAlign w:val="superscript"/>
    </w:rPr>
  </w:style>
  <w:style w:type="character" w:customStyle="1" w:styleId="Heading3Char">
    <w:name w:val="Heading 3 Char"/>
    <w:basedOn w:val="DefaultParagraphFont"/>
    <w:link w:val="Heading3"/>
    <w:uiPriority w:val="9"/>
    <w:rsid w:val="00AC7E8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C7E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C7E8C"/>
  </w:style>
  <w:style w:type="character" w:styleId="Hyperlink">
    <w:name w:val="Hyperlink"/>
    <w:basedOn w:val="DefaultParagraphFont"/>
    <w:uiPriority w:val="99"/>
    <w:unhideWhenUsed/>
    <w:rsid w:val="00AC7E8C"/>
    <w:rPr>
      <w:color w:val="0000FF"/>
      <w:u w:val="single"/>
    </w:rPr>
  </w:style>
  <w:style w:type="paragraph" w:styleId="BalloonText">
    <w:name w:val="Balloon Text"/>
    <w:basedOn w:val="Normal"/>
    <w:link w:val="BalloonTextChar"/>
    <w:uiPriority w:val="99"/>
    <w:semiHidden/>
    <w:unhideWhenUsed/>
    <w:rsid w:val="00E60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9FA"/>
    <w:rPr>
      <w:rFonts w:ascii="Lucida Grande" w:hAnsi="Lucida Grande" w:cs="Lucida Grande"/>
      <w:sz w:val="18"/>
      <w:szCs w:val="18"/>
    </w:rPr>
  </w:style>
  <w:style w:type="character" w:styleId="FollowedHyperlink">
    <w:name w:val="FollowedHyperlink"/>
    <w:basedOn w:val="DefaultParagraphFont"/>
    <w:uiPriority w:val="99"/>
    <w:semiHidden/>
    <w:unhideWhenUsed/>
    <w:rsid w:val="00992351"/>
    <w:rPr>
      <w:color w:val="800080" w:themeColor="followedHyperlink"/>
      <w:u w:val="single"/>
    </w:rPr>
  </w:style>
  <w:style w:type="paragraph" w:customStyle="1" w:styleId="startsmall">
    <w:name w:val="startsmall"/>
    <w:basedOn w:val="Normal"/>
    <w:rsid w:val="00B5779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41404"/>
    <w:pPr>
      <w:ind w:left="720"/>
      <w:contextualSpacing/>
    </w:pPr>
  </w:style>
  <w:style w:type="paragraph" w:styleId="Index1">
    <w:name w:val="index 1"/>
    <w:basedOn w:val="Normal"/>
    <w:next w:val="Normal"/>
    <w:autoRedefine/>
    <w:uiPriority w:val="99"/>
    <w:unhideWhenUsed/>
    <w:rsid w:val="005E10D0"/>
    <w:pPr>
      <w:ind w:left="240" w:hanging="240"/>
    </w:pPr>
  </w:style>
  <w:style w:type="paragraph" w:styleId="Index2">
    <w:name w:val="index 2"/>
    <w:basedOn w:val="Normal"/>
    <w:next w:val="Normal"/>
    <w:autoRedefine/>
    <w:uiPriority w:val="99"/>
    <w:unhideWhenUsed/>
    <w:rsid w:val="005E10D0"/>
    <w:pPr>
      <w:ind w:left="480" w:hanging="240"/>
    </w:pPr>
  </w:style>
  <w:style w:type="paragraph" w:styleId="Index3">
    <w:name w:val="index 3"/>
    <w:basedOn w:val="Normal"/>
    <w:next w:val="Normal"/>
    <w:autoRedefine/>
    <w:uiPriority w:val="99"/>
    <w:unhideWhenUsed/>
    <w:rsid w:val="005E10D0"/>
    <w:pPr>
      <w:ind w:left="720" w:hanging="240"/>
    </w:pPr>
  </w:style>
  <w:style w:type="paragraph" w:styleId="Index4">
    <w:name w:val="index 4"/>
    <w:basedOn w:val="Normal"/>
    <w:next w:val="Normal"/>
    <w:autoRedefine/>
    <w:uiPriority w:val="99"/>
    <w:unhideWhenUsed/>
    <w:rsid w:val="005E10D0"/>
    <w:pPr>
      <w:ind w:left="960" w:hanging="240"/>
    </w:pPr>
  </w:style>
  <w:style w:type="paragraph" w:styleId="Index5">
    <w:name w:val="index 5"/>
    <w:basedOn w:val="Normal"/>
    <w:next w:val="Normal"/>
    <w:autoRedefine/>
    <w:uiPriority w:val="99"/>
    <w:unhideWhenUsed/>
    <w:rsid w:val="005E10D0"/>
    <w:pPr>
      <w:ind w:left="1200" w:hanging="240"/>
    </w:pPr>
  </w:style>
  <w:style w:type="paragraph" w:styleId="Index6">
    <w:name w:val="index 6"/>
    <w:basedOn w:val="Normal"/>
    <w:next w:val="Normal"/>
    <w:autoRedefine/>
    <w:uiPriority w:val="99"/>
    <w:unhideWhenUsed/>
    <w:rsid w:val="005E10D0"/>
    <w:pPr>
      <w:ind w:left="1440" w:hanging="240"/>
    </w:pPr>
  </w:style>
  <w:style w:type="paragraph" w:styleId="Index7">
    <w:name w:val="index 7"/>
    <w:basedOn w:val="Normal"/>
    <w:next w:val="Normal"/>
    <w:autoRedefine/>
    <w:uiPriority w:val="99"/>
    <w:unhideWhenUsed/>
    <w:rsid w:val="005E10D0"/>
    <w:pPr>
      <w:ind w:left="1680" w:hanging="240"/>
    </w:pPr>
  </w:style>
  <w:style w:type="paragraph" w:styleId="Index8">
    <w:name w:val="index 8"/>
    <w:basedOn w:val="Normal"/>
    <w:next w:val="Normal"/>
    <w:autoRedefine/>
    <w:uiPriority w:val="99"/>
    <w:unhideWhenUsed/>
    <w:rsid w:val="005E10D0"/>
    <w:pPr>
      <w:ind w:left="1920" w:hanging="240"/>
    </w:pPr>
  </w:style>
  <w:style w:type="paragraph" w:styleId="Index9">
    <w:name w:val="index 9"/>
    <w:basedOn w:val="Normal"/>
    <w:next w:val="Normal"/>
    <w:autoRedefine/>
    <w:uiPriority w:val="99"/>
    <w:unhideWhenUsed/>
    <w:rsid w:val="005E10D0"/>
    <w:pPr>
      <w:ind w:left="2160" w:hanging="240"/>
    </w:pPr>
  </w:style>
  <w:style w:type="paragraph" w:styleId="IndexHeading">
    <w:name w:val="index heading"/>
    <w:basedOn w:val="Normal"/>
    <w:next w:val="Index1"/>
    <w:uiPriority w:val="99"/>
    <w:unhideWhenUsed/>
    <w:rsid w:val="005E10D0"/>
  </w:style>
  <w:style w:type="paragraph" w:styleId="TOC1">
    <w:name w:val="toc 1"/>
    <w:basedOn w:val="Normal"/>
    <w:next w:val="Normal"/>
    <w:autoRedefine/>
    <w:uiPriority w:val="39"/>
    <w:unhideWhenUsed/>
    <w:rsid w:val="00552FB8"/>
    <w:pPr>
      <w:tabs>
        <w:tab w:val="right" w:leader="dot" w:pos="9622"/>
      </w:tabs>
    </w:pPr>
  </w:style>
  <w:style w:type="paragraph" w:styleId="TOC2">
    <w:name w:val="toc 2"/>
    <w:basedOn w:val="Normal"/>
    <w:next w:val="Normal"/>
    <w:autoRedefine/>
    <w:uiPriority w:val="39"/>
    <w:unhideWhenUsed/>
    <w:rsid w:val="005E10D0"/>
    <w:pPr>
      <w:ind w:left="240"/>
    </w:pPr>
  </w:style>
  <w:style w:type="paragraph" w:styleId="TOC3">
    <w:name w:val="toc 3"/>
    <w:basedOn w:val="Normal"/>
    <w:next w:val="Normal"/>
    <w:autoRedefine/>
    <w:uiPriority w:val="39"/>
    <w:unhideWhenUsed/>
    <w:rsid w:val="005E10D0"/>
    <w:pPr>
      <w:ind w:left="480"/>
    </w:pPr>
  </w:style>
  <w:style w:type="paragraph" w:styleId="TOC4">
    <w:name w:val="toc 4"/>
    <w:basedOn w:val="Normal"/>
    <w:next w:val="Normal"/>
    <w:autoRedefine/>
    <w:uiPriority w:val="39"/>
    <w:unhideWhenUsed/>
    <w:rsid w:val="005E10D0"/>
    <w:pPr>
      <w:ind w:left="720"/>
    </w:pPr>
  </w:style>
  <w:style w:type="paragraph" w:styleId="TOC5">
    <w:name w:val="toc 5"/>
    <w:basedOn w:val="Normal"/>
    <w:next w:val="Normal"/>
    <w:autoRedefine/>
    <w:uiPriority w:val="39"/>
    <w:unhideWhenUsed/>
    <w:rsid w:val="005E10D0"/>
    <w:pPr>
      <w:ind w:left="960"/>
    </w:pPr>
  </w:style>
  <w:style w:type="paragraph" w:styleId="TOC6">
    <w:name w:val="toc 6"/>
    <w:basedOn w:val="Normal"/>
    <w:next w:val="Normal"/>
    <w:autoRedefine/>
    <w:uiPriority w:val="39"/>
    <w:unhideWhenUsed/>
    <w:rsid w:val="005E10D0"/>
    <w:pPr>
      <w:ind w:left="1200"/>
    </w:pPr>
  </w:style>
  <w:style w:type="paragraph" w:styleId="TOC7">
    <w:name w:val="toc 7"/>
    <w:basedOn w:val="Normal"/>
    <w:next w:val="Normal"/>
    <w:autoRedefine/>
    <w:uiPriority w:val="39"/>
    <w:unhideWhenUsed/>
    <w:rsid w:val="005E10D0"/>
    <w:pPr>
      <w:ind w:left="1440"/>
    </w:pPr>
  </w:style>
  <w:style w:type="paragraph" w:styleId="TOC8">
    <w:name w:val="toc 8"/>
    <w:basedOn w:val="Normal"/>
    <w:next w:val="Normal"/>
    <w:autoRedefine/>
    <w:uiPriority w:val="39"/>
    <w:unhideWhenUsed/>
    <w:rsid w:val="005E10D0"/>
    <w:pPr>
      <w:ind w:left="1680"/>
    </w:pPr>
  </w:style>
  <w:style w:type="paragraph" w:styleId="TOC9">
    <w:name w:val="toc 9"/>
    <w:basedOn w:val="Normal"/>
    <w:next w:val="Normal"/>
    <w:autoRedefine/>
    <w:uiPriority w:val="39"/>
    <w:unhideWhenUsed/>
    <w:rsid w:val="005E10D0"/>
    <w:pPr>
      <w:ind w:left="1920"/>
    </w:pPr>
  </w:style>
  <w:style w:type="paragraph" w:customStyle="1" w:styleId="startbig">
    <w:name w:val="startbig"/>
    <w:basedOn w:val="Normal"/>
    <w:rsid w:val="000B2ED8"/>
    <w:pPr>
      <w:spacing w:before="100" w:beforeAutospacing="1" w:after="100" w:afterAutospacing="1"/>
    </w:pPr>
    <w:rPr>
      <w:rFonts w:ascii="Times" w:hAnsi="Times"/>
      <w:sz w:val="20"/>
      <w:szCs w:val="20"/>
    </w:rPr>
  </w:style>
  <w:style w:type="paragraph" w:customStyle="1" w:styleId="botbig">
    <w:name w:val="botbig"/>
    <w:basedOn w:val="Normal"/>
    <w:rsid w:val="000B2ED8"/>
    <w:pPr>
      <w:spacing w:before="100" w:beforeAutospacing="1" w:after="100" w:afterAutospacing="1"/>
    </w:pPr>
    <w:rPr>
      <w:rFonts w:ascii="Times" w:hAnsi="Times"/>
      <w:sz w:val="20"/>
      <w:szCs w:val="20"/>
    </w:rPr>
  </w:style>
  <w:style w:type="paragraph" w:customStyle="1" w:styleId="bot0">
    <w:name w:val="bot0"/>
    <w:basedOn w:val="Normal"/>
    <w:rsid w:val="000B2ED8"/>
    <w:pPr>
      <w:spacing w:before="100" w:beforeAutospacing="1" w:after="100" w:afterAutospacing="1"/>
    </w:pPr>
    <w:rPr>
      <w:rFonts w:ascii="Times" w:hAnsi="Times"/>
      <w:sz w:val="20"/>
      <w:szCs w:val="20"/>
    </w:rPr>
  </w:style>
  <w:style w:type="character" w:customStyle="1" w:styleId="math">
    <w:name w:val="math"/>
    <w:basedOn w:val="DefaultParagraphFont"/>
    <w:rsid w:val="000B2ED8"/>
  </w:style>
  <w:style w:type="character" w:customStyle="1" w:styleId="mathjax">
    <w:name w:val="mathjax"/>
    <w:basedOn w:val="DefaultParagraphFont"/>
    <w:rsid w:val="000B2ED8"/>
  </w:style>
  <w:style w:type="character" w:customStyle="1" w:styleId="mrow">
    <w:name w:val="mrow"/>
    <w:basedOn w:val="DefaultParagraphFont"/>
    <w:rsid w:val="000B2ED8"/>
  </w:style>
  <w:style w:type="character" w:customStyle="1" w:styleId="msubsup">
    <w:name w:val="msubsup"/>
    <w:basedOn w:val="DefaultParagraphFont"/>
    <w:rsid w:val="000B2ED8"/>
  </w:style>
  <w:style w:type="character" w:customStyle="1" w:styleId="mi">
    <w:name w:val="mi"/>
    <w:basedOn w:val="DefaultParagraphFont"/>
    <w:rsid w:val="000B2ED8"/>
  </w:style>
  <w:style w:type="character" w:customStyle="1" w:styleId="texatom">
    <w:name w:val="texatom"/>
    <w:basedOn w:val="DefaultParagraphFont"/>
    <w:rsid w:val="000B2ED8"/>
  </w:style>
  <w:style w:type="character" w:customStyle="1" w:styleId="mjxassistivemathml">
    <w:name w:val="mjx_assistive_mathml"/>
    <w:basedOn w:val="DefaultParagraphFont"/>
    <w:rsid w:val="000B2ED8"/>
  </w:style>
  <w:style w:type="character" w:customStyle="1" w:styleId="mo">
    <w:name w:val="mo"/>
    <w:basedOn w:val="DefaultParagraphFont"/>
    <w:rsid w:val="000B2ED8"/>
  </w:style>
  <w:style w:type="character" w:customStyle="1" w:styleId="mn">
    <w:name w:val="mn"/>
    <w:basedOn w:val="DefaultParagraphFont"/>
    <w:rsid w:val="000B2ED8"/>
  </w:style>
  <w:style w:type="paragraph" w:customStyle="1" w:styleId="botsmall">
    <w:name w:val="botsmall"/>
    <w:basedOn w:val="Normal"/>
    <w:rsid w:val="000B2ED8"/>
    <w:pPr>
      <w:spacing w:before="100" w:beforeAutospacing="1" w:after="100" w:afterAutospacing="1"/>
    </w:pPr>
    <w:rPr>
      <w:rFonts w:ascii="Times" w:hAnsi="Times"/>
      <w:sz w:val="20"/>
      <w:szCs w:val="20"/>
    </w:rPr>
  </w:style>
  <w:style w:type="character" w:customStyle="1" w:styleId="mtext">
    <w:name w:val="mtext"/>
    <w:basedOn w:val="DefaultParagraphFont"/>
    <w:rsid w:val="000B2ED8"/>
  </w:style>
  <w:style w:type="character" w:customStyle="1" w:styleId="mtable">
    <w:name w:val="mtable"/>
    <w:basedOn w:val="DefaultParagraphFont"/>
    <w:rsid w:val="000B2ED8"/>
  </w:style>
  <w:style w:type="character" w:customStyle="1" w:styleId="mtd">
    <w:name w:val="mtd"/>
    <w:basedOn w:val="DefaultParagraphFont"/>
    <w:rsid w:val="000B2ED8"/>
  </w:style>
  <w:style w:type="character" w:customStyle="1" w:styleId="munderover">
    <w:name w:val="munderover"/>
    <w:basedOn w:val="DefaultParagraphFont"/>
    <w:rsid w:val="000B2ED8"/>
  </w:style>
  <w:style w:type="character" w:customStyle="1" w:styleId="mfrac">
    <w:name w:val="mfrac"/>
    <w:basedOn w:val="DefaultParagraphFont"/>
    <w:rsid w:val="000B2ED8"/>
  </w:style>
  <w:style w:type="character" w:styleId="PlaceholderText">
    <w:name w:val="Placeholder Text"/>
    <w:basedOn w:val="DefaultParagraphFont"/>
    <w:uiPriority w:val="99"/>
    <w:semiHidden/>
    <w:rsid w:val="00E336DA"/>
    <w:rPr>
      <w:color w:val="808080"/>
    </w:rPr>
  </w:style>
  <w:style w:type="character" w:customStyle="1" w:styleId="mathjax1">
    <w:name w:val="mathjax1"/>
    <w:basedOn w:val="DefaultParagraphFont"/>
    <w:rsid w:val="00D75C2B"/>
    <w:rPr>
      <w:b w:val="0"/>
      <w:bCs w:val="0"/>
      <w:i w:val="0"/>
      <w:iCs w:val="0"/>
      <w:caps w:val="0"/>
      <w:vanish w:val="0"/>
      <w:webHidden w:val="0"/>
      <w:spacing w:val="0"/>
      <w:sz w:val="24"/>
      <w:szCs w:val="24"/>
      <w:bdr w:val="none" w:sz="0" w:space="0" w:color="auto" w:frame="1"/>
      <w:rtl w:val="0"/>
      <w:specVanish w:val="0"/>
    </w:rPr>
  </w:style>
  <w:style w:type="paragraph" w:styleId="Title">
    <w:name w:val="Title"/>
    <w:basedOn w:val="Normal"/>
    <w:link w:val="TitleChar"/>
    <w:qFormat/>
    <w:rsid w:val="00B27AB4"/>
    <w:pPr>
      <w:spacing w:before="240" w:after="240"/>
    </w:pPr>
    <w:rPr>
      <w:rFonts w:eastAsia="Times New Roman" w:cs="Times New Roman"/>
      <w:kern w:val="28"/>
      <w:sz w:val="40"/>
      <w:szCs w:val="40"/>
      <w:lang w:val="en-GB" w:eastAsia="en-GB"/>
    </w:rPr>
  </w:style>
  <w:style w:type="character" w:customStyle="1" w:styleId="TitleChar">
    <w:name w:val="Title Char"/>
    <w:basedOn w:val="DefaultParagraphFont"/>
    <w:link w:val="Title"/>
    <w:rsid w:val="00B27AB4"/>
    <w:rPr>
      <w:rFonts w:ascii="Calibri" w:eastAsia="Times New Roman" w:hAnsi="Calibri" w:cs="Times New Roman"/>
      <w:kern w:val="28"/>
      <w:sz w:val="40"/>
      <w:szCs w:val="40"/>
      <w:lang w:val="en-GB" w:eastAsia="en-GB"/>
    </w:rPr>
  </w:style>
  <w:style w:type="paragraph" w:customStyle="1" w:styleId="Docheader">
    <w:name w:val="Doc header"/>
    <w:basedOn w:val="Normal"/>
    <w:rsid w:val="00B27AB4"/>
    <w:pPr>
      <w:tabs>
        <w:tab w:val="left" w:pos="567"/>
      </w:tabs>
      <w:spacing w:line="280" w:lineRule="exact"/>
    </w:pPr>
    <w:rPr>
      <w:rFonts w:ascii="Arial" w:eastAsia="Times New Roman" w:hAnsi="Arial" w:cs="Times New Roman"/>
      <w:szCs w:val="20"/>
      <w:lang w:val="en-US" w:eastAsia="en-US"/>
    </w:rPr>
  </w:style>
  <w:style w:type="paragraph" w:styleId="Header">
    <w:name w:val="header"/>
    <w:basedOn w:val="Normal"/>
    <w:link w:val="HeaderChar"/>
    <w:uiPriority w:val="99"/>
    <w:unhideWhenUsed/>
    <w:rsid w:val="00B27AB4"/>
    <w:pPr>
      <w:tabs>
        <w:tab w:val="center" w:pos="4513"/>
        <w:tab w:val="right" w:pos="9026"/>
      </w:tabs>
    </w:pPr>
  </w:style>
  <w:style w:type="character" w:customStyle="1" w:styleId="HeaderChar">
    <w:name w:val="Header Char"/>
    <w:basedOn w:val="DefaultParagraphFont"/>
    <w:link w:val="Header"/>
    <w:uiPriority w:val="99"/>
    <w:rsid w:val="00B27AB4"/>
  </w:style>
  <w:style w:type="paragraph" w:styleId="Footer">
    <w:name w:val="footer"/>
    <w:aliases w:val="Footer1"/>
    <w:basedOn w:val="Normal"/>
    <w:link w:val="FooterChar"/>
    <w:unhideWhenUsed/>
    <w:rsid w:val="00B27AB4"/>
    <w:pPr>
      <w:tabs>
        <w:tab w:val="center" w:pos="4513"/>
        <w:tab w:val="right" w:pos="9026"/>
      </w:tabs>
    </w:pPr>
  </w:style>
  <w:style w:type="character" w:customStyle="1" w:styleId="FooterChar">
    <w:name w:val="Footer Char"/>
    <w:aliases w:val="Footer1 Char"/>
    <w:basedOn w:val="DefaultParagraphFont"/>
    <w:link w:val="Footer"/>
    <w:rsid w:val="00B27AB4"/>
  </w:style>
  <w:style w:type="character" w:styleId="PageNumber">
    <w:name w:val="page number"/>
    <w:basedOn w:val="DefaultParagraphFont"/>
    <w:rsid w:val="00B27AB4"/>
  </w:style>
  <w:style w:type="character" w:styleId="CommentReference">
    <w:name w:val="annotation reference"/>
    <w:basedOn w:val="DefaultParagraphFont"/>
    <w:uiPriority w:val="99"/>
    <w:semiHidden/>
    <w:unhideWhenUsed/>
    <w:rsid w:val="00285FD3"/>
    <w:rPr>
      <w:sz w:val="16"/>
      <w:szCs w:val="16"/>
    </w:rPr>
  </w:style>
  <w:style w:type="paragraph" w:styleId="CommentText">
    <w:name w:val="annotation text"/>
    <w:basedOn w:val="Normal"/>
    <w:link w:val="CommentTextChar"/>
    <w:uiPriority w:val="99"/>
    <w:semiHidden/>
    <w:unhideWhenUsed/>
    <w:rsid w:val="00285FD3"/>
    <w:rPr>
      <w:sz w:val="20"/>
      <w:szCs w:val="20"/>
    </w:rPr>
  </w:style>
  <w:style w:type="character" w:customStyle="1" w:styleId="CommentTextChar">
    <w:name w:val="Comment Text Char"/>
    <w:basedOn w:val="DefaultParagraphFont"/>
    <w:link w:val="CommentText"/>
    <w:uiPriority w:val="99"/>
    <w:semiHidden/>
    <w:rsid w:val="00285FD3"/>
    <w:rPr>
      <w:sz w:val="20"/>
      <w:szCs w:val="20"/>
    </w:rPr>
  </w:style>
  <w:style w:type="paragraph" w:styleId="CommentSubject">
    <w:name w:val="annotation subject"/>
    <w:basedOn w:val="CommentText"/>
    <w:next w:val="CommentText"/>
    <w:link w:val="CommentSubjectChar"/>
    <w:uiPriority w:val="99"/>
    <w:semiHidden/>
    <w:unhideWhenUsed/>
    <w:rsid w:val="00285FD3"/>
    <w:rPr>
      <w:b/>
      <w:bCs/>
    </w:rPr>
  </w:style>
  <w:style w:type="character" w:customStyle="1" w:styleId="CommentSubjectChar">
    <w:name w:val="Comment Subject Char"/>
    <w:basedOn w:val="CommentTextChar"/>
    <w:link w:val="CommentSubject"/>
    <w:uiPriority w:val="99"/>
    <w:semiHidden/>
    <w:rsid w:val="00285F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B8"/>
    <w:pPr>
      <w:spacing w:after="120" w:line="276" w:lineRule="auto"/>
      <w:jc w:val="both"/>
    </w:pPr>
    <w:rPr>
      <w:rFonts w:ascii="Calibri" w:hAnsi="Calibri"/>
      <w:sz w:val="22"/>
    </w:rPr>
  </w:style>
  <w:style w:type="paragraph" w:styleId="Heading1">
    <w:name w:val="heading 1"/>
    <w:basedOn w:val="Normal"/>
    <w:next w:val="Normal"/>
    <w:link w:val="Heading1Char"/>
    <w:uiPriority w:val="9"/>
    <w:qFormat/>
    <w:rsid w:val="00552FB8"/>
    <w:pPr>
      <w:keepNext/>
      <w:keepLines/>
      <w:spacing w:before="360" w:after="240"/>
      <w:outlineLvl w:val="0"/>
    </w:pPr>
    <w:rPr>
      <w:rFonts w:asciiTheme="majorHAnsi" w:eastAsiaTheme="majorEastAsia" w:hAnsiTheme="majorHAnsi" w:cstheme="majorBidi"/>
      <w:bCs/>
      <w:sz w:val="32"/>
      <w:szCs w:val="32"/>
      <w:lang w:val="en-GB"/>
    </w:rPr>
  </w:style>
  <w:style w:type="paragraph" w:styleId="Heading2">
    <w:name w:val="heading 2"/>
    <w:basedOn w:val="Normal"/>
    <w:next w:val="Normal"/>
    <w:link w:val="Heading2Char"/>
    <w:uiPriority w:val="9"/>
    <w:unhideWhenUsed/>
    <w:qFormat/>
    <w:rsid w:val="00552FB8"/>
    <w:pPr>
      <w:keepNext/>
      <w:keepLines/>
      <w:spacing w:before="200"/>
      <w:outlineLvl w:val="1"/>
    </w:pPr>
    <w:rPr>
      <w:rFonts w:asciiTheme="majorHAnsi" w:eastAsiaTheme="majorEastAsia" w:hAnsiTheme="majorHAnsi" w:cstheme="majorBidi"/>
      <w:bCs/>
      <w:sz w:val="26"/>
      <w:szCs w:val="26"/>
      <w:lang w:val="en-GB"/>
    </w:rPr>
  </w:style>
  <w:style w:type="paragraph" w:styleId="Heading3">
    <w:name w:val="heading 3"/>
    <w:basedOn w:val="Normal"/>
    <w:next w:val="Normal"/>
    <w:link w:val="Heading3Char"/>
    <w:uiPriority w:val="9"/>
    <w:unhideWhenUsed/>
    <w:qFormat/>
    <w:rsid w:val="00AC7E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B8"/>
    <w:rPr>
      <w:rFonts w:asciiTheme="majorHAnsi" w:eastAsiaTheme="majorEastAsia" w:hAnsiTheme="majorHAnsi" w:cstheme="majorBidi"/>
      <w:bCs/>
      <w:sz w:val="32"/>
      <w:szCs w:val="32"/>
      <w:lang w:val="en-GB"/>
    </w:rPr>
  </w:style>
  <w:style w:type="character" w:customStyle="1" w:styleId="Heading2Char">
    <w:name w:val="Heading 2 Char"/>
    <w:basedOn w:val="DefaultParagraphFont"/>
    <w:link w:val="Heading2"/>
    <w:uiPriority w:val="9"/>
    <w:rsid w:val="00552FB8"/>
    <w:rPr>
      <w:rFonts w:asciiTheme="majorHAnsi" w:eastAsiaTheme="majorEastAsia" w:hAnsiTheme="majorHAnsi" w:cstheme="majorBidi"/>
      <w:bCs/>
      <w:sz w:val="26"/>
      <w:szCs w:val="26"/>
      <w:lang w:val="en-GB"/>
    </w:rPr>
  </w:style>
  <w:style w:type="paragraph" w:styleId="FootnoteText">
    <w:name w:val="footnote text"/>
    <w:basedOn w:val="Normal"/>
    <w:link w:val="FootnoteTextChar"/>
    <w:uiPriority w:val="99"/>
    <w:unhideWhenUsed/>
    <w:rsid w:val="00DF6EB5"/>
  </w:style>
  <w:style w:type="character" w:customStyle="1" w:styleId="FootnoteTextChar">
    <w:name w:val="Footnote Text Char"/>
    <w:basedOn w:val="DefaultParagraphFont"/>
    <w:link w:val="FootnoteText"/>
    <w:uiPriority w:val="99"/>
    <w:rsid w:val="00DF6EB5"/>
  </w:style>
  <w:style w:type="character" w:styleId="FootnoteReference">
    <w:name w:val="footnote reference"/>
    <w:basedOn w:val="DefaultParagraphFont"/>
    <w:uiPriority w:val="99"/>
    <w:unhideWhenUsed/>
    <w:rsid w:val="00DF6EB5"/>
    <w:rPr>
      <w:vertAlign w:val="superscript"/>
    </w:rPr>
  </w:style>
  <w:style w:type="character" w:customStyle="1" w:styleId="Heading3Char">
    <w:name w:val="Heading 3 Char"/>
    <w:basedOn w:val="DefaultParagraphFont"/>
    <w:link w:val="Heading3"/>
    <w:uiPriority w:val="9"/>
    <w:rsid w:val="00AC7E8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C7E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C7E8C"/>
  </w:style>
  <w:style w:type="character" w:styleId="Hyperlink">
    <w:name w:val="Hyperlink"/>
    <w:basedOn w:val="DefaultParagraphFont"/>
    <w:uiPriority w:val="99"/>
    <w:unhideWhenUsed/>
    <w:rsid w:val="00AC7E8C"/>
    <w:rPr>
      <w:color w:val="0000FF"/>
      <w:u w:val="single"/>
    </w:rPr>
  </w:style>
  <w:style w:type="paragraph" w:styleId="BalloonText">
    <w:name w:val="Balloon Text"/>
    <w:basedOn w:val="Normal"/>
    <w:link w:val="BalloonTextChar"/>
    <w:uiPriority w:val="99"/>
    <w:semiHidden/>
    <w:unhideWhenUsed/>
    <w:rsid w:val="00E60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9FA"/>
    <w:rPr>
      <w:rFonts w:ascii="Lucida Grande" w:hAnsi="Lucida Grande" w:cs="Lucida Grande"/>
      <w:sz w:val="18"/>
      <w:szCs w:val="18"/>
    </w:rPr>
  </w:style>
  <w:style w:type="character" w:styleId="FollowedHyperlink">
    <w:name w:val="FollowedHyperlink"/>
    <w:basedOn w:val="DefaultParagraphFont"/>
    <w:uiPriority w:val="99"/>
    <w:semiHidden/>
    <w:unhideWhenUsed/>
    <w:rsid w:val="00992351"/>
    <w:rPr>
      <w:color w:val="800080" w:themeColor="followedHyperlink"/>
      <w:u w:val="single"/>
    </w:rPr>
  </w:style>
  <w:style w:type="paragraph" w:customStyle="1" w:styleId="startsmall">
    <w:name w:val="startsmall"/>
    <w:basedOn w:val="Normal"/>
    <w:rsid w:val="00B5779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41404"/>
    <w:pPr>
      <w:ind w:left="720"/>
      <w:contextualSpacing/>
    </w:pPr>
  </w:style>
  <w:style w:type="paragraph" w:styleId="Index1">
    <w:name w:val="index 1"/>
    <w:basedOn w:val="Normal"/>
    <w:next w:val="Normal"/>
    <w:autoRedefine/>
    <w:uiPriority w:val="99"/>
    <w:unhideWhenUsed/>
    <w:rsid w:val="005E10D0"/>
    <w:pPr>
      <w:ind w:left="240" w:hanging="240"/>
    </w:pPr>
  </w:style>
  <w:style w:type="paragraph" w:styleId="Index2">
    <w:name w:val="index 2"/>
    <w:basedOn w:val="Normal"/>
    <w:next w:val="Normal"/>
    <w:autoRedefine/>
    <w:uiPriority w:val="99"/>
    <w:unhideWhenUsed/>
    <w:rsid w:val="005E10D0"/>
    <w:pPr>
      <w:ind w:left="480" w:hanging="240"/>
    </w:pPr>
  </w:style>
  <w:style w:type="paragraph" w:styleId="Index3">
    <w:name w:val="index 3"/>
    <w:basedOn w:val="Normal"/>
    <w:next w:val="Normal"/>
    <w:autoRedefine/>
    <w:uiPriority w:val="99"/>
    <w:unhideWhenUsed/>
    <w:rsid w:val="005E10D0"/>
    <w:pPr>
      <w:ind w:left="720" w:hanging="240"/>
    </w:pPr>
  </w:style>
  <w:style w:type="paragraph" w:styleId="Index4">
    <w:name w:val="index 4"/>
    <w:basedOn w:val="Normal"/>
    <w:next w:val="Normal"/>
    <w:autoRedefine/>
    <w:uiPriority w:val="99"/>
    <w:unhideWhenUsed/>
    <w:rsid w:val="005E10D0"/>
    <w:pPr>
      <w:ind w:left="960" w:hanging="240"/>
    </w:pPr>
  </w:style>
  <w:style w:type="paragraph" w:styleId="Index5">
    <w:name w:val="index 5"/>
    <w:basedOn w:val="Normal"/>
    <w:next w:val="Normal"/>
    <w:autoRedefine/>
    <w:uiPriority w:val="99"/>
    <w:unhideWhenUsed/>
    <w:rsid w:val="005E10D0"/>
    <w:pPr>
      <w:ind w:left="1200" w:hanging="240"/>
    </w:pPr>
  </w:style>
  <w:style w:type="paragraph" w:styleId="Index6">
    <w:name w:val="index 6"/>
    <w:basedOn w:val="Normal"/>
    <w:next w:val="Normal"/>
    <w:autoRedefine/>
    <w:uiPriority w:val="99"/>
    <w:unhideWhenUsed/>
    <w:rsid w:val="005E10D0"/>
    <w:pPr>
      <w:ind w:left="1440" w:hanging="240"/>
    </w:pPr>
  </w:style>
  <w:style w:type="paragraph" w:styleId="Index7">
    <w:name w:val="index 7"/>
    <w:basedOn w:val="Normal"/>
    <w:next w:val="Normal"/>
    <w:autoRedefine/>
    <w:uiPriority w:val="99"/>
    <w:unhideWhenUsed/>
    <w:rsid w:val="005E10D0"/>
    <w:pPr>
      <w:ind w:left="1680" w:hanging="240"/>
    </w:pPr>
  </w:style>
  <w:style w:type="paragraph" w:styleId="Index8">
    <w:name w:val="index 8"/>
    <w:basedOn w:val="Normal"/>
    <w:next w:val="Normal"/>
    <w:autoRedefine/>
    <w:uiPriority w:val="99"/>
    <w:unhideWhenUsed/>
    <w:rsid w:val="005E10D0"/>
    <w:pPr>
      <w:ind w:left="1920" w:hanging="240"/>
    </w:pPr>
  </w:style>
  <w:style w:type="paragraph" w:styleId="Index9">
    <w:name w:val="index 9"/>
    <w:basedOn w:val="Normal"/>
    <w:next w:val="Normal"/>
    <w:autoRedefine/>
    <w:uiPriority w:val="99"/>
    <w:unhideWhenUsed/>
    <w:rsid w:val="005E10D0"/>
    <w:pPr>
      <w:ind w:left="2160" w:hanging="240"/>
    </w:pPr>
  </w:style>
  <w:style w:type="paragraph" w:styleId="IndexHeading">
    <w:name w:val="index heading"/>
    <w:basedOn w:val="Normal"/>
    <w:next w:val="Index1"/>
    <w:uiPriority w:val="99"/>
    <w:unhideWhenUsed/>
    <w:rsid w:val="005E10D0"/>
  </w:style>
  <w:style w:type="paragraph" w:styleId="TOC1">
    <w:name w:val="toc 1"/>
    <w:basedOn w:val="Normal"/>
    <w:next w:val="Normal"/>
    <w:autoRedefine/>
    <w:uiPriority w:val="39"/>
    <w:unhideWhenUsed/>
    <w:rsid w:val="00552FB8"/>
    <w:pPr>
      <w:tabs>
        <w:tab w:val="right" w:leader="dot" w:pos="9622"/>
      </w:tabs>
    </w:pPr>
  </w:style>
  <w:style w:type="paragraph" w:styleId="TOC2">
    <w:name w:val="toc 2"/>
    <w:basedOn w:val="Normal"/>
    <w:next w:val="Normal"/>
    <w:autoRedefine/>
    <w:uiPriority w:val="39"/>
    <w:unhideWhenUsed/>
    <w:rsid w:val="005E10D0"/>
    <w:pPr>
      <w:ind w:left="240"/>
    </w:pPr>
  </w:style>
  <w:style w:type="paragraph" w:styleId="TOC3">
    <w:name w:val="toc 3"/>
    <w:basedOn w:val="Normal"/>
    <w:next w:val="Normal"/>
    <w:autoRedefine/>
    <w:uiPriority w:val="39"/>
    <w:unhideWhenUsed/>
    <w:rsid w:val="005E10D0"/>
    <w:pPr>
      <w:ind w:left="480"/>
    </w:pPr>
  </w:style>
  <w:style w:type="paragraph" w:styleId="TOC4">
    <w:name w:val="toc 4"/>
    <w:basedOn w:val="Normal"/>
    <w:next w:val="Normal"/>
    <w:autoRedefine/>
    <w:uiPriority w:val="39"/>
    <w:unhideWhenUsed/>
    <w:rsid w:val="005E10D0"/>
    <w:pPr>
      <w:ind w:left="720"/>
    </w:pPr>
  </w:style>
  <w:style w:type="paragraph" w:styleId="TOC5">
    <w:name w:val="toc 5"/>
    <w:basedOn w:val="Normal"/>
    <w:next w:val="Normal"/>
    <w:autoRedefine/>
    <w:uiPriority w:val="39"/>
    <w:unhideWhenUsed/>
    <w:rsid w:val="005E10D0"/>
    <w:pPr>
      <w:ind w:left="960"/>
    </w:pPr>
  </w:style>
  <w:style w:type="paragraph" w:styleId="TOC6">
    <w:name w:val="toc 6"/>
    <w:basedOn w:val="Normal"/>
    <w:next w:val="Normal"/>
    <w:autoRedefine/>
    <w:uiPriority w:val="39"/>
    <w:unhideWhenUsed/>
    <w:rsid w:val="005E10D0"/>
    <w:pPr>
      <w:ind w:left="1200"/>
    </w:pPr>
  </w:style>
  <w:style w:type="paragraph" w:styleId="TOC7">
    <w:name w:val="toc 7"/>
    <w:basedOn w:val="Normal"/>
    <w:next w:val="Normal"/>
    <w:autoRedefine/>
    <w:uiPriority w:val="39"/>
    <w:unhideWhenUsed/>
    <w:rsid w:val="005E10D0"/>
    <w:pPr>
      <w:ind w:left="1440"/>
    </w:pPr>
  </w:style>
  <w:style w:type="paragraph" w:styleId="TOC8">
    <w:name w:val="toc 8"/>
    <w:basedOn w:val="Normal"/>
    <w:next w:val="Normal"/>
    <w:autoRedefine/>
    <w:uiPriority w:val="39"/>
    <w:unhideWhenUsed/>
    <w:rsid w:val="005E10D0"/>
    <w:pPr>
      <w:ind w:left="1680"/>
    </w:pPr>
  </w:style>
  <w:style w:type="paragraph" w:styleId="TOC9">
    <w:name w:val="toc 9"/>
    <w:basedOn w:val="Normal"/>
    <w:next w:val="Normal"/>
    <w:autoRedefine/>
    <w:uiPriority w:val="39"/>
    <w:unhideWhenUsed/>
    <w:rsid w:val="005E10D0"/>
    <w:pPr>
      <w:ind w:left="1920"/>
    </w:pPr>
  </w:style>
  <w:style w:type="paragraph" w:customStyle="1" w:styleId="startbig">
    <w:name w:val="startbig"/>
    <w:basedOn w:val="Normal"/>
    <w:rsid w:val="000B2ED8"/>
    <w:pPr>
      <w:spacing w:before="100" w:beforeAutospacing="1" w:after="100" w:afterAutospacing="1"/>
    </w:pPr>
    <w:rPr>
      <w:rFonts w:ascii="Times" w:hAnsi="Times"/>
      <w:sz w:val="20"/>
      <w:szCs w:val="20"/>
    </w:rPr>
  </w:style>
  <w:style w:type="paragraph" w:customStyle="1" w:styleId="botbig">
    <w:name w:val="botbig"/>
    <w:basedOn w:val="Normal"/>
    <w:rsid w:val="000B2ED8"/>
    <w:pPr>
      <w:spacing w:before="100" w:beforeAutospacing="1" w:after="100" w:afterAutospacing="1"/>
    </w:pPr>
    <w:rPr>
      <w:rFonts w:ascii="Times" w:hAnsi="Times"/>
      <w:sz w:val="20"/>
      <w:szCs w:val="20"/>
    </w:rPr>
  </w:style>
  <w:style w:type="paragraph" w:customStyle="1" w:styleId="bot0">
    <w:name w:val="bot0"/>
    <w:basedOn w:val="Normal"/>
    <w:rsid w:val="000B2ED8"/>
    <w:pPr>
      <w:spacing w:before="100" w:beforeAutospacing="1" w:after="100" w:afterAutospacing="1"/>
    </w:pPr>
    <w:rPr>
      <w:rFonts w:ascii="Times" w:hAnsi="Times"/>
      <w:sz w:val="20"/>
      <w:szCs w:val="20"/>
    </w:rPr>
  </w:style>
  <w:style w:type="character" w:customStyle="1" w:styleId="math">
    <w:name w:val="math"/>
    <w:basedOn w:val="DefaultParagraphFont"/>
    <w:rsid w:val="000B2ED8"/>
  </w:style>
  <w:style w:type="character" w:customStyle="1" w:styleId="mathjax">
    <w:name w:val="mathjax"/>
    <w:basedOn w:val="DefaultParagraphFont"/>
    <w:rsid w:val="000B2ED8"/>
  </w:style>
  <w:style w:type="character" w:customStyle="1" w:styleId="mrow">
    <w:name w:val="mrow"/>
    <w:basedOn w:val="DefaultParagraphFont"/>
    <w:rsid w:val="000B2ED8"/>
  </w:style>
  <w:style w:type="character" w:customStyle="1" w:styleId="msubsup">
    <w:name w:val="msubsup"/>
    <w:basedOn w:val="DefaultParagraphFont"/>
    <w:rsid w:val="000B2ED8"/>
  </w:style>
  <w:style w:type="character" w:customStyle="1" w:styleId="mi">
    <w:name w:val="mi"/>
    <w:basedOn w:val="DefaultParagraphFont"/>
    <w:rsid w:val="000B2ED8"/>
  </w:style>
  <w:style w:type="character" w:customStyle="1" w:styleId="texatom">
    <w:name w:val="texatom"/>
    <w:basedOn w:val="DefaultParagraphFont"/>
    <w:rsid w:val="000B2ED8"/>
  </w:style>
  <w:style w:type="character" w:customStyle="1" w:styleId="mjxassistivemathml">
    <w:name w:val="mjx_assistive_mathml"/>
    <w:basedOn w:val="DefaultParagraphFont"/>
    <w:rsid w:val="000B2ED8"/>
  </w:style>
  <w:style w:type="character" w:customStyle="1" w:styleId="mo">
    <w:name w:val="mo"/>
    <w:basedOn w:val="DefaultParagraphFont"/>
    <w:rsid w:val="000B2ED8"/>
  </w:style>
  <w:style w:type="character" w:customStyle="1" w:styleId="mn">
    <w:name w:val="mn"/>
    <w:basedOn w:val="DefaultParagraphFont"/>
    <w:rsid w:val="000B2ED8"/>
  </w:style>
  <w:style w:type="paragraph" w:customStyle="1" w:styleId="botsmall">
    <w:name w:val="botsmall"/>
    <w:basedOn w:val="Normal"/>
    <w:rsid w:val="000B2ED8"/>
    <w:pPr>
      <w:spacing w:before="100" w:beforeAutospacing="1" w:after="100" w:afterAutospacing="1"/>
    </w:pPr>
    <w:rPr>
      <w:rFonts w:ascii="Times" w:hAnsi="Times"/>
      <w:sz w:val="20"/>
      <w:szCs w:val="20"/>
    </w:rPr>
  </w:style>
  <w:style w:type="character" w:customStyle="1" w:styleId="mtext">
    <w:name w:val="mtext"/>
    <w:basedOn w:val="DefaultParagraphFont"/>
    <w:rsid w:val="000B2ED8"/>
  </w:style>
  <w:style w:type="character" w:customStyle="1" w:styleId="mtable">
    <w:name w:val="mtable"/>
    <w:basedOn w:val="DefaultParagraphFont"/>
    <w:rsid w:val="000B2ED8"/>
  </w:style>
  <w:style w:type="character" w:customStyle="1" w:styleId="mtd">
    <w:name w:val="mtd"/>
    <w:basedOn w:val="DefaultParagraphFont"/>
    <w:rsid w:val="000B2ED8"/>
  </w:style>
  <w:style w:type="character" w:customStyle="1" w:styleId="munderover">
    <w:name w:val="munderover"/>
    <w:basedOn w:val="DefaultParagraphFont"/>
    <w:rsid w:val="000B2ED8"/>
  </w:style>
  <w:style w:type="character" w:customStyle="1" w:styleId="mfrac">
    <w:name w:val="mfrac"/>
    <w:basedOn w:val="DefaultParagraphFont"/>
    <w:rsid w:val="000B2ED8"/>
  </w:style>
  <w:style w:type="character" w:styleId="PlaceholderText">
    <w:name w:val="Placeholder Text"/>
    <w:basedOn w:val="DefaultParagraphFont"/>
    <w:uiPriority w:val="99"/>
    <w:semiHidden/>
    <w:rsid w:val="00E336DA"/>
    <w:rPr>
      <w:color w:val="808080"/>
    </w:rPr>
  </w:style>
  <w:style w:type="character" w:customStyle="1" w:styleId="mathjax1">
    <w:name w:val="mathjax1"/>
    <w:basedOn w:val="DefaultParagraphFont"/>
    <w:rsid w:val="00D75C2B"/>
    <w:rPr>
      <w:b w:val="0"/>
      <w:bCs w:val="0"/>
      <w:i w:val="0"/>
      <w:iCs w:val="0"/>
      <w:caps w:val="0"/>
      <w:vanish w:val="0"/>
      <w:webHidden w:val="0"/>
      <w:spacing w:val="0"/>
      <w:sz w:val="24"/>
      <w:szCs w:val="24"/>
      <w:bdr w:val="none" w:sz="0" w:space="0" w:color="auto" w:frame="1"/>
      <w:rtl w:val="0"/>
      <w:specVanish w:val="0"/>
    </w:rPr>
  </w:style>
  <w:style w:type="paragraph" w:styleId="Title">
    <w:name w:val="Title"/>
    <w:basedOn w:val="Normal"/>
    <w:link w:val="TitleChar"/>
    <w:qFormat/>
    <w:rsid w:val="00B27AB4"/>
    <w:pPr>
      <w:spacing w:before="240" w:after="240"/>
    </w:pPr>
    <w:rPr>
      <w:rFonts w:eastAsia="Times New Roman" w:cs="Times New Roman"/>
      <w:kern w:val="28"/>
      <w:sz w:val="40"/>
      <w:szCs w:val="40"/>
      <w:lang w:val="en-GB" w:eastAsia="en-GB"/>
    </w:rPr>
  </w:style>
  <w:style w:type="character" w:customStyle="1" w:styleId="TitleChar">
    <w:name w:val="Title Char"/>
    <w:basedOn w:val="DefaultParagraphFont"/>
    <w:link w:val="Title"/>
    <w:rsid w:val="00B27AB4"/>
    <w:rPr>
      <w:rFonts w:ascii="Calibri" w:eastAsia="Times New Roman" w:hAnsi="Calibri" w:cs="Times New Roman"/>
      <w:kern w:val="28"/>
      <w:sz w:val="40"/>
      <w:szCs w:val="40"/>
      <w:lang w:val="en-GB" w:eastAsia="en-GB"/>
    </w:rPr>
  </w:style>
  <w:style w:type="paragraph" w:customStyle="1" w:styleId="Docheader">
    <w:name w:val="Doc header"/>
    <w:basedOn w:val="Normal"/>
    <w:rsid w:val="00B27AB4"/>
    <w:pPr>
      <w:tabs>
        <w:tab w:val="left" w:pos="567"/>
      </w:tabs>
      <w:spacing w:line="280" w:lineRule="exact"/>
    </w:pPr>
    <w:rPr>
      <w:rFonts w:ascii="Arial" w:eastAsia="Times New Roman" w:hAnsi="Arial" w:cs="Times New Roman"/>
      <w:szCs w:val="20"/>
      <w:lang w:val="en-US" w:eastAsia="en-US"/>
    </w:rPr>
  </w:style>
  <w:style w:type="paragraph" w:styleId="Header">
    <w:name w:val="header"/>
    <w:basedOn w:val="Normal"/>
    <w:link w:val="HeaderChar"/>
    <w:uiPriority w:val="99"/>
    <w:unhideWhenUsed/>
    <w:rsid w:val="00B27AB4"/>
    <w:pPr>
      <w:tabs>
        <w:tab w:val="center" w:pos="4513"/>
        <w:tab w:val="right" w:pos="9026"/>
      </w:tabs>
    </w:pPr>
  </w:style>
  <w:style w:type="character" w:customStyle="1" w:styleId="HeaderChar">
    <w:name w:val="Header Char"/>
    <w:basedOn w:val="DefaultParagraphFont"/>
    <w:link w:val="Header"/>
    <w:uiPriority w:val="99"/>
    <w:rsid w:val="00B27AB4"/>
  </w:style>
  <w:style w:type="paragraph" w:styleId="Footer">
    <w:name w:val="footer"/>
    <w:aliases w:val="Footer1"/>
    <w:basedOn w:val="Normal"/>
    <w:link w:val="FooterChar"/>
    <w:unhideWhenUsed/>
    <w:rsid w:val="00B27AB4"/>
    <w:pPr>
      <w:tabs>
        <w:tab w:val="center" w:pos="4513"/>
        <w:tab w:val="right" w:pos="9026"/>
      </w:tabs>
    </w:pPr>
  </w:style>
  <w:style w:type="character" w:customStyle="1" w:styleId="FooterChar">
    <w:name w:val="Footer Char"/>
    <w:aliases w:val="Footer1 Char"/>
    <w:basedOn w:val="DefaultParagraphFont"/>
    <w:link w:val="Footer"/>
    <w:rsid w:val="00B27AB4"/>
  </w:style>
  <w:style w:type="character" w:styleId="PageNumber">
    <w:name w:val="page number"/>
    <w:basedOn w:val="DefaultParagraphFont"/>
    <w:rsid w:val="00B27AB4"/>
  </w:style>
  <w:style w:type="character" w:styleId="CommentReference">
    <w:name w:val="annotation reference"/>
    <w:basedOn w:val="DefaultParagraphFont"/>
    <w:uiPriority w:val="99"/>
    <w:semiHidden/>
    <w:unhideWhenUsed/>
    <w:rsid w:val="00285FD3"/>
    <w:rPr>
      <w:sz w:val="16"/>
      <w:szCs w:val="16"/>
    </w:rPr>
  </w:style>
  <w:style w:type="paragraph" w:styleId="CommentText">
    <w:name w:val="annotation text"/>
    <w:basedOn w:val="Normal"/>
    <w:link w:val="CommentTextChar"/>
    <w:uiPriority w:val="99"/>
    <w:semiHidden/>
    <w:unhideWhenUsed/>
    <w:rsid w:val="00285FD3"/>
    <w:rPr>
      <w:sz w:val="20"/>
      <w:szCs w:val="20"/>
    </w:rPr>
  </w:style>
  <w:style w:type="character" w:customStyle="1" w:styleId="CommentTextChar">
    <w:name w:val="Comment Text Char"/>
    <w:basedOn w:val="DefaultParagraphFont"/>
    <w:link w:val="CommentText"/>
    <w:uiPriority w:val="99"/>
    <w:semiHidden/>
    <w:rsid w:val="00285FD3"/>
    <w:rPr>
      <w:sz w:val="20"/>
      <w:szCs w:val="20"/>
    </w:rPr>
  </w:style>
  <w:style w:type="paragraph" w:styleId="CommentSubject">
    <w:name w:val="annotation subject"/>
    <w:basedOn w:val="CommentText"/>
    <w:next w:val="CommentText"/>
    <w:link w:val="CommentSubjectChar"/>
    <w:uiPriority w:val="99"/>
    <w:semiHidden/>
    <w:unhideWhenUsed/>
    <w:rsid w:val="00285FD3"/>
    <w:rPr>
      <w:b/>
      <w:bCs/>
    </w:rPr>
  </w:style>
  <w:style w:type="character" w:customStyle="1" w:styleId="CommentSubjectChar">
    <w:name w:val="Comment Subject Char"/>
    <w:basedOn w:val="CommentTextChar"/>
    <w:link w:val="CommentSubject"/>
    <w:uiPriority w:val="99"/>
    <w:semiHidden/>
    <w:rsid w:val="00285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6305">
      <w:bodyDiv w:val="1"/>
      <w:marLeft w:val="0"/>
      <w:marRight w:val="0"/>
      <w:marTop w:val="0"/>
      <w:marBottom w:val="0"/>
      <w:divBdr>
        <w:top w:val="none" w:sz="0" w:space="0" w:color="auto"/>
        <w:left w:val="none" w:sz="0" w:space="0" w:color="auto"/>
        <w:bottom w:val="none" w:sz="0" w:space="0" w:color="auto"/>
        <w:right w:val="none" w:sz="0" w:space="0" w:color="auto"/>
      </w:divBdr>
    </w:div>
    <w:div w:id="220797595">
      <w:bodyDiv w:val="1"/>
      <w:marLeft w:val="0"/>
      <w:marRight w:val="0"/>
      <w:marTop w:val="0"/>
      <w:marBottom w:val="0"/>
      <w:divBdr>
        <w:top w:val="none" w:sz="0" w:space="0" w:color="auto"/>
        <w:left w:val="none" w:sz="0" w:space="0" w:color="auto"/>
        <w:bottom w:val="none" w:sz="0" w:space="0" w:color="auto"/>
        <w:right w:val="none" w:sz="0" w:space="0" w:color="auto"/>
      </w:divBdr>
    </w:div>
    <w:div w:id="524372309">
      <w:bodyDiv w:val="1"/>
      <w:marLeft w:val="0"/>
      <w:marRight w:val="0"/>
      <w:marTop w:val="0"/>
      <w:marBottom w:val="0"/>
      <w:divBdr>
        <w:top w:val="none" w:sz="0" w:space="0" w:color="auto"/>
        <w:left w:val="none" w:sz="0" w:space="0" w:color="auto"/>
        <w:bottom w:val="none" w:sz="0" w:space="0" w:color="auto"/>
        <w:right w:val="none" w:sz="0" w:space="0" w:color="auto"/>
      </w:divBdr>
    </w:div>
    <w:div w:id="590159202">
      <w:bodyDiv w:val="1"/>
      <w:marLeft w:val="0"/>
      <w:marRight w:val="0"/>
      <w:marTop w:val="0"/>
      <w:marBottom w:val="0"/>
      <w:divBdr>
        <w:top w:val="none" w:sz="0" w:space="0" w:color="auto"/>
        <w:left w:val="none" w:sz="0" w:space="0" w:color="auto"/>
        <w:bottom w:val="none" w:sz="0" w:space="0" w:color="auto"/>
        <w:right w:val="none" w:sz="0" w:space="0" w:color="auto"/>
      </w:divBdr>
    </w:div>
    <w:div w:id="667564301">
      <w:bodyDiv w:val="1"/>
      <w:marLeft w:val="0"/>
      <w:marRight w:val="0"/>
      <w:marTop w:val="0"/>
      <w:marBottom w:val="0"/>
      <w:divBdr>
        <w:top w:val="none" w:sz="0" w:space="0" w:color="auto"/>
        <w:left w:val="none" w:sz="0" w:space="0" w:color="auto"/>
        <w:bottom w:val="none" w:sz="0" w:space="0" w:color="auto"/>
        <w:right w:val="none" w:sz="0" w:space="0" w:color="auto"/>
      </w:divBdr>
    </w:div>
    <w:div w:id="695811258">
      <w:bodyDiv w:val="1"/>
      <w:marLeft w:val="0"/>
      <w:marRight w:val="0"/>
      <w:marTop w:val="0"/>
      <w:marBottom w:val="0"/>
      <w:divBdr>
        <w:top w:val="none" w:sz="0" w:space="0" w:color="auto"/>
        <w:left w:val="none" w:sz="0" w:space="0" w:color="auto"/>
        <w:bottom w:val="none" w:sz="0" w:space="0" w:color="auto"/>
        <w:right w:val="none" w:sz="0" w:space="0" w:color="auto"/>
      </w:divBdr>
    </w:div>
    <w:div w:id="704789286">
      <w:bodyDiv w:val="1"/>
      <w:marLeft w:val="0"/>
      <w:marRight w:val="0"/>
      <w:marTop w:val="0"/>
      <w:marBottom w:val="0"/>
      <w:divBdr>
        <w:top w:val="none" w:sz="0" w:space="0" w:color="auto"/>
        <w:left w:val="none" w:sz="0" w:space="0" w:color="auto"/>
        <w:bottom w:val="none" w:sz="0" w:space="0" w:color="auto"/>
        <w:right w:val="none" w:sz="0" w:space="0" w:color="auto"/>
      </w:divBdr>
    </w:div>
    <w:div w:id="721028443">
      <w:bodyDiv w:val="1"/>
      <w:marLeft w:val="0"/>
      <w:marRight w:val="0"/>
      <w:marTop w:val="0"/>
      <w:marBottom w:val="0"/>
      <w:divBdr>
        <w:top w:val="none" w:sz="0" w:space="0" w:color="auto"/>
        <w:left w:val="none" w:sz="0" w:space="0" w:color="auto"/>
        <w:bottom w:val="none" w:sz="0" w:space="0" w:color="auto"/>
        <w:right w:val="none" w:sz="0" w:space="0" w:color="auto"/>
      </w:divBdr>
    </w:div>
    <w:div w:id="742946050">
      <w:bodyDiv w:val="1"/>
      <w:marLeft w:val="0"/>
      <w:marRight w:val="0"/>
      <w:marTop w:val="0"/>
      <w:marBottom w:val="0"/>
      <w:divBdr>
        <w:top w:val="none" w:sz="0" w:space="0" w:color="auto"/>
        <w:left w:val="none" w:sz="0" w:space="0" w:color="auto"/>
        <w:bottom w:val="none" w:sz="0" w:space="0" w:color="auto"/>
        <w:right w:val="none" w:sz="0" w:space="0" w:color="auto"/>
      </w:divBdr>
    </w:div>
    <w:div w:id="860774899">
      <w:bodyDiv w:val="1"/>
      <w:marLeft w:val="0"/>
      <w:marRight w:val="0"/>
      <w:marTop w:val="0"/>
      <w:marBottom w:val="0"/>
      <w:divBdr>
        <w:top w:val="none" w:sz="0" w:space="0" w:color="auto"/>
        <w:left w:val="none" w:sz="0" w:space="0" w:color="auto"/>
        <w:bottom w:val="none" w:sz="0" w:space="0" w:color="auto"/>
        <w:right w:val="none" w:sz="0" w:space="0" w:color="auto"/>
      </w:divBdr>
    </w:div>
    <w:div w:id="972489727">
      <w:bodyDiv w:val="1"/>
      <w:marLeft w:val="0"/>
      <w:marRight w:val="0"/>
      <w:marTop w:val="0"/>
      <w:marBottom w:val="0"/>
      <w:divBdr>
        <w:top w:val="none" w:sz="0" w:space="0" w:color="auto"/>
        <w:left w:val="none" w:sz="0" w:space="0" w:color="auto"/>
        <w:bottom w:val="none" w:sz="0" w:space="0" w:color="auto"/>
        <w:right w:val="none" w:sz="0" w:space="0" w:color="auto"/>
      </w:divBdr>
    </w:div>
    <w:div w:id="1003553677">
      <w:bodyDiv w:val="1"/>
      <w:marLeft w:val="0"/>
      <w:marRight w:val="0"/>
      <w:marTop w:val="0"/>
      <w:marBottom w:val="0"/>
      <w:divBdr>
        <w:top w:val="none" w:sz="0" w:space="0" w:color="auto"/>
        <w:left w:val="none" w:sz="0" w:space="0" w:color="auto"/>
        <w:bottom w:val="none" w:sz="0" w:space="0" w:color="auto"/>
        <w:right w:val="none" w:sz="0" w:space="0" w:color="auto"/>
      </w:divBdr>
    </w:div>
    <w:div w:id="1008171996">
      <w:bodyDiv w:val="1"/>
      <w:marLeft w:val="0"/>
      <w:marRight w:val="0"/>
      <w:marTop w:val="0"/>
      <w:marBottom w:val="0"/>
      <w:divBdr>
        <w:top w:val="none" w:sz="0" w:space="0" w:color="auto"/>
        <w:left w:val="none" w:sz="0" w:space="0" w:color="auto"/>
        <w:bottom w:val="none" w:sz="0" w:space="0" w:color="auto"/>
        <w:right w:val="none" w:sz="0" w:space="0" w:color="auto"/>
      </w:divBdr>
    </w:div>
    <w:div w:id="1109162048">
      <w:bodyDiv w:val="1"/>
      <w:marLeft w:val="0"/>
      <w:marRight w:val="0"/>
      <w:marTop w:val="0"/>
      <w:marBottom w:val="0"/>
      <w:divBdr>
        <w:top w:val="none" w:sz="0" w:space="0" w:color="auto"/>
        <w:left w:val="none" w:sz="0" w:space="0" w:color="auto"/>
        <w:bottom w:val="none" w:sz="0" w:space="0" w:color="auto"/>
        <w:right w:val="none" w:sz="0" w:space="0" w:color="auto"/>
      </w:divBdr>
    </w:div>
    <w:div w:id="1186795317">
      <w:bodyDiv w:val="1"/>
      <w:marLeft w:val="0"/>
      <w:marRight w:val="0"/>
      <w:marTop w:val="0"/>
      <w:marBottom w:val="0"/>
      <w:divBdr>
        <w:top w:val="none" w:sz="0" w:space="0" w:color="auto"/>
        <w:left w:val="none" w:sz="0" w:space="0" w:color="auto"/>
        <w:bottom w:val="none" w:sz="0" w:space="0" w:color="auto"/>
        <w:right w:val="none" w:sz="0" w:space="0" w:color="auto"/>
      </w:divBdr>
    </w:div>
    <w:div w:id="1256013175">
      <w:bodyDiv w:val="1"/>
      <w:marLeft w:val="0"/>
      <w:marRight w:val="0"/>
      <w:marTop w:val="0"/>
      <w:marBottom w:val="0"/>
      <w:divBdr>
        <w:top w:val="none" w:sz="0" w:space="0" w:color="auto"/>
        <w:left w:val="none" w:sz="0" w:space="0" w:color="auto"/>
        <w:bottom w:val="none" w:sz="0" w:space="0" w:color="auto"/>
        <w:right w:val="none" w:sz="0" w:space="0" w:color="auto"/>
      </w:divBdr>
    </w:div>
    <w:div w:id="1488202747">
      <w:bodyDiv w:val="1"/>
      <w:marLeft w:val="0"/>
      <w:marRight w:val="0"/>
      <w:marTop w:val="0"/>
      <w:marBottom w:val="0"/>
      <w:divBdr>
        <w:top w:val="none" w:sz="0" w:space="0" w:color="auto"/>
        <w:left w:val="none" w:sz="0" w:space="0" w:color="auto"/>
        <w:bottom w:val="none" w:sz="0" w:space="0" w:color="auto"/>
        <w:right w:val="none" w:sz="0" w:space="0" w:color="auto"/>
      </w:divBdr>
    </w:div>
    <w:div w:id="1559171061">
      <w:bodyDiv w:val="1"/>
      <w:marLeft w:val="0"/>
      <w:marRight w:val="0"/>
      <w:marTop w:val="0"/>
      <w:marBottom w:val="0"/>
      <w:divBdr>
        <w:top w:val="none" w:sz="0" w:space="0" w:color="auto"/>
        <w:left w:val="none" w:sz="0" w:space="0" w:color="auto"/>
        <w:bottom w:val="none" w:sz="0" w:space="0" w:color="auto"/>
        <w:right w:val="none" w:sz="0" w:space="0" w:color="auto"/>
      </w:divBdr>
    </w:div>
    <w:div w:id="1640575757">
      <w:bodyDiv w:val="1"/>
      <w:marLeft w:val="0"/>
      <w:marRight w:val="0"/>
      <w:marTop w:val="0"/>
      <w:marBottom w:val="0"/>
      <w:divBdr>
        <w:top w:val="none" w:sz="0" w:space="0" w:color="auto"/>
        <w:left w:val="none" w:sz="0" w:space="0" w:color="auto"/>
        <w:bottom w:val="none" w:sz="0" w:space="0" w:color="auto"/>
        <w:right w:val="none" w:sz="0" w:space="0" w:color="auto"/>
      </w:divBdr>
    </w:div>
    <w:div w:id="1864711260">
      <w:bodyDiv w:val="1"/>
      <w:marLeft w:val="0"/>
      <w:marRight w:val="0"/>
      <w:marTop w:val="0"/>
      <w:marBottom w:val="0"/>
      <w:divBdr>
        <w:top w:val="none" w:sz="0" w:space="0" w:color="auto"/>
        <w:left w:val="none" w:sz="0" w:space="0" w:color="auto"/>
        <w:bottom w:val="none" w:sz="0" w:space="0" w:color="auto"/>
        <w:right w:val="none" w:sz="0" w:space="0" w:color="auto"/>
      </w:divBdr>
      <w:divsChild>
        <w:div w:id="1634478441">
          <w:marLeft w:val="0"/>
          <w:marRight w:val="0"/>
          <w:marTop w:val="0"/>
          <w:marBottom w:val="0"/>
          <w:divBdr>
            <w:top w:val="none" w:sz="0" w:space="0" w:color="auto"/>
            <w:left w:val="none" w:sz="0" w:space="0" w:color="auto"/>
            <w:bottom w:val="none" w:sz="0" w:space="0" w:color="auto"/>
            <w:right w:val="none" w:sz="0" w:space="0" w:color="auto"/>
          </w:divBdr>
        </w:div>
        <w:div w:id="1640838446">
          <w:marLeft w:val="0"/>
          <w:marRight w:val="0"/>
          <w:marTop w:val="0"/>
          <w:marBottom w:val="0"/>
          <w:divBdr>
            <w:top w:val="none" w:sz="0" w:space="0" w:color="auto"/>
            <w:left w:val="none" w:sz="0" w:space="0" w:color="auto"/>
            <w:bottom w:val="none" w:sz="0" w:space="0" w:color="auto"/>
            <w:right w:val="none" w:sz="0" w:space="0" w:color="auto"/>
          </w:divBdr>
          <w:divsChild>
            <w:div w:id="952244135">
              <w:marLeft w:val="0"/>
              <w:marRight w:val="0"/>
              <w:marTop w:val="240"/>
              <w:marBottom w:val="240"/>
              <w:divBdr>
                <w:top w:val="none" w:sz="0" w:space="0" w:color="auto"/>
                <w:left w:val="none" w:sz="0" w:space="0" w:color="auto"/>
                <w:bottom w:val="none" w:sz="0" w:space="0" w:color="auto"/>
                <w:right w:val="none" w:sz="0" w:space="0" w:color="auto"/>
              </w:divBdr>
            </w:div>
          </w:divsChild>
        </w:div>
        <w:div w:id="1582064671">
          <w:marLeft w:val="0"/>
          <w:marRight w:val="0"/>
          <w:marTop w:val="0"/>
          <w:marBottom w:val="0"/>
          <w:divBdr>
            <w:top w:val="none" w:sz="0" w:space="0" w:color="auto"/>
            <w:left w:val="none" w:sz="0" w:space="0" w:color="auto"/>
            <w:bottom w:val="none" w:sz="0" w:space="0" w:color="auto"/>
            <w:right w:val="none" w:sz="0" w:space="0" w:color="auto"/>
          </w:divBdr>
          <w:divsChild>
            <w:div w:id="1197427664">
              <w:marLeft w:val="0"/>
              <w:marRight w:val="0"/>
              <w:marTop w:val="240"/>
              <w:marBottom w:val="240"/>
              <w:divBdr>
                <w:top w:val="none" w:sz="0" w:space="0" w:color="auto"/>
                <w:left w:val="none" w:sz="0" w:space="0" w:color="auto"/>
                <w:bottom w:val="none" w:sz="0" w:space="0" w:color="auto"/>
                <w:right w:val="none" w:sz="0" w:space="0" w:color="auto"/>
              </w:divBdr>
            </w:div>
            <w:div w:id="414592021">
              <w:marLeft w:val="0"/>
              <w:marRight w:val="0"/>
              <w:marTop w:val="240"/>
              <w:marBottom w:val="240"/>
              <w:divBdr>
                <w:top w:val="none" w:sz="0" w:space="0" w:color="auto"/>
                <w:left w:val="none" w:sz="0" w:space="0" w:color="auto"/>
                <w:bottom w:val="none" w:sz="0" w:space="0" w:color="auto"/>
                <w:right w:val="none" w:sz="0" w:space="0" w:color="auto"/>
              </w:divBdr>
            </w:div>
            <w:div w:id="1176188961">
              <w:marLeft w:val="0"/>
              <w:marRight w:val="0"/>
              <w:marTop w:val="240"/>
              <w:marBottom w:val="240"/>
              <w:divBdr>
                <w:top w:val="none" w:sz="0" w:space="0" w:color="auto"/>
                <w:left w:val="none" w:sz="0" w:space="0" w:color="auto"/>
                <w:bottom w:val="none" w:sz="0" w:space="0" w:color="auto"/>
                <w:right w:val="none" w:sz="0" w:space="0" w:color="auto"/>
              </w:divBdr>
            </w:div>
          </w:divsChild>
        </w:div>
        <w:div w:id="1920214177">
          <w:marLeft w:val="0"/>
          <w:marRight w:val="0"/>
          <w:marTop w:val="0"/>
          <w:marBottom w:val="0"/>
          <w:divBdr>
            <w:top w:val="none" w:sz="0" w:space="0" w:color="auto"/>
            <w:left w:val="none" w:sz="0" w:space="0" w:color="auto"/>
            <w:bottom w:val="none" w:sz="0" w:space="0" w:color="auto"/>
            <w:right w:val="none" w:sz="0" w:space="0" w:color="auto"/>
          </w:divBdr>
          <w:divsChild>
            <w:div w:id="469900606">
              <w:marLeft w:val="0"/>
              <w:marRight w:val="0"/>
              <w:marTop w:val="240"/>
              <w:marBottom w:val="240"/>
              <w:divBdr>
                <w:top w:val="none" w:sz="0" w:space="0" w:color="auto"/>
                <w:left w:val="none" w:sz="0" w:space="0" w:color="auto"/>
                <w:bottom w:val="none" w:sz="0" w:space="0" w:color="auto"/>
                <w:right w:val="none" w:sz="0" w:space="0" w:color="auto"/>
              </w:divBdr>
            </w:div>
          </w:divsChild>
        </w:div>
        <w:div w:id="1094283095">
          <w:marLeft w:val="0"/>
          <w:marRight w:val="0"/>
          <w:marTop w:val="0"/>
          <w:marBottom w:val="0"/>
          <w:divBdr>
            <w:top w:val="none" w:sz="0" w:space="0" w:color="auto"/>
            <w:left w:val="none" w:sz="0" w:space="0" w:color="auto"/>
            <w:bottom w:val="none" w:sz="0" w:space="0" w:color="auto"/>
            <w:right w:val="none" w:sz="0" w:space="0" w:color="auto"/>
          </w:divBdr>
          <w:divsChild>
            <w:div w:id="1212352103">
              <w:marLeft w:val="0"/>
              <w:marRight w:val="0"/>
              <w:marTop w:val="240"/>
              <w:marBottom w:val="240"/>
              <w:divBdr>
                <w:top w:val="none" w:sz="0" w:space="0" w:color="auto"/>
                <w:left w:val="none" w:sz="0" w:space="0" w:color="auto"/>
                <w:bottom w:val="none" w:sz="0" w:space="0" w:color="auto"/>
                <w:right w:val="none" w:sz="0" w:space="0" w:color="auto"/>
              </w:divBdr>
            </w:div>
            <w:div w:id="353533706">
              <w:marLeft w:val="0"/>
              <w:marRight w:val="0"/>
              <w:marTop w:val="240"/>
              <w:marBottom w:val="240"/>
              <w:divBdr>
                <w:top w:val="none" w:sz="0" w:space="0" w:color="auto"/>
                <w:left w:val="none" w:sz="0" w:space="0" w:color="auto"/>
                <w:bottom w:val="none" w:sz="0" w:space="0" w:color="auto"/>
                <w:right w:val="none" w:sz="0" w:space="0" w:color="auto"/>
              </w:divBdr>
            </w:div>
          </w:divsChild>
        </w:div>
        <w:div w:id="720789307">
          <w:marLeft w:val="0"/>
          <w:marRight w:val="0"/>
          <w:marTop w:val="0"/>
          <w:marBottom w:val="0"/>
          <w:divBdr>
            <w:top w:val="none" w:sz="0" w:space="0" w:color="auto"/>
            <w:left w:val="none" w:sz="0" w:space="0" w:color="auto"/>
            <w:bottom w:val="none" w:sz="0" w:space="0" w:color="auto"/>
            <w:right w:val="none" w:sz="0" w:space="0" w:color="auto"/>
          </w:divBdr>
          <w:divsChild>
            <w:div w:id="410588592">
              <w:marLeft w:val="0"/>
              <w:marRight w:val="0"/>
              <w:marTop w:val="240"/>
              <w:marBottom w:val="240"/>
              <w:divBdr>
                <w:top w:val="none" w:sz="0" w:space="0" w:color="auto"/>
                <w:left w:val="none" w:sz="0" w:space="0" w:color="auto"/>
                <w:bottom w:val="none" w:sz="0" w:space="0" w:color="auto"/>
                <w:right w:val="none" w:sz="0" w:space="0" w:color="auto"/>
              </w:divBdr>
            </w:div>
            <w:div w:id="2090302371">
              <w:marLeft w:val="0"/>
              <w:marRight w:val="0"/>
              <w:marTop w:val="240"/>
              <w:marBottom w:val="240"/>
              <w:divBdr>
                <w:top w:val="none" w:sz="0" w:space="0" w:color="auto"/>
                <w:left w:val="none" w:sz="0" w:space="0" w:color="auto"/>
                <w:bottom w:val="none" w:sz="0" w:space="0" w:color="auto"/>
                <w:right w:val="none" w:sz="0" w:space="0" w:color="auto"/>
              </w:divBdr>
            </w:div>
            <w:div w:id="1223715003">
              <w:marLeft w:val="0"/>
              <w:marRight w:val="0"/>
              <w:marTop w:val="240"/>
              <w:marBottom w:val="240"/>
              <w:divBdr>
                <w:top w:val="none" w:sz="0" w:space="0" w:color="auto"/>
                <w:left w:val="none" w:sz="0" w:space="0" w:color="auto"/>
                <w:bottom w:val="none" w:sz="0" w:space="0" w:color="auto"/>
                <w:right w:val="none" w:sz="0" w:space="0" w:color="auto"/>
              </w:divBdr>
            </w:div>
            <w:div w:id="19984627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5572563">
      <w:bodyDiv w:val="1"/>
      <w:marLeft w:val="0"/>
      <w:marRight w:val="0"/>
      <w:marTop w:val="0"/>
      <w:marBottom w:val="0"/>
      <w:divBdr>
        <w:top w:val="none" w:sz="0" w:space="0" w:color="auto"/>
        <w:left w:val="none" w:sz="0" w:space="0" w:color="auto"/>
        <w:bottom w:val="none" w:sz="0" w:space="0" w:color="auto"/>
        <w:right w:val="none" w:sz="0" w:space="0" w:color="auto"/>
      </w:divBdr>
    </w:div>
    <w:div w:id="2048605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me.ices.dk/OSPARMIME2016/help_basis_conversion.html" TargetMode="External"/><Relationship Id="rId18" Type="http://schemas.openxmlformats.org/officeDocument/2006/relationships/hyperlink" Target="http://www.ices.dk/" TargetMode="External"/><Relationship Id="rId26" Type="http://schemas.openxmlformats.org/officeDocument/2006/relationships/hyperlink" Target="http://dome.ices.dk/OSPARMIME2016/help_methods_biota.html" TargetMode="External"/><Relationship Id="rId39" Type="http://schemas.openxmlformats.org/officeDocument/2006/relationships/hyperlink" Target="http://dome.ices.dk/OSPARMIME2016/help_bioeffects_background.pdf" TargetMode="External"/><Relationship Id="rId21" Type="http://schemas.openxmlformats.org/officeDocument/2006/relationships/hyperlink" Target="http://www.ices.dk/" TargetMode="External"/><Relationship Id="rId34" Type="http://schemas.openxmlformats.org/officeDocument/2006/relationships/hyperlink" Target="http://dome.ices.dk/OSPARMIME2016/help_methods_imposex_indices.html" TargetMode="External"/><Relationship Id="rId42" Type="http://schemas.openxmlformats.org/officeDocument/2006/relationships/hyperlink" Target="http://dome.ices.dk/OSPARMIME2016/help_methods_sediment_metals.html" TargetMode="External"/><Relationship Id="rId47" Type="http://schemas.openxmlformats.org/officeDocument/2006/relationships/hyperlink" Target="http://www.nj.gov/dep/srp/guidance/ecoscreening/esc_table.pdf" TargetMode="External"/><Relationship Id="rId50" Type="http://schemas.openxmlformats.org/officeDocument/2006/relationships/hyperlink" Target="http://www.nj.gov/dep/srp/guidance/ecoscreening/esc_table.pdf" TargetMode="External"/><Relationship Id="rId55" Type="http://schemas.openxmlformats.org/officeDocument/2006/relationships/hyperlink" Target="http://dome.ices.dk/OSPARMIME2016/help_methods_changes.html" TargetMode="External"/><Relationship Id="rId63" Type="http://schemas.openxmlformats.org/officeDocument/2006/relationships/hyperlink" Target="http://dome.ices.dk/OSPARMIME2016/oldhelp/2014/methods_imposex.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me.ices.dk/OSPARMIME2016/help_basis_conversion.html" TargetMode="External"/><Relationship Id="rId20" Type="http://schemas.openxmlformats.org/officeDocument/2006/relationships/hyperlink" Target="http://www.ospar.org/" TargetMode="External"/><Relationship Id="rId29" Type="http://schemas.openxmlformats.org/officeDocument/2006/relationships/hyperlink" Target="http://www.ices.dk/sites/pub/Publication%20Reports/Cooperative%20Research%20Report%20(CRR)/crr315/CRR315_Integrated%20Monitoring_final.pdf" TargetMode="External"/><Relationship Id="rId41" Type="http://schemas.openxmlformats.org/officeDocument/2006/relationships/hyperlink" Target="http://dome.ices.dk/OSPARMIME2016/help_methods_sediment_metals.html" TargetMode="External"/><Relationship Id="rId54" Type="http://schemas.openxmlformats.org/officeDocument/2006/relationships/hyperlink" Target="http://dome.ices.dk/OSPARMIME2016/help_methods_changes.html" TargetMode="External"/><Relationship Id="rId62" Type="http://schemas.openxmlformats.org/officeDocument/2006/relationships/hyperlink" Target="http://dome.ices.dk/OSPARMIME2016/oldhelp/2014/methods_biological_effe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par.org/" TargetMode="External"/><Relationship Id="rId24" Type="http://schemas.openxmlformats.org/officeDocument/2006/relationships/hyperlink" Target="http://www.ices.dk/" TargetMode="External"/><Relationship Id="rId32" Type="http://schemas.openxmlformats.org/officeDocument/2006/relationships/hyperlink" Target="http://dome.ices.dk/OSPARMIME2016/help_ac_biota_bile_metabolites.html" TargetMode="External"/><Relationship Id="rId37" Type="http://schemas.openxmlformats.org/officeDocument/2006/relationships/hyperlink" Target="http://www.ospar.org/" TargetMode="External"/><Relationship Id="rId40" Type="http://schemas.openxmlformats.org/officeDocument/2006/relationships/hyperlink" Target="http://dome.ices.dk/OSPARMIME2016/help_methods_sediment_metals.html" TargetMode="External"/><Relationship Id="rId45" Type="http://schemas.openxmlformats.org/officeDocument/2006/relationships/hyperlink" Target="http://dome.ices.dk/OSPARMIME2016/help_methods_sediment_metals.html" TargetMode="External"/><Relationship Id="rId53" Type="http://schemas.openxmlformats.org/officeDocument/2006/relationships/hyperlink" Target="http://www.ices.dk/" TargetMode="External"/><Relationship Id="rId58" Type="http://schemas.openxmlformats.org/officeDocument/2006/relationships/hyperlink" Target="http://dome.ices.dk/OSPARMIME2016/oldhelp/2015/methods_biological_effects.htm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es.dk/" TargetMode="External"/><Relationship Id="rId23" Type="http://schemas.openxmlformats.org/officeDocument/2006/relationships/hyperlink" Target="http://www.ospar.org/" TargetMode="External"/><Relationship Id="rId28" Type="http://schemas.openxmlformats.org/officeDocument/2006/relationships/hyperlink" Target="http://www.ices.dk/" TargetMode="External"/><Relationship Id="rId36" Type="http://schemas.openxmlformats.org/officeDocument/2006/relationships/hyperlink" Target="http://dome.ices.dk/OSPARMIME2016/help_methods_imposex_annual" TargetMode="External"/><Relationship Id="rId49" Type="http://schemas.openxmlformats.org/officeDocument/2006/relationships/hyperlink" Target="http://www.ospar.org/" TargetMode="External"/><Relationship Id="rId57" Type="http://schemas.openxmlformats.org/officeDocument/2006/relationships/hyperlink" Target="http://dome.ices.dk/OSPARMIME2016/oldhelp/2015/methods_sediment.html" TargetMode="External"/><Relationship Id="rId61" Type="http://schemas.openxmlformats.org/officeDocument/2006/relationships/hyperlink" Target="http://dome.ices.dk/OSPARMIME2016/oldhelp/2014/methods_sediment.html" TargetMode="External"/><Relationship Id="rId10" Type="http://schemas.openxmlformats.org/officeDocument/2006/relationships/hyperlink" Target="http://dome.ices.dk/OSPARMIME2016/main.html" TargetMode="External"/><Relationship Id="rId19" Type="http://schemas.openxmlformats.org/officeDocument/2006/relationships/hyperlink" Target="http://dome.ices.dk/OSPARMIME2016/help_basis_conversion.html" TargetMode="External"/><Relationship Id="rId31" Type="http://schemas.openxmlformats.org/officeDocument/2006/relationships/hyperlink" Target="http://dome.ices.dk/OSPARMIME2016/help_ac_biota_erod.html" TargetMode="External"/><Relationship Id="rId44" Type="http://schemas.openxmlformats.org/officeDocument/2006/relationships/hyperlink" Target="http://dome.ices.dk/OSPARMIME2016/help_methods_missing_uncertainties.html" TargetMode="External"/><Relationship Id="rId52" Type="http://schemas.openxmlformats.org/officeDocument/2006/relationships/hyperlink" Target="http://www.ospar.org/" TargetMode="External"/><Relationship Id="rId60" Type="http://schemas.openxmlformats.org/officeDocument/2006/relationships/hyperlink" Target="http://dome.ices.dk/OSPARMIME2016/oldhelp/2014/methods_biota.htm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spar.org/" TargetMode="External"/><Relationship Id="rId22" Type="http://schemas.openxmlformats.org/officeDocument/2006/relationships/hyperlink" Target="http://dome.ices.dk/OSPARMIME2016/help_basis_conversion.html" TargetMode="External"/><Relationship Id="rId27" Type="http://schemas.openxmlformats.org/officeDocument/2006/relationships/hyperlink" Target="http://www.ospar.org/" TargetMode="External"/><Relationship Id="rId30" Type="http://schemas.openxmlformats.org/officeDocument/2006/relationships/hyperlink" Target="http://dome.ices.dk/OSPARMIME2016/help_bioeffects_background.pdf" TargetMode="External"/><Relationship Id="rId35" Type="http://schemas.openxmlformats.org/officeDocument/2006/relationships/hyperlink" Target="http://dome.ices.dk/OSPARMIME2016/help_methods_imposex_mixture.html" TargetMode="External"/><Relationship Id="rId43" Type="http://schemas.openxmlformats.org/officeDocument/2006/relationships/hyperlink" Target="http://dome.ices.dk/OSPARMIME2016/help_methods_less_thans.html" TargetMode="External"/><Relationship Id="rId48" Type="http://schemas.openxmlformats.org/officeDocument/2006/relationships/hyperlink" Target="http://www.epa.gov/" TargetMode="External"/><Relationship Id="rId56" Type="http://schemas.openxmlformats.org/officeDocument/2006/relationships/hyperlink" Target="http://dome.ices.dk/OSPARMIME2016/oldhelp/2015/methods_biota.html"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epa.gov/" TargetMode="External"/><Relationship Id="rId3" Type="http://schemas.openxmlformats.org/officeDocument/2006/relationships/styles" Target="styles.xml"/><Relationship Id="rId12" Type="http://schemas.openxmlformats.org/officeDocument/2006/relationships/hyperlink" Target="http://dome.ices.dk/OSPARMIME2016/help_com_reg_2006_1881_en_consolidated_20121203.pdf" TargetMode="External"/><Relationship Id="rId17" Type="http://schemas.openxmlformats.org/officeDocument/2006/relationships/hyperlink" Target="http://www.ospar.org/" TargetMode="External"/><Relationship Id="rId25" Type="http://schemas.openxmlformats.org/officeDocument/2006/relationships/hyperlink" Target="http://dome.ices.dk/OSPARMIME2016/help_basis_conversion.html" TargetMode="External"/><Relationship Id="rId33" Type="http://schemas.openxmlformats.org/officeDocument/2006/relationships/hyperlink" Target="http://dome.ices.dk/OSPARMIME2016/help_ac_biota_scope_for_growth.html" TargetMode="External"/><Relationship Id="rId38" Type="http://schemas.openxmlformats.org/officeDocument/2006/relationships/hyperlink" Target="http://www.ices.dk/" TargetMode="External"/><Relationship Id="rId46" Type="http://schemas.openxmlformats.org/officeDocument/2006/relationships/hyperlink" Target="http://www.ospar.org/" TargetMode="External"/><Relationship Id="rId59" Type="http://schemas.openxmlformats.org/officeDocument/2006/relationships/hyperlink" Target="http://dome.ices.dk/OSPARMIME2016/oldhelp/2015/methods_imposex.htm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6C8B-A85C-4A10-974D-0F91A17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9226</Words>
  <Characters>52592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M Larsen</dc:creator>
  <cp:lastModifiedBy>Barbara Middleton</cp:lastModifiedBy>
  <cp:revision>14</cp:revision>
  <dcterms:created xsi:type="dcterms:W3CDTF">2017-06-23T08:50:00Z</dcterms:created>
  <dcterms:modified xsi:type="dcterms:W3CDTF">2017-09-15T13:25:00Z</dcterms:modified>
</cp:coreProperties>
</file>