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968E31" w14:textId="2258D583" w:rsidR="00390E94" w:rsidRPr="00E22A80" w:rsidRDefault="004E2D6F" w:rsidP="001A6DFC">
      <w:pPr>
        <w:pStyle w:val="BodyText"/>
        <w:spacing w:before="120" w:line="280" w:lineRule="atLeast"/>
        <w:rPr>
          <w:rFonts w:asciiTheme="minorHAnsi" w:hAnsiTheme="minorHAnsi" w:cstheme="minorHAnsi"/>
        </w:rPr>
      </w:pPr>
      <w:r>
        <w:rPr>
          <w:rFonts w:asciiTheme="minorHAnsi" w:hAnsiTheme="minorHAnsi" w:cstheme="minorHAnsi"/>
          <w:noProof/>
          <w:lang w:eastAsia="en-GB"/>
        </w:rPr>
        <w:drawing>
          <wp:anchor distT="0" distB="0" distL="114300" distR="114300" simplePos="0" relativeHeight="251658240" behindDoc="0" locked="0" layoutInCell="1" allowOverlap="1" wp14:anchorId="4403FE1D" wp14:editId="56F0A942">
            <wp:simplePos x="723900" y="800100"/>
            <wp:positionH relativeFrom="margin">
              <wp:align>right</wp:align>
            </wp:positionH>
            <wp:positionV relativeFrom="margin">
              <wp:align>top</wp:align>
            </wp:positionV>
            <wp:extent cx="2381250" cy="9239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923925"/>
                    </a:xfrm>
                    <a:prstGeom prst="rect">
                      <a:avLst/>
                    </a:prstGeom>
                    <a:noFill/>
                  </pic:spPr>
                </pic:pic>
              </a:graphicData>
            </a:graphic>
          </wp:anchor>
        </w:drawing>
      </w:r>
    </w:p>
    <w:p w14:paraId="58450876" w14:textId="77777777" w:rsidR="004E2D6F" w:rsidRDefault="004E2D6F" w:rsidP="00390E94">
      <w:pPr>
        <w:rPr>
          <w:rFonts w:asciiTheme="minorHAnsi" w:hAnsiTheme="minorHAnsi" w:cstheme="minorHAnsi"/>
          <w:sz w:val="40"/>
        </w:rPr>
      </w:pPr>
    </w:p>
    <w:p w14:paraId="6B627127" w14:textId="77777777" w:rsidR="004E2D6F" w:rsidRDefault="004E2D6F" w:rsidP="00390E94">
      <w:pPr>
        <w:rPr>
          <w:rFonts w:asciiTheme="minorHAnsi" w:hAnsiTheme="minorHAnsi" w:cstheme="minorHAnsi"/>
          <w:sz w:val="40"/>
        </w:rPr>
      </w:pPr>
    </w:p>
    <w:p w14:paraId="1FD9E490" w14:textId="6FB054AE" w:rsidR="00390E94" w:rsidRDefault="00390E94" w:rsidP="00390E94">
      <w:pPr>
        <w:rPr>
          <w:rFonts w:asciiTheme="minorHAnsi" w:hAnsiTheme="minorHAnsi" w:cstheme="minorHAnsi"/>
          <w:sz w:val="40"/>
        </w:rPr>
      </w:pPr>
      <w:r w:rsidRPr="00E22A80">
        <w:rPr>
          <w:rFonts w:asciiTheme="minorHAnsi" w:hAnsiTheme="minorHAnsi" w:cstheme="minorHAnsi"/>
          <w:sz w:val="40"/>
        </w:rPr>
        <w:t>CEMP Guidelines for Monitoring and Assessment of loud, low and mid-frequency impulsive sound sources in the OSPAR Maritime Region</w:t>
      </w:r>
    </w:p>
    <w:p w14:paraId="47FF6F7C" w14:textId="0AEDEFFB" w:rsidR="004E2D6F" w:rsidRPr="004E2D6F" w:rsidRDefault="004E2D6F" w:rsidP="00390E94">
      <w:pPr>
        <w:rPr>
          <w:rFonts w:asciiTheme="minorHAnsi" w:hAnsiTheme="minorHAnsi" w:cstheme="minorHAnsi"/>
          <w:sz w:val="28"/>
          <w:szCs w:val="28"/>
        </w:rPr>
      </w:pPr>
      <w:r w:rsidRPr="004E2D6F">
        <w:rPr>
          <w:rFonts w:asciiTheme="minorHAnsi" w:hAnsiTheme="minorHAnsi" w:cstheme="minorHAnsi"/>
          <w:sz w:val="28"/>
          <w:szCs w:val="28"/>
        </w:rPr>
        <w:t>(OSPAR Agreement 2017-07)</w:t>
      </w:r>
    </w:p>
    <w:p w14:paraId="2D64B12E" w14:textId="695D52BC" w:rsidR="004E2D6F" w:rsidRPr="004E2D6F" w:rsidRDefault="004E2D6F" w:rsidP="00390E94">
      <w:pPr>
        <w:rPr>
          <w:rFonts w:asciiTheme="minorHAnsi" w:hAnsiTheme="minorHAnsi" w:cstheme="minorHAnsi"/>
          <w:b/>
          <w:i/>
          <w:sz w:val="28"/>
          <w:szCs w:val="28"/>
        </w:rPr>
      </w:pPr>
      <w:r w:rsidRPr="004E2D6F">
        <w:rPr>
          <w:rFonts w:asciiTheme="minorHAnsi" w:hAnsiTheme="minorHAnsi" w:cstheme="minorHAnsi"/>
          <w:sz w:val="28"/>
          <w:szCs w:val="28"/>
        </w:rPr>
        <w:t>Source: EIHA 17/9/1 Annex 15</w:t>
      </w:r>
    </w:p>
    <w:p w14:paraId="05223E69" w14:textId="77777777" w:rsidR="00390E94" w:rsidRPr="00E22A80" w:rsidRDefault="00390E94" w:rsidP="00390E94">
      <w:pPr>
        <w:rPr>
          <w:rFonts w:asciiTheme="minorHAnsi" w:hAnsiTheme="minorHAnsi" w:cstheme="minorHAnsi"/>
          <w:i/>
        </w:rPr>
      </w:pPr>
    </w:p>
    <w:p w14:paraId="0DC0EA4F" w14:textId="77777777" w:rsidR="00390E94" w:rsidRPr="00E22A80" w:rsidRDefault="00390E94" w:rsidP="00390E94">
      <w:pPr>
        <w:rPr>
          <w:rFonts w:asciiTheme="minorHAnsi" w:hAnsiTheme="minorHAnsi" w:cstheme="minorHAnsi"/>
          <w:sz w:val="28"/>
          <w:szCs w:val="28"/>
        </w:rPr>
      </w:pPr>
      <w:r w:rsidRPr="00E22A80">
        <w:rPr>
          <w:rFonts w:asciiTheme="minorHAnsi" w:hAnsiTheme="minorHAnsi" w:cstheme="minorHAnsi"/>
          <w:sz w:val="28"/>
          <w:szCs w:val="28"/>
        </w:rPr>
        <w:t>1</w:t>
      </w:r>
      <w:r w:rsidRPr="00E22A80">
        <w:rPr>
          <w:rFonts w:asciiTheme="minorHAnsi" w:hAnsiTheme="minorHAnsi" w:cstheme="minorHAnsi"/>
          <w:sz w:val="28"/>
          <w:szCs w:val="28"/>
        </w:rPr>
        <w:tab/>
        <w:t>Introduction</w:t>
      </w:r>
    </w:p>
    <w:p w14:paraId="3CE999F6"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 xml:space="preserve">Anthropogenic sound is generated either as a by-product of human activities in the marine environment (for example shipping or construction), or is produced intentionally for the purposes of surveying the seabed or water column. The introduction of anthropogenic sound (also commonly known as noise) became widespread with the advent of motorised shipping, and now includes sources such as seismic surveys to inspect subsea oil and gas deposits, pile driving for inshore and offshore construction (see Figure 1), civilian and naval sonar activity, and the detonation of unexploded ordnance. Anthropogenic sound sources are categorised as impulsive or continuous. </w:t>
      </w:r>
    </w:p>
    <w:p w14:paraId="68C45439" w14:textId="2DD7B629" w:rsidR="00390E94" w:rsidRPr="00E22A80" w:rsidRDefault="00390E94" w:rsidP="00390E94">
      <w:pPr>
        <w:rPr>
          <w:rFonts w:asciiTheme="minorHAnsi" w:hAnsiTheme="minorHAnsi" w:cstheme="minorHAnsi"/>
        </w:rPr>
      </w:pPr>
      <w:r w:rsidRPr="00E22A80">
        <w:rPr>
          <w:rFonts w:asciiTheme="minorHAnsi" w:hAnsiTheme="minorHAnsi" w:cstheme="minorHAnsi"/>
        </w:rPr>
        <w:t xml:space="preserve">The purpose of this indicator is to assess the amount and distribution of impulsive sound sources across the OSPAR region. Impulsive sound sources include percussive pile driving, seismic surveys, explosions, and some sonar sources. Such sources have been observed to cause temporary displacement of cetaceans (e.g. harbour porpoise, Thompson et al. </w:t>
      </w:r>
      <w:r w:rsidR="00112E2F" w:rsidRPr="00E22A80">
        <w:rPr>
          <w:rFonts w:asciiTheme="minorHAnsi" w:hAnsiTheme="minorHAnsi" w:cstheme="minorHAnsi"/>
        </w:rPr>
        <w:fldChar w:fldCharType="begin" w:fldLock="1"/>
      </w:r>
      <w:r w:rsidRPr="00E22A80">
        <w:rPr>
          <w:rFonts w:asciiTheme="minorHAnsi" w:hAnsiTheme="minorHAnsi" w:cstheme="minorHAnsi"/>
        </w:rPr>
        <w:instrText>ADDIN CSL_CITATION { "citationItems" : [ { "id" : "ITEM-1", "itemData" : { "ISSN" : "14712954", "abstract" : "Assessments of the impact of offshore energy developments are constrained because it is not known whether fine-scale behavioural responses to noise lead to broader-scale displacement of protected small cetaceans. We used passive acoustic monitoring and digital aerial surveys to study changes in the occurrence of harbour porpoises across a 2000 km(2) study area during a commercial two-dimensional seismic survey in the North Sea. Acoustic and visual data provided evidence of group responses to airgun noise from the 470 cu inch array over ranges of 5-10 km, at received peak-to-peak sound pressure levels of 165-172 dB re 1 \u03bcPa and sound exposure levels (SELs) of 145-151 dB re 1 \u03bcPa(2) s(-1). However, animals were typically detected again at affected sites within a few hours, and the level of response declined through the 10 day survey. Overall, acoustic detections decreased significantly during the survey period in the impact area compared with a control area, but this effect was small in relation to natural variation. These results demonstrate that prolonged seismic survey noise did not lead to broader-scale displacement into suboptimal or higher-risk habitats, and suggest that impact assessments should focus on sublethal effects resulting from changes in foraging performance of animals within affected sites.", "author" : [ { "dropping-particle" : "", "family" : "Thompson", "given" : "P.M.", "non-dropping-particle" : "", "parse-names" : false, "suffix" : "" }, { "dropping-particle" : "", "family" : "Brookes", "given" : "K.L.", "non-dropping-particle" : "", "parse-names" : false, "suffix" : "" }, { "dropping-particle" : "", "family" : "Graham", "given" : "I.M.", "non-dropping-particle" : "", "parse-names" : false, "suffix" : "" }, { "dropping-particle" : "", "family" : "Barton", "given" : "T.R.", "non-dropping-particle" : "", "parse-names" : false, "suffix" : "" }, { "dropping-particle" : "", "family" : "Needham", "given" : "K.", "non-dropping-particle" : "", "parse-names" : false, "suffix" : "" }, { "dropping-particle" : "", "family" : "Bradbury", "given" : "G.", "non-dropping-particle" : "", "parse-names" : false, "suffix" : "" }, { "dropping-particle" : "", "family" : "Merchant", "given" : "Nathan D", "non-dropping-particle" : "", "parse-names" : false, "suffix" : "" } ], "container-title" : "Proceedings. Biological sciences / The Royal Society", "id" : "ITEM-1", "issue" : "1771", "issued" : { "date-parts" : [ [ "2013" ] ] }, "page" : "20132001", "title" : "Short-term disturbance by a commercial two-dimensional seismic survey does not lead to long-term displacement of harbour porpoises.", "type" : "article-journal", "volume" : "280" }, "suppress-author" : 1, "uris" : [ "http://www.mendeley.com/documents/?uuid=eaadc299-ac7a-3157-8dc6-1e62cb10b3bc" ] } ], "mendeley" : { "formattedCitation" : "(2013)", "manualFormatting" : "2013", "plainTextFormattedCitation" : "(2013)", "previouslyFormattedCitation" : "(2013)" }, "properties" : { "noteIndex" : 0 }, "schema" : "https://github.com/citation-style-language/schema/raw/master/csl-citation.json" }</w:instrText>
      </w:r>
      <w:r w:rsidR="00112E2F" w:rsidRPr="00E22A80">
        <w:rPr>
          <w:rFonts w:asciiTheme="minorHAnsi" w:hAnsiTheme="minorHAnsi" w:cstheme="minorHAnsi"/>
        </w:rPr>
        <w:fldChar w:fldCharType="separate"/>
      </w:r>
      <w:r w:rsidRPr="00E22A80">
        <w:rPr>
          <w:rFonts w:asciiTheme="minorHAnsi" w:hAnsiTheme="minorHAnsi" w:cstheme="minorHAnsi"/>
          <w:noProof/>
        </w:rPr>
        <w:t>2013</w:t>
      </w:r>
      <w:r w:rsidR="00112E2F" w:rsidRPr="00E22A80">
        <w:rPr>
          <w:rFonts w:asciiTheme="minorHAnsi" w:hAnsiTheme="minorHAnsi" w:cstheme="minorHAnsi"/>
        </w:rPr>
        <w:fldChar w:fldCharType="end"/>
      </w:r>
      <w:r w:rsidRPr="00E22A80">
        <w:rPr>
          <w:rFonts w:asciiTheme="minorHAnsi" w:hAnsiTheme="minorHAnsi" w:cstheme="minorHAnsi"/>
        </w:rPr>
        <w:t xml:space="preserve">; beaked whales, Tyack et al. </w:t>
      </w:r>
      <w:r w:rsidR="00112E2F" w:rsidRPr="00E22A80">
        <w:rPr>
          <w:rFonts w:asciiTheme="minorHAnsi" w:hAnsiTheme="minorHAnsi" w:cstheme="minorHAnsi"/>
        </w:rPr>
        <w:fldChar w:fldCharType="begin" w:fldLock="1"/>
      </w:r>
      <w:r w:rsidRPr="00E22A80">
        <w:rPr>
          <w:rFonts w:asciiTheme="minorHAnsi" w:hAnsiTheme="minorHAnsi" w:cstheme="minorHAnsi"/>
        </w:rPr>
        <w:instrText>ADDIN CSL_CITATION { "citationItems" : [ { "id" : "ITEM-1", "itemData" : { "abstract" : "Beaked whales have mass stranded during some naval sonar exercises, but the cause is unknown. They are difficult to sight but can reliably be detected by listening for echolocation clicks produced during deep foraging dives. Listening for these clicks, we documented Blainville's beaked whales, Mesoplodon densirostris, in a naval underwater range where sonars are in regular use near Andros Island, Bahamas. An array of bottom-mounted hydrophones can detect beaked whales when they click anywhere within the range. We used two complementary methods to investigate behavioral responses of beaked whales to sonar: an opportunistic approach that monitored whale responses to multi-day naval exercises involving tactical mid-frequency sonars, and an experimental approach using playbacks of simulated sonar and control sounds to whales tagged with a device that records sound, movement, and orientation. Here we show that in both exposure conditions beaked whales stopped echolocating during deep foraging dives and moved away. During actual sonar exercises, beaked whales were primarily detected near the periphery of the range, on average 16 km away from the sonar transmissions. Once the exercise stopped, beaked whales gradually filled in the center of the range over 2\u20133 days. A satellite tagged whale moved outside the range during an exercise, returning over 2\u20133 days post-exercise. The experimental approach used tags to measure acoustic exposure and behavioral reactions of beaked whales to one controlled exposure each of simulated military sonar, killer whale calls, and band-limited noise. The beaked whales reacted to these three sound playbacks at sound pressure levels below 142 dB re 1 \u00b5Pa by stopping echolocation followed by unusually long and slow ascents from their foraging dives. The combined results indicate similar disruption of foraging behavior and avoidance by beaked whales in the two different contexts, at exposures well below those used by regulators to define disturbance.", "author" : [ { "dropping-particle" : "", "family" : "Tyack", "given" : "Peter L", "non-dropping-particle" : "", "parse-names" : false, "suffix" : "" }, { "dropping-particle" : "", "family" : "Zimmer", "given" : "Walter M X", "non-dropping-particle" : "", "parse-names" : false, "suffix" : "" }, { "dropping-particle" : "", "family" : "Moretti", "given" : "David", "non-dropping-particle" : "", "parse-names" : false, "suffix" : "" }, { "dropping-particle" : "", "family" : "Southall", "given" : "Brandon L", "non-dropping-particle" : "", "parse-names" : false, "suffix" : "" }, { "dropping-particle" : "", "family" : "Claridge", "given" : "Diane E", "non-dropping-particle" : "", "parse-names" : false, "suffix" : "" }, { "dropping-particle" : "", "family" : "Durban", "given" : "John W", "non-dropping-particle" : "", "parse-names" : false, "suffix" : "" }, { "dropping-particle" : "", "family" : "Clark", "given" : "Christopher W", "non-dropping-particle" : "", "parse-names" : false, "suffix" : "" }, { "dropping-particle" : "", "family" : "D'Amico", "given" : "Angela", "non-dropping-particle" : "", "parse-names" : false, "suffix" : "" }, { "dropping-particle" : "", "family" : "DiMarzio", "given" : "Nancy", "non-dropping-particle" : "", "parse-names" : false, "suffix" : "" }, { "dropping-particle" : "", "family" : "Jarvis", "given" : "Susan", "non-dropping-particle" : "", "parse-names" : false, "suffix" : "" }, { "dropping-particle" : "", "family" : "McCarthy", "given" : "Elena", "non-dropping-particle" : "", "parse-names" : false, "suffix" : "" }, { "dropping-particle" : "", "family" : "Morrissey", "given" : "Ronald", "non-dropping-particle" : "", "parse-names" : false, "suffix" : "" }, { "dropping-particle" : "", "family" : "Ward", "given" : "Jessica", "non-dropping-particle" : "", "parse-names" : false, "suffix" : "" }, { "dropping-particle" : "", "family" : "Boyd", "given" : "Ian L", "non-dropping-particle" : "", "parse-names" : false, "suffix" : "" } ], "container-title" : "PLoS ONE", "id" : "ITEM-1", "issue" : "3", "issued" : { "date-parts" : [ [ "2011", "3", "14" ] ] }, "page" : "e17009", "publisher" : "Public Library of Science", "title" : "Beaked Whales Respond to Simulated and Actual Navy Sonar", "type" : "article-journal", "volume" : "6" }, "suppress-author" : 1, "uris" : [ "http://www.mendeley.com/documents/?uuid=9a0bca93-836c-43ba-bba9-679ec4eb7896" ] } ], "mendeley" : { "formattedCitation" : "(2011)", "manualFormatting" : "2011", "plainTextFormattedCitation" : "(2011)", "previouslyFormattedCitation" : "(2011)" }, "properties" : { "noteIndex" : 0 }, "schema" : "https://github.com/citation-style-language/schema/raw/master/csl-citation.json" }</w:instrText>
      </w:r>
      <w:r w:rsidR="00112E2F" w:rsidRPr="00E22A80">
        <w:rPr>
          <w:rFonts w:asciiTheme="minorHAnsi" w:hAnsiTheme="minorHAnsi" w:cstheme="minorHAnsi"/>
        </w:rPr>
        <w:fldChar w:fldCharType="separate"/>
      </w:r>
      <w:r w:rsidRPr="00E22A80">
        <w:rPr>
          <w:rFonts w:asciiTheme="minorHAnsi" w:hAnsiTheme="minorHAnsi" w:cstheme="minorHAnsi"/>
          <w:noProof/>
        </w:rPr>
        <w:t>2011</w:t>
      </w:r>
      <w:r w:rsidR="00112E2F" w:rsidRPr="00E22A80">
        <w:rPr>
          <w:rFonts w:asciiTheme="minorHAnsi" w:hAnsiTheme="minorHAnsi" w:cstheme="minorHAnsi"/>
        </w:rPr>
        <w:fldChar w:fldCharType="end"/>
      </w:r>
      <w:r w:rsidRPr="00E22A80">
        <w:rPr>
          <w:rFonts w:asciiTheme="minorHAnsi" w:hAnsiTheme="minorHAnsi" w:cstheme="minorHAnsi"/>
        </w:rPr>
        <w:t xml:space="preserve">), increased physiological stress in some fish species (e.g. European seabass; </w:t>
      </w:r>
      <w:proofErr w:type="spellStart"/>
      <w:r w:rsidRPr="00E22A80">
        <w:rPr>
          <w:rFonts w:asciiTheme="minorHAnsi" w:hAnsiTheme="minorHAnsi" w:cstheme="minorHAnsi"/>
        </w:rPr>
        <w:t>Debusschere</w:t>
      </w:r>
      <w:proofErr w:type="spellEnd"/>
      <w:r w:rsidRPr="00E22A80">
        <w:rPr>
          <w:rFonts w:asciiTheme="minorHAnsi" w:hAnsiTheme="minorHAnsi" w:cstheme="minorHAnsi"/>
        </w:rPr>
        <w:t xml:space="preserve"> et al., </w:t>
      </w:r>
      <w:r w:rsidR="00112E2F" w:rsidRPr="00E22A80">
        <w:rPr>
          <w:rFonts w:asciiTheme="minorHAnsi" w:hAnsiTheme="minorHAnsi" w:cstheme="minorHAnsi"/>
        </w:rPr>
        <w:fldChar w:fldCharType="begin" w:fldLock="1"/>
      </w:r>
      <w:r w:rsidRPr="00E22A80">
        <w:rPr>
          <w:rFonts w:asciiTheme="minorHAnsi" w:hAnsiTheme="minorHAnsi" w:cstheme="minorHAnsi"/>
        </w:rPr>
        <w:instrText>ADDIN CSL_CITATION { "citationItems" : [ { "id" : "ITEM-1", "itemData" : { "DOI" : "10.1016/j.envpol.2015.10.055", "ISSN" : "1873-6424", "PMID" : "26561450", "abstract" : "Underwater sound generated by pile driving during construction of offshore wind farms is a major concern in many countries. This paper reports on the acoustic stress responses in young European sea bass Dicentrarchus labrax (68 and 115 days old), based on four in situ experiments as close as 45 m from a pile driving activity. As a primary stress response, whole-body cortisol seemed to be too sensitive to 'handling' bias. On the other hand, measured secondary stress responses to pile driving showed significant reductions in oxygen consumption rate and low whole-body lactate concentrations. Furthermore, repeated exposure to impulsive sound significantly affected both primary and secondary stress responses. Under laboratory conditions, no tertiary stress responses (no changes in specific growth rate or Fulton's condition factor) were noted in young sea bass 30 days after the treatment. Still, the demonstrated acute stress responses and potentially repeated exposure to impulsive sound in the field will inevitably lead to less fit fish in the wild.", "author" : [ { "dropping-particle" : "", "family" : "Debusschere", "given" : "Elisabeth", "non-dropping-particle" : "", "parse-names" : false, "suffix" : "" }, { "dropping-particle" : "", "family" : "Hostens", "given" : "Kris", "non-dropping-particle" : "", "parse-names" : false, "suffix" : "" }, { "dropping-particle" : "", "family" : "Adriaens", "given" : "Dominique", "non-dropping-particle" : "", "parse-names" : false, "suffix" : "" }, { "dropping-particle" : "", "family" : "Ampe", "given" : "Bart", "non-dropping-particle" : "", "parse-names" : false, "suffix" : "" }, { "dropping-particle" : "", "family" : "Botteldooren", "given" : "Dick", "non-dropping-particle" : "", "parse-names" : false, "suffix" : "" }, { "dropping-particle" : "", "family" : "Boeck", "given" : "Gudrun", "non-dropping-particle" : "De", "parse-names" : false, "suffix" : "" }, { "dropping-particle" : "", "family" : "Muynck", "given" : "Amelie", "non-dropping-particle" : "De", "parse-names" : false, "suffix" : "" }, { "dropping-particle" : "", "family" : "Sinha", "given" : "Amit Kumar", "non-dropping-particle" : "", "parse-names" : false, "suffix" : "" }, { "dropping-particle" : "", "family" : "Vandendriessche", "given" : "Sofie", "non-dropping-particle" : "", "parse-names" : false, "suffix" : "" }, { "dropping-particle" : "", "family" : "Hoorebeke", "given" : "Luc", "non-dropping-particle" : "Van", "parse-names" : false, "suffix" : "" }, { "dropping-particle" : "", "family" : "Vincx", "given" : "Magda", "non-dropping-particle" : "", "parse-names" : false, "suffix" : "" }, { "dropping-particle" : "", "family" : "Degraer", "given" : "Steven", "non-dropping-particle" : "", "parse-names" : false, "suffix" : "" } ], "container-title" : "Environmental pollution (Barking, Essex : 1987)", "id" : "ITEM-1", "issue" : "Pt B", "issued" : { "date-parts" : [ [ "2016" ] ] }, "page" : "747-57", "title" : "Acoustic stress responses in juvenile sea bass Dicentrarchus labrax induced by offshore pile driving.", "type" : "article-journal", "volume" : "208" }, "suppress-author" : 1, "uris" : [ "http://www.mendeley.com/documents/?uuid=2cf6472b-ac79-453d-bc6d-c4f036ffcaa4" ] } ], "mendeley" : { "formattedCitation" : "(2016)", "manualFormatting" : "2016", "plainTextFormattedCitation" : "(2016)", "previouslyFormattedCitation" : "(2016)" }, "properties" : { "noteIndex" : 0 }, "schema" : "https://github.com/citation-style-language/schema/raw/master/csl-citation.json" }</w:instrText>
      </w:r>
      <w:r w:rsidR="00112E2F" w:rsidRPr="00E22A80">
        <w:rPr>
          <w:rFonts w:asciiTheme="minorHAnsi" w:hAnsiTheme="minorHAnsi" w:cstheme="minorHAnsi"/>
        </w:rPr>
        <w:fldChar w:fldCharType="separate"/>
      </w:r>
      <w:r w:rsidRPr="00E22A80">
        <w:rPr>
          <w:rFonts w:asciiTheme="minorHAnsi" w:hAnsiTheme="minorHAnsi" w:cstheme="minorHAnsi"/>
          <w:noProof/>
        </w:rPr>
        <w:t>2016</w:t>
      </w:r>
      <w:r w:rsidR="00112E2F" w:rsidRPr="00E22A80">
        <w:rPr>
          <w:rFonts w:asciiTheme="minorHAnsi" w:hAnsiTheme="minorHAnsi" w:cstheme="minorHAnsi"/>
        </w:rPr>
        <w:fldChar w:fldCharType="end"/>
      </w:r>
      <w:r w:rsidRPr="00E22A80">
        <w:rPr>
          <w:rFonts w:asciiTheme="minorHAnsi" w:hAnsiTheme="minorHAnsi" w:cstheme="minorHAnsi"/>
        </w:rPr>
        <w:t xml:space="preserve">), and developmental abnormalities in invertebrate larvae (e.g. scallop larvae; Aguilar de Soto et al., </w:t>
      </w:r>
      <w:r w:rsidR="00112E2F" w:rsidRPr="00E22A80">
        <w:rPr>
          <w:rFonts w:asciiTheme="minorHAnsi" w:hAnsiTheme="minorHAnsi" w:cstheme="minorHAnsi"/>
        </w:rPr>
        <w:fldChar w:fldCharType="begin" w:fldLock="1"/>
      </w:r>
      <w:r w:rsidRPr="00E22A80">
        <w:rPr>
          <w:rFonts w:asciiTheme="minorHAnsi" w:hAnsiTheme="minorHAnsi" w:cstheme="minorHAnsi"/>
        </w:rPr>
        <w:instrText>ADDIN CSL_CITATION { "citationItems" : [ { "id" : "ITEM-1", "itemData" : { "DOI" : "10.1038/srep02831", "ISSN" : "2045-2322", "PMID" : "24088868", "abstract" : "Understanding the impact of noise on marine fauna at the population level requires knowledge about the vulnerability of different life-stages. Here we provide the first evidence that noise exposure during larval development produces body malformations in marine invertebrates. Scallop larvae exposed to playbacks of seismic pulses showed significant developmental delays and 46% developed body abnormalities. Similar effects were observed in all independent samples exposed to noise while no malformations were found in the control groups (4881 larvae examined). Malformations appeared in the D-veliger larval phase, perhaps due to the cumulative exposure attained by this stage or to a greater vulnerability of D-veliger to sound-mediated physiological or mechanical stress. Such strong impacts suggest that abnormalities and growth delays may also result from lower sound levels or discrete exposures during the D-stage, increasing the potential for routinely-occurring anthropogenic noise sources to affect recruitment of wild scallop larvae in natural stocks.", "author" : [ { "dropping-particle" : "", "family" : "Aguilar de Soto", "given" : "Natacha", "non-dropping-particle" : "", "parse-names" : false, "suffix" : "" }, { "dropping-particle" : "", "family" : "Delorme", "given" : "Natali", "non-dropping-particle" : "", "parse-names" : false, "suffix" : "" }, { "dropping-particle" : "", "family" : "Atkins", "given" : "John", "non-dropping-particle" : "", "parse-names" : false, "suffix" : "" }, { "dropping-particle" : "", "family" : "Howard", "given" : "Sunkita", "non-dropping-particle" : "", "parse-names" : false, "suffix" : "" }, { "dropping-particle" : "", "family" : "Williams", "given" : "James", "non-dropping-particle" : "", "parse-names" : false, "suffix" : "" }, { "dropping-particle" : "", "family" : "Johnson", "given" : "Mark", "non-dropping-particle" : "", "parse-names" : false, "suffix" : "" } ], "container-title" : "Scientific Reports", "id" : "ITEM-1", "issued" : { "date-parts" : [ [ "2013", "1" ] ] }, "page" : "2831", "title" : "Anthropogenic noise causes body malformations and delays development in marine larvae.", "type" : "article-journal", "volume" : "3" }, "suppress-author" : 1, "uris" : [ "http://www.mendeley.com/documents/?uuid=a4fccdfe-a1ea-47df-a895-9806a618034e" ] } ], "mendeley" : { "formattedCitation" : "(2013)", "manualFormatting" : "2013", "plainTextFormattedCitation" : "(2013)", "previouslyFormattedCitation" : "(2013)" }, "properties" : { "noteIndex" : 0 }, "schema" : "https://github.com/citation-style-language/schema/raw/master/csl-citation.json" }</w:instrText>
      </w:r>
      <w:r w:rsidR="00112E2F" w:rsidRPr="00E22A80">
        <w:rPr>
          <w:rFonts w:asciiTheme="minorHAnsi" w:hAnsiTheme="minorHAnsi" w:cstheme="minorHAnsi"/>
        </w:rPr>
        <w:fldChar w:fldCharType="separate"/>
      </w:r>
      <w:r w:rsidRPr="00E22A80">
        <w:rPr>
          <w:rFonts w:asciiTheme="minorHAnsi" w:hAnsiTheme="minorHAnsi" w:cstheme="minorHAnsi"/>
          <w:noProof/>
        </w:rPr>
        <w:t>2013</w:t>
      </w:r>
      <w:r w:rsidR="00112E2F" w:rsidRPr="00E22A80">
        <w:rPr>
          <w:rFonts w:asciiTheme="minorHAnsi" w:hAnsiTheme="minorHAnsi" w:cstheme="minorHAnsi"/>
        </w:rPr>
        <w:fldChar w:fldCharType="end"/>
      </w:r>
      <w:r w:rsidRPr="00E22A80">
        <w:rPr>
          <w:rFonts w:asciiTheme="minorHAnsi" w:hAnsiTheme="minorHAnsi" w:cstheme="minorHAnsi"/>
        </w:rPr>
        <w:t>). While effects on individual animals have been shown for a number of species, there is uncertainty over whether and how the effects of sound on individuals are translated to the population or ecosystem scales. In line with this threat OSPAR has adopted Recommendations to protect and conserve some of its listed threatened and/or declining species from anthropogenic underwater noise. These include the harbour porpoise, northern right whale, blue whale and bowhead whale.</w:t>
      </w:r>
      <w:r w:rsidR="00E64FD0" w:rsidRPr="00E22A80">
        <w:rPr>
          <w:rFonts w:asciiTheme="minorHAnsi" w:hAnsiTheme="minorHAnsi" w:cstheme="minorHAnsi"/>
        </w:rPr>
        <w:t xml:space="preserve"> </w:t>
      </w:r>
    </w:p>
    <w:p w14:paraId="4EDFF116"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The purpose of this document is to provide guidelines for a monitoring and assessment programme that allows efficient detection of spatial differences and temporal changes in the distribution of impulsive sound sources within the OSPAR Maritime Region, using the OSPAR Common Indicator for impulsive noise. OSPAR has adopted Indicator 11.1.1 of the EU Marine Strategy Framework Directive (MSFD) as the OSPAR Common Indicator. This is a pressure indicator based on the spatiotemporal distribution of low-frequency and mid-frequency impulsive sound sources. These guidelines consequently make extensive reference to the monitoring guidance for this Indicator issued by TG Noise (Dekeling et al., 2014), which were adopted by OSPAR (Agreement 2014-08).</w:t>
      </w:r>
    </w:p>
    <w:p w14:paraId="0030C5CB"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br w:type="page"/>
      </w:r>
    </w:p>
    <w:p w14:paraId="6A20A654" w14:textId="77777777" w:rsidR="00390E94" w:rsidRPr="00E22A80" w:rsidRDefault="00390E94" w:rsidP="00390E94">
      <w:pPr>
        <w:rPr>
          <w:rFonts w:asciiTheme="minorHAnsi" w:hAnsiTheme="minorHAnsi" w:cstheme="minorHAnsi"/>
          <w:sz w:val="28"/>
          <w:szCs w:val="28"/>
        </w:rPr>
      </w:pPr>
      <w:r w:rsidRPr="00E22A80">
        <w:rPr>
          <w:rFonts w:asciiTheme="minorHAnsi" w:hAnsiTheme="minorHAnsi" w:cstheme="minorHAnsi"/>
          <w:sz w:val="28"/>
          <w:szCs w:val="28"/>
        </w:rPr>
        <w:lastRenderedPageBreak/>
        <w:t>2</w:t>
      </w:r>
      <w:r w:rsidRPr="00E22A80">
        <w:rPr>
          <w:rFonts w:asciiTheme="minorHAnsi" w:hAnsiTheme="minorHAnsi" w:cstheme="minorHAnsi"/>
          <w:sz w:val="28"/>
          <w:szCs w:val="28"/>
        </w:rPr>
        <w:tab/>
        <w:t>Monitoring</w:t>
      </w:r>
    </w:p>
    <w:p w14:paraId="0199DD75" w14:textId="77777777" w:rsidR="00390E94" w:rsidRPr="004E2D6F" w:rsidRDefault="00390E94" w:rsidP="00390E94">
      <w:pPr>
        <w:rPr>
          <w:rFonts w:asciiTheme="minorHAnsi" w:hAnsiTheme="minorHAnsi" w:cstheme="minorHAnsi"/>
        </w:rPr>
      </w:pPr>
      <w:r w:rsidRPr="00E22A80">
        <w:rPr>
          <w:rFonts w:asciiTheme="minorHAnsi" w:hAnsiTheme="minorHAnsi" w:cstheme="minorHAnsi"/>
        </w:rPr>
        <w:t>2.1</w:t>
      </w:r>
      <w:r w:rsidRPr="00E22A80">
        <w:rPr>
          <w:rFonts w:asciiTheme="minorHAnsi" w:hAnsiTheme="minorHAnsi" w:cstheme="minorHAnsi"/>
        </w:rPr>
        <w:tab/>
        <w:t>Purpose</w:t>
      </w:r>
    </w:p>
    <w:p w14:paraId="06D17373"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 xml:space="preserve">The purpose of monitoring impulsive sound sources is to quantify the pressure these sources exert on marine ecosystems, and the distribution of this pressure in space and time. This information will enable the varying contribution of anthropogenic impulsive sound to be considered in assessing the environmental status of the OSPAR maritime region, in combination with other indicators. </w:t>
      </w:r>
    </w:p>
    <w:p w14:paraId="2C46C11F"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2.2</w:t>
      </w:r>
      <w:r w:rsidRPr="00E22A80">
        <w:rPr>
          <w:rFonts w:asciiTheme="minorHAnsi" w:hAnsiTheme="minorHAnsi" w:cstheme="minorHAnsi"/>
        </w:rPr>
        <w:tab/>
        <w:t>Quantitative Objectives</w:t>
      </w:r>
    </w:p>
    <w:p w14:paraId="316B8609"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 xml:space="preserve">The programme enables the spatial and temporal distribution of anthropogenic impulsive sound activity (and trends in this activity) to be quantified. However, there is currently no quantitative spatial or temporal objective associated with this monitoring programme. </w:t>
      </w:r>
    </w:p>
    <w:p w14:paraId="0501D935"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2.3</w:t>
      </w:r>
      <w:r w:rsidRPr="00E22A80">
        <w:rPr>
          <w:rFonts w:asciiTheme="minorHAnsi" w:hAnsiTheme="minorHAnsi" w:cstheme="minorHAnsi"/>
        </w:rPr>
        <w:tab/>
        <w:t xml:space="preserve">Monitoring Strategy </w:t>
      </w:r>
    </w:p>
    <w:p w14:paraId="32F67E7D"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The monitoring strategy follows “Monitoring Guidance for Underwater Noise in European Seas” (Dekeling et al., 2014), adopted by OSPAR as guidance for noise monitoring in the OSPAR maritime region (</w:t>
      </w:r>
      <w:hyperlink r:id="rId10" w:history="1">
        <w:r w:rsidRPr="00E22A80">
          <w:rPr>
            <w:rStyle w:val="Hyperlink"/>
            <w:rFonts w:asciiTheme="minorHAnsi" w:hAnsiTheme="minorHAnsi" w:cstheme="minorHAnsi"/>
          </w:rPr>
          <w:t>OSPAR Agreement 2014-08</w:t>
        </w:r>
      </w:hyperlink>
      <w:r w:rsidRPr="00E22A80">
        <w:rPr>
          <w:rFonts w:asciiTheme="minorHAnsi" w:hAnsiTheme="minorHAnsi" w:cstheme="minorHAnsi"/>
        </w:rPr>
        <w:t>).</w:t>
      </w:r>
    </w:p>
    <w:p w14:paraId="355F5465"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2.4</w:t>
      </w:r>
      <w:r w:rsidRPr="00E22A80">
        <w:rPr>
          <w:rFonts w:asciiTheme="minorHAnsi" w:hAnsiTheme="minorHAnsi" w:cstheme="minorHAnsi"/>
        </w:rPr>
        <w:tab/>
        <w:t>Sampling Strategy</w:t>
      </w:r>
    </w:p>
    <w:p w14:paraId="453CC943" w14:textId="77777777" w:rsidR="00E22A80" w:rsidRDefault="00390E94" w:rsidP="00F45943">
      <w:pPr>
        <w:rPr>
          <w:rFonts w:asciiTheme="minorHAnsi" w:hAnsiTheme="minorHAnsi" w:cstheme="minorHAnsi"/>
        </w:rPr>
      </w:pPr>
      <w:r w:rsidRPr="00E22A80">
        <w:rPr>
          <w:rFonts w:asciiTheme="minorHAnsi" w:hAnsiTheme="minorHAnsi" w:cstheme="minorHAnsi"/>
        </w:rPr>
        <w:t xml:space="preserve">Contracting Parties maintain national impulsive noise registries, which collect data on impulsive noise activity meeting that criteria for inclusion (OSPAR, 2014) within their waters. These criteria include sound source level thresholds above which it is considered that anthropogenic sound may have harmful effects on </w:t>
      </w:r>
      <w:r w:rsidRPr="007C0B21">
        <w:rPr>
          <w:rFonts w:asciiTheme="minorHAnsi" w:hAnsiTheme="minorHAnsi" w:cstheme="minorHAnsi"/>
        </w:rPr>
        <w:t xml:space="preserve">marine fauna (see </w:t>
      </w:r>
      <w:hyperlink r:id="rId11" w:history="1">
        <w:r w:rsidRPr="007C0B21">
          <w:rPr>
            <w:rStyle w:val="Hyperlink"/>
            <w:rFonts w:asciiTheme="minorHAnsi" w:hAnsiTheme="minorHAnsi" w:cstheme="minorHAnsi"/>
          </w:rPr>
          <w:t>Agreement 2014-08</w:t>
        </w:r>
      </w:hyperlink>
      <w:r w:rsidRPr="007C0B21">
        <w:rPr>
          <w:rFonts w:asciiTheme="minorHAnsi" w:hAnsiTheme="minorHAnsi" w:cstheme="minorHAnsi"/>
        </w:rPr>
        <w:t xml:space="preserve"> for specific threshold criteria). </w:t>
      </w:r>
    </w:p>
    <w:p w14:paraId="0FFFC6AA" w14:textId="77777777" w:rsidR="007C0B21" w:rsidRDefault="007C0B21" w:rsidP="00F45943">
      <w:pPr>
        <w:rPr>
          <w:rFonts w:asciiTheme="minorHAnsi" w:hAnsiTheme="minorHAnsi" w:cstheme="minorHAnsi"/>
        </w:rPr>
      </w:pPr>
      <w:r>
        <w:rPr>
          <w:rFonts w:asciiTheme="minorHAnsi" w:hAnsiTheme="minorHAnsi" w:cstheme="minorHAnsi"/>
        </w:rPr>
        <w:t>The data recorded include:</w:t>
      </w:r>
    </w:p>
    <w:p w14:paraId="75425B5C" w14:textId="78B414B5" w:rsidR="007C0B21" w:rsidRDefault="007C0B21" w:rsidP="007C0B21">
      <w:pPr>
        <w:pStyle w:val="ListParagraph"/>
        <w:numPr>
          <w:ilvl w:val="0"/>
          <w:numId w:val="36"/>
        </w:numPr>
        <w:rPr>
          <w:rFonts w:asciiTheme="minorHAnsi" w:hAnsiTheme="minorHAnsi" w:cstheme="minorHAnsi"/>
        </w:rPr>
      </w:pPr>
      <w:r>
        <w:rPr>
          <w:rFonts w:asciiTheme="minorHAnsi" w:hAnsiTheme="minorHAnsi" w:cstheme="minorHAnsi"/>
        </w:rPr>
        <w:t>The type of activity (seismic survey; pile driving; explosion; sonar; acoustic deterrent device);</w:t>
      </w:r>
    </w:p>
    <w:p w14:paraId="4C879EDB" w14:textId="68A41DFE" w:rsidR="007C0B21" w:rsidRDefault="007C0B21" w:rsidP="007C0B21">
      <w:pPr>
        <w:pStyle w:val="ListParagraph"/>
        <w:numPr>
          <w:ilvl w:val="0"/>
          <w:numId w:val="36"/>
        </w:numPr>
        <w:rPr>
          <w:rFonts w:asciiTheme="minorHAnsi" w:hAnsiTheme="minorHAnsi" w:cstheme="minorHAnsi"/>
        </w:rPr>
      </w:pPr>
      <w:r>
        <w:rPr>
          <w:rFonts w:asciiTheme="minorHAnsi" w:hAnsiTheme="minorHAnsi" w:cstheme="minorHAnsi"/>
        </w:rPr>
        <w:t>Location of each activity (as a single point or polygon area);</w:t>
      </w:r>
    </w:p>
    <w:p w14:paraId="58F9E97E" w14:textId="16662B9F" w:rsidR="007C0B21" w:rsidRDefault="007C0B21" w:rsidP="007C0B21">
      <w:pPr>
        <w:pStyle w:val="ListParagraph"/>
        <w:numPr>
          <w:ilvl w:val="0"/>
          <w:numId w:val="36"/>
        </w:numPr>
        <w:rPr>
          <w:rFonts w:asciiTheme="minorHAnsi" w:hAnsiTheme="minorHAnsi" w:cstheme="minorHAnsi"/>
        </w:rPr>
      </w:pPr>
      <w:r>
        <w:rPr>
          <w:rFonts w:asciiTheme="minorHAnsi" w:hAnsiTheme="minorHAnsi" w:cstheme="minorHAnsi"/>
        </w:rPr>
        <w:t>The days on which the activity occurred;</w:t>
      </w:r>
    </w:p>
    <w:p w14:paraId="7B1F920E" w14:textId="36D90A0D" w:rsidR="007C0B21" w:rsidRPr="007C0B21" w:rsidRDefault="007C0B21" w:rsidP="007C0B21">
      <w:pPr>
        <w:pStyle w:val="ListParagraph"/>
        <w:numPr>
          <w:ilvl w:val="0"/>
          <w:numId w:val="36"/>
        </w:numPr>
        <w:rPr>
          <w:rFonts w:asciiTheme="minorHAnsi" w:hAnsiTheme="minorHAnsi" w:cstheme="minorHAnsi"/>
        </w:rPr>
      </w:pPr>
      <w:r>
        <w:rPr>
          <w:rFonts w:asciiTheme="minorHAnsi" w:hAnsiTheme="minorHAnsi" w:cstheme="minorHAnsi"/>
        </w:rPr>
        <w:t>Source properties – source level or proxy (essential minimum).</w:t>
      </w:r>
    </w:p>
    <w:p w14:paraId="253573C2" w14:textId="2C2D85F6" w:rsidR="00390E94" w:rsidRPr="00E22A80" w:rsidRDefault="00390E94" w:rsidP="00390E94">
      <w:pPr>
        <w:rPr>
          <w:rFonts w:asciiTheme="minorHAnsi" w:hAnsiTheme="minorHAnsi" w:cstheme="minorHAnsi"/>
        </w:rPr>
      </w:pPr>
      <w:r w:rsidRPr="00E22A80">
        <w:rPr>
          <w:rFonts w:asciiTheme="minorHAnsi" w:hAnsiTheme="minorHAnsi" w:cstheme="minorHAnsi"/>
        </w:rPr>
        <w:t xml:space="preserve">These basic data enable the computation of the Indicator, whose unit of measurement is Pulse Block Days (PBDs). PBDs record the number of days and their distribution within a calendar year that anthropogenic impulsive activity (meeting the criteria) occurred, within a defined spatial unit. For the Common Indicator, this spatial unit is the </w:t>
      </w:r>
      <w:hyperlink r:id="rId12" w:history="1">
        <w:r w:rsidRPr="00E22A80">
          <w:rPr>
            <w:rStyle w:val="Hyperlink"/>
            <w:rFonts w:asciiTheme="minorHAnsi" w:hAnsiTheme="minorHAnsi" w:cstheme="minorHAnsi"/>
          </w:rPr>
          <w:t>ICES statistical sub-rectangle</w:t>
        </w:r>
      </w:hyperlink>
      <w:r w:rsidRPr="00E22A80">
        <w:rPr>
          <w:rFonts w:asciiTheme="minorHAnsi" w:hAnsiTheme="minorHAnsi" w:cstheme="minorHAnsi"/>
        </w:rPr>
        <w:t>.</w:t>
      </w:r>
    </w:p>
    <w:p w14:paraId="0EA69922" w14:textId="7CD1AE32" w:rsidR="00390E94" w:rsidRPr="00E22A80" w:rsidRDefault="00390E94" w:rsidP="00390E94">
      <w:pPr>
        <w:rPr>
          <w:rFonts w:asciiTheme="minorHAnsi" w:hAnsiTheme="minorHAnsi" w:cstheme="minorHAnsi"/>
        </w:rPr>
      </w:pPr>
      <w:r w:rsidRPr="00E22A80">
        <w:rPr>
          <w:rFonts w:asciiTheme="minorHAnsi" w:hAnsiTheme="minorHAnsi" w:cstheme="minorHAnsi"/>
        </w:rPr>
        <w:t>A</w:t>
      </w:r>
      <w:r w:rsidR="00F92704" w:rsidRPr="00E22A80">
        <w:rPr>
          <w:rFonts w:asciiTheme="minorHAnsi" w:hAnsiTheme="minorHAnsi" w:cstheme="minorHAnsi"/>
        </w:rPr>
        <w:t xml:space="preserve">s mentioned </w:t>
      </w:r>
      <w:r w:rsidR="00FF486B" w:rsidRPr="00E22A80">
        <w:rPr>
          <w:rFonts w:asciiTheme="minorHAnsi" w:hAnsiTheme="minorHAnsi" w:cstheme="minorHAnsi"/>
        </w:rPr>
        <w:t>above, Contracting</w:t>
      </w:r>
      <w:r w:rsidRPr="00E22A80">
        <w:rPr>
          <w:rFonts w:asciiTheme="minorHAnsi" w:hAnsiTheme="minorHAnsi" w:cstheme="minorHAnsi"/>
        </w:rPr>
        <w:t xml:space="preserve"> Parties may record</w:t>
      </w:r>
      <w:r w:rsidR="00F92704" w:rsidRPr="00E22A80">
        <w:rPr>
          <w:rFonts w:asciiTheme="minorHAnsi" w:hAnsiTheme="minorHAnsi" w:cstheme="minorHAnsi"/>
        </w:rPr>
        <w:t>, where available,</w:t>
      </w:r>
      <w:r w:rsidRPr="00E22A80">
        <w:rPr>
          <w:rFonts w:asciiTheme="minorHAnsi" w:hAnsiTheme="minorHAnsi" w:cstheme="minorHAnsi"/>
        </w:rPr>
        <w:t xml:space="preserve"> more detailed information on the activity (e.g. </w:t>
      </w:r>
      <w:r w:rsidR="00BF2E1F" w:rsidRPr="00E22A80">
        <w:rPr>
          <w:rFonts w:asciiTheme="minorHAnsi" w:hAnsiTheme="minorHAnsi" w:cstheme="minorHAnsi"/>
        </w:rPr>
        <w:t xml:space="preserve">further </w:t>
      </w:r>
      <w:r w:rsidR="00F92704" w:rsidRPr="00E22A80">
        <w:rPr>
          <w:rFonts w:asciiTheme="minorHAnsi" w:hAnsiTheme="minorHAnsi" w:cstheme="minorHAnsi"/>
        </w:rPr>
        <w:t xml:space="preserve">details on the </w:t>
      </w:r>
      <w:r w:rsidR="00BF2E1F" w:rsidRPr="00E22A80">
        <w:rPr>
          <w:rFonts w:asciiTheme="minorHAnsi" w:hAnsiTheme="minorHAnsi" w:cstheme="minorHAnsi"/>
        </w:rPr>
        <w:t>sounds produced</w:t>
      </w:r>
      <w:r w:rsidRPr="00E22A80">
        <w:rPr>
          <w:rFonts w:asciiTheme="minorHAnsi" w:hAnsiTheme="minorHAnsi" w:cstheme="minorHAnsi"/>
        </w:rPr>
        <w:t xml:space="preserve">) and any source mitigation methods (e.g. the use of a bubble curtain) which were applied. These additional parameters are specified in the ICES Reporting Format (see below for further details; </w:t>
      </w:r>
      <w:hyperlink r:id="rId13" w:history="1">
        <w:r w:rsidRPr="00E22A80">
          <w:rPr>
            <w:rStyle w:val="Hyperlink"/>
            <w:rFonts w:asciiTheme="minorHAnsi" w:hAnsiTheme="minorHAnsi" w:cstheme="minorHAnsi"/>
          </w:rPr>
          <w:t>http://ices.dk/marine-data/Documents/NoiseRegistry/NoiseRegister.zip</w:t>
        </w:r>
      </w:hyperlink>
      <w:r w:rsidRPr="00E22A80">
        <w:rPr>
          <w:rFonts w:asciiTheme="minorHAnsi" w:hAnsiTheme="minorHAnsi" w:cstheme="minorHAnsi"/>
        </w:rPr>
        <w:t>).</w:t>
      </w:r>
      <w:r w:rsidR="00D64DFA" w:rsidRPr="00E22A80">
        <w:rPr>
          <w:rFonts w:asciiTheme="minorHAnsi" w:hAnsiTheme="minorHAnsi" w:cstheme="minorHAnsi"/>
        </w:rPr>
        <w:t xml:space="preserve"> Recording these additional data may enable further improvement of the assessment in the future.</w:t>
      </w:r>
    </w:p>
    <w:p w14:paraId="284D594C"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 xml:space="preserve">Information on which Contracting Parties are undertaking monitoring, along with other information required for EU Marine Strategy Framework Directive monitoring reporting under article 11, are outlined in the </w:t>
      </w:r>
      <w:hyperlink r:id="rId14" w:history="1">
        <w:r w:rsidRPr="00E22A80">
          <w:rPr>
            <w:rStyle w:val="Hyperlink"/>
            <w:rFonts w:asciiTheme="minorHAnsi" w:hAnsiTheme="minorHAnsi" w:cstheme="minorHAnsi"/>
          </w:rPr>
          <w:t>CEMP Appendix</w:t>
        </w:r>
      </w:hyperlink>
      <w:r w:rsidRPr="00E22A80">
        <w:rPr>
          <w:rFonts w:asciiTheme="minorHAnsi" w:hAnsiTheme="minorHAnsi" w:cstheme="minorHAnsi"/>
        </w:rPr>
        <w:t xml:space="preserve"> for impulsive noise. The Appendix is an integral part of the CEMP and is updated annually.</w:t>
      </w:r>
    </w:p>
    <w:p w14:paraId="32998551"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2.5</w:t>
      </w:r>
      <w:r w:rsidRPr="00E22A80">
        <w:rPr>
          <w:rFonts w:asciiTheme="minorHAnsi" w:hAnsiTheme="minorHAnsi" w:cstheme="minorHAnsi"/>
        </w:rPr>
        <w:tab/>
        <w:t>Quality assurance/ Quality Control</w:t>
      </w:r>
    </w:p>
    <w:p w14:paraId="469C4366"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Methods for the monitoring approach have been developed under guidance of working groups of OSPAR and the EU. Contracting Parties will have their own Quality Control Systems for their national impulsive noise registries. ICES also undertake comprehensive Quality Control checks when the national data is submitted to the OSPAR Impulsive Noise Register (INR), which they host on behalf of OSPAR, before it is accepted.</w:t>
      </w:r>
    </w:p>
    <w:p w14:paraId="73D28B20"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lastRenderedPageBreak/>
        <w:t>2.6</w:t>
      </w:r>
      <w:r w:rsidRPr="00E22A80">
        <w:rPr>
          <w:rFonts w:asciiTheme="minorHAnsi" w:hAnsiTheme="minorHAnsi" w:cstheme="minorHAnsi"/>
        </w:rPr>
        <w:tab/>
        <w:t>Data reporting, handling and management</w:t>
      </w:r>
    </w:p>
    <w:p w14:paraId="6F303A1E"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Contracting Parties report data for a given year from national impulsive noise registries to the OSPAR Impulsive Noise Registry not later than the 1st of October of the following year. The reporting format and associated XML schema required by the INR are provided by ICES (</w:t>
      </w:r>
      <w:hyperlink r:id="rId15" w:history="1">
        <w:r w:rsidRPr="00E22A80">
          <w:rPr>
            <w:rStyle w:val="Hyperlink"/>
            <w:rFonts w:asciiTheme="minorHAnsi" w:hAnsiTheme="minorHAnsi" w:cstheme="minorHAnsi"/>
          </w:rPr>
          <w:t>http://ices.dk/marine-data/Documents/NoiseRegistry/NoiseRegister.zip</w:t>
        </w:r>
      </w:hyperlink>
      <w:r w:rsidRPr="00E22A80">
        <w:rPr>
          <w:rFonts w:asciiTheme="minorHAnsi" w:hAnsiTheme="minorHAnsi" w:cstheme="minorHAnsi"/>
        </w:rPr>
        <w:t>). Figure 1 summarises the workflow for data reporting and production of Indicator outputs.</w:t>
      </w:r>
    </w:p>
    <w:p w14:paraId="28327587" w14:textId="77777777" w:rsidR="00390E94" w:rsidRPr="00E22A80" w:rsidRDefault="00390E94" w:rsidP="00390E94">
      <w:pPr>
        <w:jc w:val="center"/>
        <w:rPr>
          <w:rFonts w:asciiTheme="minorHAnsi" w:hAnsiTheme="minorHAnsi" w:cstheme="minorHAnsi"/>
        </w:rPr>
      </w:pPr>
      <w:r w:rsidRPr="00E22A80">
        <w:rPr>
          <w:rFonts w:asciiTheme="minorHAnsi" w:hAnsiTheme="minorHAnsi" w:cstheme="minorHAnsi"/>
          <w:noProof/>
          <w:lang w:eastAsia="en-GB"/>
        </w:rPr>
        <w:drawing>
          <wp:inline distT="0" distB="0" distL="0" distR="0" wp14:anchorId="7B41B261" wp14:editId="22652847">
            <wp:extent cx="5640251" cy="3063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5987" cy="3066355"/>
                    </a:xfrm>
                    <a:prstGeom prst="rect">
                      <a:avLst/>
                    </a:prstGeom>
                    <a:noFill/>
                    <a:ln>
                      <a:noFill/>
                    </a:ln>
                  </pic:spPr>
                </pic:pic>
              </a:graphicData>
            </a:graphic>
          </wp:inline>
        </w:drawing>
      </w:r>
    </w:p>
    <w:p w14:paraId="32D393C9" w14:textId="77777777" w:rsidR="00390E94" w:rsidRPr="00E22A80" w:rsidRDefault="00390E94" w:rsidP="00390E94">
      <w:pPr>
        <w:pStyle w:val="Caption"/>
        <w:rPr>
          <w:rFonts w:asciiTheme="minorHAnsi" w:hAnsiTheme="minorHAnsi" w:cstheme="minorHAnsi"/>
        </w:rPr>
      </w:pPr>
      <w:r w:rsidRPr="00E22A80">
        <w:rPr>
          <w:rFonts w:asciiTheme="minorHAnsi" w:hAnsiTheme="minorHAnsi" w:cstheme="minorHAnsi"/>
        </w:rPr>
        <w:t xml:space="preserve">Figure </w:t>
      </w:r>
      <w:r w:rsidR="00112E2F" w:rsidRPr="00E22A80">
        <w:rPr>
          <w:rFonts w:asciiTheme="minorHAnsi" w:hAnsiTheme="minorHAnsi" w:cstheme="minorHAnsi"/>
        </w:rPr>
        <w:fldChar w:fldCharType="begin"/>
      </w:r>
      <w:r w:rsidRPr="00E22A80">
        <w:rPr>
          <w:rFonts w:asciiTheme="minorHAnsi" w:hAnsiTheme="minorHAnsi" w:cstheme="minorHAnsi"/>
        </w:rPr>
        <w:instrText xml:space="preserve"> SEQ Figure \* ARABIC </w:instrText>
      </w:r>
      <w:r w:rsidR="00112E2F" w:rsidRPr="00E22A80">
        <w:rPr>
          <w:rFonts w:asciiTheme="minorHAnsi" w:hAnsiTheme="minorHAnsi" w:cstheme="minorHAnsi"/>
        </w:rPr>
        <w:fldChar w:fldCharType="separate"/>
      </w:r>
      <w:r w:rsidRPr="00E22A80">
        <w:rPr>
          <w:rFonts w:asciiTheme="minorHAnsi" w:hAnsiTheme="minorHAnsi" w:cstheme="minorHAnsi"/>
          <w:noProof/>
        </w:rPr>
        <w:t>1</w:t>
      </w:r>
      <w:r w:rsidR="00112E2F" w:rsidRPr="00E22A80">
        <w:rPr>
          <w:rFonts w:asciiTheme="minorHAnsi" w:hAnsiTheme="minorHAnsi" w:cstheme="minorHAnsi"/>
          <w:noProof/>
        </w:rPr>
        <w:fldChar w:fldCharType="end"/>
      </w:r>
      <w:r w:rsidRPr="00E22A80">
        <w:rPr>
          <w:rFonts w:asciiTheme="minorHAnsi" w:hAnsiTheme="minorHAnsi" w:cstheme="minorHAnsi"/>
        </w:rPr>
        <w:t xml:space="preserve"> Data workflow for OSPAR Impulsive Noise Registry.</w:t>
      </w:r>
    </w:p>
    <w:p w14:paraId="79D95464" w14:textId="77777777" w:rsidR="00390E94" w:rsidRPr="00E22A80" w:rsidRDefault="00390E94" w:rsidP="00390E94">
      <w:pPr>
        <w:rPr>
          <w:rFonts w:asciiTheme="minorHAnsi" w:hAnsiTheme="minorHAnsi" w:cstheme="minorHAnsi"/>
          <w:sz w:val="32"/>
          <w:szCs w:val="32"/>
        </w:rPr>
      </w:pPr>
    </w:p>
    <w:p w14:paraId="21878062" w14:textId="77777777" w:rsidR="00390E94" w:rsidRPr="00E22A80" w:rsidRDefault="00390E94" w:rsidP="00390E94">
      <w:pPr>
        <w:rPr>
          <w:rFonts w:asciiTheme="minorHAnsi" w:hAnsiTheme="minorHAnsi" w:cstheme="minorHAnsi"/>
          <w:sz w:val="28"/>
          <w:szCs w:val="28"/>
        </w:rPr>
      </w:pPr>
      <w:r w:rsidRPr="00E22A80">
        <w:rPr>
          <w:rFonts w:asciiTheme="minorHAnsi" w:hAnsiTheme="minorHAnsi" w:cstheme="minorHAnsi"/>
          <w:sz w:val="28"/>
          <w:szCs w:val="28"/>
        </w:rPr>
        <w:t>3</w:t>
      </w:r>
      <w:r w:rsidRPr="00E22A80">
        <w:rPr>
          <w:rFonts w:asciiTheme="minorHAnsi" w:hAnsiTheme="minorHAnsi" w:cstheme="minorHAnsi"/>
          <w:sz w:val="28"/>
          <w:szCs w:val="28"/>
        </w:rPr>
        <w:tab/>
        <w:t>Assessment</w:t>
      </w:r>
    </w:p>
    <w:p w14:paraId="6654F369"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3.1</w:t>
      </w:r>
      <w:r w:rsidRPr="00E22A80">
        <w:rPr>
          <w:rFonts w:asciiTheme="minorHAnsi" w:hAnsiTheme="minorHAnsi" w:cstheme="minorHAnsi"/>
        </w:rPr>
        <w:tab/>
        <w:t xml:space="preserve">Data acquisition </w:t>
      </w:r>
    </w:p>
    <w:p w14:paraId="640AEBBE"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Data in the INR are accessed through the OSPAR Underwater Noise Data Portal, which is hosted by ICES (</w:t>
      </w:r>
      <w:hyperlink r:id="rId17" w:history="1">
        <w:r w:rsidRPr="00E22A80">
          <w:rPr>
            <w:rStyle w:val="Hyperlink"/>
            <w:rFonts w:asciiTheme="minorHAnsi" w:hAnsiTheme="minorHAnsi" w:cstheme="minorHAnsi"/>
          </w:rPr>
          <w:t>http://underwaternoise.ices.dk/map.aspx</w:t>
        </w:r>
      </w:hyperlink>
      <w:r w:rsidRPr="00E22A80">
        <w:rPr>
          <w:rFonts w:asciiTheme="minorHAnsi" w:hAnsiTheme="minorHAnsi" w:cstheme="minorHAnsi"/>
        </w:rPr>
        <w:t>).</w:t>
      </w:r>
    </w:p>
    <w:p w14:paraId="44762478"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3.2</w:t>
      </w:r>
      <w:r w:rsidRPr="00E22A80">
        <w:rPr>
          <w:rFonts w:asciiTheme="minorHAnsi" w:hAnsiTheme="minorHAnsi" w:cstheme="minorHAnsi"/>
        </w:rPr>
        <w:tab/>
        <w:t>Preparation of data</w:t>
      </w:r>
    </w:p>
    <w:p w14:paraId="0361D821"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The data reported by Contracting Parties to the INR do not have a standardised spatial unit: some activities are reported as occurring in polygons (of varying sizes), and others as point sources (specified by geospatial coordinates). To standardise these data spatially, all data are translated into ICES statistical sub-rectangles (see Figure 2), which are defined throughout the OSPAR maritime region. The methodology for converting polygons to sub-rectangles is to transfer all Pulse Block Days reported in the original polygon data into all ICES statistical sub-rectangles which overlap with that polygon, however marginal the overlap may be. This may lead to an overestimation of the reported area, as seen in Figure 2. One solution would be to report all activity as point sources, though this is currently not possible for all activity types.</w:t>
      </w:r>
    </w:p>
    <w:p w14:paraId="5BAD16DE" w14:textId="77777777" w:rsidR="00390E94" w:rsidRPr="00E22A80" w:rsidRDefault="00390E94" w:rsidP="00390E94">
      <w:pPr>
        <w:jc w:val="center"/>
        <w:rPr>
          <w:rFonts w:asciiTheme="minorHAnsi" w:hAnsiTheme="minorHAnsi" w:cstheme="minorHAnsi"/>
          <w:b/>
          <w:i/>
        </w:rPr>
      </w:pPr>
      <w:r w:rsidRPr="00E22A80">
        <w:rPr>
          <w:rFonts w:asciiTheme="minorHAnsi" w:hAnsiTheme="minorHAnsi" w:cstheme="minorHAnsi"/>
          <w:b/>
          <w:i/>
          <w:noProof/>
          <w:lang w:eastAsia="en-GB"/>
        </w:rPr>
        <w:lastRenderedPageBreak/>
        <w:drawing>
          <wp:inline distT="0" distB="0" distL="0" distR="0" wp14:anchorId="1DC6FB25" wp14:editId="759D7BA0">
            <wp:extent cx="4244340" cy="330434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BD_ICESsubrect_example.png"/>
                    <pic:cNvPicPr/>
                  </pic:nvPicPr>
                  <pic:blipFill>
                    <a:blip r:embed="rId18"/>
                    <a:stretch>
                      <a:fillRect/>
                    </a:stretch>
                  </pic:blipFill>
                  <pic:spPr>
                    <a:xfrm>
                      <a:off x="0" y="0"/>
                      <a:ext cx="4247946" cy="3307147"/>
                    </a:xfrm>
                    <a:prstGeom prst="rect">
                      <a:avLst/>
                    </a:prstGeom>
                  </pic:spPr>
                </pic:pic>
              </a:graphicData>
            </a:graphic>
          </wp:inline>
        </w:drawing>
      </w:r>
    </w:p>
    <w:p w14:paraId="1A533B49" w14:textId="77777777" w:rsidR="00390E94" w:rsidRPr="00E22A80" w:rsidRDefault="00390E94" w:rsidP="00390E94">
      <w:pPr>
        <w:pStyle w:val="Caption"/>
        <w:rPr>
          <w:rFonts w:asciiTheme="minorHAnsi" w:hAnsiTheme="minorHAnsi" w:cstheme="minorHAnsi"/>
        </w:rPr>
      </w:pPr>
      <w:r w:rsidRPr="00E22A80">
        <w:rPr>
          <w:rFonts w:asciiTheme="minorHAnsi" w:hAnsiTheme="minorHAnsi" w:cstheme="minorHAnsi"/>
        </w:rPr>
        <w:t>Figure 2 Conversion of point source and polygon data to ICES statistical sub-rectangles. ICES sub-rectangle grid plotted in green with number of pulse block days indicated within corresponding sub-rectangles; original polygon and point source data plotted in cyan.</w:t>
      </w:r>
    </w:p>
    <w:p w14:paraId="061623EF" w14:textId="77777777" w:rsidR="00390E94" w:rsidRPr="00E22A80" w:rsidRDefault="00390E94" w:rsidP="00390E94">
      <w:pPr>
        <w:rPr>
          <w:rFonts w:asciiTheme="minorHAnsi" w:hAnsiTheme="minorHAnsi" w:cstheme="minorHAnsi"/>
        </w:rPr>
      </w:pPr>
    </w:p>
    <w:p w14:paraId="1A6D3515"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3.3</w:t>
      </w:r>
      <w:r w:rsidRPr="00E22A80">
        <w:rPr>
          <w:rFonts w:asciiTheme="minorHAnsi" w:hAnsiTheme="minorHAnsi" w:cstheme="minorHAnsi"/>
        </w:rPr>
        <w:tab/>
        <w:t>Assessment criteria</w:t>
      </w:r>
    </w:p>
    <w:p w14:paraId="6A9A3560" w14:textId="77777777" w:rsidR="00390E94" w:rsidRPr="00E22A80" w:rsidRDefault="00390E94" w:rsidP="00390E94">
      <w:pPr>
        <w:spacing w:before="40" w:after="40"/>
        <w:rPr>
          <w:rFonts w:asciiTheme="minorHAnsi" w:hAnsiTheme="minorHAnsi" w:cstheme="minorHAnsi"/>
        </w:rPr>
      </w:pPr>
      <w:r w:rsidRPr="00E22A80">
        <w:rPr>
          <w:rFonts w:asciiTheme="minorHAnsi" w:hAnsiTheme="minorHAnsi" w:cstheme="minorHAnsi"/>
        </w:rPr>
        <w:t>The spatiotemporal assessment unit used in the assessment is termed Pulse Block Day. This is the number of days within a specified spatial unit in which anthropogenic impulsive sources occurred in a given calendar year. Only sound sources above a specified intensity level are included. These levels are detailed in the technical specification of the Impulsive Noise Indicator (</w:t>
      </w:r>
      <w:hyperlink r:id="rId19" w:history="1">
        <w:r w:rsidRPr="00E22A80">
          <w:rPr>
            <w:rStyle w:val="Hyperlink"/>
            <w:rFonts w:asciiTheme="minorHAnsi" w:hAnsiTheme="minorHAnsi" w:cstheme="minorHAnsi"/>
          </w:rPr>
          <w:t>OSPAR Agreement 2014-08</w:t>
        </w:r>
      </w:hyperlink>
      <w:r w:rsidRPr="00E22A80">
        <w:rPr>
          <w:rFonts w:asciiTheme="minorHAnsi" w:hAnsiTheme="minorHAnsi" w:cstheme="minorHAnsi"/>
        </w:rPr>
        <w:t xml:space="preserve">). Note that the application of source mitigation measures may reduce source intensity such that an activity no longer qualifies for inclusion in the registry. The spatial component of the Pulse Block Day is the ICES statistical sub-rectangle, which is defined in a standard way throughout the OSPAR region, and provides detailed resolution at the regional sea scale. </w:t>
      </w:r>
    </w:p>
    <w:p w14:paraId="4857DFEF" w14:textId="77777777" w:rsidR="00390E94" w:rsidRPr="00E22A80" w:rsidRDefault="00390E94" w:rsidP="004E2D6F">
      <w:pPr>
        <w:spacing w:before="120"/>
        <w:rPr>
          <w:rFonts w:asciiTheme="minorHAnsi" w:hAnsiTheme="minorHAnsi" w:cstheme="minorHAnsi"/>
        </w:rPr>
      </w:pPr>
      <w:r w:rsidRPr="00E22A80">
        <w:rPr>
          <w:rFonts w:asciiTheme="minorHAnsi" w:hAnsiTheme="minorHAnsi" w:cstheme="minorHAnsi"/>
        </w:rPr>
        <w:t>3.4</w:t>
      </w:r>
      <w:r w:rsidRPr="00E22A80">
        <w:rPr>
          <w:rFonts w:asciiTheme="minorHAnsi" w:hAnsiTheme="minorHAnsi" w:cstheme="minorHAnsi"/>
        </w:rPr>
        <w:tab/>
        <w:t>Presentation of assessment results</w:t>
      </w:r>
    </w:p>
    <w:p w14:paraId="6E36B60D"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 xml:space="preserve">The assessment describes the spatial and temporal distribution of anthropogenic impulsive sound sources in the OSPAR maritime region. The spatiotemporal unit of assessment </w:t>
      </w:r>
      <w:r w:rsidR="001F0D66" w:rsidRPr="00E22A80">
        <w:rPr>
          <w:rFonts w:asciiTheme="minorHAnsi" w:hAnsiTheme="minorHAnsi" w:cstheme="minorHAnsi"/>
        </w:rPr>
        <w:t xml:space="preserve">used in the Intermediate Assessment 2017 </w:t>
      </w:r>
      <w:r w:rsidRPr="00E22A80">
        <w:rPr>
          <w:rFonts w:asciiTheme="minorHAnsi" w:hAnsiTheme="minorHAnsi" w:cstheme="minorHAnsi"/>
        </w:rPr>
        <w:t xml:space="preserve">is the Pulse Block Day (see above), which records the number of days of anthropogenic impulsive sound activity in a given ICES statistical sub-rectangle for a particular calendar year. The assessment results are presented as maps of Pulse Block Days for each calendar year of reporting. The indicator map for Intermediate Assessment 2017 is displayed in the </w:t>
      </w:r>
      <w:hyperlink r:id="rId20" w:history="1">
        <w:r w:rsidRPr="00E22A80">
          <w:rPr>
            <w:rStyle w:val="Hyperlink"/>
            <w:rFonts w:asciiTheme="minorHAnsi" w:hAnsiTheme="minorHAnsi" w:cstheme="minorHAnsi"/>
          </w:rPr>
          <w:t>OSPAR data page</w:t>
        </w:r>
      </w:hyperlink>
      <w:r w:rsidRPr="00E22A80">
        <w:rPr>
          <w:rFonts w:asciiTheme="minorHAnsi" w:hAnsiTheme="minorHAnsi" w:cstheme="minorHAnsi"/>
        </w:rPr>
        <w:t xml:space="preserve">, and data currently recorded in the INR can be viewed and interpreted via the </w:t>
      </w:r>
      <w:hyperlink r:id="rId21" w:history="1">
        <w:r w:rsidRPr="00E22A80">
          <w:rPr>
            <w:rStyle w:val="Hyperlink"/>
            <w:rFonts w:asciiTheme="minorHAnsi" w:hAnsiTheme="minorHAnsi" w:cstheme="minorHAnsi"/>
          </w:rPr>
          <w:t>online ICES portal</w:t>
        </w:r>
      </w:hyperlink>
      <w:r w:rsidRPr="00E22A80">
        <w:rPr>
          <w:rFonts w:asciiTheme="minorHAnsi" w:hAnsiTheme="minorHAnsi" w:cstheme="minorHAnsi"/>
        </w:rPr>
        <w:t>. At regional scale, these maps present a detailed and readily interpreted overview of anthropogenic impulsive sound activity for a given calendar year (Figure 3). The data can also be presented separately for each source type (e.g. seismic airgun; impact pile driver; explosion) to assess the contribution of the associated human activities (Figure 4). The periodicity of the indicator assessment is every three years.</w:t>
      </w:r>
    </w:p>
    <w:p w14:paraId="43F315F2" w14:textId="77777777" w:rsidR="00390E94" w:rsidRPr="00E22A80" w:rsidRDefault="00390E94" w:rsidP="00390E94">
      <w:pPr>
        <w:pStyle w:val="ListParagraph"/>
        <w:spacing w:before="40" w:after="40"/>
        <w:ind w:left="0"/>
        <w:rPr>
          <w:rFonts w:asciiTheme="minorHAnsi" w:hAnsiTheme="minorHAnsi" w:cstheme="minorHAnsi"/>
          <w:noProof/>
          <w:sz w:val="20"/>
          <w:szCs w:val="20"/>
          <w:lang w:eastAsia="en-GB"/>
        </w:rPr>
      </w:pPr>
      <w:r w:rsidRPr="00E22A80">
        <w:rPr>
          <w:rFonts w:asciiTheme="minorHAnsi" w:hAnsiTheme="minorHAnsi" w:cstheme="minorHAnsi"/>
          <w:noProof/>
          <w:sz w:val="20"/>
          <w:szCs w:val="20"/>
          <w:lang w:eastAsia="en-GB"/>
        </w:rPr>
        <w:lastRenderedPageBreak/>
        <w:drawing>
          <wp:inline distT="0" distB="0" distL="0" distR="0" wp14:anchorId="359CAA61" wp14:editId="2EC51DF0">
            <wp:extent cx="5698338"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jor Activities\IntermediateAssessment_2017\04_Indicator_Assessment_Sheets\03 Draft Assessment Sheets\01_EIHA\04_D11_impulsive_noise\01_Figures\Figure_4\PBD-TOTAL.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698338" cy="3886200"/>
                    </a:xfrm>
                    <a:prstGeom prst="rect">
                      <a:avLst/>
                    </a:prstGeom>
                    <a:noFill/>
                    <a:ln>
                      <a:noFill/>
                    </a:ln>
                  </pic:spPr>
                </pic:pic>
              </a:graphicData>
            </a:graphic>
          </wp:inline>
        </w:drawing>
      </w:r>
    </w:p>
    <w:p w14:paraId="5F9DBD41" w14:textId="77777777" w:rsidR="00390E94" w:rsidRPr="00E22A80" w:rsidRDefault="00390E94" w:rsidP="00390E94">
      <w:pPr>
        <w:pStyle w:val="ListParagraph"/>
        <w:spacing w:before="40" w:after="40"/>
        <w:ind w:left="0"/>
        <w:rPr>
          <w:rFonts w:asciiTheme="minorHAnsi" w:hAnsiTheme="minorHAnsi" w:cstheme="minorHAnsi"/>
          <w:i/>
          <w:noProof/>
          <w:sz w:val="18"/>
          <w:szCs w:val="20"/>
          <w:lang w:eastAsia="en-GB"/>
        </w:rPr>
      </w:pPr>
      <w:r w:rsidRPr="00E22A80">
        <w:rPr>
          <w:rFonts w:asciiTheme="minorHAnsi" w:hAnsiTheme="minorHAnsi" w:cstheme="minorHAnsi"/>
          <w:noProof/>
          <w:sz w:val="18"/>
          <w:szCs w:val="20"/>
          <w:lang w:eastAsia="en-GB"/>
        </w:rPr>
        <w:t xml:space="preserve">   </w:t>
      </w:r>
      <w:r w:rsidRPr="00E22A80">
        <w:rPr>
          <w:rFonts w:asciiTheme="minorHAnsi" w:hAnsiTheme="minorHAnsi" w:cstheme="minorHAnsi"/>
          <w:i/>
          <w:noProof/>
          <w:sz w:val="18"/>
          <w:szCs w:val="20"/>
          <w:lang w:eastAsia="en-GB"/>
        </w:rPr>
        <w:t>Figure 3. Total pulse block days reported for 2015.</w:t>
      </w:r>
    </w:p>
    <w:p w14:paraId="4172465F" w14:textId="77777777" w:rsidR="00390E94" w:rsidRPr="00E22A80" w:rsidRDefault="00390E94" w:rsidP="00390E94">
      <w:pPr>
        <w:pStyle w:val="ListParagraph"/>
        <w:spacing w:before="40" w:after="40"/>
        <w:ind w:left="0"/>
        <w:rPr>
          <w:rFonts w:asciiTheme="minorHAnsi" w:hAnsiTheme="minorHAnsi" w:cstheme="minorHAnsi"/>
          <w:i/>
          <w:noProof/>
          <w:sz w:val="20"/>
          <w:szCs w:val="20"/>
          <w:lang w:eastAsia="en-GB"/>
        </w:rPr>
      </w:pPr>
    </w:p>
    <w:p w14:paraId="58028998" w14:textId="77777777" w:rsidR="00390E94" w:rsidRPr="00E22A80" w:rsidRDefault="00390E94" w:rsidP="00390E94">
      <w:pPr>
        <w:pStyle w:val="ListParagraph"/>
        <w:spacing w:before="40" w:after="40"/>
        <w:ind w:left="0"/>
        <w:rPr>
          <w:rFonts w:asciiTheme="minorHAnsi" w:hAnsiTheme="minorHAnsi" w:cstheme="minorHAnsi"/>
          <w:i/>
          <w:noProof/>
          <w:sz w:val="20"/>
          <w:szCs w:val="20"/>
          <w:lang w:eastAsia="en-GB"/>
        </w:rPr>
      </w:pPr>
      <w:r w:rsidRPr="00E22A80">
        <w:rPr>
          <w:rFonts w:asciiTheme="minorHAnsi" w:hAnsiTheme="minorHAnsi" w:cstheme="minorHAnsi"/>
          <w:i/>
          <w:noProof/>
          <w:sz w:val="20"/>
          <w:szCs w:val="20"/>
          <w:lang w:eastAsia="en-GB"/>
        </w:rPr>
        <w:drawing>
          <wp:inline distT="0" distB="0" distL="0" distR="0" wp14:anchorId="18612E2B" wp14:editId="031074DB">
            <wp:extent cx="5706000" cy="3891424"/>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PAR_Basemap_PBDs_source_type_NO-HELCOM_comp.jpg"/>
                    <pic:cNvPicPr/>
                  </pic:nvPicPr>
                  <pic:blipFill>
                    <a:blip r:embed="rId23">
                      <a:extLst>
                        <a:ext uri="{28A0092B-C50C-407E-A947-70E740481C1C}">
                          <a14:useLocalDpi xmlns:a14="http://schemas.microsoft.com/office/drawing/2010/main" val="0"/>
                        </a:ext>
                      </a:extLst>
                    </a:blip>
                    <a:stretch>
                      <a:fillRect/>
                    </a:stretch>
                  </pic:blipFill>
                  <pic:spPr>
                    <a:xfrm>
                      <a:off x="0" y="0"/>
                      <a:ext cx="5706000" cy="3891424"/>
                    </a:xfrm>
                    <a:prstGeom prst="rect">
                      <a:avLst/>
                    </a:prstGeom>
                  </pic:spPr>
                </pic:pic>
              </a:graphicData>
            </a:graphic>
          </wp:inline>
        </w:drawing>
      </w:r>
    </w:p>
    <w:p w14:paraId="74657950" w14:textId="77777777" w:rsidR="00390E94" w:rsidRPr="00E22A80" w:rsidRDefault="00390E94" w:rsidP="00390E94">
      <w:pPr>
        <w:pStyle w:val="ListParagraph"/>
        <w:spacing w:before="40" w:after="40"/>
        <w:ind w:left="0"/>
        <w:rPr>
          <w:rFonts w:asciiTheme="minorHAnsi" w:hAnsiTheme="minorHAnsi" w:cstheme="minorHAnsi"/>
          <w:i/>
          <w:noProof/>
          <w:sz w:val="18"/>
          <w:szCs w:val="20"/>
          <w:lang w:eastAsia="en-GB"/>
        </w:rPr>
      </w:pPr>
      <w:r w:rsidRPr="00E22A80">
        <w:rPr>
          <w:rFonts w:asciiTheme="minorHAnsi" w:hAnsiTheme="minorHAnsi" w:cstheme="minorHAnsi"/>
          <w:i/>
          <w:noProof/>
          <w:sz w:val="18"/>
          <w:szCs w:val="20"/>
          <w:lang w:eastAsia="en-GB"/>
        </w:rPr>
        <w:t xml:space="preserve">   Figure 4. Activity type of pulse block days reported for 2015</w:t>
      </w:r>
    </w:p>
    <w:p w14:paraId="3AAC0FA1" w14:textId="77777777" w:rsidR="00390E94" w:rsidRPr="00E22A80" w:rsidRDefault="00390E94" w:rsidP="00390E94">
      <w:pPr>
        <w:rPr>
          <w:rFonts w:asciiTheme="minorHAnsi" w:hAnsiTheme="minorHAnsi" w:cstheme="minorHAnsi"/>
        </w:rPr>
      </w:pPr>
      <w:r w:rsidRPr="00E22A80">
        <w:rPr>
          <w:rFonts w:asciiTheme="minorHAnsi" w:hAnsiTheme="minorHAnsi" w:cstheme="minorHAnsi"/>
        </w:rPr>
        <w:tab/>
      </w:r>
    </w:p>
    <w:p w14:paraId="1D59E5A7" w14:textId="77777777" w:rsidR="004E2D6F" w:rsidRDefault="004E2D6F">
      <w:pPr>
        <w:tabs>
          <w:tab w:val="clear" w:pos="567"/>
        </w:tabs>
        <w:spacing w:after="0"/>
        <w:jc w:val="left"/>
        <w:rPr>
          <w:rFonts w:asciiTheme="minorHAnsi" w:hAnsiTheme="minorHAnsi" w:cstheme="minorHAnsi"/>
          <w:sz w:val="28"/>
          <w:szCs w:val="28"/>
        </w:rPr>
      </w:pPr>
      <w:r>
        <w:rPr>
          <w:rFonts w:asciiTheme="minorHAnsi" w:hAnsiTheme="minorHAnsi" w:cstheme="minorHAnsi"/>
          <w:sz w:val="28"/>
          <w:szCs w:val="28"/>
        </w:rPr>
        <w:br w:type="page"/>
      </w:r>
    </w:p>
    <w:p w14:paraId="75E055F2" w14:textId="5C2F4AEA" w:rsidR="00390E94" w:rsidRPr="00E22A80" w:rsidRDefault="00390E94" w:rsidP="00390E94">
      <w:pPr>
        <w:rPr>
          <w:rFonts w:asciiTheme="minorHAnsi" w:hAnsiTheme="minorHAnsi" w:cstheme="minorHAnsi"/>
          <w:sz w:val="28"/>
          <w:szCs w:val="28"/>
        </w:rPr>
      </w:pPr>
      <w:r w:rsidRPr="00E22A80">
        <w:rPr>
          <w:rFonts w:asciiTheme="minorHAnsi" w:hAnsiTheme="minorHAnsi" w:cstheme="minorHAnsi"/>
          <w:sz w:val="28"/>
          <w:szCs w:val="28"/>
        </w:rPr>
        <w:lastRenderedPageBreak/>
        <w:t>4</w:t>
      </w:r>
      <w:r w:rsidRPr="00E22A80">
        <w:rPr>
          <w:rFonts w:asciiTheme="minorHAnsi" w:hAnsiTheme="minorHAnsi" w:cstheme="minorHAnsi"/>
          <w:sz w:val="28"/>
          <w:szCs w:val="28"/>
        </w:rPr>
        <w:tab/>
        <w:t>Change Management</w:t>
      </w:r>
    </w:p>
    <w:p w14:paraId="3A4E298A" w14:textId="2C08BD63" w:rsidR="00390E94" w:rsidRPr="00E22A80" w:rsidRDefault="00390E94" w:rsidP="00390E94">
      <w:pPr>
        <w:rPr>
          <w:rFonts w:asciiTheme="minorHAnsi" w:hAnsiTheme="minorHAnsi" w:cstheme="minorHAnsi"/>
        </w:rPr>
      </w:pPr>
      <w:r w:rsidRPr="00E22A80">
        <w:rPr>
          <w:rFonts w:asciiTheme="minorHAnsi" w:hAnsiTheme="minorHAnsi" w:cstheme="minorHAnsi"/>
        </w:rPr>
        <w:t>Requests for changes of the impulsive sound monitoring or assessment method should be raised at the Intersessional Correspondence Group on Underwater Noise (ICG-Noise). Such requests will be discussed within ICG-NOISE before any changes are proposed to the Environmental Impact of Human Activities (EIHA) Committee for agreement.</w:t>
      </w:r>
    </w:p>
    <w:p w14:paraId="639C5A17" w14:textId="77777777" w:rsidR="00390E94" w:rsidRPr="00E22A80" w:rsidRDefault="00390E94" w:rsidP="00390E94">
      <w:pPr>
        <w:rPr>
          <w:rFonts w:asciiTheme="minorHAnsi" w:hAnsiTheme="minorHAnsi" w:cstheme="minorHAnsi"/>
        </w:rPr>
      </w:pPr>
    </w:p>
    <w:p w14:paraId="2590B4EF" w14:textId="77777777" w:rsidR="00390E94" w:rsidRPr="00E22A80" w:rsidRDefault="00390E94" w:rsidP="00390E94">
      <w:pPr>
        <w:rPr>
          <w:rFonts w:asciiTheme="minorHAnsi" w:hAnsiTheme="minorHAnsi" w:cstheme="minorHAnsi"/>
          <w:sz w:val="28"/>
          <w:szCs w:val="28"/>
        </w:rPr>
      </w:pPr>
      <w:r w:rsidRPr="00E22A80">
        <w:rPr>
          <w:rFonts w:asciiTheme="minorHAnsi" w:hAnsiTheme="minorHAnsi" w:cstheme="minorHAnsi"/>
          <w:sz w:val="28"/>
          <w:szCs w:val="28"/>
        </w:rPr>
        <w:t>5</w:t>
      </w:r>
      <w:r w:rsidRPr="00E22A80">
        <w:rPr>
          <w:rFonts w:asciiTheme="minorHAnsi" w:hAnsiTheme="minorHAnsi" w:cstheme="minorHAnsi"/>
          <w:sz w:val="28"/>
          <w:szCs w:val="28"/>
        </w:rPr>
        <w:tab/>
        <w:t>References</w:t>
      </w:r>
    </w:p>
    <w:p w14:paraId="3B79F15E" w14:textId="77777777" w:rsidR="00390E94" w:rsidRPr="00E22A80" w:rsidRDefault="00112E2F" w:rsidP="00390E94">
      <w:pPr>
        <w:widowControl w:val="0"/>
        <w:autoSpaceDE w:val="0"/>
        <w:autoSpaceDN w:val="0"/>
        <w:adjustRightInd w:val="0"/>
        <w:ind w:left="480" w:hanging="480"/>
        <w:rPr>
          <w:rFonts w:asciiTheme="minorHAnsi" w:hAnsiTheme="minorHAnsi" w:cstheme="minorHAnsi"/>
          <w:noProof/>
          <w:szCs w:val="24"/>
        </w:rPr>
      </w:pPr>
      <w:r w:rsidRPr="00E22A80">
        <w:rPr>
          <w:rFonts w:asciiTheme="minorHAnsi" w:hAnsiTheme="minorHAnsi" w:cstheme="minorHAnsi"/>
        </w:rPr>
        <w:fldChar w:fldCharType="begin" w:fldLock="1"/>
      </w:r>
      <w:r w:rsidR="00390E94" w:rsidRPr="00E22A80">
        <w:rPr>
          <w:rFonts w:asciiTheme="minorHAnsi" w:hAnsiTheme="minorHAnsi" w:cstheme="minorHAnsi"/>
        </w:rPr>
        <w:instrText xml:space="preserve">ADDIN Mendeley Bibliography CSL_BIBLIOGRAPHY </w:instrText>
      </w:r>
      <w:r w:rsidRPr="00E22A80">
        <w:rPr>
          <w:rFonts w:asciiTheme="minorHAnsi" w:hAnsiTheme="minorHAnsi" w:cstheme="minorHAnsi"/>
        </w:rPr>
        <w:fldChar w:fldCharType="separate"/>
      </w:r>
      <w:r w:rsidR="00390E94" w:rsidRPr="00E22A80">
        <w:rPr>
          <w:rFonts w:asciiTheme="minorHAnsi" w:hAnsiTheme="minorHAnsi" w:cstheme="minorHAnsi"/>
          <w:noProof/>
          <w:szCs w:val="24"/>
        </w:rPr>
        <w:t xml:space="preserve">Aguilar de Soto, N., Delorme, N., Atkins, J., Howard, S., Williams, J. &amp; Johnson, M. (2013) Anthropogenic noise causes body malformations and delays development in marine larvae. </w:t>
      </w:r>
      <w:r w:rsidR="00390E94" w:rsidRPr="00E22A80">
        <w:rPr>
          <w:rFonts w:asciiTheme="minorHAnsi" w:hAnsiTheme="minorHAnsi" w:cstheme="minorHAnsi"/>
          <w:i/>
          <w:iCs/>
          <w:noProof/>
          <w:szCs w:val="24"/>
        </w:rPr>
        <w:t>Scientific Reports</w:t>
      </w:r>
      <w:r w:rsidR="00390E94" w:rsidRPr="00E22A80">
        <w:rPr>
          <w:rFonts w:asciiTheme="minorHAnsi" w:hAnsiTheme="minorHAnsi" w:cstheme="minorHAnsi"/>
          <w:noProof/>
          <w:szCs w:val="24"/>
        </w:rPr>
        <w:t xml:space="preserve">, </w:t>
      </w:r>
      <w:r w:rsidR="00390E94" w:rsidRPr="00E22A80">
        <w:rPr>
          <w:rFonts w:asciiTheme="minorHAnsi" w:hAnsiTheme="minorHAnsi" w:cstheme="minorHAnsi"/>
          <w:b/>
          <w:bCs/>
          <w:noProof/>
          <w:szCs w:val="24"/>
        </w:rPr>
        <w:t>3</w:t>
      </w:r>
      <w:r w:rsidR="00390E94" w:rsidRPr="00E22A80">
        <w:rPr>
          <w:rFonts w:asciiTheme="minorHAnsi" w:hAnsiTheme="minorHAnsi" w:cstheme="minorHAnsi"/>
          <w:noProof/>
          <w:szCs w:val="24"/>
        </w:rPr>
        <w:t>, 2831.</w:t>
      </w:r>
    </w:p>
    <w:p w14:paraId="502D8262" w14:textId="77777777" w:rsidR="00390E94" w:rsidRPr="00E22A80" w:rsidRDefault="00390E94" w:rsidP="00390E94">
      <w:pPr>
        <w:widowControl w:val="0"/>
        <w:autoSpaceDE w:val="0"/>
        <w:autoSpaceDN w:val="0"/>
        <w:adjustRightInd w:val="0"/>
        <w:ind w:left="480" w:hanging="480"/>
        <w:rPr>
          <w:rFonts w:asciiTheme="minorHAnsi" w:hAnsiTheme="minorHAnsi" w:cstheme="minorHAnsi"/>
          <w:noProof/>
          <w:szCs w:val="24"/>
        </w:rPr>
      </w:pPr>
      <w:r w:rsidRPr="00E22A80">
        <w:rPr>
          <w:rFonts w:asciiTheme="minorHAnsi" w:hAnsiTheme="minorHAnsi" w:cstheme="minorHAnsi"/>
          <w:noProof/>
          <w:szCs w:val="24"/>
        </w:rPr>
        <w:t xml:space="preserve">Debusschere, E., Hostens, K., Adriaens, D., Ampe, B., Botteldooren, D., De Boeck, G., De Muynck, A., Sinha, A.K., Vandendriessche, S., Van Hoorebeke, L., Vincx, M. &amp; Degraer, S. (2016) Acoustic stress responses in juvenile sea bass Dicentrarchus labrax induced by offshore pile driving. </w:t>
      </w:r>
      <w:r w:rsidRPr="00E22A80">
        <w:rPr>
          <w:rFonts w:asciiTheme="minorHAnsi" w:hAnsiTheme="minorHAnsi" w:cstheme="minorHAnsi"/>
          <w:i/>
          <w:iCs/>
          <w:noProof/>
          <w:szCs w:val="24"/>
        </w:rPr>
        <w:t>Environmental pollution (Barking, Essex : 1987)</w:t>
      </w:r>
      <w:r w:rsidRPr="00E22A80">
        <w:rPr>
          <w:rFonts w:asciiTheme="minorHAnsi" w:hAnsiTheme="minorHAnsi" w:cstheme="minorHAnsi"/>
          <w:noProof/>
          <w:szCs w:val="24"/>
        </w:rPr>
        <w:t xml:space="preserve">, </w:t>
      </w:r>
      <w:r w:rsidRPr="00E22A80">
        <w:rPr>
          <w:rFonts w:asciiTheme="minorHAnsi" w:hAnsiTheme="minorHAnsi" w:cstheme="minorHAnsi"/>
          <w:b/>
          <w:bCs/>
          <w:noProof/>
          <w:szCs w:val="24"/>
        </w:rPr>
        <w:t>208</w:t>
      </w:r>
      <w:r w:rsidRPr="00E22A80">
        <w:rPr>
          <w:rFonts w:asciiTheme="minorHAnsi" w:hAnsiTheme="minorHAnsi" w:cstheme="minorHAnsi"/>
          <w:noProof/>
          <w:szCs w:val="24"/>
        </w:rPr>
        <w:t>, 747–57.</w:t>
      </w:r>
    </w:p>
    <w:p w14:paraId="7CEFBE44" w14:textId="77777777" w:rsidR="00390E94" w:rsidRPr="00E22A80" w:rsidRDefault="00390E94" w:rsidP="00390E94">
      <w:pPr>
        <w:widowControl w:val="0"/>
        <w:autoSpaceDE w:val="0"/>
        <w:autoSpaceDN w:val="0"/>
        <w:adjustRightInd w:val="0"/>
        <w:ind w:left="480" w:hanging="480"/>
        <w:rPr>
          <w:rFonts w:asciiTheme="minorHAnsi" w:hAnsiTheme="minorHAnsi" w:cstheme="minorHAnsi"/>
          <w:noProof/>
          <w:szCs w:val="24"/>
        </w:rPr>
      </w:pPr>
      <w:r w:rsidRPr="00E22A80">
        <w:rPr>
          <w:rFonts w:asciiTheme="minorHAnsi" w:hAnsiTheme="minorHAnsi" w:cstheme="minorHAnsi"/>
          <w:noProof/>
          <w:szCs w:val="24"/>
        </w:rPr>
        <w:t xml:space="preserve">Thompson, P.M., Brookes, K.L., Graham, I.M., Barton, T.R., Needham, K., Bradbury, G. &amp; Merchant, N.D. (2013) Short-term disturbance by a commercial two-dimensional seismic survey does not lead to long-term displacement of harbour porpoises. </w:t>
      </w:r>
      <w:r w:rsidRPr="00E22A80">
        <w:rPr>
          <w:rFonts w:asciiTheme="minorHAnsi" w:hAnsiTheme="minorHAnsi" w:cstheme="minorHAnsi"/>
          <w:i/>
          <w:iCs/>
          <w:noProof/>
          <w:szCs w:val="24"/>
        </w:rPr>
        <w:t>Proceedings. Biological sciences / The Royal Society</w:t>
      </w:r>
      <w:r w:rsidRPr="00E22A80">
        <w:rPr>
          <w:rFonts w:asciiTheme="minorHAnsi" w:hAnsiTheme="minorHAnsi" w:cstheme="minorHAnsi"/>
          <w:noProof/>
          <w:szCs w:val="24"/>
        </w:rPr>
        <w:t xml:space="preserve">, </w:t>
      </w:r>
      <w:r w:rsidRPr="00E22A80">
        <w:rPr>
          <w:rFonts w:asciiTheme="minorHAnsi" w:hAnsiTheme="minorHAnsi" w:cstheme="minorHAnsi"/>
          <w:b/>
          <w:bCs/>
          <w:noProof/>
          <w:szCs w:val="24"/>
        </w:rPr>
        <w:t>280</w:t>
      </w:r>
      <w:r w:rsidRPr="00E22A80">
        <w:rPr>
          <w:rFonts w:asciiTheme="minorHAnsi" w:hAnsiTheme="minorHAnsi" w:cstheme="minorHAnsi"/>
          <w:noProof/>
          <w:szCs w:val="24"/>
        </w:rPr>
        <w:t>, 20132001.</w:t>
      </w:r>
    </w:p>
    <w:p w14:paraId="146340A6" w14:textId="77777777" w:rsidR="00390E94" w:rsidRPr="00E22A80" w:rsidRDefault="00390E94" w:rsidP="00390E94">
      <w:pPr>
        <w:widowControl w:val="0"/>
        <w:autoSpaceDE w:val="0"/>
        <w:autoSpaceDN w:val="0"/>
        <w:adjustRightInd w:val="0"/>
        <w:ind w:left="480" w:hanging="480"/>
        <w:rPr>
          <w:rFonts w:asciiTheme="minorHAnsi" w:hAnsiTheme="minorHAnsi" w:cstheme="minorHAnsi"/>
          <w:noProof/>
        </w:rPr>
      </w:pPr>
      <w:r w:rsidRPr="00E22A80">
        <w:rPr>
          <w:rFonts w:asciiTheme="minorHAnsi" w:hAnsiTheme="minorHAnsi" w:cstheme="minorHAnsi"/>
          <w:noProof/>
          <w:szCs w:val="24"/>
        </w:rPr>
        <w:t xml:space="preserve">Tyack, P.L., Zimmer, W.M.X., Moretti, D., Southall, B.L., Claridge, D.E., Durban, J.W., Clark, C.W., D’Amico, A., DiMarzio, N., Jarvis, S., McCarthy, E., Morrissey, R., Ward, J. &amp; Boyd, I.L. (2011) Beaked Whales </w:t>
      </w:r>
      <w:bookmarkStart w:id="0" w:name="_GoBack"/>
      <w:r w:rsidRPr="00E22A80">
        <w:rPr>
          <w:rFonts w:asciiTheme="minorHAnsi" w:hAnsiTheme="minorHAnsi" w:cstheme="minorHAnsi"/>
          <w:noProof/>
          <w:szCs w:val="24"/>
        </w:rPr>
        <w:t xml:space="preserve">Respond to Simulated and Actual Navy Sonar. </w:t>
      </w:r>
      <w:r w:rsidRPr="00E22A80">
        <w:rPr>
          <w:rFonts w:asciiTheme="minorHAnsi" w:hAnsiTheme="minorHAnsi" w:cstheme="minorHAnsi"/>
          <w:i/>
          <w:iCs/>
          <w:noProof/>
          <w:szCs w:val="24"/>
        </w:rPr>
        <w:t>PLoS ONE</w:t>
      </w:r>
      <w:r w:rsidRPr="00E22A80">
        <w:rPr>
          <w:rFonts w:asciiTheme="minorHAnsi" w:hAnsiTheme="minorHAnsi" w:cstheme="minorHAnsi"/>
          <w:noProof/>
          <w:szCs w:val="24"/>
        </w:rPr>
        <w:t xml:space="preserve">, </w:t>
      </w:r>
      <w:r w:rsidRPr="00E22A80">
        <w:rPr>
          <w:rFonts w:asciiTheme="minorHAnsi" w:hAnsiTheme="minorHAnsi" w:cstheme="minorHAnsi"/>
          <w:b/>
          <w:bCs/>
          <w:noProof/>
          <w:szCs w:val="24"/>
        </w:rPr>
        <w:t>6</w:t>
      </w:r>
      <w:r w:rsidRPr="00E22A80">
        <w:rPr>
          <w:rFonts w:asciiTheme="minorHAnsi" w:hAnsiTheme="minorHAnsi" w:cstheme="minorHAnsi"/>
          <w:noProof/>
          <w:szCs w:val="24"/>
        </w:rPr>
        <w:t>, e17009.</w:t>
      </w:r>
    </w:p>
    <w:bookmarkEnd w:id="0"/>
    <w:p w14:paraId="3EB3E337" w14:textId="77777777" w:rsidR="00390E94" w:rsidRPr="00E22A80" w:rsidRDefault="00112E2F" w:rsidP="00390E94">
      <w:pPr>
        <w:rPr>
          <w:rFonts w:asciiTheme="minorHAnsi" w:hAnsiTheme="minorHAnsi" w:cstheme="minorHAnsi"/>
        </w:rPr>
      </w:pPr>
      <w:r w:rsidRPr="00E22A80">
        <w:rPr>
          <w:rFonts w:asciiTheme="minorHAnsi" w:hAnsiTheme="minorHAnsi" w:cstheme="minorHAnsi"/>
        </w:rPr>
        <w:fldChar w:fldCharType="end"/>
      </w:r>
    </w:p>
    <w:p w14:paraId="162096B1" w14:textId="77777777" w:rsidR="00390E94" w:rsidRPr="00E22A80" w:rsidRDefault="00390E94" w:rsidP="001A6DFC">
      <w:pPr>
        <w:pStyle w:val="BodyText"/>
        <w:spacing w:before="120" w:line="280" w:lineRule="atLeast"/>
        <w:rPr>
          <w:rFonts w:asciiTheme="minorHAnsi" w:hAnsiTheme="minorHAnsi" w:cstheme="minorHAnsi"/>
        </w:rPr>
      </w:pPr>
    </w:p>
    <w:sectPr w:rsidR="00390E94" w:rsidRPr="00E22A80" w:rsidSect="006E461F">
      <w:footerReference w:type="default" r:id="rId24"/>
      <w:pgSz w:w="11907" w:h="16840" w:code="9"/>
      <w:pgMar w:top="1134" w:right="1134" w:bottom="1134" w:left="1134" w:header="567"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31042" w14:textId="77777777" w:rsidR="007C0B21" w:rsidRDefault="007C0B21" w:rsidP="00FC3D64">
      <w:r>
        <w:separator/>
      </w:r>
    </w:p>
  </w:endnote>
  <w:endnote w:type="continuationSeparator" w:id="0">
    <w:p w14:paraId="096E0FED" w14:textId="77777777" w:rsidR="007C0B21" w:rsidRDefault="007C0B21" w:rsidP="00FC3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ller">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Mistral">
    <w:panose1 w:val="03090702030407020403"/>
    <w:charset w:val="00"/>
    <w:family w:val="script"/>
    <w:pitch w:val="variable"/>
    <w:sig w:usb0="00000287" w:usb1="00000000" w:usb2="00000000" w:usb3="00000000" w:csb0="0000009F" w:csb1="00000000"/>
  </w:font>
  <w:font w:name="Univers">
    <w:panose1 w:val="00000000000000000000"/>
    <w:charset w:val="00"/>
    <w:family w:val="swiss"/>
    <w:notTrueType/>
    <w:pitch w:val="variable"/>
    <w:sig w:usb0="00000003" w:usb1="00000000" w:usb2="00000000" w:usb3="00000000" w:csb0="00000001" w:csb1="00000000"/>
  </w:font>
  <w:font w:name="Futura Md BT">
    <w:altName w:val="Lucida Sans Unicode"/>
    <w:panose1 w:val="00000000000000000000"/>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C3F11" w14:textId="77777777" w:rsidR="007C0B21" w:rsidRDefault="007C0B21">
    <w:pPr>
      <w:pStyle w:val="Footer"/>
    </w:pPr>
  </w:p>
  <w:tbl>
    <w:tblPr>
      <w:tblW w:w="9647" w:type="dxa"/>
      <w:tblCellMar>
        <w:top w:w="57" w:type="dxa"/>
        <w:left w:w="0" w:type="dxa"/>
        <w:bottom w:w="57" w:type="dxa"/>
        <w:right w:w="0" w:type="dxa"/>
      </w:tblCellMar>
      <w:tblLook w:val="0000" w:firstRow="0" w:lastRow="0" w:firstColumn="0" w:lastColumn="0" w:noHBand="0" w:noVBand="0"/>
    </w:tblPr>
    <w:tblGrid>
      <w:gridCol w:w="3215"/>
      <w:gridCol w:w="3216"/>
      <w:gridCol w:w="3216"/>
    </w:tblGrid>
    <w:tr w:rsidR="007C0B21" w:rsidRPr="00A960EA" w14:paraId="4DA09E6C" w14:textId="77777777" w:rsidTr="007C0B21">
      <w:trPr>
        <w:cantSplit/>
        <w:trHeight w:hRule="exact" w:val="284"/>
      </w:trPr>
      <w:tc>
        <w:tcPr>
          <w:tcW w:w="9647" w:type="dxa"/>
          <w:gridSpan w:val="3"/>
          <w:tcBorders>
            <w:bottom w:val="single" w:sz="4" w:space="0" w:color="auto"/>
          </w:tcBorders>
        </w:tcPr>
        <w:p w14:paraId="5F6F5870" w14:textId="77777777" w:rsidR="007C0B21" w:rsidRPr="00A960EA" w:rsidRDefault="007C0B21" w:rsidP="00D84B8E">
          <w:pPr>
            <w:pStyle w:val="Footer"/>
            <w:tabs>
              <w:tab w:val="left" w:pos="272"/>
              <w:tab w:val="right" w:pos="9594"/>
            </w:tabs>
            <w:rPr>
              <w:rFonts w:cs="Arial"/>
              <w:sz w:val="20"/>
            </w:rPr>
          </w:pPr>
        </w:p>
      </w:tc>
    </w:tr>
    <w:tr w:rsidR="007C0B21" w:rsidRPr="00A960EA" w14:paraId="33AA871A" w14:textId="77777777" w:rsidTr="007C0B21">
      <w:trPr>
        <w:cantSplit/>
        <w:trHeight w:hRule="exact" w:val="284"/>
      </w:trPr>
      <w:tc>
        <w:tcPr>
          <w:tcW w:w="3215" w:type="dxa"/>
          <w:tcBorders>
            <w:top w:val="single" w:sz="4" w:space="0" w:color="auto"/>
          </w:tcBorders>
        </w:tcPr>
        <w:p w14:paraId="25EA77FE" w14:textId="77777777" w:rsidR="007C0B21" w:rsidRPr="00A960EA" w:rsidRDefault="007C0B21" w:rsidP="00D84B8E">
          <w:pPr>
            <w:pStyle w:val="Footer"/>
            <w:rPr>
              <w:rFonts w:cs="Arial"/>
              <w:sz w:val="20"/>
            </w:rPr>
          </w:pPr>
          <w:r w:rsidRPr="00A960EA">
            <w:rPr>
              <w:rFonts w:cs="Arial"/>
              <w:sz w:val="20"/>
            </w:rPr>
            <w:t>OSPAR Commission</w:t>
          </w:r>
        </w:p>
      </w:tc>
      <w:tc>
        <w:tcPr>
          <w:tcW w:w="3216" w:type="dxa"/>
          <w:tcBorders>
            <w:top w:val="single" w:sz="4" w:space="0" w:color="auto"/>
          </w:tcBorders>
        </w:tcPr>
        <w:p w14:paraId="2F0A0E30" w14:textId="56E73756" w:rsidR="007C0B21" w:rsidRPr="00A960EA" w:rsidRDefault="007C0B21" w:rsidP="00D84B8E">
          <w:pPr>
            <w:pStyle w:val="Footer"/>
            <w:tabs>
              <w:tab w:val="left" w:pos="272"/>
            </w:tabs>
            <w:jc w:val="center"/>
            <w:rPr>
              <w:rFonts w:cs="Arial"/>
              <w:sz w:val="20"/>
            </w:rPr>
          </w:pPr>
        </w:p>
      </w:tc>
      <w:tc>
        <w:tcPr>
          <w:tcW w:w="3216" w:type="dxa"/>
          <w:tcBorders>
            <w:top w:val="single" w:sz="4" w:space="0" w:color="auto"/>
          </w:tcBorders>
        </w:tcPr>
        <w:p w14:paraId="2FCF02C8" w14:textId="6942C3D3" w:rsidR="007C0B21" w:rsidRPr="00A960EA" w:rsidRDefault="004E2D6F" w:rsidP="00CC5F5C">
          <w:pPr>
            <w:pStyle w:val="Footer"/>
            <w:tabs>
              <w:tab w:val="left" w:pos="272"/>
            </w:tabs>
            <w:jc w:val="right"/>
            <w:rPr>
              <w:rFonts w:cs="Arial"/>
              <w:sz w:val="20"/>
            </w:rPr>
          </w:pPr>
          <w:r>
            <w:rPr>
              <w:rFonts w:cs="Arial"/>
              <w:sz w:val="20"/>
            </w:rPr>
            <w:t>Agreement 2017-07</w:t>
          </w:r>
        </w:p>
      </w:tc>
    </w:tr>
  </w:tbl>
  <w:p w14:paraId="71957E60" w14:textId="77777777" w:rsidR="007C0B21" w:rsidRDefault="007C0B21">
    <w:pPr>
      <w:pStyle w:val="Footer"/>
    </w:pPr>
  </w:p>
  <w:p w14:paraId="0F1E12C1" w14:textId="77777777" w:rsidR="007C0B21" w:rsidRDefault="007C0B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D1F18" w14:textId="77777777" w:rsidR="007C0B21" w:rsidRDefault="007C0B21" w:rsidP="00FC3D64">
      <w:r>
        <w:separator/>
      </w:r>
    </w:p>
  </w:footnote>
  <w:footnote w:type="continuationSeparator" w:id="0">
    <w:p w14:paraId="17ADB1B6" w14:textId="77777777" w:rsidR="007C0B21" w:rsidRDefault="007C0B21" w:rsidP="00FC3D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FA0473C"/>
    <w:lvl w:ilvl="0">
      <w:start w:val="1"/>
      <w:numFmt w:val="lowerLetter"/>
      <w:pStyle w:val="ListNumber"/>
      <w:lvlText w:val="%1."/>
      <w:lvlJc w:val="left"/>
      <w:pPr>
        <w:tabs>
          <w:tab w:val="num" w:pos="1134"/>
        </w:tabs>
        <w:ind w:left="1134" w:hanging="567"/>
      </w:pPr>
      <w:rPr>
        <w:rFonts w:hint="default"/>
        <w:b w:val="0"/>
        <w:i w:val="0"/>
        <w:color w:val="auto"/>
        <w:sz w:val="20"/>
      </w:rPr>
    </w:lvl>
  </w:abstractNum>
  <w:abstractNum w:abstractNumId="1">
    <w:nsid w:val="FFFFFF89"/>
    <w:multiLevelType w:val="singleLevel"/>
    <w:tmpl w:val="C91E2FC0"/>
    <w:lvl w:ilvl="0">
      <w:start w:val="1"/>
      <w:numFmt w:val="lowerRoman"/>
      <w:pStyle w:val="ListBullet"/>
      <w:lvlText w:val="%1."/>
      <w:lvlJc w:val="right"/>
      <w:pPr>
        <w:tabs>
          <w:tab w:val="num" w:pos="1701"/>
        </w:tabs>
        <w:ind w:left="1701" w:hanging="567"/>
      </w:pPr>
      <w:rPr>
        <w:rFonts w:hint="default"/>
        <w:color w:val="auto"/>
      </w:rPr>
    </w:lvl>
  </w:abstractNum>
  <w:abstractNum w:abstractNumId="2">
    <w:nsid w:val="014F5BE4"/>
    <w:multiLevelType w:val="hybridMultilevel"/>
    <w:tmpl w:val="22709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B6482E"/>
    <w:multiLevelType w:val="hybridMultilevel"/>
    <w:tmpl w:val="E138AF7A"/>
    <w:lvl w:ilvl="0" w:tplc="C0645DFC">
      <w:start w:val="1"/>
      <w:numFmt w:val="lowerLetter"/>
      <w:lvlText w:val="%1."/>
      <w:lvlJc w:val="left"/>
      <w:pPr>
        <w:ind w:left="1491" w:hanging="360"/>
      </w:pPr>
      <w:rPr>
        <w:rFonts w:hint="default"/>
      </w:rPr>
    </w:lvl>
    <w:lvl w:ilvl="1" w:tplc="08090019" w:tentative="1">
      <w:start w:val="1"/>
      <w:numFmt w:val="lowerLetter"/>
      <w:lvlText w:val="%2."/>
      <w:lvlJc w:val="left"/>
      <w:pPr>
        <w:ind w:left="2211" w:hanging="360"/>
      </w:pPr>
    </w:lvl>
    <w:lvl w:ilvl="2" w:tplc="0809001B" w:tentative="1">
      <w:start w:val="1"/>
      <w:numFmt w:val="lowerRoman"/>
      <w:lvlText w:val="%3."/>
      <w:lvlJc w:val="right"/>
      <w:pPr>
        <w:ind w:left="2931" w:hanging="180"/>
      </w:pPr>
    </w:lvl>
    <w:lvl w:ilvl="3" w:tplc="0809000F" w:tentative="1">
      <w:start w:val="1"/>
      <w:numFmt w:val="decimal"/>
      <w:lvlText w:val="%4."/>
      <w:lvlJc w:val="left"/>
      <w:pPr>
        <w:ind w:left="3651" w:hanging="360"/>
      </w:pPr>
    </w:lvl>
    <w:lvl w:ilvl="4" w:tplc="08090019" w:tentative="1">
      <w:start w:val="1"/>
      <w:numFmt w:val="lowerLetter"/>
      <w:lvlText w:val="%5."/>
      <w:lvlJc w:val="left"/>
      <w:pPr>
        <w:ind w:left="4371" w:hanging="360"/>
      </w:pPr>
    </w:lvl>
    <w:lvl w:ilvl="5" w:tplc="0809001B" w:tentative="1">
      <w:start w:val="1"/>
      <w:numFmt w:val="lowerRoman"/>
      <w:lvlText w:val="%6."/>
      <w:lvlJc w:val="right"/>
      <w:pPr>
        <w:ind w:left="5091" w:hanging="180"/>
      </w:pPr>
    </w:lvl>
    <w:lvl w:ilvl="6" w:tplc="0809000F" w:tentative="1">
      <w:start w:val="1"/>
      <w:numFmt w:val="decimal"/>
      <w:lvlText w:val="%7."/>
      <w:lvlJc w:val="left"/>
      <w:pPr>
        <w:ind w:left="5811" w:hanging="360"/>
      </w:pPr>
    </w:lvl>
    <w:lvl w:ilvl="7" w:tplc="08090019" w:tentative="1">
      <w:start w:val="1"/>
      <w:numFmt w:val="lowerLetter"/>
      <w:lvlText w:val="%8."/>
      <w:lvlJc w:val="left"/>
      <w:pPr>
        <w:ind w:left="6531" w:hanging="360"/>
      </w:pPr>
    </w:lvl>
    <w:lvl w:ilvl="8" w:tplc="0809001B" w:tentative="1">
      <w:start w:val="1"/>
      <w:numFmt w:val="lowerRoman"/>
      <w:lvlText w:val="%9."/>
      <w:lvlJc w:val="right"/>
      <w:pPr>
        <w:ind w:left="7251" w:hanging="180"/>
      </w:pPr>
    </w:lvl>
  </w:abstractNum>
  <w:abstractNum w:abstractNumId="4">
    <w:nsid w:val="02385B7A"/>
    <w:multiLevelType w:val="hybridMultilevel"/>
    <w:tmpl w:val="335A4C48"/>
    <w:lvl w:ilvl="0" w:tplc="27DEE842">
      <w:start w:val="1"/>
      <w:numFmt w:val="decimal"/>
      <w:lvlText w:val="%1."/>
      <w:lvlJc w:val="left"/>
      <w:pPr>
        <w:ind w:left="570" w:hanging="570"/>
      </w:pPr>
      <w:rPr>
        <w:rFonts w:ascii="Calibri" w:eastAsiaTheme="minorHAnsi" w:hAnsi="Calibri"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3214323"/>
    <w:multiLevelType w:val="multilevel"/>
    <w:tmpl w:val="BE52E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68C5118"/>
    <w:multiLevelType w:val="hybridMultilevel"/>
    <w:tmpl w:val="91A01CAC"/>
    <w:lvl w:ilvl="0" w:tplc="08090001">
      <w:start w:val="1"/>
      <w:numFmt w:val="bullet"/>
      <w:lvlText w:val=""/>
      <w:lvlJc w:val="left"/>
      <w:pPr>
        <w:ind w:left="1128" w:hanging="360"/>
      </w:pPr>
      <w:rPr>
        <w:rFonts w:ascii="Symbol" w:hAnsi="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7">
    <w:nsid w:val="0A6B52F4"/>
    <w:multiLevelType w:val="hybridMultilevel"/>
    <w:tmpl w:val="1206BBD6"/>
    <w:lvl w:ilvl="0" w:tplc="815A0304">
      <w:start w:val="1"/>
      <w:numFmt w:val="lowerRoman"/>
      <w:lvlText w:val="(%1)"/>
      <w:lvlJc w:val="left"/>
      <w:pPr>
        <w:ind w:left="720" w:hanging="72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nsid w:val="12910A77"/>
    <w:multiLevelType w:val="hybridMultilevel"/>
    <w:tmpl w:val="A2C6246E"/>
    <w:lvl w:ilvl="0" w:tplc="72A45E3C">
      <w:start w:val="1"/>
      <w:numFmt w:val="decimal"/>
      <w:lvlText w:val="%1."/>
      <w:lvlJc w:val="left"/>
      <w:pPr>
        <w:ind w:left="720" w:hanging="360"/>
      </w:pPr>
      <w:rPr>
        <w:rFonts w:hint="default"/>
      </w:rPr>
    </w:lvl>
    <w:lvl w:ilvl="1" w:tplc="C1BE2E58" w:tentative="1">
      <w:start w:val="1"/>
      <w:numFmt w:val="lowerLetter"/>
      <w:lvlText w:val="%2."/>
      <w:lvlJc w:val="left"/>
      <w:pPr>
        <w:ind w:left="1440" w:hanging="360"/>
      </w:pPr>
    </w:lvl>
    <w:lvl w:ilvl="2" w:tplc="49FEFAAE" w:tentative="1">
      <w:start w:val="1"/>
      <w:numFmt w:val="lowerRoman"/>
      <w:lvlText w:val="%3."/>
      <w:lvlJc w:val="right"/>
      <w:pPr>
        <w:ind w:left="2160" w:hanging="180"/>
      </w:pPr>
    </w:lvl>
    <w:lvl w:ilvl="3" w:tplc="69CE8278" w:tentative="1">
      <w:start w:val="1"/>
      <w:numFmt w:val="decimal"/>
      <w:lvlText w:val="%4."/>
      <w:lvlJc w:val="left"/>
      <w:pPr>
        <w:ind w:left="2880" w:hanging="360"/>
      </w:pPr>
    </w:lvl>
    <w:lvl w:ilvl="4" w:tplc="947E2CC6" w:tentative="1">
      <w:start w:val="1"/>
      <w:numFmt w:val="lowerLetter"/>
      <w:lvlText w:val="%5."/>
      <w:lvlJc w:val="left"/>
      <w:pPr>
        <w:ind w:left="3600" w:hanging="360"/>
      </w:pPr>
    </w:lvl>
    <w:lvl w:ilvl="5" w:tplc="1922A4CC" w:tentative="1">
      <w:start w:val="1"/>
      <w:numFmt w:val="lowerRoman"/>
      <w:lvlText w:val="%6."/>
      <w:lvlJc w:val="right"/>
      <w:pPr>
        <w:ind w:left="4320" w:hanging="180"/>
      </w:pPr>
    </w:lvl>
    <w:lvl w:ilvl="6" w:tplc="9E70A9B0" w:tentative="1">
      <w:start w:val="1"/>
      <w:numFmt w:val="decimal"/>
      <w:lvlText w:val="%7."/>
      <w:lvlJc w:val="left"/>
      <w:pPr>
        <w:ind w:left="5040" w:hanging="360"/>
      </w:pPr>
    </w:lvl>
    <w:lvl w:ilvl="7" w:tplc="6866AEB8" w:tentative="1">
      <w:start w:val="1"/>
      <w:numFmt w:val="lowerLetter"/>
      <w:lvlText w:val="%8."/>
      <w:lvlJc w:val="left"/>
      <w:pPr>
        <w:ind w:left="5760" w:hanging="360"/>
      </w:pPr>
    </w:lvl>
    <w:lvl w:ilvl="8" w:tplc="5922066C" w:tentative="1">
      <w:start w:val="1"/>
      <w:numFmt w:val="lowerRoman"/>
      <w:lvlText w:val="%9."/>
      <w:lvlJc w:val="right"/>
      <w:pPr>
        <w:ind w:left="6480" w:hanging="180"/>
      </w:pPr>
    </w:lvl>
  </w:abstractNum>
  <w:abstractNum w:abstractNumId="9">
    <w:nsid w:val="19AB7DD8"/>
    <w:multiLevelType w:val="hybridMultilevel"/>
    <w:tmpl w:val="2A9E4B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9B023E3"/>
    <w:multiLevelType w:val="hybridMultilevel"/>
    <w:tmpl w:val="FB9649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3C33A7"/>
    <w:multiLevelType w:val="hybridMultilevel"/>
    <w:tmpl w:val="5986F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70340F"/>
    <w:multiLevelType w:val="hybridMultilevel"/>
    <w:tmpl w:val="B5BC5F66"/>
    <w:lvl w:ilvl="0" w:tplc="705CF18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7F3275"/>
    <w:multiLevelType w:val="hybridMultilevel"/>
    <w:tmpl w:val="1206BBD6"/>
    <w:lvl w:ilvl="0" w:tplc="815A0304">
      <w:start w:val="1"/>
      <w:numFmt w:val="lowerRoman"/>
      <w:lvlText w:val="(%1)"/>
      <w:lvlJc w:val="left"/>
      <w:pPr>
        <w:ind w:left="1855" w:hanging="72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nsid w:val="2121365D"/>
    <w:multiLevelType w:val="hybridMultilevel"/>
    <w:tmpl w:val="BE52E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E3051A"/>
    <w:multiLevelType w:val="hybridMultilevel"/>
    <w:tmpl w:val="BD24B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936473"/>
    <w:multiLevelType w:val="hybridMultilevel"/>
    <w:tmpl w:val="56CC28C8"/>
    <w:lvl w:ilvl="0" w:tplc="CD4C5FA0">
      <w:start w:val="1"/>
      <w:numFmt w:val="lowerLetter"/>
      <w:lvlText w:val="%1."/>
      <w:lvlJc w:val="left"/>
      <w:pPr>
        <w:ind w:left="1356" w:hanging="360"/>
      </w:pPr>
      <w:rPr>
        <w:rFonts w:hint="default"/>
      </w:rPr>
    </w:lvl>
    <w:lvl w:ilvl="1" w:tplc="08090019" w:tentative="1">
      <w:start w:val="1"/>
      <w:numFmt w:val="lowerLetter"/>
      <w:lvlText w:val="%2."/>
      <w:lvlJc w:val="left"/>
      <w:pPr>
        <w:ind w:left="2076" w:hanging="360"/>
      </w:pPr>
    </w:lvl>
    <w:lvl w:ilvl="2" w:tplc="0809001B" w:tentative="1">
      <w:start w:val="1"/>
      <w:numFmt w:val="lowerRoman"/>
      <w:lvlText w:val="%3."/>
      <w:lvlJc w:val="right"/>
      <w:pPr>
        <w:ind w:left="2796" w:hanging="180"/>
      </w:pPr>
    </w:lvl>
    <w:lvl w:ilvl="3" w:tplc="0809000F" w:tentative="1">
      <w:start w:val="1"/>
      <w:numFmt w:val="decimal"/>
      <w:lvlText w:val="%4."/>
      <w:lvlJc w:val="left"/>
      <w:pPr>
        <w:ind w:left="3516" w:hanging="360"/>
      </w:pPr>
    </w:lvl>
    <w:lvl w:ilvl="4" w:tplc="08090019" w:tentative="1">
      <w:start w:val="1"/>
      <w:numFmt w:val="lowerLetter"/>
      <w:lvlText w:val="%5."/>
      <w:lvlJc w:val="left"/>
      <w:pPr>
        <w:ind w:left="4236" w:hanging="360"/>
      </w:pPr>
    </w:lvl>
    <w:lvl w:ilvl="5" w:tplc="0809001B" w:tentative="1">
      <w:start w:val="1"/>
      <w:numFmt w:val="lowerRoman"/>
      <w:lvlText w:val="%6."/>
      <w:lvlJc w:val="right"/>
      <w:pPr>
        <w:ind w:left="4956" w:hanging="180"/>
      </w:pPr>
    </w:lvl>
    <w:lvl w:ilvl="6" w:tplc="0809000F" w:tentative="1">
      <w:start w:val="1"/>
      <w:numFmt w:val="decimal"/>
      <w:lvlText w:val="%7."/>
      <w:lvlJc w:val="left"/>
      <w:pPr>
        <w:ind w:left="5676" w:hanging="360"/>
      </w:pPr>
    </w:lvl>
    <w:lvl w:ilvl="7" w:tplc="08090019" w:tentative="1">
      <w:start w:val="1"/>
      <w:numFmt w:val="lowerLetter"/>
      <w:lvlText w:val="%8."/>
      <w:lvlJc w:val="left"/>
      <w:pPr>
        <w:ind w:left="6396" w:hanging="360"/>
      </w:pPr>
    </w:lvl>
    <w:lvl w:ilvl="8" w:tplc="0809001B" w:tentative="1">
      <w:start w:val="1"/>
      <w:numFmt w:val="lowerRoman"/>
      <w:lvlText w:val="%9."/>
      <w:lvlJc w:val="right"/>
      <w:pPr>
        <w:ind w:left="7116" w:hanging="180"/>
      </w:pPr>
    </w:lvl>
  </w:abstractNum>
  <w:abstractNum w:abstractNumId="17">
    <w:nsid w:val="34F551A0"/>
    <w:multiLevelType w:val="multilevel"/>
    <w:tmpl w:val="51DA9E6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42631B0B"/>
    <w:multiLevelType w:val="hybridMultilevel"/>
    <w:tmpl w:val="AFF4C46C"/>
    <w:lvl w:ilvl="0" w:tplc="7A2ED734">
      <w:start w:val="1"/>
      <w:numFmt w:val="decimal"/>
      <w:lvlText w:val="%1."/>
      <w:lvlJc w:val="left"/>
      <w:pPr>
        <w:ind w:left="720" w:hanging="360"/>
      </w:pPr>
      <w:rPr>
        <w:rFonts w:hint="default"/>
      </w:rPr>
    </w:lvl>
    <w:lvl w:ilvl="1" w:tplc="705CF18C">
      <w:start w:val="1"/>
      <w:numFmt w:val="lowerLetter"/>
      <w:lvlText w:val="%2."/>
      <w:lvlJc w:val="left"/>
      <w:pPr>
        <w:ind w:left="1440" w:hanging="360"/>
      </w:pPr>
    </w:lvl>
    <w:lvl w:ilvl="2" w:tplc="2F6E1F1E">
      <w:start w:val="1"/>
      <w:numFmt w:val="lowerRoman"/>
      <w:lvlText w:val="%3."/>
      <w:lvlJc w:val="right"/>
      <w:pPr>
        <w:ind w:left="2160" w:hanging="180"/>
      </w:pPr>
    </w:lvl>
    <w:lvl w:ilvl="3" w:tplc="135C08FE" w:tentative="1">
      <w:start w:val="1"/>
      <w:numFmt w:val="decimal"/>
      <w:lvlText w:val="%4."/>
      <w:lvlJc w:val="left"/>
      <w:pPr>
        <w:ind w:left="2880" w:hanging="360"/>
      </w:pPr>
    </w:lvl>
    <w:lvl w:ilvl="4" w:tplc="7D267738" w:tentative="1">
      <w:start w:val="1"/>
      <w:numFmt w:val="lowerLetter"/>
      <w:lvlText w:val="%5."/>
      <w:lvlJc w:val="left"/>
      <w:pPr>
        <w:ind w:left="3600" w:hanging="360"/>
      </w:pPr>
    </w:lvl>
    <w:lvl w:ilvl="5" w:tplc="1BA8457E" w:tentative="1">
      <w:start w:val="1"/>
      <w:numFmt w:val="lowerRoman"/>
      <w:lvlText w:val="%6."/>
      <w:lvlJc w:val="right"/>
      <w:pPr>
        <w:ind w:left="4320" w:hanging="180"/>
      </w:pPr>
    </w:lvl>
    <w:lvl w:ilvl="6" w:tplc="64E627B8" w:tentative="1">
      <w:start w:val="1"/>
      <w:numFmt w:val="decimal"/>
      <w:lvlText w:val="%7."/>
      <w:lvlJc w:val="left"/>
      <w:pPr>
        <w:ind w:left="5040" w:hanging="360"/>
      </w:pPr>
    </w:lvl>
    <w:lvl w:ilvl="7" w:tplc="320C85F4" w:tentative="1">
      <w:start w:val="1"/>
      <w:numFmt w:val="lowerLetter"/>
      <w:lvlText w:val="%8."/>
      <w:lvlJc w:val="left"/>
      <w:pPr>
        <w:ind w:left="5760" w:hanging="360"/>
      </w:pPr>
    </w:lvl>
    <w:lvl w:ilvl="8" w:tplc="7A8A7884" w:tentative="1">
      <w:start w:val="1"/>
      <w:numFmt w:val="lowerRoman"/>
      <w:lvlText w:val="%9."/>
      <w:lvlJc w:val="right"/>
      <w:pPr>
        <w:ind w:left="6480" w:hanging="180"/>
      </w:pPr>
    </w:lvl>
  </w:abstractNum>
  <w:abstractNum w:abstractNumId="19">
    <w:nsid w:val="43E61A35"/>
    <w:multiLevelType w:val="hybridMultilevel"/>
    <w:tmpl w:val="38D0009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0">
    <w:nsid w:val="483A20C8"/>
    <w:multiLevelType w:val="hybridMultilevel"/>
    <w:tmpl w:val="0EC2ABF6"/>
    <w:lvl w:ilvl="0" w:tplc="0809000F">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0C31DBE"/>
    <w:multiLevelType w:val="hybridMultilevel"/>
    <w:tmpl w:val="5986F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0273BE"/>
    <w:multiLevelType w:val="hybridMultilevel"/>
    <w:tmpl w:val="37DC56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9F6019C"/>
    <w:multiLevelType w:val="hybridMultilevel"/>
    <w:tmpl w:val="763A2CEC"/>
    <w:lvl w:ilvl="0" w:tplc="561CD55E">
      <w:start w:val="2"/>
      <w:numFmt w:val="decimal"/>
      <w:lvlText w:val="%1."/>
      <w:lvlJc w:val="left"/>
      <w:pPr>
        <w:ind w:left="149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90322D"/>
    <w:multiLevelType w:val="hybridMultilevel"/>
    <w:tmpl w:val="E59876CE"/>
    <w:lvl w:ilvl="0" w:tplc="17380002">
      <w:start w:val="1"/>
      <w:numFmt w:val="lowerLetter"/>
      <w:lvlText w:val="%1."/>
      <w:lvlJc w:val="left"/>
      <w:pPr>
        <w:ind w:left="360" w:hanging="360"/>
      </w:pPr>
      <w:rPr>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1FA74A2"/>
    <w:multiLevelType w:val="hybridMultilevel"/>
    <w:tmpl w:val="95BAA506"/>
    <w:lvl w:ilvl="0" w:tplc="705CF18C">
      <w:start w:val="1"/>
      <w:numFmt w:val="lowerLetter"/>
      <w:lvlText w:val="%1."/>
      <w:lvlJc w:val="left"/>
      <w:pPr>
        <w:ind w:left="200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65CD37B3"/>
    <w:multiLevelType w:val="hybridMultilevel"/>
    <w:tmpl w:val="D48233F8"/>
    <w:lvl w:ilvl="0" w:tplc="17380002">
      <w:start w:val="1"/>
      <w:numFmt w:val="lowerLetter"/>
      <w:lvlText w:val="%1."/>
      <w:lvlJc w:val="left"/>
      <w:pPr>
        <w:ind w:left="360" w:hanging="360"/>
      </w:pPr>
      <w:rPr>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67D34E29"/>
    <w:multiLevelType w:val="hybridMultilevel"/>
    <w:tmpl w:val="6BDEA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A970F2"/>
    <w:multiLevelType w:val="hybridMultilevel"/>
    <w:tmpl w:val="7A4E7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A8048E"/>
    <w:multiLevelType w:val="hybridMultilevel"/>
    <w:tmpl w:val="8698E5F8"/>
    <w:lvl w:ilvl="0" w:tplc="84D427FE">
      <w:numFmt w:val="bullet"/>
      <w:lvlText w:val=""/>
      <w:lvlJc w:val="left"/>
      <w:pPr>
        <w:ind w:left="780" w:hanging="372"/>
      </w:pPr>
      <w:rPr>
        <w:rFonts w:ascii="Symbol" w:eastAsia="Calibri" w:hAnsi="Symbol" w:cs="Times New Roman" w:hint="default"/>
        <w:sz w:val="19"/>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0">
    <w:nsid w:val="77BF2B14"/>
    <w:multiLevelType w:val="hybridMultilevel"/>
    <w:tmpl w:val="D07015D8"/>
    <w:lvl w:ilvl="0" w:tplc="561CD55E">
      <w:start w:val="2"/>
      <w:numFmt w:val="decimal"/>
      <w:lvlText w:val="%1."/>
      <w:lvlJc w:val="left"/>
      <w:pPr>
        <w:ind w:left="149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EC3388"/>
    <w:multiLevelType w:val="hybridMultilevel"/>
    <w:tmpl w:val="57BC5836"/>
    <w:lvl w:ilvl="0" w:tplc="D8A03472">
      <w:start w:val="1"/>
      <w:numFmt w:val="lowerLetter"/>
      <w:lvlText w:val="%1."/>
      <w:lvlJc w:val="left"/>
      <w:pPr>
        <w:ind w:left="1800" w:hanging="360"/>
      </w:pPr>
      <w:rPr>
        <w:rFonts w:hint="default"/>
        <w:b w:val="0"/>
        <w:i w:val="0"/>
        <w:color w:val="auto"/>
        <w:sz w:val="2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7D0C025D"/>
    <w:multiLevelType w:val="hybridMultilevel"/>
    <w:tmpl w:val="520AA7AE"/>
    <w:lvl w:ilvl="0" w:tplc="705CF18C">
      <w:start w:val="1"/>
      <w:numFmt w:val="lowerLetter"/>
      <w:lvlText w:val="%1."/>
      <w:lvlJc w:val="left"/>
      <w:pPr>
        <w:ind w:left="18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E015050"/>
    <w:multiLevelType w:val="hybridMultilevel"/>
    <w:tmpl w:val="C29C8EA2"/>
    <w:lvl w:ilvl="0" w:tplc="0809000F">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1"/>
  </w:num>
  <w:num w:numId="3">
    <w:abstractNumId w:val="0"/>
  </w:num>
  <w:num w:numId="4">
    <w:abstractNumId w:val="0"/>
  </w:num>
  <w:num w:numId="5">
    <w:abstractNumId w:val="8"/>
  </w:num>
  <w:num w:numId="6">
    <w:abstractNumId w:val="33"/>
  </w:num>
  <w:num w:numId="7">
    <w:abstractNumId w:val="20"/>
  </w:num>
  <w:num w:numId="8">
    <w:abstractNumId w:val="18"/>
  </w:num>
  <w:num w:numId="9">
    <w:abstractNumId w:val="32"/>
  </w:num>
  <w:num w:numId="10">
    <w:abstractNumId w:val="9"/>
  </w:num>
  <w:num w:numId="11">
    <w:abstractNumId w:val="22"/>
  </w:num>
  <w:num w:numId="12">
    <w:abstractNumId w:val="12"/>
  </w:num>
  <w:num w:numId="13">
    <w:abstractNumId w:val="25"/>
  </w:num>
  <w:num w:numId="14">
    <w:abstractNumId w:val="31"/>
  </w:num>
  <w:num w:numId="15">
    <w:abstractNumId w:val="4"/>
  </w:num>
  <w:num w:numId="16">
    <w:abstractNumId w:val="13"/>
  </w:num>
  <w:num w:numId="17">
    <w:abstractNumId w:val="24"/>
  </w:num>
  <w:num w:numId="18">
    <w:abstractNumId w:val="7"/>
  </w:num>
  <w:num w:numId="19">
    <w:abstractNumId w:val="26"/>
  </w:num>
  <w:num w:numId="20">
    <w:abstractNumId w:val="3"/>
  </w:num>
  <w:num w:numId="21">
    <w:abstractNumId w:val="15"/>
  </w:num>
  <w:num w:numId="22">
    <w:abstractNumId w:val="27"/>
  </w:num>
  <w:num w:numId="23">
    <w:abstractNumId w:val="21"/>
  </w:num>
  <w:num w:numId="24">
    <w:abstractNumId w:val="11"/>
  </w:num>
  <w:num w:numId="25">
    <w:abstractNumId w:val="14"/>
  </w:num>
  <w:num w:numId="26">
    <w:abstractNumId w:val="5"/>
  </w:num>
  <w:num w:numId="27">
    <w:abstractNumId w:val="23"/>
  </w:num>
  <w:num w:numId="28">
    <w:abstractNumId w:val="16"/>
  </w:num>
  <w:num w:numId="29">
    <w:abstractNumId w:val="30"/>
  </w:num>
  <w:num w:numId="30">
    <w:abstractNumId w:val="17"/>
  </w:num>
  <w:num w:numId="31">
    <w:abstractNumId w:val="10"/>
  </w:num>
  <w:num w:numId="32">
    <w:abstractNumId w:val="6"/>
  </w:num>
  <w:num w:numId="33">
    <w:abstractNumId w:val="29"/>
  </w:num>
  <w:num w:numId="34">
    <w:abstractNumId w:val="19"/>
  </w:num>
  <w:num w:numId="35">
    <w:abstractNumId w:val="2"/>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E61"/>
    <w:rsid w:val="00006ACE"/>
    <w:rsid w:val="000135DE"/>
    <w:rsid w:val="0001542F"/>
    <w:rsid w:val="00016687"/>
    <w:rsid w:val="00024896"/>
    <w:rsid w:val="0003166A"/>
    <w:rsid w:val="00040FF0"/>
    <w:rsid w:val="00045AEA"/>
    <w:rsid w:val="0005138F"/>
    <w:rsid w:val="00060567"/>
    <w:rsid w:val="00064D84"/>
    <w:rsid w:val="00070570"/>
    <w:rsid w:val="0007102F"/>
    <w:rsid w:val="0007260B"/>
    <w:rsid w:val="00076F12"/>
    <w:rsid w:val="000801CC"/>
    <w:rsid w:val="000949D4"/>
    <w:rsid w:val="000A18B4"/>
    <w:rsid w:val="000A37DA"/>
    <w:rsid w:val="000B3DDC"/>
    <w:rsid w:val="000C3AE9"/>
    <w:rsid w:val="000C66A3"/>
    <w:rsid w:val="000E34BF"/>
    <w:rsid w:val="000E7311"/>
    <w:rsid w:val="000F0459"/>
    <w:rsid w:val="00103A96"/>
    <w:rsid w:val="001050E1"/>
    <w:rsid w:val="001113DA"/>
    <w:rsid w:val="00111AE9"/>
    <w:rsid w:val="00112E2F"/>
    <w:rsid w:val="00122E8C"/>
    <w:rsid w:val="00126D25"/>
    <w:rsid w:val="00137A49"/>
    <w:rsid w:val="0014045F"/>
    <w:rsid w:val="001407FC"/>
    <w:rsid w:val="0015380E"/>
    <w:rsid w:val="00163AB7"/>
    <w:rsid w:val="0017345E"/>
    <w:rsid w:val="00180574"/>
    <w:rsid w:val="001A1EB4"/>
    <w:rsid w:val="001A32FC"/>
    <w:rsid w:val="001A6DFC"/>
    <w:rsid w:val="001B1CF4"/>
    <w:rsid w:val="001C048A"/>
    <w:rsid w:val="001C2991"/>
    <w:rsid w:val="001C2CFC"/>
    <w:rsid w:val="001C5681"/>
    <w:rsid w:val="001D100E"/>
    <w:rsid w:val="001D22EA"/>
    <w:rsid w:val="001D5ADE"/>
    <w:rsid w:val="001D7AF6"/>
    <w:rsid w:val="001E40E4"/>
    <w:rsid w:val="001F0D66"/>
    <w:rsid w:val="001F5080"/>
    <w:rsid w:val="001F6D05"/>
    <w:rsid w:val="001F7B64"/>
    <w:rsid w:val="00202966"/>
    <w:rsid w:val="0020457C"/>
    <w:rsid w:val="00205C45"/>
    <w:rsid w:val="002060E6"/>
    <w:rsid w:val="00207F2E"/>
    <w:rsid w:val="00213DD1"/>
    <w:rsid w:val="00221C2F"/>
    <w:rsid w:val="00234152"/>
    <w:rsid w:val="002430AB"/>
    <w:rsid w:val="00244656"/>
    <w:rsid w:val="00251595"/>
    <w:rsid w:val="00265A70"/>
    <w:rsid w:val="00274C58"/>
    <w:rsid w:val="0027543A"/>
    <w:rsid w:val="00291EAF"/>
    <w:rsid w:val="002B0F2A"/>
    <w:rsid w:val="002B0FCE"/>
    <w:rsid w:val="002B1A6C"/>
    <w:rsid w:val="002C04FC"/>
    <w:rsid w:val="002C763C"/>
    <w:rsid w:val="002D514A"/>
    <w:rsid w:val="002E39BC"/>
    <w:rsid w:val="00300BF1"/>
    <w:rsid w:val="00307217"/>
    <w:rsid w:val="00314100"/>
    <w:rsid w:val="003300F1"/>
    <w:rsid w:val="003311E7"/>
    <w:rsid w:val="003336BF"/>
    <w:rsid w:val="0033539A"/>
    <w:rsid w:val="003564DD"/>
    <w:rsid w:val="00356DFC"/>
    <w:rsid w:val="0038719D"/>
    <w:rsid w:val="003874DE"/>
    <w:rsid w:val="00390E94"/>
    <w:rsid w:val="00391A0A"/>
    <w:rsid w:val="00395673"/>
    <w:rsid w:val="003A253F"/>
    <w:rsid w:val="003A5799"/>
    <w:rsid w:val="003A597A"/>
    <w:rsid w:val="003B07BF"/>
    <w:rsid w:val="003B0D3A"/>
    <w:rsid w:val="003B75DA"/>
    <w:rsid w:val="003B7811"/>
    <w:rsid w:val="003C476D"/>
    <w:rsid w:val="00400795"/>
    <w:rsid w:val="004023F3"/>
    <w:rsid w:val="0041102A"/>
    <w:rsid w:val="00411565"/>
    <w:rsid w:val="00420B47"/>
    <w:rsid w:val="00421F10"/>
    <w:rsid w:val="00424BF7"/>
    <w:rsid w:val="00426E9B"/>
    <w:rsid w:val="00434138"/>
    <w:rsid w:val="0045234A"/>
    <w:rsid w:val="004542EC"/>
    <w:rsid w:val="004714A5"/>
    <w:rsid w:val="00495307"/>
    <w:rsid w:val="004B3EF8"/>
    <w:rsid w:val="004B52A2"/>
    <w:rsid w:val="004B707F"/>
    <w:rsid w:val="004C163E"/>
    <w:rsid w:val="004C5A0A"/>
    <w:rsid w:val="004C6D03"/>
    <w:rsid w:val="004D1A55"/>
    <w:rsid w:val="004D72AC"/>
    <w:rsid w:val="004E2D6F"/>
    <w:rsid w:val="004E43CB"/>
    <w:rsid w:val="004F58C6"/>
    <w:rsid w:val="004F5FCA"/>
    <w:rsid w:val="005044AC"/>
    <w:rsid w:val="00512710"/>
    <w:rsid w:val="00517612"/>
    <w:rsid w:val="005400C3"/>
    <w:rsid w:val="00545C1A"/>
    <w:rsid w:val="00546370"/>
    <w:rsid w:val="005556BD"/>
    <w:rsid w:val="0057612B"/>
    <w:rsid w:val="00581E62"/>
    <w:rsid w:val="005A3090"/>
    <w:rsid w:val="005A6E01"/>
    <w:rsid w:val="005B46DA"/>
    <w:rsid w:val="005B7478"/>
    <w:rsid w:val="005D57FC"/>
    <w:rsid w:val="005D6BD6"/>
    <w:rsid w:val="005E0D27"/>
    <w:rsid w:val="005E7E07"/>
    <w:rsid w:val="005F2A2A"/>
    <w:rsid w:val="005F7CB0"/>
    <w:rsid w:val="006030CD"/>
    <w:rsid w:val="006032E7"/>
    <w:rsid w:val="00623965"/>
    <w:rsid w:val="00635F24"/>
    <w:rsid w:val="00650AD1"/>
    <w:rsid w:val="006546FD"/>
    <w:rsid w:val="00674BC4"/>
    <w:rsid w:val="006A7F74"/>
    <w:rsid w:val="006B4795"/>
    <w:rsid w:val="006C2862"/>
    <w:rsid w:val="006C3285"/>
    <w:rsid w:val="006C3CAE"/>
    <w:rsid w:val="006E461F"/>
    <w:rsid w:val="006E5794"/>
    <w:rsid w:val="006F3996"/>
    <w:rsid w:val="00701E1A"/>
    <w:rsid w:val="00703FA3"/>
    <w:rsid w:val="00704142"/>
    <w:rsid w:val="007137C5"/>
    <w:rsid w:val="00722623"/>
    <w:rsid w:val="0073732F"/>
    <w:rsid w:val="00740334"/>
    <w:rsid w:val="00742974"/>
    <w:rsid w:val="0075208A"/>
    <w:rsid w:val="00765896"/>
    <w:rsid w:val="00766DFD"/>
    <w:rsid w:val="0078181C"/>
    <w:rsid w:val="00796487"/>
    <w:rsid w:val="0079771E"/>
    <w:rsid w:val="007A3EEC"/>
    <w:rsid w:val="007A4408"/>
    <w:rsid w:val="007A736B"/>
    <w:rsid w:val="007B4552"/>
    <w:rsid w:val="007B7D4C"/>
    <w:rsid w:val="007C0B21"/>
    <w:rsid w:val="007C459C"/>
    <w:rsid w:val="007D33C5"/>
    <w:rsid w:val="007D6A10"/>
    <w:rsid w:val="007E5B7B"/>
    <w:rsid w:val="007E7963"/>
    <w:rsid w:val="00802219"/>
    <w:rsid w:val="0080532F"/>
    <w:rsid w:val="0080643E"/>
    <w:rsid w:val="00817ACC"/>
    <w:rsid w:val="0085069C"/>
    <w:rsid w:val="008A0893"/>
    <w:rsid w:val="008A109D"/>
    <w:rsid w:val="008A32AB"/>
    <w:rsid w:val="008A71FC"/>
    <w:rsid w:val="008B2C45"/>
    <w:rsid w:val="008B3D31"/>
    <w:rsid w:val="008B4C86"/>
    <w:rsid w:val="008C3AC8"/>
    <w:rsid w:val="008C6B40"/>
    <w:rsid w:val="008E4EBE"/>
    <w:rsid w:val="008E5111"/>
    <w:rsid w:val="00905355"/>
    <w:rsid w:val="00915EE6"/>
    <w:rsid w:val="00927F18"/>
    <w:rsid w:val="0094024C"/>
    <w:rsid w:val="00942933"/>
    <w:rsid w:val="0095685E"/>
    <w:rsid w:val="009579DF"/>
    <w:rsid w:val="009655F5"/>
    <w:rsid w:val="0097253E"/>
    <w:rsid w:val="00985DD9"/>
    <w:rsid w:val="00991713"/>
    <w:rsid w:val="00993775"/>
    <w:rsid w:val="009A6896"/>
    <w:rsid w:val="009C3A39"/>
    <w:rsid w:val="009C5AD8"/>
    <w:rsid w:val="009E43D2"/>
    <w:rsid w:val="009E4882"/>
    <w:rsid w:val="009F0931"/>
    <w:rsid w:val="00A026D9"/>
    <w:rsid w:val="00A041C5"/>
    <w:rsid w:val="00A150DF"/>
    <w:rsid w:val="00A156B7"/>
    <w:rsid w:val="00A3290D"/>
    <w:rsid w:val="00A463CD"/>
    <w:rsid w:val="00A52579"/>
    <w:rsid w:val="00A5575C"/>
    <w:rsid w:val="00A62D81"/>
    <w:rsid w:val="00A75E20"/>
    <w:rsid w:val="00A81B64"/>
    <w:rsid w:val="00A904EF"/>
    <w:rsid w:val="00A97416"/>
    <w:rsid w:val="00AA326E"/>
    <w:rsid w:val="00AA7B26"/>
    <w:rsid w:val="00AB4852"/>
    <w:rsid w:val="00AB5CB6"/>
    <w:rsid w:val="00AB7BAA"/>
    <w:rsid w:val="00AC1134"/>
    <w:rsid w:val="00AC7536"/>
    <w:rsid w:val="00B16666"/>
    <w:rsid w:val="00B3306C"/>
    <w:rsid w:val="00B37DDC"/>
    <w:rsid w:val="00B43369"/>
    <w:rsid w:val="00B44000"/>
    <w:rsid w:val="00B47B29"/>
    <w:rsid w:val="00B507B3"/>
    <w:rsid w:val="00B9456E"/>
    <w:rsid w:val="00B96776"/>
    <w:rsid w:val="00BB1295"/>
    <w:rsid w:val="00BC23AE"/>
    <w:rsid w:val="00BC5F4E"/>
    <w:rsid w:val="00BC653A"/>
    <w:rsid w:val="00BC7E24"/>
    <w:rsid w:val="00BD478F"/>
    <w:rsid w:val="00BD5E0E"/>
    <w:rsid w:val="00BE0DC1"/>
    <w:rsid w:val="00BF11C4"/>
    <w:rsid w:val="00BF253D"/>
    <w:rsid w:val="00BF2E1F"/>
    <w:rsid w:val="00BF50FB"/>
    <w:rsid w:val="00BF540F"/>
    <w:rsid w:val="00C11C90"/>
    <w:rsid w:val="00C26863"/>
    <w:rsid w:val="00C513AB"/>
    <w:rsid w:val="00C5148E"/>
    <w:rsid w:val="00C5528C"/>
    <w:rsid w:val="00C66486"/>
    <w:rsid w:val="00C976AE"/>
    <w:rsid w:val="00CA077E"/>
    <w:rsid w:val="00CA23A6"/>
    <w:rsid w:val="00CA2B66"/>
    <w:rsid w:val="00CA7A22"/>
    <w:rsid w:val="00CB3939"/>
    <w:rsid w:val="00CB3E52"/>
    <w:rsid w:val="00CB3EA6"/>
    <w:rsid w:val="00CC1AFA"/>
    <w:rsid w:val="00CC5E16"/>
    <w:rsid w:val="00CC5F5C"/>
    <w:rsid w:val="00CD083F"/>
    <w:rsid w:val="00CD2C78"/>
    <w:rsid w:val="00CD3BE4"/>
    <w:rsid w:val="00CD6A11"/>
    <w:rsid w:val="00CE0985"/>
    <w:rsid w:val="00CE6AD0"/>
    <w:rsid w:val="00CF19D5"/>
    <w:rsid w:val="00CF25BB"/>
    <w:rsid w:val="00CF51BE"/>
    <w:rsid w:val="00D02098"/>
    <w:rsid w:val="00D03BB6"/>
    <w:rsid w:val="00D04E78"/>
    <w:rsid w:val="00D0727A"/>
    <w:rsid w:val="00D07A26"/>
    <w:rsid w:val="00D07B00"/>
    <w:rsid w:val="00D2298E"/>
    <w:rsid w:val="00D23CCD"/>
    <w:rsid w:val="00D314AC"/>
    <w:rsid w:val="00D37561"/>
    <w:rsid w:val="00D44229"/>
    <w:rsid w:val="00D4455D"/>
    <w:rsid w:val="00D64DFA"/>
    <w:rsid w:val="00D67804"/>
    <w:rsid w:val="00D67DE8"/>
    <w:rsid w:val="00D84B8E"/>
    <w:rsid w:val="00D86AC1"/>
    <w:rsid w:val="00D966FA"/>
    <w:rsid w:val="00D96D1E"/>
    <w:rsid w:val="00DA24F0"/>
    <w:rsid w:val="00DA5ECE"/>
    <w:rsid w:val="00DB2AE0"/>
    <w:rsid w:val="00DD04DA"/>
    <w:rsid w:val="00DF1C5E"/>
    <w:rsid w:val="00DF6F06"/>
    <w:rsid w:val="00E0678C"/>
    <w:rsid w:val="00E073E3"/>
    <w:rsid w:val="00E124EE"/>
    <w:rsid w:val="00E17F41"/>
    <w:rsid w:val="00E22A80"/>
    <w:rsid w:val="00E24E67"/>
    <w:rsid w:val="00E25016"/>
    <w:rsid w:val="00E27C7E"/>
    <w:rsid w:val="00E3571B"/>
    <w:rsid w:val="00E36774"/>
    <w:rsid w:val="00E44CA1"/>
    <w:rsid w:val="00E50C94"/>
    <w:rsid w:val="00E64FD0"/>
    <w:rsid w:val="00E738B6"/>
    <w:rsid w:val="00E75377"/>
    <w:rsid w:val="00E77642"/>
    <w:rsid w:val="00E82C16"/>
    <w:rsid w:val="00E9178B"/>
    <w:rsid w:val="00E91999"/>
    <w:rsid w:val="00EA0162"/>
    <w:rsid w:val="00EA3AC4"/>
    <w:rsid w:val="00EB3C2A"/>
    <w:rsid w:val="00EB6BEA"/>
    <w:rsid w:val="00EC2B53"/>
    <w:rsid w:val="00EE2E05"/>
    <w:rsid w:val="00EE3574"/>
    <w:rsid w:val="00EE7DC4"/>
    <w:rsid w:val="00EF2DCA"/>
    <w:rsid w:val="00F005E9"/>
    <w:rsid w:val="00F04E61"/>
    <w:rsid w:val="00F05AA5"/>
    <w:rsid w:val="00F134CD"/>
    <w:rsid w:val="00F14367"/>
    <w:rsid w:val="00F36551"/>
    <w:rsid w:val="00F42CE4"/>
    <w:rsid w:val="00F431A1"/>
    <w:rsid w:val="00F45943"/>
    <w:rsid w:val="00F6227C"/>
    <w:rsid w:val="00F66DA1"/>
    <w:rsid w:val="00F84852"/>
    <w:rsid w:val="00F92704"/>
    <w:rsid w:val="00F957D1"/>
    <w:rsid w:val="00F9739B"/>
    <w:rsid w:val="00FA0D51"/>
    <w:rsid w:val="00FA2BEB"/>
    <w:rsid w:val="00FB1666"/>
    <w:rsid w:val="00FB5287"/>
    <w:rsid w:val="00FB7554"/>
    <w:rsid w:val="00FC348C"/>
    <w:rsid w:val="00FC3D64"/>
    <w:rsid w:val="00FC41F7"/>
    <w:rsid w:val="00FC6936"/>
    <w:rsid w:val="00FD2AAD"/>
    <w:rsid w:val="00FE381A"/>
    <w:rsid w:val="00FE3DCE"/>
    <w:rsid w:val="00FF486B"/>
    <w:rsid w:val="00FF55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70C7E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uiPriority="35"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991"/>
    <w:pPr>
      <w:tabs>
        <w:tab w:val="left" w:pos="567"/>
      </w:tabs>
      <w:spacing w:after="120"/>
      <w:jc w:val="both"/>
    </w:pPr>
    <w:rPr>
      <w:rFonts w:ascii="Calibri" w:hAnsi="Calibri"/>
      <w:sz w:val="22"/>
      <w:szCs w:val="22"/>
      <w:lang w:eastAsia="en-US"/>
    </w:rPr>
  </w:style>
  <w:style w:type="paragraph" w:styleId="Heading1">
    <w:name w:val="heading 1"/>
    <w:basedOn w:val="Title"/>
    <w:next w:val="BodyText"/>
    <w:link w:val="Heading1Char"/>
    <w:qFormat/>
    <w:rsid w:val="008B4C86"/>
    <w:pPr>
      <w:spacing w:before="240" w:after="120"/>
    </w:pPr>
    <w:rPr>
      <w:bCs w:val="0"/>
      <w:sz w:val="28"/>
      <w:szCs w:val="28"/>
    </w:rPr>
  </w:style>
  <w:style w:type="paragraph" w:styleId="Heading2">
    <w:name w:val="heading 2"/>
    <w:basedOn w:val="Normal"/>
    <w:next w:val="BodyText"/>
    <w:link w:val="Heading2Char"/>
    <w:qFormat/>
    <w:rsid w:val="008B4C86"/>
    <w:pPr>
      <w:spacing w:before="120"/>
      <w:outlineLvl w:val="1"/>
    </w:pPr>
    <w:rPr>
      <w:b/>
    </w:rPr>
  </w:style>
  <w:style w:type="paragraph" w:styleId="Heading3">
    <w:name w:val="heading 3"/>
    <w:next w:val="BodyText"/>
    <w:link w:val="Heading3Char"/>
    <w:qFormat/>
    <w:rsid w:val="00546370"/>
    <w:pPr>
      <w:keepNext/>
      <w:spacing w:before="140" w:after="140" w:line="280" w:lineRule="atLeast"/>
      <w:outlineLvl w:val="2"/>
    </w:pPr>
    <w:rPr>
      <w:rFonts w:ascii="Arial" w:hAnsi="Arial"/>
      <w:b/>
      <w:noProo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42CE4"/>
    <w:pPr>
      <w:tabs>
        <w:tab w:val="left" w:pos="357"/>
        <w:tab w:val="center" w:pos="4320"/>
        <w:tab w:val="right" w:pos="8640"/>
      </w:tabs>
    </w:pPr>
    <w:rPr>
      <w:sz w:val="18"/>
    </w:rPr>
  </w:style>
  <w:style w:type="paragraph" w:styleId="Footer">
    <w:name w:val="footer"/>
    <w:aliases w:val="Footer1"/>
    <w:basedOn w:val="Normal"/>
    <w:link w:val="FooterChar"/>
    <w:rsid w:val="00F42CE4"/>
    <w:rPr>
      <w:sz w:val="18"/>
    </w:rPr>
  </w:style>
  <w:style w:type="character" w:styleId="PageNumber">
    <w:name w:val="page number"/>
    <w:rsid w:val="00BC7E24"/>
    <w:rPr>
      <w:rFonts w:ascii="Arial" w:hAnsi="Arial"/>
      <w:sz w:val="18"/>
    </w:rPr>
  </w:style>
  <w:style w:type="paragraph" w:styleId="TOC2">
    <w:name w:val="toc 2"/>
    <w:next w:val="Normal"/>
    <w:autoRedefine/>
    <w:semiHidden/>
    <w:rsid w:val="00F36551"/>
    <w:pPr>
      <w:tabs>
        <w:tab w:val="left" w:pos="1134"/>
        <w:tab w:val="left" w:pos="2268"/>
        <w:tab w:val="left" w:pos="2552"/>
        <w:tab w:val="left" w:pos="3119"/>
        <w:tab w:val="right" w:leader="dot" w:pos="8448"/>
      </w:tabs>
      <w:spacing w:before="60" w:after="60"/>
      <w:ind w:left="3119" w:right="1134" w:hanging="1418"/>
    </w:pPr>
    <w:rPr>
      <w:rFonts w:ascii="Arial" w:hAnsi="Arial"/>
      <w:noProof/>
    </w:rPr>
  </w:style>
  <w:style w:type="paragraph" w:styleId="TOC3">
    <w:name w:val="toc 3"/>
    <w:basedOn w:val="BodyText"/>
    <w:next w:val="Normal"/>
    <w:autoRedefine/>
    <w:semiHidden/>
    <w:rsid w:val="00F36551"/>
    <w:pPr>
      <w:tabs>
        <w:tab w:val="left" w:pos="851"/>
        <w:tab w:val="left" w:pos="1134"/>
        <w:tab w:val="left" w:pos="2268"/>
        <w:tab w:val="right" w:leader="dot" w:pos="8448"/>
      </w:tabs>
      <w:spacing w:after="0"/>
      <w:ind w:left="2268" w:right="1134"/>
    </w:pPr>
    <w:rPr>
      <w:noProof/>
    </w:rPr>
  </w:style>
  <w:style w:type="paragraph" w:styleId="BodyText">
    <w:name w:val="Body Text"/>
    <w:basedOn w:val="Normal"/>
    <w:rsid w:val="00546370"/>
  </w:style>
  <w:style w:type="paragraph" w:styleId="TOC4">
    <w:name w:val="toc 4"/>
    <w:basedOn w:val="Normal"/>
    <w:next w:val="Normal"/>
    <w:autoRedefine/>
    <w:semiHidden/>
    <w:rsid w:val="00F36551"/>
    <w:pPr>
      <w:tabs>
        <w:tab w:val="right" w:leader="dot" w:pos="8448"/>
        <w:tab w:val="right" w:pos="8505"/>
      </w:tabs>
      <w:ind w:left="2835" w:right="1134"/>
    </w:pPr>
  </w:style>
  <w:style w:type="paragraph" w:customStyle="1" w:styleId="Address">
    <w:name w:val="Address"/>
    <w:rsid w:val="00F36551"/>
    <w:pPr>
      <w:spacing w:line="180" w:lineRule="atLeast"/>
    </w:pPr>
    <w:rPr>
      <w:rFonts w:ascii="Arial" w:hAnsi="Arial"/>
      <w:noProof/>
      <w:color w:val="16288E"/>
      <w:sz w:val="16"/>
      <w:lang w:val="en-US" w:eastAsia="en-US"/>
    </w:rPr>
  </w:style>
  <w:style w:type="paragraph" w:styleId="EndnoteText">
    <w:name w:val="endnote text"/>
    <w:basedOn w:val="Normal"/>
    <w:semiHidden/>
    <w:rsid w:val="00F36551"/>
    <w:pPr>
      <w:tabs>
        <w:tab w:val="left" w:pos="357"/>
      </w:tabs>
    </w:pPr>
  </w:style>
  <w:style w:type="paragraph" w:styleId="EnvelopeAddress">
    <w:name w:val="envelope address"/>
    <w:basedOn w:val="Normal"/>
    <w:rsid w:val="00F36551"/>
    <w:pPr>
      <w:framePr w:w="7920" w:h="1980" w:hRule="exact" w:hSpace="180" w:wrap="auto" w:hAnchor="page" w:xAlign="center" w:yAlign="bottom"/>
      <w:tabs>
        <w:tab w:val="left" w:pos="357"/>
      </w:tabs>
      <w:ind w:left="2880"/>
    </w:pPr>
  </w:style>
  <w:style w:type="character" w:styleId="FollowedHyperlink">
    <w:name w:val="FollowedHyperlink"/>
    <w:rsid w:val="00F36551"/>
    <w:rPr>
      <w:color w:val="808080"/>
      <w:u w:val="none"/>
    </w:rPr>
  </w:style>
  <w:style w:type="paragraph" w:styleId="FootnoteText">
    <w:name w:val="footnote text"/>
    <w:link w:val="FootnoteTextChar"/>
    <w:uiPriority w:val="99"/>
    <w:rsid w:val="00F36551"/>
    <w:pPr>
      <w:spacing w:after="100" w:line="200" w:lineRule="atLeast"/>
    </w:pPr>
    <w:rPr>
      <w:rFonts w:ascii="Arial" w:hAnsi="Arial"/>
      <w:noProof/>
      <w:sz w:val="16"/>
      <w:lang w:val="en-US" w:eastAsia="en-US"/>
    </w:rPr>
  </w:style>
  <w:style w:type="character" w:styleId="Hyperlink">
    <w:name w:val="Hyperlink"/>
    <w:rsid w:val="00546370"/>
    <w:rPr>
      <w:rFonts w:ascii="Arial" w:hAnsi="Arial"/>
      <w:color w:val="16288E"/>
      <w:u w:val="none"/>
    </w:rPr>
  </w:style>
  <w:style w:type="paragraph" w:customStyle="1" w:styleId="Introduction">
    <w:name w:val="Introduction"/>
    <w:basedOn w:val="BodyText"/>
    <w:next w:val="BodyText"/>
    <w:rsid w:val="00546370"/>
    <w:pPr>
      <w:spacing w:before="140"/>
    </w:pPr>
    <w:rPr>
      <w:b/>
    </w:rPr>
  </w:style>
  <w:style w:type="paragraph" w:styleId="ListBullet">
    <w:name w:val="List Bullet"/>
    <w:basedOn w:val="Normal"/>
    <w:rsid w:val="00546370"/>
    <w:pPr>
      <w:numPr>
        <w:numId w:val="2"/>
      </w:numPr>
    </w:pPr>
  </w:style>
  <w:style w:type="paragraph" w:styleId="ListNumber">
    <w:name w:val="List Number"/>
    <w:basedOn w:val="Normal"/>
    <w:rsid w:val="00546370"/>
    <w:pPr>
      <w:numPr>
        <w:numId w:val="4"/>
      </w:numPr>
    </w:pPr>
  </w:style>
  <w:style w:type="paragraph" w:styleId="Title">
    <w:name w:val="Title"/>
    <w:link w:val="TitleChar"/>
    <w:qFormat/>
    <w:rsid w:val="00FC3D64"/>
    <w:pPr>
      <w:spacing w:before="360" w:after="280"/>
      <w:outlineLvl w:val="0"/>
    </w:pPr>
    <w:rPr>
      <w:rFonts w:ascii="Calibri" w:hAnsi="Calibri" w:cs="Aller"/>
      <w:bCs/>
      <w:noProof/>
      <w:kern w:val="28"/>
      <w:sz w:val="40"/>
      <w:szCs w:val="40"/>
      <w:lang w:val="en-US" w:eastAsia="en-US"/>
    </w:rPr>
  </w:style>
  <w:style w:type="character" w:customStyle="1" w:styleId="Heading1Char">
    <w:name w:val="Heading 1 Char"/>
    <w:link w:val="Heading1"/>
    <w:rsid w:val="008B4C86"/>
    <w:rPr>
      <w:rFonts w:ascii="Calibri" w:hAnsi="Calibri" w:cs="Aller"/>
      <w:noProof/>
      <w:kern w:val="28"/>
      <w:sz w:val="28"/>
      <w:szCs w:val="28"/>
      <w:lang w:val="en-US" w:eastAsia="en-US"/>
    </w:rPr>
  </w:style>
  <w:style w:type="character" w:customStyle="1" w:styleId="Heading2Char">
    <w:name w:val="Heading 2 Char"/>
    <w:link w:val="Heading2"/>
    <w:rsid w:val="008B4C86"/>
    <w:rPr>
      <w:rFonts w:ascii="Calibri" w:hAnsi="Calibri"/>
      <w:b/>
      <w:sz w:val="22"/>
      <w:szCs w:val="22"/>
      <w:lang w:eastAsia="en-US"/>
    </w:rPr>
  </w:style>
  <w:style w:type="character" w:customStyle="1" w:styleId="Heading3Char">
    <w:name w:val="Heading 3 Char"/>
    <w:link w:val="Heading3"/>
    <w:rsid w:val="00EE7DC4"/>
    <w:rPr>
      <w:rFonts w:ascii="Arial" w:hAnsi="Arial"/>
      <w:b/>
      <w:noProof/>
      <w:lang w:val="en-US" w:eastAsia="en-US" w:bidi="ar-SA"/>
    </w:rPr>
  </w:style>
  <w:style w:type="character" w:customStyle="1" w:styleId="TitleChar">
    <w:name w:val="Title Char"/>
    <w:link w:val="Title"/>
    <w:rsid w:val="00FC3D64"/>
    <w:rPr>
      <w:rFonts w:ascii="Calibri" w:hAnsi="Calibri" w:cs="Aller"/>
      <w:bCs/>
      <w:noProof/>
      <w:kern w:val="28"/>
      <w:sz w:val="40"/>
      <w:szCs w:val="40"/>
      <w:lang w:val="en-US" w:eastAsia="en-US"/>
    </w:rPr>
  </w:style>
  <w:style w:type="paragraph" w:customStyle="1" w:styleId="ZchnZchn1CharCharCarCar">
    <w:name w:val="Zchn Zchn1 Char Char Car Car"/>
    <w:basedOn w:val="Normal"/>
    <w:rsid w:val="00D02098"/>
    <w:pPr>
      <w:spacing w:after="160" w:line="240" w:lineRule="exact"/>
      <w:jc w:val="left"/>
    </w:pPr>
    <w:rPr>
      <w:rFonts w:ascii="Tahoma" w:hAnsi="Tahoma"/>
      <w:lang w:val="en-US"/>
    </w:rPr>
  </w:style>
  <w:style w:type="paragraph" w:customStyle="1" w:styleId="Docheader">
    <w:name w:val="Doc header"/>
    <w:basedOn w:val="Normal"/>
    <w:rsid w:val="00D02098"/>
    <w:pPr>
      <w:spacing w:after="0" w:line="280" w:lineRule="exact"/>
      <w:jc w:val="left"/>
    </w:pPr>
    <w:rPr>
      <w:sz w:val="24"/>
      <w:lang w:val="en-US"/>
    </w:rPr>
  </w:style>
  <w:style w:type="character" w:styleId="FootnoteReference">
    <w:name w:val="footnote reference"/>
    <w:uiPriority w:val="99"/>
    <w:rsid w:val="00D02098"/>
    <w:rPr>
      <w:vertAlign w:val="superscript"/>
    </w:rPr>
  </w:style>
  <w:style w:type="paragraph" w:styleId="ListParagraph">
    <w:name w:val="List Paragraph"/>
    <w:basedOn w:val="Normal"/>
    <w:uiPriority w:val="34"/>
    <w:qFormat/>
    <w:rsid w:val="005556BD"/>
    <w:pPr>
      <w:tabs>
        <w:tab w:val="clear" w:pos="567"/>
      </w:tabs>
      <w:spacing w:after="200" w:line="276" w:lineRule="auto"/>
      <w:ind w:left="720"/>
      <w:contextualSpacing/>
      <w:jc w:val="left"/>
    </w:pPr>
    <w:rPr>
      <w:rFonts w:eastAsia="Calibri"/>
    </w:rPr>
  </w:style>
  <w:style w:type="paragraph" w:styleId="NormalWeb">
    <w:name w:val="Normal (Web)"/>
    <w:basedOn w:val="Normal"/>
    <w:uiPriority w:val="99"/>
    <w:unhideWhenUsed/>
    <w:rsid w:val="004542EC"/>
    <w:pPr>
      <w:tabs>
        <w:tab w:val="clear" w:pos="567"/>
      </w:tabs>
      <w:spacing w:before="100" w:beforeAutospacing="1" w:after="100" w:afterAutospacing="1"/>
      <w:jc w:val="left"/>
    </w:pPr>
    <w:rPr>
      <w:rFonts w:ascii="Times New Roman" w:eastAsia="Calibri" w:hAnsi="Times New Roman"/>
      <w:sz w:val="24"/>
      <w:szCs w:val="24"/>
      <w:lang w:eastAsia="en-GB"/>
    </w:rPr>
  </w:style>
  <w:style w:type="paragraph" w:customStyle="1" w:styleId="Default">
    <w:name w:val="Default"/>
    <w:rsid w:val="00E0678C"/>
    <w:pPr>
      <w:autoSpaceDE w:val="0"/>
      <w:autoSpaceDN w:val="0"/>
      <w:adjustRightInd w:val="0"/>
    </w:pPr>
    <w:rPr>
      <w:rFonts w:ascii="Aller" w:hAnsi="Aller" w:cs="Aller"/>
      <w:color w:val="000000"/>
      <w:sz w:val="24"/>
      <w:szCs w:val="24"/>
    </w:rPr>
  </w:style>
  <w:style w:type="paragraph" w:styleId="List3">
    <w:name w:val="List 3"/>
    <w:basedOn w:val="Normal"/>
    <w:rsid w:val="001B1CF4"/>
    <w:pPr>
      <w:ind w:left="849" w:hanging="283"/>
      <w:contextualSpacing/>
    </w:pPr>
  </w:style>
  <w:style w:type="character" w:customStyle="1" w:styleId="FooterChar">
    <w:name w:val="Footer Char"/>
    <w:aliases w:val="Footer1 Char"/>
    <w:link w:val="Footer"/>
    <w:uiPriority w:val="99"/>
    <w:locked/>
    <w:rsid w:val="001B1CF4"/>
    <w:rPr>
      <w:rFonts w:ascii="Calibri" w:hAnsi="Calibri"/>
      <w:sz w:val="18"/>
      <w:szCs w:val="22"/>
      <w:lang w:eastAsia="en-US"/>
    </w:rPr>
  </w:style>
  <w:style w:type="paragraph" w:styleId="BalloonText">
    <w:name w:val="Balloon Text"/>
    <w:basedOn w:val="Normal"/>
    <w:link w:val="BalloonTextChar"/>
    <w:rsid w:val="0074297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742974"/>
    <w:rPr>
      <w:rFonts w:ascii="Lucida Grande" w:hAnsi="Lucida Grande" w:cs="Lucida Grande"/>
      <w:sz w:val="18"/>
      <w:szCs w:val="18"/>
      <w:lang w:eastAsia="en-US"/>
    </w:rPr>
  </w:style>
  <w:style w:type="character" w:styleId="CommentReference">
    <w:name w:val="annotation reference"/>
    <w:basedOn w:val="DefaultParagraphFont"/>
    <w:uiPriority w:val="99"/>
    <w:rsid w:val="00AC7536"/>
    <w:rPr>
      <w:sz w:val="18"/>
      <w:szCs w:val="18"/>
    </w:rPr>
  </w:style>
  <w:style w:type="paragraph" w:styleId="CommentText">
    <w:name w:val="annotation text"/>
    <w:basedOn w:val="Normal"/>
    <w:link w:val="CommentTextChar"/>
    <w:uiPriority w:val="99"/>
    <w:rsid w:val="00AC7536"/>
    <w:rPr>
      <w:sz w:val="24"/>
      <w:szCs w:val="24"/>
    </w:rPr>
  </w:style>
  <w:style w:type="character" w:customStyle="1" w:styleId="CommentTextChar">
    <w:name w:val="Comment Text Char"/>
    <w:basedOn w:val="DefaultParagraphFont"/>
    <w:link w:val="CommentText"/>
    <w:uiPriority w:val="99"/>
    <w:rsid w:val="00AC7536"/>
    <w:rPr>
      <w:rFonts w:ascii="Calibri" w:hAnsi="Calibri"/>
      <w:sz w:val="24"/>
      <w:szCs w:val="24"/>
      <w:lang w:eastAsia="en-US"/>
    </w:rPr>
  </w:style>
  <w:style w:type="paragraph" w:styleId="CommentSubject">
    <w:name w:val="annotation subject"/>
    <w:basedOn w:val="CommentText"/>
    <w:next w:val="CommentText"/>
    <w:link w:val="CommentSubjectChar"/>
    <w:rsid w:val="00AC7536"/>
    <w:rPr>
      <w:b/>
      <w:bCs/>
      <w:sz w:val="20"/>
      <w:szCs w:val="20"/>
    </w:rPr>
  </w:style>
  <w:style w:type="character" w:customStyle="1" w:styleId="CommentSubjectChar">
    <w:name w:val="Comment Subject Char"/>
    <w:basedOn w:val="CommentTextChar"/>
    <w:link w:val="CommentSubject"/>
    <w:rsid w:val="00AC7536"/>
    <w:rPr>
      <w:rFonts w:ascii="Calibri" w:hAnsi="Calibri"/>
      <w:b/>
      <w:bCs/>
      <w:sz w:val="24"/>
      <w:szCs w:val="24"/>
      <w:lang w:eastAsia="en-US"/>
    </w:rPr>
  </w:style>
  <w:style w:type="paragraph" w:styleId="DocumentMap">
    <w:name w:val="Document Map"/>
    <w:basedOn w:val="Normal"/>
    <w:link w:val="DocumentMapChar"/>
    <w:rsid w:val="008B4C86"/>
    <w:pPr>
      <w:spacing w:after="0"/>
    </w:pPr>
    <w:rPr>
      <w:rFonts w:ascii="Lucida Grande" w:hAnsi="Lucida Grande" w:cs="Lucida Grande"/>
      <w:sz w:val="24"/>
      <w:szCs w:val="24"/>
    </w:rPr>
  </w:style>
  <w:style w:type="character" w:customStyle="1" w:styleId="DocumentMapChar">
    <w:name w:val="Document Map Char"/>
    <w:basedOn w:val="DefaultParagraphFont"/>
    <w:link w:val="DocumentMap"/>
    <w:rsid w:val="008B4C86"/>
    <w:rPr>
      <w:rFonts w:ascii="Lucida Grande" w:hAnsi="Lucida Grande" w:cs="Lucida Grande"/>
      <w:sz w:val="24"/>
      <w:szCs w:val="24"/>
      <w:lang w:eastAsia="en-US"/>
    </w:rPr>
  </w:style>
  <w:style w:type="paragraph" w:styleId="BodyTextIndent">
    <w:name w:val="Body Text Indent"/>
    <w:basedOn w:val="Normal"/>
    <w:link w:val="BodyTextIndentChar"/>
    <w:rsid w:val="006F3996"/>
    <w:pPr>
      <w:ind w:left="283"/>
    </w:pPr>
  </w:style>
  <w:style w:type="character" w:customStyle="1" w:styleId="BodyTextIndentChar">
    <w:name w:val="Body Text Indent Char"/>
    <w:basedOn w:val="DefaultParagraphFont"/>
    <w:link w:val="BodyTextIndent"/>
    <w:rsid w:val="006F3996"/>
    <w:rPr>
      <w:rFonts w:ascii="Calibri" w:hAnsi="Calibri"/>
      <w:sz w:val="22"/>
      <w:szCs w:val="22"/>
      <w:lang w:eastAsia="en-US"/>
    </w:rPr>
  </w:style>
  <w:style w:type="paragraph" w:customStyle="1" w:styleId="table">
    <w:name w:val="table"/>
    <w:link w:val="tableChar"/>
    <w:rsid w:val="00D4455D"/>
    <w:pPr>
      <w:spacing w:before="30" w:after="30"/>
    </w:pPr>
    <w:rPr>
      <w:rFonts w:ascii="Palatino Linotype" w:hAnsi="Palatino Linotype"/>
      <w:noProof/>
      <w:sz w:val="17"/>
      <w:lang w:eastAsia="en-US"/>
    </w:rPr>
  </w:style>
  <w:style w:type="paragraph" w:customStyle="1" w:styleId="TableCaption">
    <w:name w:val="Table Caption"/>
    <w:basedOn w:val="Normal"/>
    <w:next w:val="Normal"/>
    <w:uiPriority w:val="99"/>
    <w:rsid w:val="00D4455D"/>
    <w:pPr>
      <w:keepNext/>
      <w:keepLines/>
      <w:tabs>
        <w:tab w:val="clear" w:pos="567"/>
      </w:tabs>
      <w:spacing w:before="240" w:after="240"/>
    </w:pPr>
    <w:rPr>
      <w:rFonts w:ascii="Palatino Linotype" w:hAnsi="Palatino Linotype"/>
      <w:b/>
      <w:sz w:val="17"/>
      <w:szCs w:val="18"/>
    </w:rPr>
  </w:style>
  <w:style w:type="table" w:styleId="TableGrid">
    <w:name w:val="Table Grid"/>
    <w:basedOn w:val="TableNormal"/>
    <w:uiPriority w:val="59"/>
    <w:rsid w:val="00D4455D"/>
    <w:pPr>
      <w:spacing w:before="30" w:after="30"/>
    </w:pPr>
    <w:rPr>
      <w:rFonts w:ascii="Palatino Linotype" w:hAnsi="Palatino Linotype"/>
      <w:sz w:val="16"/>
    </w:rPr>
    <w:tblPr>
      <w:tblStyleRowBandSize w:val="1"/>
      <w:tblStyleColBandSize w:val="1"/>
      <w:tblInd w:w="288" w:type="dxa"/>
      <w:tblBorders>
        <w:top w:val="single" w:sz="4" w:space="0" w:color="808080"/>
        <w:bottom w:val="single" w:sz="4" w:space="0" w:color="808080"/>
        <w:insideH w:val="single" w:sz="4" w:space="0" w:color="808080"/>
      </w:tblBorders>
    </w:tblPr>
    <w:tblStylePr w:type="firstRow">
      <w:pPr>
        <w:wordWrap/>
        <w:spacing w:beforeLines="0" w:beforeAutospacing="0" w:afterLines="0" w:afterAutospacing="0" w:line="240" w:lineRule="auto"/>
        <w:ind w:leftChars="0" w:left="0" w:rightChars="0" w:right="0" w:firstLineChars="0" w:firstLine="0"/>
        <w:jc w:val="left"/>
        <w:outlineLvl w:val="9"/>
      </w:pPr>
      <w:rPr>
        <w:rFonts w:ascii="Mistral" w:hAnsi="Mistral"/>
        <w:b/>
        <w:i w:val="0"/>
        <w:caps w:val="0"/>
        <w:smallCaps/>
        <w:strike w:val="0"/>
        <w:dstrike w:val="0"/>
        <w:vanish w:val="0"/>
        <w:color w:val="auto"/>
        <w:spacing w:val="10"/>
        <w:w w:val="100"/>
        <w:kern w:val="15"/>
        <w:position w:val="0"/>
        <w:sz w:val="15"/>
        <w:u w:val="none"/>
        <w:vertAlign w:val="baseline"/>
      </w:rPr>
      <w:tblPr/>
      <w:tcPr>
        <w:tcBorders>
          <w:top w:val="single" w:sz="4" w:space="0" w:color="auto"/>
          <w:left w:val="nil"/>
          <w:bottom w:val="single" w:sz="4" w:space="0" w:color="auto"/>
          <w:right w:val="nil"/>
          <w:insideH w:val="nil"/>
          <w:insideV w:val="nil"/>
          <w:tl2br w:val="nil"/>
          <w:tr2bl w:val="nil"/>
        </w:tcBorders>
      </w:tcPr>
    </w:tblStylePr>
    <w:tblStylePr w:type="lastRow">
      <w:pPr>
        <w:keepNext w:val="0"/>
        <w:keepLines w:val="0"/>
        <w:pageBreakBefore w:val="0"/>
        <w:widowControl w:val="0"/>
        <w:suppressLineNumbers w:val="0"/>
        <w:suppressAutoHyphens w:val="0"/>
        <w:wordWrap/>
        <w:spacing w:beforeLines="30" w:beforeAutospacing="0" w:afterLines="30" w:afterAutospacing="0" w:line="240" w:lineRule="auto"/>
        <w:ind w:leftChars="0" w:left="0" w:rightChars="0" w:right="0"/>
        <w:jc w:val="left"/>
        <w:outlineLvl w:val="9"/>
      </w:pPr>
      <w:rPr>
        <w:rFonts w:ascii="Univers" w:hAnsi="Univers"/>
        <w:b w:val="0"/>
        <w:i w:val="0"/>
        <w:color w:val="auto"/>
        <w:spacing w:val="0"/>
        <w:w w:val="100"/>
        <w:kern w:val="16"/>
        <w:position w:val="0"/>
        <w:sz w:val="16"/>
        <w:u w:val="none"/>
      </w:rPr>
      <w:tblPr/>
      <w:tcPr>
        <w:tcBorders>
          <w:top w:val="single" w:sz="4" w:space="0" w:color="808080"/>
          <w:left w:val="nil"/>
          <w:bottom w:val="single" w:sz="4" w:space="0" w:color="auto"/>
          <w:right w:val="nil"/>
          <w:insideH w:val="nil"/>
          <w:insideV w:val="nil"/>
          <w:tl2br w:val="nil"/>
          <w:tr2bl w:val="nil"/>
        </w:tcBorders>
      </w:tcPr>
    </w:tblStylePr>
    <w:tblStylePr w:type="firstCol">
      <w:pPr>
        <w:keepNext w:val="0"/>
        <w:keepLines w:val="0"/>
        <w:pageBreakBefore w:val="0"/>
        <w:widowControl w:val="0"/>
        <w:suppressLineNumbers w:val="0"/>
        <w:suppressAutoHyphens w:val="0"/>
        <w:wordWrap/>
        <w:spacing w:beforeLines="0" w:beforeAutospacing="0" w:afterLines="0" w:afterAutospacing="0" w:line="240" w:lineRule="auto"/>
        <w:ind w:leftChars="0" w:left="0" w:rightChars="0" w:right="0" w:firstLineChars="0" w:firstLine="0"/>
        <w:jc w:val="left"/>
        <w:outlineLvl w:val="9"/>
      </w:pPr>
      <w:rPr>
        <w:rFonts w:ascii="Univers" w:hAnsi="Univers"/>
        <w:b w:val="0"/>
        <w:i w:val="0"/>
        <w:color w:val="auto"/>
        <w:spacing w:val="0"/>
        <w:w w:val="100"/>
        <w:kern w:val="16"/>
        <w:position w:val="0"/>
        <w:sz w:val="16"/>
        <w:u w:val="none"/>
      </w:rPr>
      <w:tblPr/>
      <w:tcPr>
        <w:tcBorders>
          <w:top w:val="single" w:sz="4" w:space="0" w:color="808080"/>
          <w:left w:val="nil"/>
          <w:bottom w:val="single" w:sz="4" w:space="0" w:color="808080"/>
          <w:right w:val="nil"/>
          <w:insideH w:val="nil"/>
          <w:insideV w:val="nil"/>
          <w:tl2br w:val="nil"/>
          <w:tr2bl w:val="nil"/>
        </w:tcBorders>
      </w:tcPr>
    </w:tblStylePr>
    <w:tblStylePr w:type="lastCol">
      <w:pPr>
        <w:keepNext w:val="0"/>
        <w:keepLines w:val="0"/>
        <w:pageBreakBefore w:val="0"/>
        <w:widowControl w:val="0"/>
        <w:suppressLineNumbers w:val="0"/>
        <w:suppressAutoHyphens w:val="0"/>
        <w:wordWrap/>
        <w:spacing w:beforeLines="0" w:beforeAutospacing="0" w:afterLines="0" w:afterAutospacing="0" w:line="240" w:lineRule="auto"/>
        <w:ind w:leftChars="0" w:left="0" w:rightChars="0" w:right="0" w:firstLineChars="0" w:firstLine="0"/>
        <w:jc w:val="left"/>
        <w:outlineLvl w:val="9"/>
      </w:pPr>
      <w:rPr>
        <w:rFonts w:ascii="Univers" w:hAnsi="Univers"/>
        <w:b w:val="0"/>
        <w:i w:val="0"/>
        <w:color w:val="auto"/>
        <w:spacing w:val="0"/>
        <w:w w:val="100"/>
        <w:kern w:val="16"/>
        <w:position w:val="0"/>
        <w:sz w:val="16"/>
        <w:u w:val="none"/>
      </w:rPr>
      <w:tblPr/>
      <w:tcPr>
        <w:tcBorders>
          <w:top w:val="single" w:sz="4" w:space="0" w:color="808080"/>
          <w:left w:val="nil"/>
          <w:bottom w:val="single" w:sz="4" w:space="0" w:color="808080"/>
          <w:right w:val="nil"/>
          <w:insideH w:val="nil"/>
          <w:insideV w:val="nil"/>
          <w:tl2br w:val="nil"/>
          <w:tr2bl w:val="nil"/>
        </w:tcBorders>
      </w:tcPr>
    </w:tblStylePr>
    <w:tblStylePr w:type="band1Vert">
      <w:pPr>
        <w:keepNext w:val="0"/>
        <w:keepLines w:val="0"/>
        <w:pageBreakBefore w:val="0"/>
        <w:widowControl w:val="0"/>
        <w:suppressLineNumbers w:val="0"/>
        <w:suppressAutoHyphens w:val="0"/>
        <w:wordWrap/>
        <w:spacing w:beforeLines="0" w:beforeAutospacing="0" w:afterLines="0" w:afterAutospacing="0" w:line="240" w:lineRule="auto"/>
        <w:ind w:leftChars="0" w:left="0" w:rightChars="0" w:right="0" w:firstLineChars="0" w:firstLine="0"/>
        <w:jc w:val="left"/>
        <w:outlineLvl w:val="9"/>
      </w:pPr>
      <w:rPr>
        <w:rFonts w:ascii="Univers" w:hAnsi="Univers"/>
        <w:b w:val="0"/>
        <w:i w:val="0"/>
        <w:color w:val="auto"/>
        <w:spacing w:val="0"/>
        <w:w w:val="100"/>
        <w:kern w:val="16"/>
        <w:position w:val="0"/>
        <w:sz w:val="16"/>
        <w:u w:val="none"/>
      </w:rPr>
      <w:tblPr/>
      <w:tcPr>
        <w:tcBorders>
          <w:top w:val="single" w:sz="4" w:space="0" w:color="808080"/>
          <w:left w:val="nil"/>
          <w:bottom w:val="single" w:sz="4" w:space="0" w:color="808080"/>
          <w:right w:val="nil"/>
          <w:insideH w:val="nil"/>
          <w:insideV w:val="nil"/>
          <w:tl2br w:val="nil"/>
          <w:tr2bl w:val="nil"/>
        </w:tcBorders>
      </w:tcPr>
    </w:tblStylePr>
    <w:tblStylePr w:type="band2Vert">
      <w:pPr>
        <w:wordWrap/>
        <w:spacing w:beforeLines="0" w:beforeAutospacing="0" w:afterLines="0" w:afterAutospacing="0" w:line="240" w:lineRule="auto"/>
        <w:ind w:leftChars="0" w:left="0" w:rightChars="0" w:right="0" w:firstLineChars="0" w:firstLine="0"/>
        <w:jc w:val="left"/>
      </w:pPr>
      <w:rPr>
        <w:rFonts w:ascii="Univers" w:hAnsi="Univers"/>
        <w:b w:val="0"/>
        <w:i w:val="0"/>
        <w:color w:val="auto"/>
        <w:spacing w:val="0"/>
        <w:w w:val="100"/>
        <w:kern w:val="16"/>
        <w:position w:val="0"/>
        <w:sz w:val="16"/>
        <w:u w:val="none"/>
      </w:rPr>
      <w:tblPr/>
      <w:tcPr>
        <w:tcBorders>
          <w:top w:val="single" w:sz="4" w:space="0" w:color="808080"/>
          <w:left w:val="nil"/>
          <w:bottom w:val="single" w:sz="4" w:space="0" w:color="808080"/>
          <w:right w:val="nil"/>
          <w:insideH w:val="nil"/>
          <w:insideV w:val="nil"/>
          <w:tl2br w:val="nil"/>
          <w:tr2bl w:val="nil"/>
        </w:tcBorders>
      </w:tcPr>
    </w:tblStylePr>
    <w:tblStylePr w:type="band1Horz">
      <w:pPr>
        <w:keepNext w:val="0"/>
        <w:keepLines w:val="0"/>
        <w:pageBreakBefore w:val="0"/>
        <w:widowControl w:val="0"/>
        <w:suppressLineNumbers w:val="0"/>
        <w:suppressAutoHyphens w:val="0"/>
        <w:wordWrap/>
        <w:spacing w:beforeLines="0" w:beforeAutospacing="0" w:afterLines="0" w:afterAutospacing="0" w:line="240" w:lineRule="auto"/>
        <w:ind w:leftChars="0" w:left="0" w:rightChars="0" w:right="0" w:firstLineChars="0" w:firstLine="0"/>
        <w:jc w:val="left"/>
      </w:pPr>
      <w:rPr>
        <w:rFonts w:ascii="Univers" w:hAnsi="Univers"/>
        <w:b w:val="0"/>
        <w:i w:val="0"/>
        <w:color w:val="auto"/>
        <w:spacing w:val="0"/>
        <w:w w:val="100"/>
        <w:kern w:val="16"/>
        <w:position w:val="0"/>
        <w:sz w:val="16"/>
        <w:u w:val="none"/>
      </w:rPr>
      <w:tblPr/>
      <w:tcPr>
        <w:tcBorders>
          <w:top w:val="single" w:sz="4" w:space="0" w:color="808080"/>
          <w:left w:val="nil"/>
          <w:bottom w:val="single" w:sz="4" w:space="0" w:color="808080"/>
          <w:right w:val="nil"/>
          <w:insideH w:val="nil"/>
          <w:insideV w:val="nil"/>
          <w:tl2br w:val="nil"/>
          <w:tr2bl w:val="nil"/>
        </w:tcBorders>
      </w:tcPr>
    </w:tblStylePr>
    <w:tblStylePr w:type="band2Horz">
      <w:pPr>
        <w:keepNext w:val="0"/>
        <w:keepLines w:val="0"/>
        <w:pageBreakBefore w:val="0"/>
        <w:widowControl w:val="0"/>
        <w:suppressLineNumbers w:val="0"/>
        <w:suppressAutoHyphens w:val="0"/>
        <w:wordWrap/>
        <w:spacing w:beforeLines="0" w:beforeAutospacing="0" w:afterLines="0" w:afterAutospacing="0" w:line="240" w:lineRule="auto"/>
        <w:ind w:leftChars="0" w:left="0" w:rightChars="0" w:right="0" w:firstLineChars="0" w:firstLine="0"/>
        <w:jc w:val="left"/>
        <w:outlineLvl w:val="9"/>
      </w:pPr>
      <w:rPr>
        <w:rFonts w:ascii="Univers" w:hAnsi="Univers"/>
        <w:b w:val="0"/>
        <w:i w:val="0"/>
        <w:color w:val="auto"/>
        <w:spacing w:val="0"/>
        <w:w w:val="100"/>
        <w:kern w:val="16"/>
        <w:position w:val="0"/>
        <w:sz w:val="16"/>
        <w:u w:val="none"/>
      </w:rPr>
      <w:tblPr/>
      <w:tcPr>
        <w:tcBorders>
          <w:top w:val="single" w:sz="4" w:space="0" w:color="808080"/>
          <w:left w:val="nil"/>
          <w:bottom w:val="single" w:sz="4" w:space="0" w:color="808080"/>
          <w:right w:val="nil"/>
          <w:insideH w:val="nil"/>
          <w:insideV w:val="nil"/>
          <w:tl2br w:val="nil"/>
          <w:tr2bl w:val="nil"/>
        </w:tcBorders>
      </w:tcPr>
    </w:tblStylePr>
  </w:style>
  <w:style w:type="paragraph" w:customStyle="1" w:styleId="TableTop">
    <w:name w:val="Table Top"/>
    <w:basedOn w:val="table"/>
    <w:rsid w:val="00D4455D"/>
    <w:pPr>
      <w:keepNext/>
      <w:widowControl w:val="0"/>
    </w:pPr>
    <w:rPr>
      <w:rFonts w:ascii="Futura Md BT" w:hAnsi="Futura Md BT"/>
      <w:b/>
      <w:bCs/>
      <w:spacing w:val="6"/>
      <w:kern w:val="15"/>
      <w:sz w:val="15"/>
      <w:szCs w:val="15"/>
    </w:rPr>
  </w:style>
  <w:style w:type="character" w:customStyle="1" w:styleId="tableChar">
    <w:name w:val="table Char"/>
    <w:link w:val="table"/>
    <w:locked/>
    <w:rsid w:val="00D4455D"/>
    <w:rPr>
      <w:rFonts w:ascii="Palatino Linotype" w:hAnsi="Palatino Linotype"/>
      <w:noProof/>
      <w:sz w:val="17"/>
      <w:lang w:eastAsia="en-US"/>
    </w:rPr>
  </w:style>
  <w:style w:type="paragraph" w:customStyle="1" w:styleId="Heading11">
    <w:name w:val="Heading 11"/>
    <w:next w:val="Normal"/>
    <w:rsid w:val="00CB3939"/>
    <w:pPr>
      <w:keepNext/>
      <w:tabs>
        <w:tab w:val="left" w:pos="567"/>
        <w:tab w:val="left" w:pos="1134"/>
        <w:tab w:val="left" w:pos="1701"/>
        <w:tab w:val="left" w:pos="2268"/>
        <w:tab w:val="left" w:pos="2832"/>
        <w:tab w:val="left" w:pos="3540"/>
        <w:tab w:val="left" w:pos="4248"/>
        <w:tab w:val="left" w:pos="4956"/>
        <w:tab w:val="left" w:pos="5664"/>
        <w:tab w:val="left" w:pos="6372"/>
        <w:tab w:val="left" w:pos="7080"/>
        <w:tab w:val="left" w:pos="7788"/>
        <w:tab w:val="left" w:pos="8496"/>
      </w:tabs>
      <w:suppressAutoHyphens/>
      <w:spacing w:before="240" w:after="120"/>
      <w:jc w:val="both"/>
    </w:pPr>
    <w:rPr>
      <w:rFonts w:ascii="Arial" w:eastAsia="ヒラギノ角ゴ Pro W3" w:hAnsi="Arial" w:cs="Arial"/>
      <w:b/>
      <w:kern w:val="1"/>
      <w:sz w:val="22"/>
      <w:szCs w:val="22"/>
      <w:lang w:eastAsia="ar-SA"/>
    </w:rPr>
  </w:style>
  <w:style w:type="character" w:customStyle="1" w:styleId="FootnoteTextChar">
    <w:name w:val="Footnote Text Char"/>
    <w:basedOn w:val="DefaultParagraphFont"/>
    <w:link w:val="FootnoteText"/>
    <w:uiPriority w:val="99"/>
    <w:rsid w:val="00CB3939"/>
    <w:rPr>
      <w:rFonts w:ascii="Arial" w:hAnsi="Arial"/>
      <w:noProof/>
      <w:sz w:val="16"/>
      <w:lang w:val="en-US" w:eastAsia="en-US"/>
    </w:rPr>
  </w:style>
  <w:style w:type="paragraph" w:styleId="Caption">
    <w:name w:val="caption"/>
    <w:basedOn w:val="Normal"/>
    <w:next w:val="Normal"/>
    <w:uiPriority w:val="35"/>
    <w:qFormat/>
    <w:rsid w:val="00390E94"/>
    <w:pPr>
      <w:tabs>
        <w:tab w:val="clear" w:pos="567"/>
      </w:tabs>
      <w:spacing w:after="200"/>
      <w:jc w:val="left"/>
    </w:pPr>
    <w:rPr>
      <w:rFonts w:eastAsia="Calibri"/>
      <w:i/>
      <w:iCs/>
      <w:color w:val="44546A"/>
      <w:sz w:val="18"/>
      <w:szCs w:val="18"/>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uiPriority="35"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991"/>
    <w:pPr>
      <w:tabs>
        <w:tab w:val="left" w:pos="567"/>
      </w:tabs>
      <w:spacing w:after="120"/>
      <w:jc w:val="both"/>
    </w:pPr>
    <w:rPr>
      <w:rFonts w:ascii="Calibri" w:hAnsi="Calibri"/>
      <w:sz w:val="22"/>
      <w:szCs w:val="22"/>
      <w:lang w:eastAsia="en-US"/>
    </w:rPr>
  </w:style>
  <w:style w:type="paragraph" w:styleId="Heading1">
    <w:name w:val="heading 1"/>
    <w:basedOn w:val="Title"/>
    <w:next w:val="BodyText"/>
    <w:link w:val="Heading1Char"/>
    <w:qFormat/>
    <w:rsid w:val="008B4C86"/>
    <w:pPr>
      <w:spacing w:before="240" w:after="120"/>
    </w:pPr>
    <w:rPr>
      <w:bCs w:val="0"/>
      <w:sz w:val="28"/>
      <w:szCs w:val="28"/>
    </w:rPr>
  </w:style>
  <w:style w:type="paragraph" w:styleId="Heading2">
    <w:name w:val="heading 2"/>
    <w:basedOn w:val="Normal"/>
    <w:next w:val="BodyText"/>
    <w:link w:val="Heading2Char"/>
    <w:qFormat/>
    <w:rsid w:val="008B4C86"/>
    <w:pPr>
      <w:spacing w:before="120"/>
      <w:outlineLvl w:val="1"/>
    </w:pPr>
    <w:rPr>
      <w:b/>
    </w:rPr>
  </w:style>
  <w:style w:type="paragraph" w:styleId="Heading3">
    <w:name w:val="heading 3"/>
    <w:next w:val="BodyText"/>
    <w:link w:val="Heading3Char"/>
    <w:qFormat/>
    <w:rsid w:val="00546370"/>
    <w:pPr>
      <w:keepNext/>
      <w:spacing w:before="140" w:after="140" w:line="280" w:lineRule="atLeast"/>
      <w:outlineLvl w:val="2"/>
    </w:pPr>
    <w:rPr>
      <w:rFonts w:ascii="Arial" w:hAnsi="Arial"/>
      <w:b/>
      <w:noProo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42CE4"/>
    <w:pPr>
      <w:tabs>
        <w:tab w:val="left" w:pos="357"/>
        <w:tab w:val="center" w:pos="4320"/>
        <w:tab w:val="right" w:pos="8640"/>
      </w:tabs>
    </w:pPr>
    <w:rPr>
      <w:sz w:val="18"/>
    </w:rPr>
  </w:style>
  <w:style w:type="paragraph" w:styleId="Footer">
    <w:name w:val="footer"/>
    <w:aliases w:val="Footer1"/>
    <w:basedOn w:val="Normal"/>
    <w:link w:val="FooterChar"/>
    <w:rsid w:val="00F42CE4"/>
    <w:rPr>
      <w:sz w:val="18"/>
    </w:rPr>
  </w:style>
  <w:style w:type="character" w:styleId="PageNumber">
    <w:name w:val="page number"/>
    <w:rsid w:val="00BC7E24"/>
    <w:rPr>
      <w:rFonts w:ascii="Arial" w:hAnsi="Arial"/>
      <w:sz w:val="18"/>
    </w:rPr>
  </w:style>
  <w:style w:type="paragraph" w:styleId="TOC2">
    <w:name w:val="toc 2"/>
    <w:next w:val="Normal"/>
    <w:autoRedefine/>
    <w:semiHidden/>
    <w:rsid w:val="00F36551"/>
    <w:pPr>
      <w:tabs>
        <w:tab w:val="left" w:pos="1134"/>
        <w:tab w:val="left" w:pos="2268"/>
        <w:tab w:val="left" w:pos="2552"/>
        <w:tab w:val="left" w:pos="3119"/>
        <w:tab w:val="right" w:leader="dot" w:pos="8448"/>
      </w:tabs>
      <w:spacing w:before="60" w:after="60"/>
      <w:ind w:left="3119" w:right="1134" w:hanging="1418"/>
    </w:pPr>
    <w:rPr>
      <w:rFonts w:ascii="Arial" w:hAnsi="Arial"/>
      <w:noProof/>
    </w:rPr>
  </w:style>
  <w:style w:type="paragraph" w:styleId="TOC3">
    <w:name w:val="toc 3"/>
    <w:basedOn w:val="BodyText"/>
    <w:next w:val="Normal"/>
    <w:autoRedefine/>
    <w:semiHidden/>
    <w:rsid w:val="00F36551"/>
    <w:pPr>
      <w:tabs>
        <w:tab w:val="left" w:pos="851"/>
        <w:tab w:val="left" w:pos="1134"/>
        <w:tab w:val="left" w:pos="2268"/>
        <w:tab w:val="right" w:leader="dot" w:pos="8448"/>
      </w:tabs>
      <w:spacing w:after="0"/>
      <w:ind w:left="2268" w:right="1134"/>
    </w:pPr>
    <w:rPr>
      <w:noProof/>
    </w:rPr>
  </w:style>
  <w:style w:type="paragraph" w:styleId="BodyText">
    <w:name w:val="Body Text"/>
    <w:basedOn w:val="Normal"/>
    <w:rsid w:val="00546370"/>
  </w:style>
  <w:style w:type="paragraph" w:styleId="TOC4">
    <w:name w:val="toc 4"/>
    <w:basedOn w:val="Normal"/>
    <w:next w:val="Normal"/>
    <w:autoRedefine/>
    <w:semiHidden/>
    <w:rsid w:val="00F36551"/>
    <w:pPr>
      <w:tabs>
        <w:tab w:val="right" w:leader="dot" w:pos="8448"/>
        <w:tab w:val="right" w:pos="8505"/>
      </w:tabs>
      <w:ind w:left="2835" w:right="1134"/>
    </w:pPr>
  </w:style>
  <w:style w:type="paragraph" w:customStyle="1" w:styleId="Address">
    <w:name w:val="Address"/>
    <w:rsid w:val="00F36551"/>
    <w:pPr>
      <w:spacing w:line="180" w:lineRule="atLeast"/>
    </w:pPr>
    <w:rPr>
      <w:rFonts w:ascii="Arial" w:hAnsi="Arial"/>
      <w:noProof/>
      <w:color w:val="16288E"/>
      <w:sz w:val="16"/>
      <w:lang w:val="en-US" w:eastAsia="en-US"/>
    </w:rPr>
  </w:style>
  <w:style w:type="paragraph" w:styleId="EndnoteText">
    <w:name w:val="endnote text"/>
    <w:basedOn w:val="Normal"/>
    <w:semiHidden/>
    <w:rsid w:val="00F36551"/>
    <w:pPr>
      <w:tabs>
        <w:tab w:val="left" w:pos="357"/>
      </w:tabs>
    </w:pPr>
  </w:style>
  <w:style w:type="paragraph" w:styleId="EnvelopeAddress">
    <w:name w:val="envelope address"/>
    <w:basedOn w:val="Normal"/>
    <w:rsid w:val="00F36551"/>
    <w:pPr>
      <w:framePr w:w="7920" w:h="1980" w:hRule="exact" w:hSpace="180" w:wrap="auto" w:hAnchor="page" w:xAlign="center" w:yAlign="bottom"/>
      <w:tabs>
        <w:tab w:val="left" w:pos="357"/>
      </w:tabs>
      <w:ind w:left="2880"/>
    </w:pPr>
  </w:style>
  <w:style w:type="character" w:styleId="FollowedHyperlink">
    <w:name w:val="FollowedHyperlink"/>
    <w:rsid w:val="00F36551"/>
    <w:rPr>
      <w:color w:val="808080"/>
      <w:u w:val="none"/>
    </w:rPr>
  </w:style>
  <w:style w:type="paragraph" w:styleId="FootnoteText">
    <w:name w:val="footnote text"/>
    <w:link w:val="FootnoteTextChar"/>
    <w:uiPriority w:val="99"/>
    <w:rsid w:val="00F36551"/>
    <w:pPr>
      <w:spacing w:after="100" w:line="200" w:lineRule="atLeast"/>
    </w:pPr>
    <w:rPr>
      <w:rFonts w:ascii="Arial" w:hAnsi="Arial"/>
      <w:noProof/>
      <w:sz w:val="16"/>
      <w:lang w:val="en-US" w:eastAsia="en-US"/>
    </w:rPr>
  </w:style>
  <w:style w:type="character" w:styleId="Hyperlink">
    <w:name w:val="Hyperlink"/>
    <w:rsid w:val="00546370"/>
    <w:rPr>
      <w:rFonts w:ascii="Arial" w:hAnsi="Arial"/>
      <w:color w:val="16288E"/>
      <w:u w:val="none"/>
    </w:rPr>
  </w:style>
  <w:style w:type="paragraph" w:customStyle="1" w:styleId="Introduction">
    <w:name w:val="Introduction"/>
    <w:basedOn w:val="BodyText"/>
    <w:next w:val="BodyText"/>
    <w:rsid w:val="00546370"/>
    <w:pPr>
      <w:spacing w:before="140"/>
    </w:pPr>
    <w:rPr>
      <w:b/>
    </w:rPr>
  </w:style>
  <w:style w:type="paragraph" w:styleId="ListBullet">
    <w:name w:val="List Bullet"/>
    <w:basedOn w:val="Normal"/>
    <w:rsid w:val="00546370"/>
    <w:pPr>
      <w:numPr>
        <w:numId w:val="2"/>
      </w:numPr>
    </w:pPr>
  </w:style>
  <w:style w:type="paragraph" w:styleId="ListNumber">
    <w:name w:val="List Number"/>
    <w:basedOn w:val="Normal"/>
    <w:rsid w:val="00546370"/>
    <w:pPr>
      <w:numPr>
        <w:numId w:val="4"/>
      </w:numPr>
    </w:pPr>
  </w:style>
  <w:style w:type="paragraph" w:styleId="Title">
    <w:name w:val="Title"/>
    <w:link w:val="TitleChar"/>
    <w:qFormat/>
    <w:rsid w:val="00FC3D64"/>
    <w:pPr>
      <w:spacing w:before="360" w:after="280"/>
      <w:outlineLvl w:val="0"/>
    </w:pPr>
    <w:rPr>
      <w:rFonts w:ascii="Calibri" w:hAnsi="Calibri" w:cs="Aller"/>
      <w:bCs/>
      <w:noProof/>
      <w:kern w:val="28"/>
      <w:sz w:val="40"/>
      <w:szCs w:val="40"/>
      <w:lang w:val="en-US" w:eastAsia="en-US"/>
    </w:rPr>
  </w:style>
  <w:style w:type="character" w:customStyle="1" w:styleId="Heading1Char">
    <w:name w:val="Heading 1 Char"/>
    <w:link w:val="Heading1"/>
    <w:rsid w:val="008B4C86"/>
    <w:rPr>
      <w:rFonts w:ascii="Calibri" w:hAnsi="Calibri" w:cs="Aller"/>
      <w:noProof/>
      <w:kern w:val="28"/>
      <w:sz w:val="28"/>
      <w:szCs w:val="28"/>
      <w:lang w:val="en-US" w:eastAsia="en-US"/>
    </w:rPr>
  </w:style>
  <w:style w:type="character" w:customStyle="1" w:styleId="Heading2Char">
    <w:name w:val="Heading 2 Char"/>
    <w:link w:val="Heading2"/>
    <w:rsid w:val="008B4C86"/>
    <w:rPr>
      <w:rFonts w:ascii="Calibri" w:hAnsi="Calibri"/>
      <w:b/>
      <w:sz w:val="22"/>
      <w:szCs w:val="22"/>
      <w:lang w:eastAsia="en-US"/>
    </w:rPr>
  </w:style>
  <w:style w:type="character" w:customStyle="1" w:styleId="Heading3Char">
    <w:name w:val="Heading 3 Char"/>
    <w:link w:val="Heading3"/>
    <w:rsid w:val="00EE7DC4"/>
    <w:rPr>
      <w:rFonts w:ascii="Arial" w:hAnsi="Arial"/>
      <w:b/>
      <w:noProof/>
      <w:lang w:val="en-US" w:eastAsia="en-US" w:bidi="ar-SA"/>
    </w:rPr>
  </w:style>
  <w:style w:type="character" w:customStyle="1" w:styleId="TitleChar">
    <w:name w:val="Title Char"/>
    <w:link w:val="Title"/>
    <w:rsid w:val="00FC3D64"/>
    <w:rPr>
      <w:rFonts w:ascii="Calibri" w:hAnsi="Calibri" w:cs="Aller"/>
      <w:bCs/>
      <w:noProof/>
      <w:kern w:val="28"/>
      <w:sz w:val="40"/>
      <w:szCs w:val="40"/>
      <w:lang w:val="en-US" w:eastAsia="en-US"/>
    </w:rPr>
  </w:style>
  <w:style w:type="paragraph" w:customStyle="1" w:styleId="ZchnZchn1CharCharCarCar">
    <w:name w:val="Zchn Zchn1 Char Char Car Car"/>
    <w:basedOn w:val="Normal"/>
    <w:rsid w:val="00D02098"/>
    <w:pPr>
      <w:spacing w:after="160" w:line="240" w:lineRule="exact"/>
      <w:jc w:val="left"/>
    </w:pPr>
    <w:rPr>
      <w:rFonts w:ascii="Tahoma" w:hAnsi="Tahoma"/>
      <w:lang w:val="en-US"/>
    </w:rPr>
  </w:style>
  <w:style w:type="paragraph" w:customStyle="1" w:styleId="Docheader">
    <w:name w:val="Doc header"/>
    <w:basedOn w:val="Normal"/>
    <w:rsid w:val="00D02098"/>
    <w:pPr>
      <w:spacing w:after="0" w:line="280" w:lineRule="exact"/>
      <w:jc w:val="left"/>
    </w:pPr>
    <w:rPr>
      <w:sz w:val="24"/>
      <w:lang w:val="en-US"/>
    </w:rPr>
  </w:style>
  <w:style w:type="character" w:styleId="FootnoteReference">
    <w:name w:val="footnote reference"/>
    <w:uiPriority w:val="99"/>
    <w:rsid w:val="00D02098"/>
    <w:rPr>
      <w:vertAlign w:val="superscript"/>
    </w:rPr>
  </w:style>
  <w:style w:type="paragraph" w:styleId="ListParagraph">
    <w:name w:val="List Paragraph"/>
    <w:basedOn w:val="Normal"/>
    <w:uiPriority w:val="34"/>
    <w:qFormat/>
    <w:rsid w:val="005556BD"/>
    <w:pPr>
      <w:tabs>
        <w:tab w:val="clear" w:pos="567"/>
      </w:tabs>
      <w:spacing w:after="200" w:line="276" w:lineRule="auto"/>
      <w:ind w:left="720"/>
      <w:contextualSpacing/>
      <w:jc w:val="left"/>
    </w:pPr>
    <w:rPr>
      <w:rFonts w:eastAsia="Calibri"/>
    </w:rPr>
  </w:style>
  <w:style w:type="paragraph" w:styleId="NormalWeb">
    <w:name w:val="Normal (Web)"/>
    <w:basedOn w:val="Normal"/>
    <w:uiPriority w:val="99"/>
    <w:unhideWhenUsed/>
    <w:rsid w:val="004542EC"/>
    <w:pPr>
      <w:tabs>
        <w:tab w:val="clear" w:pos="567"/>
      </w:tabs>
      <w:spacing w:before="100" w:beforeAutospacing="1" w:after="100" w:afterAutospacing="1"/>
      <w:jc w:val="left"/>
    </w:pPr>
    <w:rPr>
      <w:rFonts w:ascii="Times New Roman" w:eastAsia="Calibri" w:hAnsi="Times New Roman"/>
      <w:sz w:val="24"/>
      <w:szCs w:val="24"/>
      <w:lang w:eastAsia="en-GB"/>
    </w:rPr>
  </w:style>
  <w:style w:type="paragraph" w:customStyle="1" w:styleId="Default">
    <w:name w:val="Default"/>
    <w:rsid w:val="00E0678C"/>
    <w:pPr>
      <w:autoSpaceDE w:val="0"/>
      <w:autoSpaceDN w:val="0"/>
      <w:adjustRightInd w:val="0"/>
    </w:pPr>
    <w:rPr>
      <w:rFonts w:ascii="Aller" w:hAnsi="Aller" w:cs="Aller"/>
      <w:color w:val="000000"/>
      <w:sz w:val="24"/>
      <w:szCs w:val="24"/>
    </w:rPr>
  </w:style>
  <w:style w:type="paragraph" w:styleId="List3">
    <w:name w:val="List 3"/>
    <w:basedOn w:val="Normal"/>
    <w:rsid w:val="001B1CF4"/>
    <w:pPr>
      <w:ind w:left="849" w:hanging="283"/>
      <w:contextualSpacing/>
    </w:pPr>
  </w:style>
  <w:style w:type="character" w:customStyle="1" w:styleId="FooterChar">
    <w:name w:val="Footer Char"/>
    <w:aliases w:val="Footer1 Char"/>
    <w:link w:val="Footer"/>
    <w:uiPriority w:val="99"/>
    <w:locked/>
    <w:rsid w:val="001B1CF4"/>
    <w:rPr>
      <w:rFonts w:ascii="Calibri" w:hAnsi="Calibri"/>
      <w:sz w:val="18"/>
      <w:szCs w:val="22"/>
      <w:lang w:eastAsia="en-US"/>
    </w:rPr>
  </w:style>
  <w:style w:type="paragraph" w:styleId="BalloonText">
    <w:name w:val="Balloon Text"/>
    <w:basedOn w:val="Normal"/>
    <w:link w:val="BalloonTextChar"/>
    <w:rsid w:val="0074297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742974"/>
    <w:rPr>
      <w:rFonts w:ascii="Lucida Grande" w:hAnsi="Lucida Grande" w:cs="Lucida Grande"/>
      <w:sz w:val="18"/>
      <w:szCs w:val="18"/>
      <w:lang w:eastAsia="en-US"/>
    </w:rPr>
  </w:style>
  <w:style w:type="character" w:styleId="CommentReference">
    <w:name w:val="annotation reference"/>
    <w:basedOn w:val="DefaultParagraphFont"/>
    <w:uiPriority w:val="99"/>
    <w:rsid w:val="00AC7536"/>
    <w:rPr>
      <w:sz w:val="18"/>
      <w:szCs w:val="18"/>
    </w:rPr>
  </w:style>
  <w:style w:type="paragraph" w:styleId="CommentText">
    <w:name w:val="annotation text"/>
    <w:basedOn w:val="Normal"/>
    <w:link w:val="CommentTextChar"/>
    <w:uiPriority w:val="99"/>
    <w:rsid w:val="00AC7536"/>
    <w:rPr>
      <w:sz w:val="24"/>
      <w:szCs w:val="24"/>
    </w:rPr>
  </w:style>
  <w:style w:type="character" w:customStyle="1" w:styleId="CommentTextChar">
    <w:name w:val="Comment Text Char"/>
    <w:basedOn w:val="DefaultParagraphFont"/>
    <w:link w:val="CommentText"/>
    <w:uiPriority w:val="99"/>
    <w:rsid w:val="00AC7536"/>
    <w:rPr>
      <w:rFonts w:ascii="Calibri" w:hAnsi="Calibri"/>
      <w:sz w:val="24"/>
      <w:szCs w:val="24"/>
      <w:lang w:eastAsia="en-US"/>
    </w:rPr>
  </w:style>
  <w:style w:type="paragraph" w:styleId="CommentSubject">
    <w:name w:val="annotation subject"/>
    <w:basedOn w:val="CommentText"/>
    <w:next w:val="CommentText"/>
    <w:link w:val="CommentSubjectChar"/>
    <w:rsid w:val="00AC7536"/>
    <w:rPr>
      <w:b/>
      <w:bCs/>
      <w:sz w:val="20"/>
      <w:szCs w:val="20"/>
    </w:rPr>
  </w:style>
  <w:style w:type="character" w:customStyle="1" w:styleId="CommentSubjectChar">
    <w:name w:val="Comment Subject Char"/>
    <w:basedOn w:val="CommentTextChar"/>
    <w:link w:val="CommentSubject"/>
    <w:rsid w:val="00AC7536"/>
    <w:rPr>
      <w:rFonts w:ascii="Calibri" w:hAnsi="Calibri"/>
      <w:b/>
      <w:bCs/>
      <w:sz w:val="24"/>
      <w:szCs w:val="24"/>
      <w:lang w:eastAsia="en-US"/>
    </w:rPr>
  </w:style>
  <w:style w:type="paragraph" w:styleId="DocumentMap">
    <w:name w:val="Document Map"/>
    <w:basedOn w:val="Normal"/>
    <w:link w:val="DocumentMapChar"/>
    <w:rsid w:val="008B4C86"/>
    <w:pPr>
      <w:spacing w:after="0"/>
    </w:pPr>
    <w:rPr>
      <w:rFonts w:ascii="Lucida Grande" w:hAnsi="Lucida Grande" w:cs="Lucida Grande"/>
      <w:sz w:val="24"/>
      <w:szCs w:val="24"/>
    </w:rPr>
  </w:style>
  <w:style w:type="character" w:customStyle="1" w:styleId="DocumentMapChar">
    <w:name w:val="Document Map Char"/>
    <w:basedOn w:val="DefaultParagraphFont"/>
    <w:link w:val="DocumentMap"/>
    <w:rsid w:val="008B4C86"/>
    <w:rPr>
      <w:rFonts w:ascii="Lucida Grande" w:hAnsi="Lucida Grande" w:cs="Lucida Grande"/>
      <w:sz w:val="24"/>
      <w:szCs w:val="24"/>
      <w:lang w:eastAsia="en-US"/>
    </w:rPr>
  </w:style>
  <w:style w:type="paragraph" w:styleId="BodyTextIndent">
    <w:name w:val="Body Text Indent"/>
    <w:basedOn w:val="Normal"/>
    <w:link w:val="BodyTextIndentChar"/>
    <w:rsid w:val="006F3996"/>
    <w:pPr>
      <w:ind w:left="283"/>
    </w:pPr>
  </w:style>
  <w:style w:type="character" w:customStyle="1" w:styleId="BodyTextIndentChar">
    <w:name w:val="Body Text Indent Char"/>
    <w:basedOn w:val="DefaultParagraphFont"/>
    <w:link w:val="BodyTextIndent"/>
    <w:rsid w:val="006F3996"/>
    <w:rPr>
      <w:rFonts w:ascii="Calibri" w:hAnsi="Calibri"/>
      <w:sz w:val="22"/>
      <w:szCs w:val="22"/>
      <w:lang w:eastAsia="en-US"/>
    </w:rPr>
  </w:style>
  <w:style w:type="paragraph" w:customStyle="1" w:styleId="table">
    <w:name w:val="table"/>
    <w:link w:val="tableChar"/>
    <w:rsid w:val="00D4455D"/>
    <w:pPr>
      <w:spacing w:before="30" w:after="30"/>
    </w:pPr>
    <w:rPr>
      <w:rFonts w:ascii="Palatino Linotype" w:hAnsi="Palatino Linotype"/>
      <w:noProof/>
      <w:sz w:val="17"/>
      <w:lang w:eastAsia="en-US"/>
    </w:rPr>
  </w:style>
  <w:style w:type="paragraph" w:customStyle="1" w:styleId="TableCaption">
    <w:name w:val="Table Caption"/>
    <w:basedOn w:val="Normal"/>
    <w:next w:val="Normal"/>
    <w:uiPriority w:val="99"/>
    <w:rsid w:val="00D4455D"/>
    <w:pPr>
      <w:keepNext/>
      <w:keepLines/>
      <w:tabs>
        <w:tab w:val="clear" w:pos="567"/>
      </w:tabs>
      <w:spacing w:before="240" w:after="240"/>
    </w:pPr>
    <w:rPr>
      <w:rFonts w:ascii="Palatino Linotype" w:hAnsi="Palatino Linotype"/>
      <w:b/>
      <w:sz w:val="17"/>
      <w:szCs w:val="18"/>
    </w:rPr>
  </w:style>
  <w:style w:type="table" w:styleId="TableGrid">
    <w:name w:val="Table Grid"/>
    <w:basedOn w:val="TableNormal"/>
    <w:uiPriority w:val="59"/>
    <w:rsid w:val="00D4455D"/>
    <w:pPr>
      <w:spacing w:before="30" w:after="30"/>
    </w:pPr>
    <w:rPr>
      <w:rFonts w:ascii="Palatino Linotype" w:hAnsi="Palatino Linotype"/>
      <w:sz w:val="16"/>
    </w:rPr>
    <w:tblPr>
      <w:tblStyleRowBandSize w:val="1"/>
      <w:tblStyleColBandSize w:val="1"/>
      <w:tblInd w:w="288" w:type="dxa"/>
      <w:tblBorders>
        <w:top w:val="single" w:sz="4" w:space="0" w:color="808080"/>
        <w:bottom w:val="single" w:sz="4" w:space="0" w:color="808080"/>
        <w:insideH w:val="single" w:sz="4" w:space="0" w:color="808080"/>
      </w:tblBorders>
    </w:tblPr>
    <w:tblStylePr w:type="firstRow">
      <w:pPr>
        <w:wordWrap/>
        <w:spacing w:beforeLines="0" w:beforeAutospacing="0" w:afterLines="0" w:afterAutospacing="0" w:line="240" w:lineRule="auto"/>
        <w:ind w:leftChars="0" w:left="0" w:rightChars="0" w:right="0" w:firstLineChars="0" w:firstLine="0"/>
        <w:jc w:val="left"/>
        <w:outlineLvl w:val="9"/>
      </w:pPr>
      <w:rPr>
        <w:rFonts w:ascii="Mistral" w:hAnsi="Mistral"/>
        <w:b/>
        <w:i w:val="0"/>
        <w:caps w:val="0"/>
        <w:smallCaps/>
        <w:strike w:val="0"/>
        <w:dstrike w:val="0"/>
        <w:vanish w:val="0"/>
        <w:color w:val="auto"/>
        <w:spacing w:val="10"/>
        <w:w w:val="100"/>
        <w:kern w:val="15"/>
        <w:position w:val="0"/>
        <w:sz w:val="15"/>
        <w:u w:val="none"/>
        <w:vertAlign w:val="baseline"/>
      </w:rPr>
      <w:tblPr/>
      <w:tcPr>
        <w:tcBorders>
          <w:top w:val="single" w:sz="4" w:space="0" w:color="auto"/>
          <w:left w:val="nil"/>
          <w:bottom w:val="single" w:sz="4" w:space="0" w:color="auto"/>
          <w:right w:val="nil"/>
          <w:insideH w:val="nil"/>
          <w:insideV w:val="nil"/>
          <w:tl2br w:val="nil"/>
          <w:tr2bl w:val="nil"/>
        </w:tcBorders>
      </w:tcPr>
    </w:tblStylePr>
    <w:tblStylePr w:type="lastRow">
      <w:pPr>
        <w:keepNext w:val="0"/>
        <w:keepLines w:val="0"/>
        <w:pageBreakBefore w:val="0"/>
        <w:widowControl w:val="0"/>
        <w:suppressLineNumbers w:val="0"/>
        <w:suppressAutoHyphens w:val="0"/>
        <w:wordWrap/>
        <w:spacing w:beforeLines="30" w:beforeAutospacing="0" w:afterLines="30" w:afterAutospacing="0" w:line="240" w:lineRule="auto"/>
        <w:ind w:leftChars="0" w:left="0" w:rightChars="0" w:right="0"/>
        <w:jc w:val="left"/>
        <w:outlineLvl w:val="9"/>
      </w:pPr>
      <w:rPr>
        <w:rFonts w:ascii="Univers" w:hAnsi="Univers"/>
        <w:b w:val="0"/>
        <w:i w:val="0"/>
        <w:color w:val="auto"/>
        <w:spacing w:val="0"/>
        <w:w w:val="100"/>
        <w:kern w:val="16"/>
        <w:position w:val="0"/>
        <w:sz w:val="16"/>
        <w:u w:val="none"/>
      </w:rPr>
      <w:tblPr/>
      <w:tcPr>
        <w:tcBorders>
          <w:top w:val="single" w:sz="4" w:space="0" w:color="808080"/>
          <w:left w:val="nil"/>
          <w:bottom w:val="single" w:sz="4" w:space="0" w:color="auto"/>
          <w:right w:val="nil"/>
          <w:insideH w:val="nil"/>
          <w:insideV w:val="nil"/>
          <w:tl2br w:val="nil"/>
          <w:tr2bl w:val="nil"/>
        </w:tcBorders>
      </w:tcPr>
    </w:tblStylePr>
    <w:tblStylePr w:type="firstCol">
      <w:pPr>
        <w:keepNext w:val="0"/>
        <w:keepLines w:val="0"/>
        <w:pageBreakBefore w:val="0"/>
        <w:widowControl w:val="0"/>
        <w:suppressLineNumbers w:val="0"/>
        <w:suppressAutoHyphens w:val="0"/>
        <w:wordWrap/>
        <w:spacing w:beforeLines="0" w:beforeAutospacing="0" w:afterLines="0" w:afterAutospacing="0" w:line="240" w:lineRule="auto"/>
        <w:ind w:leftChars="0" w:left="0" w:rightChars="0" w:right="0" w:firstLineChars="0" w:firstLine="0"/>
        <w:jc w:val="left"/>
        <w:outlineLvl w:val="9"/>
      </w:pPr>
      <w:rPr>
        <w:rFonts w:ascii="Univers" w:hAnsi="Univers"/>
        <w:b w:val="0"/>
        <w:i w:val="0"/>
        <w:color w:val="auto"/>
        <w:spacing w:val="0"/>
        <w:w w:val="100"/>
        <w:kern w:val="16"/>
        <w:position w:val="0"/>
        <w:sz w:val="16"/>
        <w:u w:val="none"/>
      </w:rPr>
      <w:tblPr/>
      <w:tcPr>
        <w:tcBorders>
          <w:top w:val="single" w:sz="4" w:space="0" w:color="808080"/>
          <w:left w:val="nil"/>
          <w:bottom w:val="single" w:sz="4" w:space="0" w:color="808080"/>
          <w:right w:val="nil"/>
          <w:insideH w:val="nil"/>
          <w:insideV w:val="nil"/>
          <w:tl2br w:val="nil"/>
          <w:tr2bl w:val="nil"/>
        </w:tcBorders>
      </w:tcPr>
    </w:tblStylePr>
    <w:tblStylePr w:type="lastCol">
      <w:pPr>
        <w:keepNext w:val="0"/>
        <w:keepLines w:val="0"/>
        <w:pageBreakBefore w:val="0"/>
        <w:widowControl w:val="0"/>
        <w:suppressLineNumbers w:val="0"/>
        <w:suppressAutoHyphens w:val="0"/>
        <w:wordWrap/>
        <w:spacing w:beforeLines="0" w:beforeAutospacing="0" w:afterLines="0" w:afterAutospacing="0" w:line="240" w:lineRule="auto"/>
        <w:ind w:leftChars="0" w:left="0" w:rightChars="0" w:right="0" w:firstLineChars="0" w:firstLine="0"/>
        <w:jc w:val="left"/>
        <w:outlineLvl w:val="9"/>
      </w:pPr>
      <w:rPr>
        <w:rFonts w:ascii="Univers" w:hAnsi="Univers"/>
        <w:b w:val="0"/>
        <w:i w:val="0"/>
        <w:color w:val="auto"/>
        <w:spacing w:val="0"/>
        <w:w w:val="100"/>
        <w:kern w:val="16"/>
        <w:position w:val="0"/>
        <w:sz w:val="16"/>
        <w:u w:val="none"/>
      </w:rPr>
      <w:tblPr/>
      <w:tcPr>
        <w:tcBorders>
          <w:top w:val="single" w:sz="4" w:space="0" w:color="808080"/>
          <w:left w:val="nil"/>
          <w:bottom w:val="single" w:sz="4" w:space="0" w:color="808080"/>
          <w:right w:val="nil"/>
          <w:insideH w:val="nil"/>
          <w:insideV w:val="nil"/>
          <w:tl2br w:val="nil"/>
          <w:tr2bl w:val="nil"/>
        </w:tcBorders>
      </w:tcPr>
    </w:tblStylePr>
    <w:tblStylePr w:type="band1Vert">
      <w:pPr>
        <w:keepNext w:val="0"/>
        <w:keepLines w:val="0"/>
        <w:pageBreakBefore w:val="0"/>
        <w:widowControl w:val="0"/>
        <w:suppressLineNumbers w:val="0"/>
        <w:suppressAutoHyphens w:val="0"/>
        <w:wordWrap/>
        <w:spacing w:beforeLines="0" w:beforeAutospacing="0" w:afterLines="0" w:afterAutospacing="0" w:line="240" w:lineRule="auto"/>
        <w:ind w:leftChars="0" w:left="0" w:rightChars="0" w:right="0" w:firstLineChars="0" w:firstLine="0"/>
        <w:jc w:val="left"/>
        <w:outlineLvl w:val="9"/>
      </w:pPr>
      <w:rPr>
        <w:rFonts w:ascii="Univers" w:hAnsi="Univers"/>
        <w:b w:val="0"/>
        <w:i w:val="0"/>
        <w:color w:val="auto"/>
        <w:spacing w:val="0"/>
        <w:w w:val="100"/>
        <w:kern w:val="16"/>
        <w:position w:val="0"/>
        <w:sz w:val="16"/>
        <w:u w:val="none"/>
      </w:rPr>
      <w:tblPr/>
      <w:tcPr>
        <w:tcBorders>
          <w:top w:val="single" w:sz="4" w:space="0" w:color="808080"/>
          <w:left w:val="nil"/>
          <w:bottom w:val="single" w:sz="4" w:space="0" w:color="808080"/>
          <w:right w:val="nil"/>
          <w:insideH w:val="nil"/>
          <w:insideV w:val="nil"/>
          <w:tl2br w:val="nil"/>
          <w:tr2bl w:val="nil"/>
        </w:tcBorders>
      </w:tcPr>
    </w:tblStylePr>
    <w:tblStylePr w:type="band2Vert">
      <w:pPr>
        <w:wordWrap/>
        <w:spacing w:beforeLines="0" w:beforeAutospacing="0" w:afterLines="0" w:afterAutospacing="0" w:line="240" w:lineRule="auto"/>
        <w:ind w:leftChars="0" w:left="0" w:rightChars="0" w:right="0" w:firstLineChars="0" w:firstLine="0"/>
        <w:jc w:val="left"/>
      </w:pPr>
      <w:rPr>
        <w:rFonts w:ascii="Univers" w:hAnsi="Univers"/>
        <w:b w:val="0"/>
        <w:i w:val="0"/>
        <w:color w:val="auto"/>
        <w:spacing w:val="0"/>
        <w:w w:val="100"/>
        <w:kern w:val="16"/>
        <w:position w:val="0"/>
        <w:sz w:val="16"/>
        <w:u w:val="none"/>
      </w:rPr>
      <w:tblPr/>
      <w:tcPr>
        <w:tcBorders>
          <w:top w:val="single" w:sz="4" w:space="0" w:color="808080"/>
          <w:left w:val="nil"/>
          <w:bottom w:val="single" w:sz="4" w:space="0" w:color="808080"/>
          <w:right w:val="nil"/>
          <w:insideH w:val="nil"/>
          <w:insideV w:val="nil"/>
          <w:tl2br w:val="nil"/>
          <w:tr2bl w:val="nil"/>
        </w:tcBorders>
      </w:tcPr>
    </w:tblStylePr>
    <w:tblStylePr w:type="band1Horz">
      <w:pPr>
        <w:keepNext w:val="0"/>
        <w:keepLines w:val="0"/>
        <w:pageBreakBefore w:val="0"/>
        <w:widowControl w:val="0"/>
        <w:suppressLineNumbers w:val="0"/>
        <w:suppressAutoHyphens w:val="0"/>
        <w:wordWrap/>
        <w:spacing w:beforeLines="0" w:beforeAutospacing="0" w:afterLines="0" w:afterAutospacing="0" w:line="240" w:lineRule="auto"/>
        <w:ind w:leftChars="0" w:left="0" w:rightChars="0" w:right="0" w:firstLineChars="0" w:firstLine="0"/>
        <w:jc w:val="left"/>
      </w:pPr>
      <w:rPr>
        <w:rFonts w:ascii="Univers" w:hAnsi="Univers"/>
        <w:b w:val="0"/>
        <w:i w:val="0"/>
        <w:color w:val="auto"/>
        <w:spacing w:val="0"/>
        <w:w w:val="100"/>
        <w:kern w:val="16"/>
        <w:position w:val="0"/>
        <w:sz w:val="16"/>
        <w:u w:val="none"/>
      </w:rPr>
      <w:tblPr/>
      <w:tcPr>
        <w:tcBorders>
          <w:top w:val="single" w:sz="4" w:space="0" w:color="808080"/>
          <w:left w:val="nil"/>
          <w:bottom w:val="single" w:sz="4" w:space="0" w:color="808080"/>
          <w:right w:val="nil"/>
          <w:insideH w:val="nil"/>
          <w:insideV w:val="nil"/>
          <w:tl2br w:val="nil"/>
          <w:tr2bl w:val="nil"/>
        </w:tcBorders>
      </w:tcPr>
    </w:tblStylePr>
    <w:tblStylePr w:type="band2Horz">
      <w:pPr>
        <w:keepNext w:val="0"/>
        <w:keepLines w:val="0"/>
        <w:pageBreakBefore w:val="0"/>
        <w:widowControl w:val="0"/>
        <w:suppressLineNumbers w:val="0"/>
        <w:suppressAutoHyphens w:val="0"/>
        <w:wordWrap/>
        <w:spacing w:beforeLines="0" w:beforeAutospacing="0" w:afterLines="0" w:afterAutospacing="0" w:line="240" w:lineRule="auto"/>
        <w:ind w:leftChars="0" w:left="0" w:rightChars="0" w:right="0" w:firstLineChars="0" w:firstLine="0"/>
        <w:jc w:val="left"/>
        <w:outlineLvl w:val="9"/>
      </w:pPr>
      <w:rPr>
        <w:rFonts w:ascii="Univers" w:hAnsi="Univers"/>
        <w:b w:val="0"/>
        <w:i w:val="0"/>
        <w:color w:val="auto"/>
        <w:spacing w:val="0"/>
        <w:w w:val="100"/>
        <w:kern w:val="16"/>
        <w:position w:val="0"/>
        <w:sz w:val="16"/>
        <w:u w:val="none"/>
      </w:rPr>
      <w:tblPr/>
      <w:tcPr>
        <w:tcBorders>
          <w:top w:val="single" w:sz="4" w:space="0" w:color="808080"/>
          <w:left w:val="nil"/>
          <w:bottom w:val="single" w:sz="4" w:space="0" w:color="808080"/>
          <w:right w:val="nil"/>
          <w:insideH w:val="nil"/>
          <w:insideV w:val="nil"/>
          <w:tl2br w:val="nil"/>
          <w:tr2bl w:val="nil"/>
        </w:tcBorders>
      </w:tcPr>
    </w:tblStylePr>
  </w:style>
  <w:style w:type="paragraph" w:customStyle="1" w:styleId="TableTop">
    <w:name w:val="Table Top"/>
    <w:basedOn w:val="table"/>
    <w:rsid w:val="00D4455D"/>
    <w:pPr>
      <w:keepNext/>
      <w:widowControl w:val="0"/>
    </w:pPr>
    <w:rPr>
      <w:rFonts w:ascii="Futura Md BT" w:hAnsi="Futura Md BT"/>
      <w:b/>
      <w:bCs/>
      <w:spacing w:val="6"/>
      <w:kern w:val="15"/>
      <w:sz w:val="15"/>
      <w:szCs w:val="15"/>
    </w:rPr>
  </w:style>
  <w:style w:type="character" w:customStyle="1" w:styleId="tableChar">
    <w:name w:val="table Char"/>
    <w:link w:val="table"/>
    <w:locked/>
    <w:rsid w:val="00D4455D"/>
    <w:rPr>
      <w:rFonts w:ascii="Palatino Linotype" w:hAnsi="Palatino Linotype"/>
      <w:noProof/>
      <w:sz w:val="17"/>
      <w:lang w:eastAsia="en-US"/>
    </w:rPr>
  </w:style>
  <w:style w:type="paragraph" w:customStyle="1" w:styleId="Heading11">
    <w:name w:val="Heading 11"/>
    <w:next w:val="Normal"/>
    <w:rsid w:val="00CB3939"/>
    <w:pPr>
      <w:keepNext/>
      <w:tabs>
        <w:tab w:val="left" w:pos="567"/>
        <w:tab w:val="left" w:pos="1134"/>
        <w:tab w:val="left" w:pos="1701"/>
        <w:tab w:val="left" w:pos="2268"/>
        <w:tab w:val="left" w:pos="2832"/>
        <w:tab w:val="left" w:pos="3540"/>
        <w:tab w:val="left" w:pos="4248"/>
        <w:tab w:val="left" w:pos="4956"/>
        <w:tab w:val="left" w:pos="5664"/>
        <w:tab w:val="left" w:pos="6372"/>
        <w:tab w:val="left" w:pos="7080"/>
        <w:tab w:val="left" w:pos="7788"/>
        <w:tab w:val="left" w:pos="8496"/>
      </w:tabs>
      <w:suppressAutoHyphens/>
      <w:spacing w:before="240" w:after="120"/>
      <w:jc w:val="both"/>
    </w:pPr>
    <w:rPr>
      <w:rFonts w:ascii="Arial" w:eastAsia="ヒラギノ角ゴ Pro W3" w:hAnsi="Arial" w:cs="Arial"/>
      <w:b/>
      <w:kern w:val="1"/>
      <w:sz w:val="22"/>
      <w:szCs w:val="22"/>
      <w:lang w:eastAsia="ar-SA"/>
    </w:rPr>
  </w:style>
  <w:style w:type="character" w:customStyle="1" w:styleId="FootnoteTextChar">
    <w:name w:val="Footnote Text Char"/>
    <w:basedOn w:val="DefaultParagraphFont"/>
    <w:link w:val="FootnoteText"/>
    <w:uiPriority w:val="99"/>
    <w:rsid w:val="00CB3939"/>
    <w:rPr>
      <w:rFonts w:ascii="Arial" w:hAnsi="Arial"/>
      <w:noProof/>
      <w:sz w:val="16"/>
      <w:lang w:val="en-US" w:eastAsia="en-US"/>
    </w:rPr>
  </w:style>
  <w:style w:type="paragraph" w:styleId="Caption">
    <w:name w:val="caption"/>
    <w:basedOn w:val="Normal"/>
    <w:next w:val="Normal"/>
    <w:uiPriority w:val="35"/>
    <w:qFormat/>
    <w:rsid w:val="00390E94"/>
    <w:pPr>
      <w:tabs>
        <w:tab w:val="clear" w:pos="567"/>
      </w:tabs>
      <w:spacing w:after="200"/>
      <w:jc w:val="left"/>
    </w:pPr>
    <w:rPr>
      <w:rFonts w:eastAsia="Calibri"/>
      <w:i/>
      <w:iCs/>
      <w:color w:val="44546A"/>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74616">
      <w:bodyDiv w:val="1"/>
      <w:marLeft w:val="0"/>
      <w:marRight w:val="0"/>
      <w:marTop w:val="0"/>
      <w:marBottom w:val="0"/>
      <w:divBdr>
        <w:top w:val="none" w:sz="0" w:space="0" w:color="auto"/>
        <w:left w:val="none" w:sz="0" w:space="0" w:color="auto"/>
        <w:bottom w:val="none" w:sz="0" w:space="0" w:color="auto"/>
        <w:right w:val="none" w:sz="0" w:space="0" w:color="auto"/>
      </w:divBdr>
    </w:div>
    <w:div w:id="391198902">
      <w:bodyDiv w:val="1"/>
      <w:marLeft w:val="0"/>
      <w:marRight w:val="0"/>
      <w:marTop w:val="0"/>
      <w:marBottom w:val="0"/>
      <w:divBdr>
        <w:top w:val="none" w:sz="0" w:space="0" w:color="auto"/>
        <w:left w:val="none" w:sz="0" w:space="0" w:color="auto"/>
        <w:bottom w:val="none" w:sz="0" w:space="0" w:color="auto"/>
        <w:right w:val="none" w:sz="0" w:space="0" w:color="auto"/>
      </w:divBdr>
    </w:div>
    <w:div w:id="892696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ces.dk/marine-data/Documents/NoiseRegistry/NoiseRegister.zip"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underwaternoise.ices.dk/map.aspx" TargetMode="External"/><Relationship Id="rId7" Type="http://schemas.openxmlformats.org/officeDocument/2006/relationships/footnotes" Target="footnotes.xml"/><Relationship Id="rId12" Type="http://schemas.openxmlformats.org/officeDocument/2006/relationships/hyperlink" Target="http://www.ices.dk/marine-data/maps/Pages/ICES-statistical-rectangles.aspx" TargetMode="External"/><Relationship Id="rId17" Type="http://schemas.openxmlformats.org/officeDocument/2006/relationships/hyperlink" Target="http://underwaternoise.ices.dk/map.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odims.ospar.org/layers/geonode:ices_eg_ODIMS_UnderwaterNoiseIndicator_201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spar.org/documents?d=33031"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ices.dk/marine-data/Documents/NoiseRegistry/NoiseRegister.zip" TargetMode="External"/><Relationship Id="rId23" Type="http://schemas.openxmlformats.org/officeDocument/2006/relationships/image" Target="media/image5.jpg"/><Relationship Id="rId10" Type="http://schemas.openxmlformats.org/officeDocument/2006/relationships/hyperlink" Target="http://www.ospar.org/documents?d=33031" TargetMode="External"/><Relationship Id="rId19" Type="http://schemas.openxmlformats.org/officeDocument/2006/relationships/hyperlink" Target="http://www.ospar.org/documents?v=3303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ospar.org/documents?d=32943" TargetMode="External"/><Relationship Id="rId2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24655-8554-48DF-B696-6F98FEF07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1670</Words>
  <Characters>25029</Characters>
  <Application>Microsoft Office Word</Application>
  <DocSecurity>0</DocSecurity>
  <Lines>208</Lines>
  <Paragraphs>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OSPAR_MEETING_DOCUMENT</vt:lpstr>
      <vt:lpstr>OSPAR_MEETING_DOCUMENT</vt:lpstr>
    </vt:vector>
  </TitlesOfParts>
  <Company>.</Company>
  <LinksUpToDate>false</LinksUpToDate>
  <CharactersWithSpaces>26646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OSPAR_MEETING_DOCUMENT</dc:title>
  <dc:creator>Kati Rowson</dc:creator>
  <cp:lastModifiedBy>Chris Moulton</cp:lastModifiedBy>
  <cp:revision>4</cp:revision>
  <cp:lastPrinted>2016-02-05T14:16:00Z</cp:lastPrinted>
  <dcterms:created xsi:type="dcterms:W3CDTF">2017-09-15T14:40:00Z</dcterms:created>
  <dcterms:modified xsi:type="dcterms:W3CDTF">2017-09-15T15:03:00Z</dcterms:modified>
</cp:coreProperties>
</file>