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3245B" w14:textId="5E225F1C" w:rsidR="00A063EC" w:rsidRDefault="00A063EC" w:rsidP="00C224F9">
      <w:pPr>
        <w:rPr>
          <w:sz w:val="40"/>
          <w:szCs w:val="40"/>
        </w:rPr>
      </w:pPr>
      <w:r>
        <w:rPr>
          <w:noProof/>
          <w:sz w:val="40"/>
          <w:szCs w:val="40"/>
          <w:lang w:eastAsia="en-GB"/>
        </w:rPr>
        <w:drawing>
          <wp:anchor distT="0" distB="0" distL="114300" distR="114300" simplePos="0" relativeHeight="251658240" behindDoc="0" locked="0" layoutInCell="1" allowOverlap="1" wp14:anchorId="16B97D3B" wp14:editId="30A480BB">
            <wp:simplePos x="717550" y="717550"/>
            <wp:positionH relativeFrom="margin">
              <wp:align>right</wp:align>
            </wp:positionH>
            <wp:positionV relativeFrom="margin">
              <wp:align>top</wp:align>
            </wp:positionV>
            <wp:extent cx="237172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914400"/>
                    </a:xfrm>
                    <a:prstGeom prst="rect">
                      <a:avLst/>
                    </a:prstGeom>
                    <a:noFill/>
                  </pic:spPr>
                </pic:pic>
              </a:graphicData>
            </a:graphic>
          </wp:anchor>
        </w:drawing>
      </w:r>
    </w:p>
    <w:p w14:paraId="31EB59A1" w14:textId="77777777" w:rsidR="00A063EC" w:rsidRDefault="00A063EC" w:rsidP="00C224F9">
      <w:pPr>
        <w:rPr>
          <w:sz w:val="40"/>
          <w:szCs w:val="40"/>
        </w:rPr>
      </w:pPr>
    </w:p>
    <w:p w14:paraId="2CDA4B35" w14:textId="77777777" w:rsidR="00A063EC" w:rsidRDefault="00A063EC" w:rsidP="00C224F9">
      <w:pPr>
        <w:rPr>
          <w:sz w:val="40"/>
          <w:szCs w:val="40"/>
        </w:rPr>
      </w:pPr>
    </w:p>
    <w:p w14:paraId="561FA9A9" w14:textId="69FBDD89" w:rsidR="00C224F9" w:rsidRPr="00C224F9" w:rsidRDefault="00C224F9" w:rsidP="00397369">
      <w:pPr>
        <w:jc w:val="both"/>
        <w:rPr>
          <w:sz w:val="40"/>
          <w:szCs w:val="40"/>
        </w:rPr>
      </w:pPr>
      <w:bookmarkStart w:id="0" w:name="_GoBack"/>
      <w:r w:rsidRPr="00C224F9">
        <w:rPr>
          <w:sz w:val="40"/>
          <w:szCs w:val="40"/>
        </w:rPr>
        <w:t xml:space="preserve">OSPAR Recommendation </w:t>
      </w:r>
      <w:r w:rsidR="00FB45A5">
        <w:rPr>
          <w:sz w:val="40"/>
          <w:szCs w:val="40"/>
        </w:rPr>
        <w:t>2019/</w:t>
      </w:r>
      <w:r w:rsidR="00A063EC">
        <w:rPr>
          <w:sz w:val="40"/>
          <w:szCs w:val="40"/>
        </w:rPr>
        <w:t>0</w:t>
      </w:r>
      <w:r w:rsidR="00FB45A5">
        <w:rPr>
          <w:sz w:val="40"/>
          <w:szCs w:val="40"/>
        </w:rPr>
        <w:t>3</w:t>
      </w:r>
      <w:r w:rsidRPr="00C224F9">
        <w:rPr>
          <w:color w:val="000000" w:themeColor="text1"/>
          <w:sz w:val="40"/>
          <w:szCs w:val="40"/>
        </w:rPr>
        <w:t xml:space="preserve"> </w:t>
      </w:r>
      <w:r w:rsidRPr="00C224F9">
        <w:rPr>
          <w:sz w:val="40"/>
          <w:szCs w:val="40"/>
        </w:rPr>
        <w:t xml:space="preserve">amending OSPAR Recommendation 2010/3 on a Harmonised Offshore Chemical Notification Format (HOCNF) (as amended by OSPAR </w:t>
      </w:r>
      <w:bookmarkEnd w:id="0"/>
      <w:r w:rsidRPr="00C224F9">
        <w:rPr>
          <w:sz w:val="40"/>
          <w:szCs w:val="40"/>
        </w:rPr>
        <w:t>Recommendation 2014/17)</w:t>
      </w:r>
    </w:p>
    <w:p w14:paraId="7556B088" w14:textId="77777777" w:rsidR="00016F02" w:rsidRPr="00453396" w:rsidRDefault="00016F02" w:rsidP="00016F02">
      <w:pPr>
        <w:spacing w:before="120" w:after="0" w:line="240" w:lineRule="auto"/>
        <w:jc w:val="both"/>
        <w:rPr>
          <w:rFonts w:ascii="Calibri" w:hAnsi="Calibri" w:cs="Arial"/>
          <w:spacing w:val="-2"/>
        </w:rPr>
      </w:pPr>
      <w:r w:rsidRPr="009F0342">
        <w:rPr>
          <w:rFonts w:ascii="Calibri" w:hAnsi="Calibri" w:cs="Arial"/>
          <w:b/>
          <w:spacing w:val="-2"/>
        </w:rPr>
        <w:t>RECALLING</w:t>
      </w:r>
      <w:r w:rsidRPr="00453396">
        <w:rPr>
          <w:rFonts w:ascii="Calibri" w:hAnsi="Calibri" w:cs="Arial"/>
          <w:spacing w:val="-2"/>
        </w:rPr>
        <w:t xml:space="preserve"> Article 5 of the Convention for the Protection of the Marine Environment of the North East Atlantic (“OSPAR Convention”) in which Contracting Parties agree to take jointly all possible steps to prevent and eliminate pollution from offshore sources;</w:t>
      </w:r>
    </w:p>
    <w:p w14:paraId="19BF50F0" w14:textId="77777777" w:rsidR="00016F02" w:rsidRPr="00453396" w:rsidRDefault="00016F02" w:rsidP="00016F02">
      <w:pPr>
        <w:spacing w:before="120" w:after="0" w:line="240" w:lineRule="auto"/>
        <w:jc w:val="both"/>
        <w:rPr>
          <w:rFonts w:ascii="Calibri" w:hAnsi="Calibri" w:cs="Arial"/>
          <w:spacing w:val="-2"/>
        </w:rPr>
      </w:pPr>
      <w:r w:rsidRPr="009F0342">
        <w:rPr>
          <w:rFonts w:ascii="Calibri" w:hAnsi="Calibri" w:cs="Arial"/>
          <w:b/>
          <w:spacing w:val="-2"/>
        </w:rPr>
        <w:t xml:space="preserve">RECALLING </w:t>
      </w:r>
      <w:r w:rsidRPr="00453396">
        <w:rPr>
          <w:rFonts w:ascii="Calibri" w:hAnsi="Calibri" w:cs="Arial"/>
          <w:spacing w:val="-2"/>
        </w:rPr>
        <w:t>Article 4 of Annex III to the OSPAR Convention in which Contracting Parties agree that use on, or the discharge or emission from, offshore sources of substances which may reach and affect the maritime area shall be strictly subject to authorisation or regulation by the competent authorities of the Contracting Parties and that competent authorities shall provide for a system of monitoring and inspection;</w:t>
      </w:r>
    </w:p>
    <w:p w14:paraId="5B3BD315" w14:textId="6C89F63A" w:rsidR="00016F02" w:rsidRPr="00453396" w:rsidRDefault="00016F02" w:rsidP="009F0342">
      <w:pPr>
        <w:spacing w:before="120" w:after="0" w:line="240" w:lineRule="auto"/>
        <w:jc w:val="both"/>
        <w:rPr>
          <w:rFonts w:ascii="Calibri" w:hAnsi="Calibri" w:cs="Arial"/>
          <w:spacing w:val="-2"/>
        </w:rPr>
      </w:pPr>
      <w:r w:rsidRPr="009F0342">
        <w:rPr>
          <w:rFonts w:ascii="Calibri" w:hAnsi="Calibri" w:cs="Arial"/>
          <w:b/>
          <w:spacing w:val="-2"/>
        </w:rPr>
        <w:t>RECALLING</w:t>
      </w:r>
      <w:r w:rsidR="009F0342">
        <w:rPr>
          <w:rFonts w:ascii="Calibri" w:hAnsi="Calibri" w:cs="Arial"/>
          <w:spacing w:val="-2"/>
        </w:rPr>
        <w:t xml:space="preserve"> </w:t>
      </w:r>
      <w:r w:rsidRPr="00453396">
        <w:rPr>
          <w:rFonts w:ascii="Calibri" w:hAnsi="Calibri" w:cs="Arial"/>
          <w:spacing w:val="-2"/>
        </w:rPr>
        <w:t>OSPAR Recommendation 2010/3 on a Harmonised Offshore Chemical Notification Format (HOCNF)</w:t>
      </w:r>
      <w:r w:rsidR="009F0342">
        <w:rPr>
          <w:rFonts w:ascii="Calibri" w:hAnsi="Calibri" w:cs="Arial"/>
          <w:spacing w:val="-2"/>
        </w:rPr>
        <w:t xml:space="preserve"> (as amended by OSPAR Recommendation 2014/17)</w:t>
      </w:r>
      <w:r w:rsidRPr="00453396">
        <w:rPr>
          <w:rFonts w:ascii="Calibri" w:hAnsi="Calibri" w:cs="Arial"/>
          <w:spacing w:val="-2"/>
        </w:rPr>
        <w:t>;</w:t>
      </w:r>
      <w:r w:rsidR="009F0342">
        <w:rPr>
          <w:rFonts w:ascii="Calibri" w:hAnsi="Calibri" w:cs="Arial"/>
          <w:spacing w:val="-2"/>
        </w:rPr>
        <w:t xml:space="preserve"> </w:t>
      </w:r>
    </w:p>
    <w:p w14:paraId="0A4FFD34" w14:textId="13141C64" w:rsidR="00016F02" w:rsidRPr="00453396" w:rsidRDefault="00016F02" w:rsidP="00016F02">
      <w:pPr>
        <w:spacing w:before="120" w:after="0" w:line="240" w:lineRule="auto"/>
        <w:jc w:val="both"/>
        <w:rPr>
          <w:rFonts w:ascii="Calibri" w:hAnsi="Calibri" w:cs="Arial"/>
          <w:spacing w:val="-2"/>
        </w:rPr>
      </w:pPr>
      <w:r w:rsidRPr="009F0342">
        <w:rPr>
          <w:rFonts w:ascii="Calibri" w:hAnsi="Calibri" w:cs="Arial"/>
          <w:b/>
          <w:spacing w:val="-2"/>
        </w:rPr>
        <w:t xml:space="preserve">WISHING </w:t>
      </w:r>
      <w:r w:rsidRPr="00453396">
        <w:rPr>
          <w:rFonts w:ascii="Calibri" w:hAnsi="Calibri" w:cs="Arial"/>
          <w:spacing w:val="-2"/>
        </w:rPr>
        <w:t>to up-date OSPAR Recommendation 2010/3 on a Harmonised Offshore Chemical Notification Format (HOCNF)</w:t>
      </w:r>
      <w:r w:rsidR="009F0342">
        <w:rPr>
          <w:rFonts w:ascii="Calibri" w:hAnsi="Calibri" w:cs="Arial"/>
          <w:spacing w:val="-2"/>
        </w:rPr>
        <w:t xml:space="preserve"> (as amended by OSPAR Recommendation 2014/17)</w:t>
      </w:r>
      <w:r w:rsidRPr="00453396">
        <w:rPr>
          <w:rFonts w:ascii="Calibri" w:hAnsi="Calibri" w:cs="Arial"/>
          <w:spacing w:val="-2"/>
        </w:rPr>
        <w:t>;</w:t>
      </w:r>
    </w:p>
    <w:p w14:paraId="39B1692A" w14:textId="77777777" w:rsidR="00016F02" w:rsidRPr="00453396" w:rsidRDefault="00016F02" w:rsidP="00016F02">
      <w:pPr>
        <w:spacing w:before="120" w:after="0" w:line="240" w:lineRule="auto"/>
        <w:jc w:val="both"/>
        <w:rPr>
          <w:rFonts w:ascii="Calibri" w:hAnsi="Calibri" w:cs="Arial"/>
          <w:b/>
          <w:spacing w:val="-2"/>
        </w:rPr>
      </w:pPr>
      <w:r w:rsidRPr="00453396">
        <w:rPr>
          <w:rFonts w:ascii="Calibri" w:hAnsi="Calibri" w:cs="Arial"/>
          <w:b/>
        </w:rPr>
        <w:t>The Contracting Parties to the Convention for the Protection of the Marine Environment of the North East Atlantic RECOMMEND</w:t>
      </w:r>
      <w:r w:rsidRPr="00453396">
        <w:rPr>
          <w:rFonts w:ascii="Calibri" w:hAnsi="Calibri" w:cs="Arial"/>
          <w:b/>
          <w:spacing w:val="-2"/>
        </w:rPr>
        <w:t>:</w:t>
      </w:r>
    </w:p>
    <w:p w14:paraId="600C30F0" w14:textId="77777777" w:rsidR="00047346" w:rsidRDefault="00047346" w:rsidP="00016F02">
      <w:pPr>
        <w:spacing w:before="120" w:after="0" w:line="240" w:lineRule="auto"/>
        <w:jc w:val="both"/>
        <w:rPr>
          <w:rFonts w:ascii="Calibri" w:hAnsi="Calibri" w:cs="Arial"/>
          <w:b/>
        </w:rPr>
      </w:pPr>
    </w:p>
    <w:p w14:paraId="5A03DE07" w14:textId="223E7268" w:rsidR="009C6A35" w:rsidRDefault="009C6A35" w:rsidP="009C6A35">
      <w:pPr>
        <w:tabs>
          <w:tab w:val="left" w:pos="426"/>
        </w:tabs>
        <w:spacing w:before="120" w:after="0" w:line="240" w:lineRule="auto"/>
        <w:jc w:val="both"/>
        <w:rPr>
          <w:rFonts w:ascii="Calibri" w:hAnsi="Calibri" w:cs="Arial"/>
          <w:b/>
        </w:rPr>
      </w:pPr>
      <w:r>
        <w:rPr>
          <w:rFonts w:ascii="Calibri" w:hAnsi="Calibri" w:cs="Arial"/>
          <w:b/>
        </w:rPr>
        <w:t>1</w:t>
      </w:r>
      <w:r w:rsidRPr="00453396">
        <w:rPr>
          <w:rFonts w:ascii="Calibri" w:hAnsi="Calibri" w:cs="Arial"/>
          <w:b/>
        </w:rPr>
        <w:t>.</w:t>
      </w:r>
      <w:r w:rsidRPr="00453396">
        <w:rPr>
          <w:rFonts w:ascii="Calibri" w:hAnsi="Calibri" w:cs="Arial"/>
          <w:b/>
        </w:rPr>
        <w:tab/>
        <w:t>P</w:t>
      </w:r>
      <w:r>
        <w:rPr>
          <w:rFonts w:ascii="Calibri" w:hAnsi="Calibri" w:cs="Arial"/>
          <w:b/>
        </w:rPr>
        <w:t>urpose and Scope</w:t>
      </w:r>
    </w:p>
    <w:p w14:paraId="616996F2" w14:textId="32D1F7BC" w:rsidR="009C6A35" w:rsidRPr="00453396" w:rsidRDefault="009C6A35" w:rsidP="009C6A35">
      <w:pPr>
        <w:spacing w:before="120" w:after="120" w:line="240" w:lineRule="auto"/>
        <w:jc w:val="both"/>
        <w:rPr>
          <w:rFonts w:ascii="Calibri" w:hAnsi="Calibri" w:cs="Arial"/>
        </w:rPr>
      </w:pPr>
      <w:r>
        <w:rPr>
          <w:rFonts w:ascii="Calibri" w:hAnsi="Calibri" w:cs="Arial"/>
        </w:rPr>
        <w:t>1</w:t>
      </w:r>
      <w:r w:rsidRPr="00453396">
        <w:rPr>
          <w:rFonts w:ascii="Calibri" w:hAnsi="Calibri" w:cs="Arial"/>
        </w:rPr>
        <w:t>.1.</w:t>
      </w:r>
      <w:r w:rsidRPr="00453396">
        <w:rPr>
          <w:rFonts w:ascii="Calibri" w:hAnsi="Calibri" w:cs="Arial"/>
        </w:rPr>
        <w:tab/>
        <w:t>The purpose of this Recommendation is to amend and update Recommendation 2010/3 on a Harmonised Offshore Chemical Notification Format</w:t>
      </w:r>
      <w:r>
        <w:rPr>
          <w:rFonts w:ascii="Calibri" w:hAnsi="Calibri" w:cs="Arial"/>
        </w:rPr>
        <w:t xml:space="preserve"> </w:t>
      </w:r>
      <w:r w:rsidRPr="00453396">
        <w:rPr>
          <w:rFonts w:ascii="Calibri" w:hAnsi="Calibri" w:cs="Arial"/>
          <w:spacing w:val="-2"/>
        </w:rPr>
        <w:t>(HOCNF)</w:t>
      </w:r>
      <w:r>
        <w:rPr>
          <w:rFonts w:ascii="Calibri" w:hAnsi="Calibri" w:cs="Arial"/>
          <w:spacing w:val="-2"/>
        </w:rPr>
        <w:t xml:space="preserve"> (as amended by OSPAR Recommendation 2014/17)</w:t>
      </w:r>
      <w:r w:rsidRPr="00453396">
        <w:rPr>
          <w:rFonts w:ascii="Calibri" w:hAnsi="Calibri" w:cs="Arial"/>
        </w:rPr>
        <w:t xml:space="preserve">. </w:t>
      </w:r>
    </w:p>
    <w:p w14:paraId="1629BB51" w14:textId="77777777" w:rsidR="009C6A35" w:rsidRDefault="009C6A35" w:rsidP="00016F02">
      <w:pPr>
        <w:spacing w:before="120" w:after="0" w:line="240" w:lineRule="auto"/>
        <w:jc w:val="both"/>
        <w:rPr>
          <w:rFonts w:ascii="Calibri" w:hAnsi="Calibri" w:cs="Arial"/>
          <w:b/>
        </w:rPr>
      </w:pPr>
    </w:p>
    <w:p w14:paraId="661C4FB7" w14:textId="1E8E4D41" w:rsidR="00016F02" w:rsidRDefault="009C6A35" w:rsidP="009C6A35">
      <w:pPr>
        <w:tabs>
          <w:tab w:val="left" w:pos="426"/>
        </w:tabs>
        <w:spacing w:before="120" w:after="0" w:line="360" w:lineRule="auto"/>
        <w:jc w:val="both"/>
        <w:rPr>
          <w:rFonts w:ascii="Calibri" w:hAnsi="Calibri" w:cs="Arial"/>
          <w:b/>
        </w:rPr>
      </w:pPr>
      <w:r>
        <w:rPr>
          <w:rFonts w:ascii="Calibri" w:hAnsi="Calibri" w:cs="Arial"/>
          <w:b/>
        </w:rPr>
        <w:t>2</w:t>
      </w:r>
      <w:r w:rsidR="00016F02" w:rsidRPr="00453396">
        <w:rPr>
          <w:rFonts w:ascii="Calibri" w:hAnsi="Calibri" w:cs="Arial"/>
          <w:b/>
        </w:rPr>
        <w:t>.</w:t>
      </w:r>
      <w:r w:rsidR="00016F02" w:rsidRPr="00453396">
        <w:rPr>
          <w:rFonts w:ascii="Calibri" w:hAnsi="Calibri" w:cs="Arial"/>
          <w:b/>
        </w:rPr>
        <w:tab/>
      </w:r>
      <w:r>
        <w:rPr>
          <w:rFonts w:ascii="Calibri" w:hAnsi="Calibri" w:cs="Arial"/>
          <w:b/>
        </w:rPr>
        <w:t>Provisions</w:t>
      </w:r>
    </w:p>
    <w:p w14:paraId="37DC315E" w14:textId="77777777" w:rsidR="005301AA" w:rsidRDefault="005301AA" w:rsidP="005301AA">
      <w:pPr>
        <w:spacing w:before="120" w:after="0" w:line="240" w:lineRule="auto"/>
        <w:jc w:val="both"/>
        <w:rPr>
          <w:rFonts w:ascii="Calibri" w:hAnsi="Calibri" w:cs="Calibri"/>
          <w:b/>
        </w:rPr>
      </w:pPr>
      <w:proofErr w:type="spellStart"/>
      <w:r>
        <w:rPr>
          <w:rFonts w:ascii="Calibri" w:hAnsi="Calibri" w:cs="Calibri"/>
          <w:b/>
        </w:rPr>
        <w:t>Preambular</w:t>
      </w:r>
      <w:proofErr w:type="spellEnd"/>
      <w:r>
        <w:rPr>
          <w:rFonts w:ascii="Calibri" w:hAnsi="Calibri" w:cs="Calibri"/>
          <w:b/>
        </w:rPr>
        <w:t xml:space="preserve"> paragraph 3 recalling OSPAR Decision 2000/2 is amended as follows:</w:t>
      </w:r>
    </w:p>
    <w:p w14:paraId="155EB3C6" w14:textId="77777777" w:rsidR="005301AA" w:rsidRPr="000A4EF8" w:rsidRDefault="005301AA" w:rsidP="005301AA">
      <w:pPr>
        <w:spacing w:before="120" w:after="0" w:line="240" w:lineRule="auto"/>
        <w:jc w:val="both"/>
        <w:rPr>
          <w:rFonts w:cs="Calibri"/>
          <w:b/>
        </w:rPr>
      </w:pPr>
      <w:r w:rsidRPr="00FF6D58">
        <w:rPr>
          <w:rFonts w:cs="Arial"/>
          <w:b/>
          <w:spacing w:val="-2"/>
        </w:rPr>
        <w:t>RECALLING</w:t>
      </w:r>
      <w:r w:rsidRPr="00FF6D58">
        <w:rPr>
          <w:rFonts w:cs="Arial"/>
          <w:spacing w:val="-2"/>
        </w:rPr>
        <w:t xml:space="preserve"> the programmes and measures stipulated in OSPAR Decision 2000/2 </w:t>
      </w:r>
      <w:r w:rsidRPr="00FF6D58">
        <w:rPr>
          <w:rFonts w:cs="Arial"/>
        </w:rPr>
        <w:t xml:space="preserve">on </w:t>
      </w:r>
      <w:r w:rsidRPr="00FF6D58">
        <w:rPr>
          <w:rFonts w:cs="Arial"/>
          <w:spacing w:val="-3"/>
        </w:rPr>
        <w:t>a Harmonised Mandatory Control System for the Use and Reduction of the Discharge of Offshore Chemicals, as amended by OSPAR Decision 2005/1, and the experience gained in its application</w:t>
      </w:r>
    </w:p>
    <w:p w14:paraId="5349234D" w14:textId="77777777" w:rsidR="005301AA" w:rsidRDefault="005301AA" w:rsidP="00047346">
      <w:pPr>
        <w:spacing w:before="120" w:after="0" w:line="360" w:lineRule="auto"/>
        <w:jc w:val="both"/>
        <w:rPr>
          <w:rFonts w:ascii="Calibri" w:hAnsi="Calibri" w:cs="Calibri"/>
          <w:b/>
        </w:rPr>
      </w:pPr>
    </w:p>
    <w:p w14:paraId="060948B2" w14:textId="77777777" w:rsidR="00D86699" w:rsidRDefault="00D86699">
      <w:pPr>
        <w:rPr>
          <w:rFonts w:ascii="Calibri" w:hAnsi="Calibri" w:cs="Calibri"/>
          <w:b/>
        </w:rPr>
      </w:pPr>
      <w:r>
        <w:rPr>
          <w:rFonts w:ascii="Calibri" w:hAnsi="Calibri" w:cs="Calibri"/>
          <w:b/>
        </w:rPr>
        <w:br w:type="page"/>
      </w:r>
    </w:p>
    <w:p w14:paraId="248D2D9B" w14:textId="74D40D25" w:rsidR="009C6A35" w:rsidRPr="009C6A35" w:rsidRDefault="009C6A35" w:rsidP="00047346">
      <w:pPr>
        <w:spacing w:before="120" w:after="0" w:line="360" w:lineRule="auto"/>
        <w:jc w:val="both"/>
        <w:rPr>
          <w:rFonts w:ascii="Calibri" w:hAnsi="Calibri" w:cs="Arial"/>
          <w:b/>
        </w:rPr>
      </w:pPr>
      <w:r w:rsidRPr="009C6A35">
        <w:rPr>
          <w:rFonts w:ascii="Calibri" w:hAnsi="Calibri" w:cs="Calibri"/>
          <w:b/>
        </w:rPr>
        <w:lastRenderedPageBreak/>
        <w:t>Section 1 (Definitions)</w:t>
      </w:r>
    </w:p>
    <w:p w14:paraId="6534B899" w14:textId="13BBE861" w:rsidR="009F0342" w:rsidRDefault="009C6A35" w:rsidP="00047346">
      <w:pPr>
        <w:pStyle w:val="Indenta"/>
        <w:ind w:left="0" w:firstLine="0"/>
        <w:jc w:val="both"/>
        <w:rPr>
          <w:rFonts w:ascii="Calibri" w:hAnsi="Calibri" w:cs="Calibri"/>
          <w:szCs w:val="22"/>
        </w:rPr>
      </w:pPr>
      <w:r>
        <w:rPr>
          <w:rFonts w:ascii="Calibri" w:hAnsi="Calibri" w:cs="Arial"/>
        </w:rPr>
        <w:t>2</w:t>
      </w:r>
      <w:r w:rsidR="00016F02" w:rsidRPr="00453396">
        <w:rPr>
          <w:rFonts w:ascii="Calibri" w:hAnsi="Calibri" w:cs="Arial"/>
        </w:rPr>
        <w:t>.1</w:t>
      </w:r>
      <w:r w:rsidR="00016F02" w:rsidRPr="00453396">
        <w:rPr>
          <w:rFonts w:ascii="Calibri" w:hAnsi="Calibri" w:cs="Arial"/>
        </w:rPr>
        <w:tab/>
      </w:r>
      <w:r w:rsidR="009F0342">
        <w:rPr>
          <w:rFonts w:ascii="Calibri" w:hAnsi="Calibri" w:cs="Calibri"/>
          <w:szCs w:val="22"/>
        </w:rPr>
        <w:t xml:space="preserve">In Section 1 (Definitions) </w:t>
      </w:r>
      <w:r w:rsidR="009F0342">
        <w:rPr>
          <w:rFonts w:ascii="Calibri" w:hAnsi="Calibri" w:cs="Calibri"/>
        </w:rPr>
        <w:t xml:space="preserve">of Recommendation 2010/3, </w:t>
      </w:r>
      <w:r w:rsidR="00047346">
        <w:rPr>
          <w:rFonts w:ascii="Calibri" w:hAnsi="Calibri" w:cs="Calibri"/>
        </w:rPr>
        <w:t xml:space="preserve">insert definition for BPR, </w:t>
      </w:r>
      <w:proofErr w:type="spellStart"/>
      <w:r w:rsidR="00047346">
        <w:rPr>
          <w:rFonts w:ascii="Calibri" w:hAnsi="Calibri" w:cs="Calibri"/>
        </w:rPr>
        <w:t>Microplastics</w:t>
      </w:r>
      <w:proofErr w:type="spellEnd"/>
      <w:r w:rsidR="00047346">
        <w:rPr>
          <w:rFonts w:ascii="Calibri" w:hAnsi="Calibri" w:cs="Calibri"/>
        </w:rPr>
        <w:t>, Nanomaterials, Plastic</w:t>
      </w:r>
      <w:r w:rsidR="00727C9B">
        <w:rPr>
          <w:rFonts w:ascii="Calibri" w:hAnsi="Calibri" w:cs="Calibri"/>
        </w:rPr>
        <w:t>,</w:t>
      </w:r>
      <w:r w:rsidR="00047346">
        <w:rPr>
          <w:rFonts w:ascii="Calibri" w:hAnsi="Calibri" w:cs="Calibri"/>
        </w:rPr>
        <w:t xml:space="preserve"> amend definition for REACH</w:t>
      </w:r>
      <w:r w:rsidR="005301AA">
        <w:rPr>
          <w:rFonts w:ascii="Calibri" w:hAnsi="Calibri" w:cs="Calibri"/>
        </w:rPr>
        <w:t>,</w:t>
      </w:r>
      <w:r w:rsidR="00047346">
        <w:rPr>
          <w:rFonts w:ascii="Calibri" w:hAnsi="Calibri" w:cs="Calibri"/>
        </w:rPr>
        <w:t xml:space="preserve"> </w:t>
      </w:r>
      <w:r w:rsidR="00727C9B">
        <w:rPr>
          <w:rFonts w:ascii="Calibri" w:hAnsi="Calibri" w:cs="Calibri"/>
        </w:rPr>
        <w:t xml:space="preserve">OSPAR Decision 2000/2 </w:t>
      </w:r>
      <w:r w:rsidR="001D4D8E">
        <w:rPr>
          <w:rFonts w:ascii="Calibri" w:hAnsi="Calibri" w:cs="Calibri"/>
        </w:rPr>
        <w:t xml:space="preserve">and OSPAR Recommendation 2010/3 </w:t>
      </w:r>
      <w:r w:rsidR="00047346">
        <w:rPr>
          <w:rFonts w:ascii="Calibri" w:hAnsi="Calibri" w:cs="Calibri"/>
        </w:rPr>
        <w:t>as follows:</w:t>
      </w:r>
    </w:p>
    <w:p w14:paraId="627F367B" w14:textId="592E7FE7" w:rsidR="00047346" w:rsidRPr="00453396" w:rsidRDefault="00047346" w:rsidP="00047346">
      <w:pPr>
        <w:spacing w:before="120" w:after="0" w:line="240" w:lineRule="auto"/>
        <w:jc w:val="both"/>
        <w:rPr>
          <w:rFonts w:ascii="Calibri" w:hAnsi="Calibri" w:cs="Calibri"/>
          <w:b/>
          <w:spacing w:val="-2"/>
        </w:rPr>
      </w:pPr>
      <w:r w:rsidRPr="00453396">
        <w:rPr>
          <w:rFonts w:ascii="Calibri" w:hAnsi="Calibri" w:cs="Calibri"/>
          <w:b/>
          <w:spacing w:val="-2"/>
        </w:rPr>
        <w:t>“BPR”</w:t>
      </w:r>
      <w:r w:rsidRPr="00453396">
        <w:rPr>
          <w:rFonts w:ascii="Calibri" w:hAnsi="Calibri" w:cs="Calibri"/>
          <w:spacing w:val="-2"/>
        </w:rPr>
        <w:t xml:space="preserve"> </w:t>
      </w:r>
      <w:r w:rsidR="006E6EB1">
        <w:rPr>
          <w:rFonts w:ascii="Calibri" w:hAnsi="Calibri" w:cs="Calibri"/>
          <w:spacing w:val="-2"/>
        </w:rPr>
        <w:t>means</w:t>
      </w:r>
      <w:r w:rsidRPr="00453396">
        <w:rPr>
          <w:rFonts w:ascii="Calibri" w:hAnsi="Calibri" w:cs="Calibri"/>
          <w:spacing w:val="-2"/>
        </w:rPr>
        <w:t xml:space="preserve"> the EU Biocidal Products Regulation </w:t>
      </w:r>
      <w:r w:rsidR="006E6EB1">
        <w:rPr>
          <w:rFonts w:ascii="Calibri" w:hAnsi="Calibri" w:cs="Calibri"/>
          <w:spacing w:val="-2"/>
        </w:rPr>
        <w:t xml:space="preserve">(EU Regulation </w:t>
      </w:r>
      <w:r w:rsidRPr="00453396">
        <w:rPr>
          <w:rFonts w:ascii="Calibri" w:hAnsi="Calibri" w:cs="Calibri"/>
          <w:spacing w:val="-2"/>
        </w:rPr>
        <w:t>528/2012</w:t>
      </w:r>
      <w:r w:rsidR="006E6EB1">
        <w:rPr>
          <w:rFonts w:ascii="Calibri" w:hAnsi="Calibri" w:cs="Calibri"/>
          <w:spacing w:val="-2"/>
        </w:rPr>
        <w:t>)</w:t>
      </w:r>
      <w:r w:rsidRPr="00453396">
        <w:rPr>
          <w:rFonts w:ascii="Calibri" w:hAnsi="Calibri" w:cs="Calibri"/>
          <w:spacing w:val="-2"/>
        </w:rPr>
        <w:t>, stipulating approval, marketing and application of biocide products within EU.</w:t>
      </w:r>
    </w:p>
    <w:p w14:paraId="4559EC38" w14:textId="77777777" w:rsidR="00047346" w:rsidRPr="00453396" w:rsidRDefault="00047346" w:rsidP="00047346">
      <w:pPr>
        <w:spacing w:before="120" w:after="0" w:line="240" w:lineRule="auto"/>
        <w:jc w:val="both"/>
        <w:rPr>
          <w:rFonts w:ascii="Calibri" w:hAnsi="Calibri" w:cs="Calibri"/>
        </w:rPr>
      </w:pPr>
      <w:r w:rsidRPr="00453396">
        <w:rPr>
          <w:rFonts w:ascii="Calibri" w:hAnsi="Calibri" w:cs="Calibri"/>
          <w:b/>
        </w:rPr>
        <w:t>“</w:t>
      </w:r>
      <w:proofErr w:type="spellStart"/>
      <w:r w:rsidRPr="00453396">
        <w:rPr>
          <w:rFonts w:ascii="Calibri" w:hAnsi="Calibri" w:cs="Calibri"/>
          <w:b/>
        </w:rPr>
        <w:t>Microplastics</w:t>
      </w:r>
      <w:proofErr w:type="spellEnd"/>
      <w:r w:rsidRPr="00453396">
        <w:rPr>
          <w:rFonts w:ascii="Calibri" w:hAnsi="Calibri" w:cs="Calibri"/>
          <w:b/>
        </w:rPr>
        <w:t>”</w:t>
      </w:r>
      <w:r>
        <w:rPr>
          <w:rStyle w:val="FootnoteReference"/>
          <w:rFonts w:ascii="Calibri" w:hAnsi="Calibri" w:cs="Calibri"/>
          <w:b/>
        </w:rPr>
        <w:footnoteReference w:id="1"/>
      </w:r>
      <w:r>
        <w:rPr>
          <w:rFonts w:ascii="Calibri" w:hAnsi="Calibri" w:cs="Calibri"/>
          <w:b/>
        </w:rPr>
        <w:t xml:space="preserve"> </w:t>
      </w:r>
      <w:r w:rsidRPr="00047346">
        <w:rPr>
          <w:rFonts w:ascii="Calibri" w:hAnsi="Calibri" w:cs="Calibri"/>
        </w:rPr>
        <w:t>(</w:t>
      </w:r>
      <w:r w:rsidRPr="00453396">
        <w:rPr>
          <w:rFonts w:ascii="Calibri" w:hAnsi="Calibri" w:cs="Calibri"/>
        </w:rPr>
        <w:t>as proposed by ECHA</w:t>
      </w:r>
      <w:r>
        <w:rPr>
          <w:rFonts w:ascii="Calibri" w:hAnsi="Calibri" w:cs="Calibri"/>
        </w:rPr>
        <w:t>)</w:t>
      </w:r>
      <w:r w:rsidRPr="00453396">
        <w:rPr>
          <w:rFonts w:ascii="Calibri" w:hAnsi="Calibri" w:cs="Calibri"/>
        </w:rPr>
        <w:t xml:space="preserve"> means a material consisting of solid polymer-containing particles, to which additives or other substances may have been added, and where ≥ 1% w/w of particles have:</w:t>
      </w:r>
    </w:p>
    <w:p w14:paraId="25C7EA86" w14:textId="77777777" w:rsidR="00047346" w:rsidRPr="00453396" w:rsidRDefault="00047346" w:rsidP="00047346">
      <w:pPr>
        <w:numPr>
          <w:ilvl w:val="0"/>
          <w:numId w:val="2"/>
        </w:numPr>
        <w:tabs>
          <w:tab w:val="left" w:pos="567"/>
          <w:tab w:val="left" w:pos="1134"/>
          <w:tab w:val="left" w:pos="1701"/>
          <w:tab w:val="left" w:pos="2268"/>
        </w:tabs>
        <w:spacing w:after="0" w:line="280" w:lineRule="atLeast"/>
        <w:ind w:left="0" w:firstLine="0"/>
        <w:jc w:val="both"/>
        <w:rPr>
          <w:rFonts w:ascii="Calibri" w:hAnsi="Calibri" w:cs="Calibri"/>
        </w:rPr>
      </w:pPr>
      <w:r w:rsidRPr="00453396">
        <w:rPr>
          <w:rFonts w:ascii="Calibri" w:hAnsi="Calibri" w:cs="Calibri"/>
        </w:rPr>
        <w:t xml:space="preserve">all dimensions 1nm ≤ x ≤ 5mm, or </w:t>
      </w:r>
    </w:p>
    <w:p w14:paraId="017CE9C8" w14:textId="77777777" w:rsidR="00047346" w:rsidRPr="00453396" w:rsidRDefault="00047346" w:rsidP="00047346">
      <w:pPr>
        <w:numPr>
          <w:ilvl w:val="0"/>
          <w:numId w:val="2"/>
        </w:numPr>
        <w:tabs>
          <w:tab w:val="left" w:pos="567"/>
          <w:tab w:val="left" w:pos="1134"/>
          <w:tab w:val="left" w:pos="1701"/>
          <w:tab w:val="left" w:pos="2268"/>
        </w:tabs>
        <w:spacing w:after="0" w:line="280" w:lineRule="atLeast"/>
        <w:ind w:left="0" w:firstLine="0"/>
        <w:jc w:val="both"/>
        <w:rPr>
          <w:rFonts w:ascii="Calibri" w:hAnsi="Calibri" w:cs="Calibri"/>
        </w:rPr>
      </w:pPr>
      <w:r w:rsidRPr="00453396">
        <w:rPr>
          <w:rFonts w:ascii="Calibri" w:hAnsi="Calibri" w:cs="Calibri"/>
        </w:rPr>
        <w:t xml:space="preserve">for fibres, a length of 3nm ≤ x ≤ 15 mm and length to diameter ratio of &gt;3. </w:t>
      </w:r>
    </w:p>
    <w:p w14:paraId="30213BA1" w14:textId="77777777" w:rsidR="00047346" w:rsidRDefault="00047346" w:rsidP="00047346">
      <w:pPr>
        <w:spacing w:before="120" w:line="280" w:lineRule="atLeast"/>
        <w:jc w:val="both"/>
        <w:rPr>
          <w:rFonts w:ascii="Calibri" w:hAnsi="Calibri" w:cs="Calibri"/>
        </w:rPr>
      </w:pPr>
      <w:r w:rsidRPr="00A315B7">
        <w:rPr>
          <w:rFonts w:ascii="Calibri" w:hAnsi="Calibri" w:cs="Calibri"/>
          <w:b/>
        </w:rPr>
        <w:t>“Nanomaterials”</w:t>
      </w:r>
      <w:r>
        <w:rPr>
          <w:rStyle w:val="FootnoteReference"/>
          <w:rFonts w:ascii="Calibri" w:hAnsi="Calibri" w:cs="Calibri"/>
          <w:b/>
        </w:rPr>
        <w:footnoteReference w:id="2"/>
      </w:r>
      <w:r w:rsidRPr="00453396">
        <w:rPr>
          <w:rFonts w:ascii="Calibri" w:hAnsi="Calibri" w:cs="Calibri"/>
        </w:rPr>
        <w:t xml:space="preserve"> defined by the European Commission as being a natural, incidental or manufactured material containing particles, in an unbound state or as an aggregate or as an agglomerate and where, for 50 % or more of the particles in the number size distribution, one or more external dimensions is in the size range 1 nm - 100 nm. In specific cases and where warranted by concerns for the environment, health, safety or competitiveness the number size distribution threshold of 50 % may be replaced by a threshold between 1 and 50 %. By derogation from the above, fullerenes, graphene flakes and single wall carbon nanotubes with one or more external dimensions below 1 nm should be considered as nanomaterials;</w:t>
      </w:r>
    </w:p>
    <w:p w14:paraId="05441E1B" w14:textId="78E4374E" w:rsidR="00727C9B" w:rsidRDefault="00727C9B" w:rsidP="00047346">
      <w:pPr>
        <w:spacing w:before="120" w:line="280" w:lineRule="atLeast"/>
        <w:jc w:val="both"/>
        <w:rPr>
          <w:rFonts w:ascii="Calibri" w:hAnsi="Calibri" w:cs="Calibri"/>
        </w:rPr>
      </w:pPr>
      <w:r>
        <w:rPr>
          <w:rFonts w:ascii="Calibri" w:hAnsi="Calibri" w:cs="Calibri"/>
          <w:b/>
        </w:rPr>
        <w:t>“</w:t>
      </w:r>
      <w:r w:rsidR="00377921">
        <w:rPr>
          <w:rFonts w:ascii="Calibri" w:hAnsi="Calibri" w:cs="Calibri"/>
          <w:b/>
        </w:rPr>
        <w:t xml:space="preserve">OSPAR Decision 2000/2” </w:t>
      </w:r>
      <w:r w:rsidR="00377921" w:rsidRPr="00B92167">
        <w:rPr>
          <w:rFonts w:ascii="Calibri" w:hAnsi="Calibri" w:cs="Calibri"/>
        </w:rPr>
        <w:t xml:space="preserve">means OSPAR Decision 2000/2 on a Harmonised Mandatory Control System for the Use and Reduction of the Discharge of Offshore </w:t>
      </w:r>
      <w:r w:rsidR="00377921" w:rsidRPr="0088231B">
        <w:rPr>
          <w:rFonts w:ascii="Calibri" w:hAnsi="Calibri" w:cs="Calibri"/>
        </w:rPr>
        <w:t>Chemicals, as amended</w:t>
      </w:r>
      <w:r w:rsidR="001D4D8E">
        <w:rPr>
          <w:rFonts w:ascii="Calibri" w:hAnsi="Calibri" w:cs="Calibri"/>
        </w:rPr>
        <w:t xml:space="preserve"> by OSPAR Decision 2005/1</w:t>
      </w:r>
      <w:r w:rsidR="00377921" w:rsidRPr="0088231B">
        <w:rPr>
          <w:rFonts w:ascii="Calibri" w:hAnsi="Calibri" w:cs="Calibri"/>
        </w:rPr>
        <w:t>;</w:t>
      </w:r>
    </w:p>
    <w:p w14:paraId="55837ECE" w14:textId="320E1F22" w:rsidR="001D4D8E" w:rsidRDefault="001D4D8E" w:rsidP="001D4D8E">
      <w:pPr>
        <w:spacing w:before="120" w:line="280" w:lineRule="atLeast"/>
        <w:jc w:val="both"/>
        <w:rPr>
          <w:rFonts w:ascii="Calibri" w:hAnsi="Calibri" w:cs="Calibri"/>
          <w:b/>
        </w:rPr>
      </w:pPr>
      <w:r>
        <w:rPr>
          <w:rFonts w:ascii="Calibri" w:hAnsi="Calibri" w:cs="Calibri"/>
        </w:rPr>
        <w:t xml:space="preserve"> “</w:t>
      </w:r>
      <w:r w:rsidRPr="00AC303C">
        <w:rPr>
          <w:rFonts w:ascii="Calibri" w:hAnsi="Calibri" w:cs="Calibri"/>
          <w:b/>
        </w:rPr>
        <w:t>OSPAR Recommendation 2010/3</w:t>
      </w:r>
      <w:r>
        <w:rPr>
          <w:rFonts w:ascii="Calibri" w:hAnsi="Calibri" w:cs="Calibri"/>
        </w:rPr>
        <w:t>” means OSPAR Recommendation 2010/3 on a Harmonised Offshore Chemical Notification Format (HOCNF) as amended by OSPAR Recommendation 2014/7 and OSPAR Recommendation 2019/</w:t>
      </w:r>
      <w:r w:rsidR="00FB45A5">
        <w:rPr>
          <w:rFonts w:ascii="Calibri" w:hAnsi="Calibri" w:cs="Calibri"/>
        </w:rPr>
        <w:t>3</w:t>
      </w:r>
      <w:r>
        <w:rPr>
          <w:rFonts w:ascii="Calibri" w:hAnsi="Calibri" w:cs="Calibri"/>
        </w:rPr>
        <w:t>;</w:t>
      </w:r>
    </w:p>
    <w:p w14:paraId="05F95C25" w14:textId="77777777" w:rsidR="00047346" w:rsidRDefault="00047346" w:rsidP="00047346">
      <w:pPr>
        <w:spacing w:before="120" w:line="280" w:lineRule="atLeast"/>
        <w:jc w:val="both"/>
        <w:rPr>
          <w:rFonts w:ascii="Calibri" w:hAnsi="Calibri" w:cs="Calibri"/>
        </w:rPr>
      </w:pPr>
      <w:r w:rsidRPr="00A315B7">
        <w:rPr>
          <w:rFonts w:ascii="Calibri" w:hAnsi="Calibri" w:cs="Calibri"/>
          <w:b/>
        </w:rPr>
        <w:t>“Plastic”</w:t>
      </w:r>
      <w:r w:rsidRPr="00A315B7">
        <w:rPr>
          <w:rFonts w:ascii="Calibri" w:hAnsi="Calibri" w:cs="Calibri"/>
        </w:rPr>
        <w:t xml:space="preserve"> as defined in the marine environment, are substances that are solid synthetic polymers insoluble in water</w:t>
      </w:r>
      <w:r>
        <w:rPr>
          <w:rFonts w:ascii="Calibri" w:hAnsi="Calibri" w:cs="Calibri"/>
        </w:rPr>
        <w:t xml:space="preserve"> (ref. OIC Summary Record 2018);</w:t>
      </w:r>
    </w:p>
    <w:p w14:paraId="4A50AF73" w14:textId="477C4BD6" w:rsidR="00047346" w:rsidRPr="008C3ABE" w:rsidRDefault="00047346" w:rsidP="00D570D1">
      <w:pPr>
        <w:spacing w:after="0" w:line="280" w:lineRule="atLeast"/>
        <w:jc w:val="both"/>
        <w:rPr>
          <w:rFonts w:cstheme="minorHAnsi"/>
        </w:rPr>
      </w:pPr>
      <w:r w:rsidRPr="008C3ABE">
        <w:rPr>
          <w:rFonts w:cstheme="minorHAnsi"/>
          <w:b/>
          <w:spacing w:val="-2"/>
          <w:sz w:val="20"/>
        </w:rPr>
        <w:t>“</w:t>
      </w:r>
      <w:r w:rsidRPr="008F1E72">
        <w:rPr>
          <w:rFonts w:cstheme="minorHAnsi"/>
          <w:b/>
          <w:spacing w:val="-2"/>
        </w:rPr>
        <w:t>REACH”</w:t>
      </w:r>
      <w:r w:rsidRPr="008C3ABE">
        <w:rPr>
          <w:rFonts w:cstheme="minorHAnsi"/>
          <w:spacing w:val="-2"/>
          <w:sz w:val="20"/>
        </w:rPr>
        <w:t xml:space="preserve"> </w:t>
      </w:r>
      <w:r w:rsidRPr="008C3ABE">
        <w:rPr>
          <w:rFonts w:cstheme="minorHAnsi"/>
        </w:rPr>
        <w:t>means Regulation (EC) No 1907/2006 of the European Parliament and of the Council of 18 December 2006 concerning the Registration, Evaluation, Authorisation and Restriction of Chemicals (as amended)</w:t>
      </w:r>
      <w:r>
        <w:rPr>
          <w:rFonts w:cstheme="minorHAnsi"/>
        </w:rPr>
        <w:t>.</w:t>
      </w:r>
    </w:p>
    <w:p w14:paraId="3A34D0B6" w14:textId="2A0489F6" w:rsidR="009C6A35" w:rsidRPr="004373B5" w:rsidRDefault="009C6A35" w:rsidP="004373B5">
      <w:pPr>
        <w:spacing w:before="120" w:after="0" w:line="360" w:lineRule="auto"/>
        <w:jc w:val="both"/>
        <w:rPr>
          <w:rFonts w:ascii="Calibri" w:hAnsi="Calibri" w:cs="Calibri"/>
          <w:b/>
        </w:rPr>
      </w:pPr>
      <w:r w:rsidRPr="00086694">
        <w:rPr>
          <w:rFonts w:ascii="Calibri" w:hAnsi="Calibri" w:cs="Calibri"/>
          <w:b/>
        </w:rPr>
        <w:t>Annex 1</w:t>
      </w:r>
    </w:p>
    <w:p w14:paraId="6BB40AE2" w14:textId="68FE52FC" w:rsidR="00016F02" w:rsidRDefault="009C6A35" w:rsidP="009C6A35">
      <w:r>
        <w:rPr>
          <w:rFonts w:ascii="Calibri" w:hAnsi="Calibri" w:cs="Calibri"/>
        </w:rPr>
        <w:t>2.2</w:t>
      </w:r>
      <w:r w:rsidRPr="00922D98">
        <w:rPr>
          <w:rFonts w:ascii="Calibri" w:hAnsi="Calibri" w:cs="Calibri"/>
        </w:rPr>
        <w:tab/>
      </w:r>
      <w:r>
        <w:rPr>
          <w:rFonts w:ascii="Calibri" w:hAnsi="Calibri" w:cs="Calibri"/>
        </w:rPr>
        <w:t xml:space="preserve">Section 1.6(b) of Annex 1 </w:t>
      </w:r>
      <w:r>
        <w:t>of OSPAR Recommendation 2010</w:t>
      </w:r>
      <w:r w:rsidRPr="00E8364D">
        <w:t>/3</w:t>
      </w:r>
      <w:r>
        <w:t xml:space="preserve"> </w:t>
      </w:r>
      <w:r w:rsidRPr="00922D98">
        <w:rPr>
          <w:rFonts w:ascii="Calibri" w:hAnsi="Calibri" w:cs="Calibri"/>
        </w:rPr>
        <w:t xml:space="preserve">is replaced by </w:t>
      </w:r>
      <w:r>
        <w:rPr>
          <w:rFonts w:ascii="Calibri" w:hAnsi="Calibri" w:cs="Calibri"/>
        </w:rPr>
        <w:t xml:space="preserve">Section 1.6(b) of Annex 1 </w:t>
      </w:r>
      <w:r>
        <w:t xml:space="preserve">of </w:t>
      </w:r>
      <w:r w:rsidR="003557E3">
        <w:t xml:space="preserve">this </w:t>
      </w:r>
      <w:r>
        <w:t xml:space="preserve">Recommendation. </w:t>
      </w:r>
    </w:p>
    <w:p w14:paraId="355F80AE" w14:textId="77777777" w:rsidR="009C6A35" w:rsidRPr="00453396" w:rsidRDefault="009C6A35" w:rsidP="00D570D1">
      <w:pPr>
        <w:spacing w:after="0" w:line="280" w:lineRule="atLeast"/>
        <w:jc w:val="both"/>
        <w:rPr>
          <w:rFonts w:ascii="Calibri" w:hAnsi="Calibri" w:cs="Calibri"/>
        </w:rPr>
      </w:pPr>
    </w:p>
    <w:p w14:paraId="751265A0" w14:textId="77777777" w:rsidR="00016F02" w:rsidRPr="00453396" w:rsidRDefault="00016F02" w:rsidP="00E30A68">
      <w:pPr>
        <w:spacing w:after="120" w:line="240" w:lineRule="auto"/>
        <w:jc w:val="both"/>
        <w:rPr>
          <w:rFonts w:ascii="Calibri" w:hAnsi="Calibri" w:cs="Arial"/>
          <w:b/>
        </w:rPr>
      </w:pPr>
      <w:r w:rsidRPr="00453396">
        <w:rPr>
          <w:rFonts w:ascii="Calibri" w:hAnsi="Calibri" w:cs="Arial"/>
          <w:b/>
        </w:rPr>
        <w:t>3.</w:t>
      </w:r>
      <w:r w:rsidRPr="00453396">
        <w:rPr>
          <w:rFonts w:ascii="Calibri" w:hAnsi="Calibri" w:cs="Arial"/>
          <w:b/>
        </w:rPr>
        <w:tab/>
        <w:t xml:space="preserve">Entry into force </w:t>
      </w:r>
    </w:p>
    <w:p w14:paraId="5330D015" w14:textId="45D5C88E" w:rsidR="00047346" w:rsidRDefault="00016F02" w:rsidP="00B74A3A">
      <w:pPr>
        <w:spacing w:after="120" w:line="240" w:lineRule="auto"/>
      </w:pPr>
      <w:r w:rsidRPr="00453396">
        <w:rPr>
          <w:rFonts w:ascii="Calibri" w:hAnsi="Calibri" w:cs="Arial"/>
        </w:rPr>
        <w:t>3.1</w:t>
      </w:r>
      <w:r w:rsidRPr="00453396">
        <w:rPr>
          <w:rFonts w:ascii="Calibri" w:hAnsi="Calibri" w:cs="Arial"/>
        </w:rPr>
        <w:tab/>
        <w:t>This R</w:t>
      </w:r>
      <w:r>
        <w:rPr>
          <w:rFonts w:ascii="Calibri" w:hAnsi="Calibri" w:cs="Arial"/>
        </w:rPr>
        <w:t xml:space="preserve">ecommendation has effect from </w:t>
      </w:r>
      <w:r w:rsidR="00047346">
        <w:rPr>
          <w:rFonts w:ascii="Calibri" w:hAnsi="Calibri" w:cs="Arial"/>
        </w:rPr>
        <w:t xml:space="preserve">1 </w:t>
      </w:r>
      <w:r>
        <w:rPr>
          <w:rFonts w:ascii="Calibri" w:hAnsi="Calibri" w:cs="Arial"/>
        </w:rPr>
        <w:t>J</w:t>
      </w:r>
      <w:r w:rsidR="00047346">
        <w:rPr>
          <w:rFonts w:ascii="Calibri" w:hAnsi="Calibri" w:cs="Arial"/>
        </w:rPr>
        <w:t xml:space="preserve">anuary </w:t>
      </w:r>
      <w:r>
        <w:rPr>
          <w:rFonts w:ascii="Calibri" w:hAnsi="Calibri" w:cs="Arial"/>
        </w:rPr>
        <w:t>20</w:t>
      </w:r>
      <w:r w:rsidR="00047346">
        <w:rPr>
          <w:rFonts w:ascii="Calibri" w:hAnsi="Calibri" w:cs="Arial"/>
        </w:rPr>
        <w:t>20</w:t>
      </w:r>
      <w:r w:rsidRPr="00453396">
        <w:rPr>
          <w:rFonts w:ascii="Calibri" w:hAnsi="Calibri" w:cs="Arial"/>
        </w:rPr>
        <w:t>.</w:t>
      </w:r>
    </w:p>
    <w:p w14:paraId="4502E412" w14:textId="77777777" w:rsidR="00C02BEB" w:rsidRDefault="00C02BEB" w:rsidP="00047346">
      <w:pPr>
        <w:spacing w:line="280" w:lineRule="atLeast"/>
        <w:rPr>
          <w:rFonts w:ascii="Arial" w:hAnsi="Arial" w:cs="Arial"/>
          <w:sz w:val="20"/>
        </w:rPr>
        <w:sectPr w:rsidR="00C02BEB" w:rsidSect="002F3A87">
          <w:footerReference w:type="default" r:id="rId10"/>
          <w:pgSz w:w="11906" w:h="16838"/>
          <w:pgMar w:top="1134" w:right="1134" w:bottom="1134" w:left="1134" w:header="708" w:footer="708" w:gutter="0"/>
          <w:cols w:space="708"/>
          <w:docGrid w:linePitch="360"/>
        </w:sectPr>
      </w:pPr>
    </w:p>
    <w:p w14:paraId="1D7456A9" w14:textId="775E09EF" w:rsidR="00086694" w:rsidRPr="00086694" w:rsidRDefault="00086694" w:rsidP="00086694">
      <w:pPr>
        <w:spacing w:after="120" w:line="280" w:lineRule="atLeast"/>
        <w:rPr>
          <w:rFonts w:cstheme="minorHAnsi"/>
          <w:sz w:val="20"/>
        </w:rPr>
      </w:pPr>
      <w:r w:rsidRPr="00086694">
        <w:rPr>
          <w:rFonts w:cstheme="minorHAnsi"/>
          <w:b/>
          <w:sz w:val="20"/>
        </w:rPr>
        <w:lastRenderedPageBreak/>
        <w:t xml:space="preserve">Annex 1, </w:t>
      </w:r>
      <w:r w:rsidRPr="00086694">
        <w:rPr>
          <w:rFonts w:cstheme="minorHAnsi"/>
          <w:sz w:val="20"/>
        </w:rPr>
        <w:t>Section 1.6</w:t>
      </w:r>
    </w:p>
    <w:p w14:paraId="6C7B8447" w14:textId="7CECA49F" w:rsidR="00047346" w:rsidRPr="00086694" w:rsidRDefault="00086694" w:rsidP="00086694">
      <w:pPr>
        <w:spacing w:after="120" w:line="280" w:lineRule="atLeast"/>
        <w:rPr>
          <w:rFonts w:cstheme="minorHAnsi"/>
          <w:sz w:val="20"/>
        </w:rPr>
      </w:pPr>
      <w:r w:rsidRPr="00086694">
        <w:rPr>
          <w:rFonts w:cstheme="minorHAnsi"/>
          <w:sz w:val="20"/>
        </w:rPr>
        <w:t>(</w:t>
      </w:r>
      <w:r w:rsidR="00047346" w:rsidRPr="00086694">
        <w:rPr>
          <w:rFonts w:cstheme="minorHAnsi"/>
          <w:sz w:val="20"/>
        </w:rPr>
        <w:t>b)</w:t>
      </w:r>
      <w:r w:rsidR="00047346" w:rsidRPr="00086694">
        <w:rPr>
          <w:rFonts w:cstheme="minorHAnsi"/>
          <w:sz w:val="20"/>
        </w:rPr>
        <w:tab/>
        <w:t>Content</w:t>
      </w:r>
      <w:r w:rsidR="00047346" w:rsidRPr="00086694">
        <w:rPr>
          <w:rStyle w:val="FootnoteReference"/>
          <w:rFonts w:cstheme="minorHAnsi"/>
          <w:sz w:val="20"/>
        </w:rPr>
        <w:footnoteReference w:id="3"/>
      </w:r>
      <w:r w:rsidR="00047346" w:rsidRPr="00086694">
        <w:rPr>
          <w:rFonts w:cstheme="minorHAnsi"/>
          <w:sz w:val="20"/>
        </w:rPr>
        <w:t xml:space="preserve"> </w:t>
      </w:r>
      <w:r w:rsidR="00047346" w:rsidRPr="00086694">
        <w:rPr>
          <w:rStyle w:val="FootnoteReference"/>
          <w:rFonts w:cstheme="minorHAnsi"/>
          <w:sz w:val="20"/>
        </w:rPr>
        <w:footnoteReference w:id="4"/>
      </w:r>
      <w:r w:rsidR="00047346" w:rsidRPr="00086694">
        <w:rPr>
          <w:rFonts w:cstheme="minorHAnsi"/>
          <w:sz w:val="20"/>
        </w:rPr>
        <w:t xml:space="preserve"> </w:t>
      </w:r>
      <w:r w:rsidR="00047346" w:rsidRPr="00086694">
        <w:rPr>
          <w:rStyle w:val="FootnoteReference"/>
          <w:rFonts w:cstheme="minorHAnsi"/>
          <w:sz w:val="20"/>
        </w:rPr>
        <w:footnoteReference w:id="5"/>
      </w:r>
      <w:r w:rsidR="00047346" w:rsidRPr="00086694">
        <w:rPr>
          <w:rFonts w:cstheme="minorHAnsi"/>
          <w:sz w:val="20"/>
        </w:rPr>
        <w:t xml:space="preserve"> </w:t>
      </w:r>
      <w:r w:rsidR="00047346" w:rsidRPr="00086694">
        <w:rPr>
          <w:rStyle w:val="FootnoteReference"/>
          <w:rFonts w:cstheme="minorHAnsi"/>
          <w:sz w:val="20"/>
        </w:rPr>
        <w:footnoteReference w:id="6"/>
      </w:r>
      <w:r w:rsidR="00047346" w:rsidRPr="00086694">
        <w:rPr>
          <w:rFonts w:cstheme="minorHAnsi"/>
          <w:sz w:val="20"/>
        </w:rPr>
        <w:t xml:space="preserve"> </w:t>
      </w:r>
      <w:r w:rsidR="00047346" w:rsidRPr="00086694">
        <w:rPr>
          <w:rStyle w:val="FootnoteReference"/>
          <w:rFonts w:cstheme="minorHAnsi"/>
          <w:sz w:val="20"/>
        </w:rPr>
        <w:footnoteReference w:id="7"/>
      </w:r>
    </w:p>
    <w:tbl>
      <w:tblPr>
        <w:tblW w:w="13522" w:type="dxa"/>
        <w:jc w:val="center"/>
        <w:tblLayout w:type="fixed"/>
        <w:tblLook w:val="0000" w:firstRow="0" w:lastRow="0" w:firstColumn="0" w:lastColumn="0" w:noHBand="0" w:noVBand="0"/>
      </w:tblPr>
      <w:tblGrid>
        <w:gridCol w:w="2847"/>
        <w:gridCol w:w="844"/>
        <w:gridCol w:w="844"/>
        <w:gridCol w:w="723"/>
        <w:gridCol w:w="844"/>
        <w:gridCol w:w="758"/>
        <w:gridCol w:w="1049"/>
        <w:gridCol w:w="963"/>
        <w:gridCol w:w="845"/>
        <w:gridCol w:w="844"/>
        <w:gridCol w:w="844"/>
        <w:gridCol w:w="993"/>
        <w:gridCol w:w="1124"/>
      </w:tblGrid>
      <w:tr w:rsidR="00086694" w:rsidRPr="00D570D1" w14:paraId="7C7518B1" w14:textId="77777777" w:rsidTr="00D570D1">
        <w:trPr>
          <w:cantSplit/>
          <w:trHeight w:val="1311"/>
          <w:jc w:val="center"/>
        </w:trPr>
        <w:tc>
          <w:tcPr>
            <w:tcW w:w="2847" w:type="dxa"/>
            <w:tcBorders>
              <w:top w:val="single" w:sz="6" w:space="0" w:color="auto"/>
              <w:left w:val="single" w:sz="6" w:space="0" w:color="auto"/>
              <w:bottom w:val="single" w:sz="6" w:space="0" w:color="auto"/>
              <w:right w:val="single" w:sz="6" w:space="0" w:color="auto"/>
            </w:tcBorders>
            <w:vAlign w:val="center"/>
          </w:tcPr>
          <w:p w14:paraId="37383F32" w14:textId="77777777" w:rsidR="00C3597D" w:rsidRPr="00D570D1" w:rsidRDefault="00C3597D" w:rsidP="004E27E7">
            <w:pPr>
              <w:spacing w:before="120" w:line="280" w:lineRule="atLeast"/>
              <w:ind w:right="113"/>
              <w:jc w:val="center"/>
              <w:rPr>
                <w:rFonts w:cstheme="minorHAnsi"/>
                <w:sz w:val="20"/>
                <w:lang w:val="en-AU"/>
              </w:rPr>
            </w:pPr>
            <w:r w:rsidRPr="00D570D1">
              <w:rPr>
                <w:rFonts w:cstheme="minorHAnsi"/>
                <w:sz w:val="20"/>
                <w:lang w:val="en-AU"/>
              </w:rPr>
              <w:t>Substance</w:t>
            </w:r>
          </w:p>
          <w:p w14:paraId="03DD3A08" w14:textId="77777777" w:rsidR="00C3597D" w:rsidRPr="00D570D1" w:rsidRDefault="00C3597D" w:rsidP="004E27E7">
            <w:pPr>
              <w:spacing w:line="280" w:lineRule="atLeast"/>
              <w:jc w:val="center"/>
              <w:rPr>
                <w:rFonts w:cstheme="minorHAnsi"/>
                <w:sz w:val="20"/>
              </w:rPr>
            </w:pPr>
            <w:r w:rsidRPr="00D570D1">
              <w:rPr>
                <w:rFonts w:cstheme="minorHAnsi"/>
                <w:sz w:val="20"/>
                <w:lang w:val="en-AU"/>
              </w:rPr>
              <w:t>Name (and trade name where applicable)</w:t>
            </w:r>
          </w:p>
        </w:tc>
        <w:tc>
          <w:tcPr>
            <w:tcW w:w="844" w:type="dxa"/>
            <w:tcBorders>
              <w:top w:val="single" w:sz="6" w:space="0" w:color="auto"/>
              <w:left w:val="single" w:sz="6" w:space="0" w:color="auto"/>
              <w:bottom w:val="single" w:sz="6" w:space="0" w:color="auto"/>
              <w:right w:val="single" w:sz="6" w:space="0" w:color="auto"/>
            </w:tcBorders>
            <w:textDirection w:val="btLr"/>
            <w:vAlign w:val="center"/>
          </w:tcPr>
          <w:p w14:paraId="590808B7" w14:textId="77777777" w:rsidR="00C3597D" w:rsidRPr="00D570D1" w:rsidRDefault="00C3597D" w:rsidP="004E27E7">
            <w:pPr>
              <w:spacing w:line="280" w:lineRule="atLeast"/>
              <w:ind w:left="113" w:right="113"/>
              <w:jc w:val="center"/>
              <w:rPr>
                <w:rFonts w:cstheme="minorHAnsi"/>
                <w:sz w:val="20"/>
                <w:lang w:val="fr-FR"/>
              </w:rPr>
            </w:pPr>
            <w:r w:rsidRPr="00D570D1">
              <w:rPr>
                <w:rFonts w:cstheme="minorHAnsi"/>
                <w:sz w:val="20"/>
                <w:lang w:val="fr-FR"/>
              </w:rPr>
              <w:t>OSPAR LCPA</w:t>
            </w:r>
          </w:p>
        </w:tc>
        <w:tc>
          <w:tcPr>
            <w:tcW w:w="844" w:type="dxa"/>
            <w:tcBorders>
              <w:top w:val="single" w:sz="6" w:space="0" w:color="auto"/>
              <w:left w:val="single" w:sz="6" w:space="0" w:color="auto"/>
              <w:bottom w:val="single" w:sz="6" w:space="0" w:color="auto"/>
              <w:right w:val="single" w:sz="6" w:space="0" w:color="auto"/>
            </w:tcBorders>
            <w:textDirection w:val="btLr"/>
            <w:vAlign w:val="center"/>
          </w:tcPr>
          <w:p w14:paraId="24433D15" w14:textId="77777777" w:rsidR="00C3597D" w:rsidRPr="00D570D1" w:rsidRDefault="00C3597D" w:rsidP="004E27E7">
            <w:pPr>
              <w:spacing w:line="280" w:lineRule="atLeast"/>
              <w:ind w:left="113" w:right="113"/>
              <w:jc w:val="center"/>
              <w:rPr>
                <w:rFonts w:cstheme="minorHAnsi"/>
                <w:sz w:val="20"/>
                <w:lang w:val="fr-FR"/>
              </w:rPr>
            </w:pPr>
            <w:r w:rsidRPr="00D570D1">
              <w:rPr>
                <w:rFonts w:cstheme="minorHAnsi"/>
                <w:sz w:val="20"/>
                <w:lang w:val="fr-FR"/>
              </w:rPr>
              <w:t>OSPAR LSPC</w:t>
            </w:r>
          </w:p>
        </w:tc>
        <w:tc>
          <w:tcPr>
            <w:tcW w:w="723" w:type="dxa"/>
            <w:tcBorders>
              <w:top w:val="single" w:sz="6" w:space="0" w:color="auto"/>
              <w:left w:val="single" w:sz="6" w:space="0" w:color="auto"/>
              <w:bottom w:val="single" w:sz="6" w:space="0" w:color="auto"/>
              <w:right w:val="single" w:sz="6" w:space="0" w:color="auto"/>
            </w:tcBorders>
            <w:textDirection w:val="btLr"/>
            <w:vAlign w:val="center"/>
          </w:tcPr>
          <w:p w14:paraId="428B17FC" w14:textId="77777777" w:rsidR="00C3597D" w:rsidRPr="00D570D1" w:rsidRDefault="00C3597D" w:rsidP="004E27E7">
            <w:pPr>
              <w:spacing w:line="280" w:lineRule="atLeast"/>
              <w:ind w:left="113" w:right="113"/>
              <w:jc w:val="center"/>
              <w:rPr>
                <w:rFonts w:cstheme="minorHAnsi"/>
                <w:sz w:val="20"/>
              </w:rPr>
            </w:pPr>
            <w:r w:rsidRPr="00D570D1">
              <w:rPr>
                <w:rFonts w:cstheme="minorHAnsi"/>
                <w:sz w:val="20"/>
              </w:rPr>
              <w:t xml:space="preserve">REACH </w:t>
            </w:r>
            <w:r w:rsidRPr="00D570D1">
              <w:rPr>
                <w:rFonts w:cstheme="minorHAnsi"/>
                <w:sz w:val="20"/>
              </w:rPr>
              <w:br/>
              <w:t>Annex XIV</w:t>
            </w:r>
          </w:p>
        </w:tc>
        <w:tc>
          <w:tcPr>
            <w:tcW w:w="844" w:type="dxa"/>
            <w:tcBorders>
              <w:top w:val="single" w:sz="6" w:space="0" w:color="auto"/>
              <w:left w:val="single" w:sz="6" w:space="0" w:color="auto"/>
              <w:bottom w:val="single" w:sz="6" w:space="0" w:color="auto"/>
              <w:right w:val="single" w:sz="6" w:space="0" w:color="auto"/>
            </w:tcBorders>
            <w:textDirection w:val="btLr"/>
            <w:vAlign w:val="center"/>
          </w:tcPr>
          <w:p w14:paraId="6D23F1B7" w14:textId="77777777" w:rsidR="00C3597D" w:rsidRPr="00D570D1" w:rsidRDefault="00C3597D" w:rsidP="004E27E7">
            <w:pPr>
              <w:spacing w:line="280" w:lineRule="atLeast"/>
              <w:ind w:left="113" w:right="113"/>
              <w:jc w:val="center"/>
              <w:rPr>
                <w:rFonts w:cstheme="minorHAnsi"/>
                <w:sz w:val="20"/>
              </w:rPr>
            </w:pPr>
            <w:r w:rsidRPr="00D570D1">
              <w:rPr>
                <w:rFonts w:cstheme="minorHAnsi"/>
                <w:sz w:val="20"/>
              </w:rPr>
              <w:t>REACH</w:t>
            </w:r>
            <w:r w:rsidRPr="00D570D1">
              <w:rPr>
                <w:rFonts w:cstheme="minorHAnsi"/>
                <w:sz w:val="20"/>
              </w:rPr>
              <w:br/>
              <w:t>Annex XVII</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6FCEB26" w14:textId="77777777" w:rsidR="00C3597D" w:rsidRPr="00D570D1" w:rsidRDefault="00C3597D" w:rsidP="004E27E7">
            <w:pPr>
              <w:spacing w:line="280" w:lineRule="atLeast"/>
              <w:ind w:left="113" w:right="113"/>
              <w:jc w:val="center"/>
              <w:rPr>
                <w:rFonts w:cstheme="minorHAnsi"/>
                <w:sz w:val="20"/>
              </w:rPr>
            </w:pPr>
            <w:r w:rsidRPr="00D570D1">
              <w:rPr>
                <w:rFonts w:cstheme="minorHAnsi"/>
                <w:sz w:val="20"/>
              </w:rPr>
              <w:t>Surfactant</w:t>
            </w:r>
          </w:p>
        </w:tc>
        <w:tc>
          <w:tcPr>
            <w:tcW w:w="1049" w:type="dxa"/>
            <w:tcBorders>
              <w:top w:val="single" w:sz="6" w:space="0" w:color="auto"/>
              <w:left w:val="single" w:sz="6" w:space="0" w:color="auto"/>
              <w:bottom w:val="single" w:sz="6" w:space="0" w:color="auto"/>
              <w:right w:val="single" w:sz="6" w:space="0" w:color="auto"/>
            </w:tcBorders>
            <w:textDirection w:val="btLr"/>
            <w:vAlign w:val="center"/>
          </w:tcPr>
          <w:p w14:paraId="7FD5D968" w14:textId="77777777" w:rsidR="00C3597D" w:rsidRPr="00D570D1" w:rsidRDefault="00C3597D" w:rsidP="00D570D1">
            <w:pPr>
              <w:spacing w:line="240" w:lineRule="auto"/>
              <w:ind w:left="113" w:right="113"/>
              <w:jc w:val="center"/>
              <w:rPr>
                <w:rFonts w:cstheme="minorHAnsi"/>
                <w:sz w:val="20"/>
              </w:rPr>
            </w:pPr>
            <w:r w:rsidRPr="00D570D1">
              <w:rPr>
                <w:rFonts w:cstheme="minorHAnsi"/>
                <w:sz w:val="20"/>
              </w:rPr>
              <w:t>Heavy metals or heavy metal compound</w:t>
            </w:r>
          </w:p>
        </w:tc>
        <w:tc>
          <w:tcPr>
            <w:tcW w:w="963" w:type="dxa"/>
            <w:tcBorders>
              <w:top w:val="single" w:sz="6" w:space="0" w:color="auto"/>
              <w:left w:val="single" w:sz="6" w:space="0" w:color="auto"/>
              <w:bottom w:val="single" w:sz="6" w:space="0" w:color="auto"/>
              <w:right w:val="single" w:sz="6" w:space="0" w:color="auto"/>
            </w:tcBorders>
            <w:textDirection w:val="btLr"/>
            <w:vAlign w:val="center"/>
          </w:tcPr>
          <w:p w14:paraId="4A026B5C" w14:textId="77777777" w:rsidR="00C3597D" w:rsidRPr="00D570D1" w:rsidRDefault="00C3597D" w:rsidP="00D570D1">
            <w:pPr>
              <w:spacing w:line="240" w:lineRule="auto"/>
              <w:ind w:left="113" w:right="113"/>
              <w:jc w:val="center"/>
              <w:rPr>
                <w:rFonts w:cstheme="minorHAnsi"/>
                <w:sz w:val="20"/>
              </w:rPr>
            </w:pPr>
            <w:proofErr w:type="spellStart"/>
            <w:r w:rsidRPr="00D570D1">
              <w:rPr>
                <w:rFonts w:cstheme="minorHAnsi"/>
                <w:sz w:val="20"/>
              </w:rPr>
              <w:t>Organo</w:t>
            </w:r>
            <w:proofErr w:type="spellEnd"/>
            <w:r w:rsidRPr="00D570D1">
              <w:rPr>
                <w:rFonts w:cstheme="minorHAnsi"/>
                <w:sz w:val="20"/>
              </w:rPr>
              <w:t xml:space="preserve">-halogen compounds </w:t>
            </w:r>
          </w:p>
        </w:tc>
        <w:tc>
          <w:tcPr>
            <w:tcW w:w="845" w:type="dxa"/>
            <w:tcBorders>
              <w:top w:val="single" w:sz="6" w:space="0" w:color="auto"/>
              <w:left w:val="single" w:sz="6" w:space="0" w:color="auto"/>
              <w:bottom w:val="single" w:sz="6" w:space="0" w:color="auto"/>
              <w:right w:val="single" w:sz="6" w:space="0" w:color="auto"/>
            </w:tcBorders>
            <w:textDirection w:val="btLr"/>
            <w:vAlign w:val="center"/>
          </w:tcPr>
          <w:p w14:paraId="212FC554" w14:textId="77777777" w:rsidR="00C3597D" w:rsidRPr="00D570D1" w:rsidRDefault="00C3597D" w:rsidP="00D570D1">
            <w:pPr>
              <w:spacing w:line="240" w:lineRule="auto"/>
              <w:ind w:left="113" w:right="113"/>
              <w:jc w:val="center"/>
              <w:rPr>
                <w:rFonts w:cstheme="minorHAnsi"/>
                <w:sz w:val="20"/>
              </w:rPr>
            </w:pPr>
            <w:r w:rsidRPr="00D570D1">
              <w:rPr>
                <w:rFonts w:cstheme="minorHAnsi"/>
                <w:sz w:val="20"/>
              </w:rPr>
              <w:t>Radioactive substances</w:t>
            </w:r>
          </w:p>
        </w:tc>
        <w:tc>
          <w:tcPr>
            <w:tcW w:w="844" w:type="dxa"/>
            <w:tcBorders>
              <w:top w:val="single" w:sz="6" w:space="0" w:color="auto"/>
              <w:left w:val="single" w:sz="6" w:space="0" w:color="auto"/>
              <w:bottom w:val="single" w:sz="6" w:space="0" w:color="auto"/>
              <w:right w:val="single" w:sz="6" w:space="0" w:color="auto"/>
            </w:tcBorders>
            <w:textDirection w:val="btLr"/>
            <w:vAlign w:val="center"/>
          </w:tcPr>
          <w:p w14:paraId="201AAA30" w14:textId="77777777" w:rsidR="00C3597D" w:rsidRPr="00D570D1" w:rsidRDefault="00C3597D" w:rsidP="004E27E7">
            <w:pPr>
              <w:spacing w:line="280" w:lineRule="atLeast"/>
              <w:ind w:left="113" w:right="113"/>
              <w:jc w:val="center"/>
              <w:rPr>
                <w:rFonts w:cstheme="minorHAnsi"/>
                <w:sz w:val="20"/>
              </w:rPr>
            </w:pPr>
            <w:r w:rsidRPr="00D570D1">
              <w:rPr>
                <w:rFonts w:cstheme="minorHAnsi"/>
                <w:sz w:val="20"/>
              </w:rPr>
              <w:t xml:space="preserve"> Plastic</w:t>
            </w:r>
          </w:p>
        </w:tc>
        <w:tc>
          <w:tcPr>
            <w:tcW w:w="844" w:type="dxa"/>
            <w:tcBorders>
              <w:top w:val="single" w:sz="6" w:space="0" w:color="auto"/>
              <w:left w:val="single" w:sz="6" w:space="0" w:color="auto"/>
              <w:bottom w:val="single" w:sz="6" w:space="0" w:color="auto"/>
              <w:right w:val="single" w:sz="6" w:space="0" w:color="auto"/>
            </w:tcBorders>
            <w:textDirection w:val="btLr"/>
            <w:vAlign w:val="center"/>
          </w:tcPr>
          <w:p w14:paraId="39FFC389" w14:textId="77777777" w:rsidR="00C3597D" w:rsidRPr="00D570D1" w:rsidRDefault="00C3597D" w:rsidP="004E27E7">
            <w:pPr>
              <w:spacing w:line="280" w:lineRule="atLeast"/>
              <w:ind w:left="113" w:right="113"/>
              <w:jc w:val="center"/>
              <w:rPr>
                <w:rFonts w:cstheme="minorHAnsi"/>
                <w:sz w:val="20"/>
              </w:rPr>
            </w:pPr>
            <w:r w:rsidRPr="00D570D1">
              <w:rPr>
                <w:rFonts w:cstheme="minorHAnsi"/>
                <w:sz w:val="20"/>
              </w:rPr>
              <w:t xml:space="preserve"> Microplastic</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14:paraId="23FD3F47" w14:textId="77777777" w:rsidR="00C3597D" w:rsidRPr="00D570D1" w:rsidRDefault="00C3597D" w:rsidP="004E27E7">
            <w:pPr>
              <w:spacing w:line="280" w:lineRule="atLeast"/>
              <w:ind w:left="113" w:right="113"/>
              <w:jc w:val="center"/>
              <w:rPr>
                <w:rFonts w:cstheme="minorHAnsi"/>
                <w:sz w:val="18"/>
                <w:szCs w:val="18"/>
              </w:rPr>
            </w:pPr>
            <w:r w:rsidRPr="00D570D1">
              <w:rPr>
                <w:rFonts w:cstheme="minorHAnsi"/>
                <w:sz w:val="18"/>
                <w:szCs w:val="18"/>
              </w:rPr>
              <w:t>Nanomaterials</w:t>
            </w:r>
          </w:p>
        </w:tc>
        <w:tc>
          <w:tcPr>
            <w:tcW w:w="1124" w:type="dxa"/>
            <w:tcBorders>
              <w:top w:val="single" w:sz="6" w:space="0" w:color="auto"/>
              <w:left w:val="single" w:sz="6" w:space="0" w:color="auto"/>
              <w:bottom w:val="single" w:sz="6" w:space="0" w:color="auto"/>
              <w:right w:val="single" w:sz="6" w:space="0" w:color="auto"/>
            </w:tcBorders>
            <w:textDirection w:val="btLr"/>
          </w:tcPr>
          <w:p w14:paraId="294FFBA1" w14:textId="72830B23" w:rsidR="00C3597D" w:rsidRPr="00D570D1" w:rsidRDefault="00C3597D" w:rsidP="00D570D1">
            <w:pPr>
              <w:spacing w:line="240" w:lineRule="auto"/>
              <w:ind w:left="113" w:right="113"/>
              <w:jc w:val="center"/>
              <w:rPr>
                <w:rFonts w:cstheme="minorHAnsi"/>
                <w:sz w:val="20"/>
              </w:rPr>
            </w:pPr>
            <w:r w:rsidRPr="00D570D1">
              <w:rPr>
                <w:rFonts w:cstheme="minorHAnsi"/>
                <w:sz w:val="20"/>
              </w:rPr>
              <w:t xml:space="preserve"> Compliance  with / Regulated by BPR </w:t>
            </w:r>
          </w:p>
        </w:tc>
      </w:tr>
      <w:tr w:rsidR="00086694" w:rsidRPr="00D570D1" w14:paraId="61362B74" w14:textId="77777777" w:rsidTr="00D570D1">
        <w:trPr>
          <w:cantSplit/>
          <w:trHeight w:val="113"/>
          <w:jc w:val="center"/>
        </w:trPr>
        <w:tc>
          <w:tcPr>
            <w:tcW w:w="2847" w:type="dxa"/>
            <w:tcBorders>
              <w:top w:val="single" w:sz="6" w:space="0" w:color="auto"/>
              <w:left w:val="single" w:sz="6" w:space="0" w:color="auto"/>
              <w:bottom w:val="single" w:sz="6" w:space="0" w:color="auto"/>
              <w:right w:val="single" w:sz="6" w:space="0" w:color="auto"/>
            </w:tcBorders>
            <w:shd w:val="clear" w:color="auto" w:fill="B3B3B3"/>
          </w:tcPr>
          <w:p w14:paraId="334129E6" w14:textId="77777777" w:rsidR="00B844A2" w:rsidRPr="00D570D1" w:rsidRDefault="00B844A2" w:rsidP="004E27E7">
            <w:pPr>
              <w:spacing w:line="280" w:lineRule="atLeast"/>
              <w:jc w:val="center"/>
              <w:rPr>
                <w:rFonts w:cstheme="minorHAnsi"/>
                <w:sz w:val="20"/>
              </w:rPr>
            </w:pPr>
            <w:r w:rsidRPr="00D570D1">
              <w:rPr>
                <w:rFonts w:cstheme="minorHAnsi"/>
                <w:sz w:val="20"/>
              </w:rPr>
              <w:t>1</w:t>
            </w:r>
          </w:p>
        </w:tc>
        <w:tc>
          <w:tcPr>
            <w:tcW w:w="844" w:type="dxa"/>
            <w:tcBorders>
              <w:top w:val="single" w:sz="6" w:space="0" w:color="auto"/>
              <w:left w:val="single" w:sz="6" w:space="0" w:color="auto"/>
              <w:bottom w:val="single" w:sz="6" w:space="0" w:color="auto"/>
              <w:right w:val="single" w:sz="6" w:space="0" w:color="auto"/>
            </w:tcBorders>
            <w:shd w:val="clear" w:color="auto" w:fill="B3B3B3"/>
          </w:tcPr>
          <w:p w14:paraId="65F13019" w14:textId="77777777" w:rsidR="00B844A2" w:rsidRPr="00D570D1" w:rsidRDefault="00B844A2" w:rsidP="004E27E7">
            <w:pPr>
              <w:spacing w:line="280" w:lineRule="atLeast"/>
              <w:jc w:val="center"/>
              <w:rPr>
                <w:rFonts w:cstheme="minorHAnsi"/>
                <w:sz w:val="20"/>
              </w:rPr>
            </w:pPr>
            <w:r w:rsidRPr="00D570D1">
              <w:rPr>
                <w:rFonts w:cstheme="minorHAnsi"/>
                <w:sz w:val="20"/>
              </w:rPr>
              <w:t>2</w:t>
            </w:r>
          </w:p>
        </w:tc>
        <w:tc>
          <w:tcPr>
            <w:tcW w:w="844" w:type="dxa"/>
            <w:tcBorders>
              <w:top w:val="single" w:sz="6" w:space="0" w:color="auto"/>
              <w:left w:val="single" w:sz="6" w:space="0" w:color="auto"/>
              <w:bottom w:val="single" w:sz="6" w:space="0" w:color="auto"/>
              <w:right w:val="single" w:sz="6" w:space="0" w:color="auto"/>
            </w:tcBorders>
            <w:shd w:val="clear" w:color="auto" w:fill="B3B3B3"/>
          </w:tcPr>
          <w:p w14:paraId="70CF1D39" w14:textId="77777777" w:rsidR="00B844A2" w:rsidRPr="00D570D1" w:rsidRDefault="00B844A2" w:rsidP="004E27E7">
            <w:pPr>
              <w:spacing w:line="280" w:lineRule="atLeast"/>
              <w:jc w:val="center"/>
              <w:rPr>
                <w:rFonts w:cstheme="minorHAnsi"/>
                <w:sz w:val="20"/>
              </w:rPr>
            </w:pPr>
            <w:r w:rsidRPr="00D570D1">
              <w:rPr>
                <w:rFonts w:cstheme="minorHAnsi"/>
                <w:sz w:val="20"/>
              </w:rPr>
              <w:t>3</w:t>
            </w:r>
          </w:p>
        </w:tc>
        <w:tc>
          <w:tcPr>
            <w:tcW w:w="723" w:type="dxa"/>
            <w:tcBorders>
              <w:top w:val="single" w:sz="6" w:space="0" w:color="auto"/>
              <w:left w:val="single" w:sz="6" w:space="0" w:color="auto"/>
              <w:bottom w:val="single" w:sz="6" w:space="0" w:color="auto"/>
              <w:right w:val="single" w:sz="6" w:space="0" w:color="auto"/>
            </w:tcBorders>
            <w:shd w:val="clear" w:color="auto" w:fill="B3B3B3"/>
          </w:tcPr>
          <w:p w14:paraId="54A1145C" w14:textId="77777777" w:rsidR="00B844A2" w:rsidRPr="00D570D1" w:rsidRDefault="00B844A2" w:rsidP="004E27E7">
            <w:pPr>
              <w:spacing w:line="280" w:lineRule="atLeast"/>
              <w:jc w:val="center"/>
              <w:rPr>
                <w:rFonts w:cstheme="minorHAnsi"/>
                <w:sz w:val="20"/>
              </w:rPr>
            </w:pPr>
            <w:r w:rsidRPr="00D570D1">
              <w:rPr>
                <w:rFonts w:cstheme="minorHAnsi"/>
                <w:sz w:val="20"/>
              </w:rPr>
              <w:t>4</w:t>
            </w:r>
          </w:p>
        </w:tc>
        <w:tc>
          <w:tcPr>
            <w:tcW w:w="844" w:type="dxa"/>
            <w:tcBorders>
              <w:top w:val="single" w:sz="6" w:space="0" w:color="auto"/>
              <w:left w:val="single" w:sz="6" w:space="0" w:color="auto"/>
              <w:bottom w:val="single" w:sz="6" w:space="0" w:color="auto"/>
              <w:right w:val="single" w:sz="6" w:space="0" w:color="auto"/>
            </w:tcBorders>
            <w:shd w:val="clear" w:color="auto" w:fill="B3B3B3"/>
          </w:tcPr>
          <w:p w14:paraId="4296E29E" w14:textId="77777777" w:rsidR="00B844A2" w:rsidRPr="00D570D1" w:rsidRDefault="00B844A2" w:rsidP="004E27E7">
            <w:pPr>
              <w:spacing w:line="280" w:lineRule="atLeast"/>
              <w:jc w:val="center"/>
              <w:rPr>
                <w:rFonts w:cstheme="minorHAnsi"/>
                <w:sz w:val="20"/>
              </w:rPr>
            </w:pPr>
            <w:r w:rsidRPr="00D570D1">
              <w:rPr>
                <w:rFonts w:cstheme="minorHAnsi"/>
                <w:sz w:val="20"/>
              </w:rPr>
              <w:t>5</w:t>
            </w:r>
          </w:p>
        </w:tc>
        <w:tc>
          <w:tcPr>
            <w:tcW w:w="758" w:type="dxa"/>
            <w:tcBorders>
              <w:top w:val="single" w:sz="6" w:space="0" w:color="auto"/>
              <w:left w:val="single" w:sz="6" w:space="0" w:color="auto"/>
              <w:bottom w:val="single" w:sz="6" w:space="0" w:color="auto"/>
              <w:right w:val="single" w:sz="6" w:space="0" w:color="auto"/>
            </w:tcBorders>
            <w:shd w:val="clear" w:color="auto" w:fill="B3B3B3"/>
          </w:tcPr>
          <w:p w14:paraId="31808F08" w14:textId="77777777" w:rsidR="00B844A2" w:rsidRPr="00D570D1" w:rsidRDefault="00B844A2" w:rsidP="004E27E7">
            <w:pPr>
              <w:spacing w:line="280" w:lineRule="atLeast"/>
              <w:jc w:val="center"/>
              <w:rPr>
                <w:rFonts w:cstheme="minorHAnsi"/>
                <w:sz w:val="20"/>
              </w:rPr>
            </w:pPr>
            <w:r w:rsidRPr="00D570D1">
              <w:rPr>
                <w:rFonts w:cstheme="minorHAnsi"/>
                <w:sz w:val="20"/>
              </w:rPr>
              <w:t>6</w:t>
            </w:r>
          </w:p>
        </w:tc>
        <w:tc>
          <w:tcPr>
            <w:tcW w:w="1049" w:type="dxa"/>
            <w:tcBorders>
              <w:top w:val="single" w:sz="6" w:space="0" w:color="auto"/>
              <w:left w:val="single" w:sz="6" w:space="0" w:color="auto"/>
              <w:bottom w:val="single" w:sz="6" w:space="0" w:color="auto"/>
              <w:right w:val="single" w:sz="6" w:space="0" w:color="auto"/>
            </w:tcBorders>
            <w:shd w:val="clear" w:color="auto" w:fill="B3B3B3"/>
          </w:tcPr>
          <w:p w14:paraId="2BFBF242" w14:textId="77777777" w:rsidR="00B844A2" w:rsidRPr="00D570D1" w:rsidRDefault="00B844A2" w:rsidP="004E27E7">
            <w:pPr>
              <w:spacing w:line="280" w:lineRule="atLeast"/>
              <w:jc w:val="center"/>
              <w:rPr>
                <w:rFonts w:cstheme="minorHAnsi"/>
                <w:sz w:val="20"/>
              </w:rPr>
            </w:pPr>
            <w:r w:rsidRPr="00D570D1">
              <w:rPr>
                <w:rFonts w:cstheme="minorHAnsi"/>
                <w:sz w:val="20"/>
              </w:rPr>
              <w:t>7</w:t>
            </w:r>
          </w:p>
        </w:tc>
        <w:tc>
          <w:tcPr>
            <w:tcW w:w="963" w:type="dxa"/>
            <w:tcBorders>
              <w:top w:val="single" w:sz="6" w:space="0" w:color="auto"/>
              <w:left w:val="single" w:sz="6" w:space="0" w:color="auto"/>
              <w:bottom w:val="single" w:sz="6" w:space="0" w:color="auto"/>
              <w:right w:val="single" w:sz="6" w:space="0" w:color="auto"/>
            </w:tcBorders>
            <w:shd w:val="clear" w:color="auto" w:fill="B3B3B3"/>
          </w:tcPr>
          <w:p w14:paraId="7B89AB55" w14:textId="77777777" w:rsidR="00B844A2" w:rsidRPr="00D570D1" w:rsidRDefault="00B844A2" w:rsidP="004E27E7">
            <w:pPr>
              <w:spacing w:line="280" w:lineRule="atLeast"/>
              <w:jc w:val="center"/>
              <w:rPr>
                <w:rFonts w:cstheme="minorHAnsi"/>
                <w:sz w:val="20"/>
              </w:rPr>
            </w:pPr>
            <w:r w:rsidRPr="00D570D1">
              <w:rPr>
                <w:rFonts w:cstheme="minorHAnsi"/>
                <w:sz w:val="20"/>
              </w:rPr>
              <w:t>8</w:t>
            </w:r>
          </w:p>
        </w:tc>
        <w:tc>
          <w:tcPr>
            <w:tcW w:w="845" w:type="dxa"/>
            <w:tcBorders>
              <w:top w:val="single" w:sz="6" w:space="0" w:color="auto"/>
              <w:left w:val="single" w:sz="6" w:space="0" w:color="auto"/>
              <w:bottom w:val="single" w:sz="6" w:space="0" w:color="auto"/>
              <w:right w:val="single" w:sz="6" w:space="0" w:color="auto"/>
            </w:tcBorders>
            <w:shd w:val="clear" w:color="auto" w:fill="B3B3B3"/>
          </w:tcPr>
          <w:p w14:paraId="6B7EE884" w14:textId="77777777" w:rsidR="00B844A2" w:rsidRPr="00D570D1" w:rsidRDefault="00B844A2" w:rsidP="004E27E7">
            <w:pPr>
              <w:spacing w:line="280" w:lineRule="atLeast"/>
              <w:jc w:val="center"/>
              <w:rPr>
                <w:rFonts w:cstheme="minorHAnsi"/>
                <w:sz w:val="20"/>
              </w:rPr>
            </w:pPr>
            <w:r w:rsidRPr="00D570D1">
              <w:rPr>
                <w:rFonts w:cstheme="minorHAnsi"/>
                <w:sz w:val="20"/>
              </w:rPr>
              <w:t>9</w:t>
            </w:r>
          </w:p>
        </w:tc>
        <w:tc>
          <w:tcPr>
            <w:tcW w:w="844" w:type="dxa"/>
            <w:tcBorders>
              <w:top w:val="single" w:sz="6" w:space="0" w:color="auto"/>
              <w:left w:val="single" w:sz="6" w:space="0" w:color="auto"/>
              <w:bottom w:val="single" w:sz="6" w:space="0" w:color="auto"/>
              <w:right w:val="single" w:sz="6" w:space="0" w:color="auto"/>
            </w:tcBorders>
            <w:shd w:val="clear" w:color="auto" w:fill="B3B3B3"/>
          </w:tcPr>
          <w:p w14:paraId="7EAB0DE7" w14:textId="77777777" w:rsidR="00B844A2" w:rsidRPr="00D570D1" w:rsidRDefault="00B844A2" w:rsidP="004E27E7">
            <w:pPr>
              <w:spacing w:line="280" w:lineRule="atLeast"/>
              <w:jc w:val="center"/>
              <w:rPr>
                <w:rFonts w:cstheme="minorHAnsi"/>
                <w:sz w:val="20"/>
              </w:rPr>
            </w:pPr>
            <w:r w:rsidRPr="00D570D1">
              <w:rPr>
                <w:rFonts w:cstheme="minorHAnsi"/>
                <w:sz w:val="20"/>
              </w:rPr>
              <w:t>10</w:t>
            </w:r>
          </w:p>
        </w:tc>
        <w:tc>
          <w:tcPr>
            <w:tcW w:w="844" w:type="dxa"/>
            <w:tcBorders>
              <w:top w:val="single" w:sz="6" w:space="0" w:color="auto"/>
              <w:left w:val="single" w:sz="6" w:space="0" w:color="auto"/>
              <w:bottom w:val="single" w:sz="6" w:space="0" w:color="auto"/>
              <w:right w:val="single" w:sz="6" w:space="0" w:color="auto"/>
            </w:tcBorders>
            <w:shd w:val="clear" w:color="auto" w:fill="B3B3B3"/>
          </w:tcPr>
          <w:p w14:paraId="03416429" w14:textId="77777777" w:rsidR="00B844A2" w:rsidRPr="00D570D1" w:rsidRDefault="00B844A2" w:rsidP="004E27E7">
            <w:pPr>
              <w:spacing w:line="280" w:lineRule="atLeast"/>
              <w:jc w:val="center"/>
              <w:rPr>
                <w:rFonts w:cstheme="minorHAnsi"/>
                <w:sz w:val="20"/>
              </w:rPr>
            </w:pPr>
            <w:r w:rsidRPr="00D570D1">
              <w:rPr>
                <w:rFonts w:cstheme="minorHAnsi"/>
                <w:sz w:val="20"/>
              </w:rPr>
              <w:t>11</w:t>
            </w:r>
          </w:p>
        </w:tc>
        <w:tc>
          <w:tcPr>
            <w:tcW w:w="993" w:type="dxa"/>
            <w:tcBorders>
              <w:top w:val="single" w:sz="6" w:space="0" w:color="auto"/>
              <w:left w:val="single" w:sz="6" w:space="0" w:color="auto"/>
              <w:bottom w:val="single" w:sz="6" w:space="0" w:color="auto"/>
              <w:right w:val="single" w:sz="6" w:space="0" w:color="auto"/>
            </w:tcBorders>
            <w:shd w:val="clear" w:color="auto" w:fill="B3B3B3"/>
          </w:tcPr>
          <w:p w14:paraId="7EAC3B81" w14:textId="77777777" w:rsidR="00B844A2" w:rsidRPr="00D570D1" w:rsidRDefault="00B844A2" w:rsidP="004E27E7">
            <w:pPr>
              <w:spacing w:line="280" w:lineRule="atLeast"/>
              <w:jc w:val="center"/>
              <w:rPr>
                <w:rFonts w:cstheme="minorHAnsi"/>
                <w:sz w:val="20"/>
              </w:rPr>
            </w:pPr>
            <w:r w:rsidRPr="00D570D1">
              <w:rPr>
                <w:rFonts w:cstheme="minorHAnsi"/>
                <w:sz w:val="20"/>
              </w:rPr>
              <w:t>12</w:t>
            </w:r>
          </w:p>
        </w:tc>
        <w:tc>
          <w:tcPr>
            <w:tcW w:w="1124" w:type="dxa"/>
            <w:tcBorders>
              <w:top w:val="single" w:sz="6" w:space="0" w:color="auto"/>
              <w:left w:val="single" w:sz="6" w:space="0" w:color="auto"/>
              <w:bottom w:val="single" w:sz="6" w:space="0" w:color="auto"/>
              <w:right w:val="single" w:sz="6" w:space="0" w:color="auto"/>
            </w:tcBorders>
            <w:shd w:val="clear" w:color="auto" w:fill="B3B3B3"/>
          </w:tcPr>
          <w:p w14:paraId="3073B010" w14:textId="77777777" w:rsidR="00B844A2" w:rsidRPr="00D570D1" w:rsidRDefault="00B844A2" w:rsidP="004E27E7">
            <w:pPr>
              <w:spacing w:line="280" w:lineRule="atLeast"/>
              <w:jc w:val="center"/>
              <w:rPr>
                <w:rFonts w:cstheme="minorHAnsi"/>
                <w:sz w:val="20"/>
              </w:rPr>
            </w:pPr>
            <w:r w:rsidRPr="00D570D1">
              <w:rPr>
                <w:rFonts w:cstheme="minorHAnsi"/>
                <w:sz w:val="20"/>
              </w:rPr>
              <w:t>13</w:t>
            </w:r>
          </w:p>
        </w:tc>
      </w:tr>
      <w:tr w:rsidR="00086694" w:rsidRPr="00156FC1" w14:paraId="2F865CD2" w14:textId="77777777" w:rsidTr="00D570D1">
        <w:trPr>
          <w:cantSplit/>
          <w:trHeight w:val="333"/>
          <w:jc w:val="center"/>
        </w:trPr>
        <w:tc>
          <w:tcPr>
            <w:tcW w:w="2847" w:type="dxa"/>
            <w:tcBorders>
              <w:top w:val="single" w:sz="6" w:space="0" w:color="auto"/>
              <w:left w:val="single" w:sz="6" w:space="0" w:color="auto"/>
              <w:bottom w:val="dotted" w:sz="4" w:space="0" w:color="auto"/>
              <w:right w:val="single" w:sz="6" w:space="0" w:color="auto"/>
            </w:tcBorders>
          </w:tcPr>
          <w:p w14:paraId="762DF294" w14:textId="77777777" w:rsidR="00B844A2" w:rsidRPr="00156FC1" w:rsidRDefault="00B844A2" w:rsidP="004E27E7">
            <w:pPr>
              <w:spacing w:line="280" w:lineRule="atLeast"/>
              <w:jc w:val="center"/>
              <w:rPr>
                <w:rFonts w:ascii="Arial" w:hAnsi="Arial" w:cs="Arial"/>
                <w:sz w:val="20"/>
              </w:rPr>
            </w:pPr>
          </w:p>
        </w:tc>
        <w:tc>
          <w:tcPr>
            <w:tcW w:w="844" w:type="dxa"/>
            <w:tcBorders>
              <w:top w:val="single" w:sz="6" w:space="0" w:color="auto"/>
              <w:left w:val="single" w:sz="6" w:space="0" w:color="auto"/>
              <w:bottom w:val="dotted" w:sz="4" w:space="0" w:color="auto"/>
              <w:right w:val="single" w:sz="6" w:space="0" w:color="auto"/>
            </w:tcBorders>
          </w:tcPr>
          <w:p w14:paraId="5BC0181E"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single" w:sz="6" w:space="0" w:color="auto"/>
              <w:left w:val="single" w:sz="6" w:space="0" w:color="auto"/>
              <w:bottom w:val="dotted" w:sz="4" w:space="0" w:color="auto"/>
              <w:right w:val="single" w:sz="6" w:space="0" w:color="auto"/>
            </w:tcBorders>
          </w:tcPr>
          <w:p w14:paraId="736A1694"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723" w:type="dxa"/>
            <w:tcBorders>
              <w:top w:val="single" w:sz="6" w:space="0" w:color="auto"/>
              <w:left w:val="single" w:sz="6" w:space="0" w:color="auto"/>
              <w:bottom w:val="dotted" w:sz="4" w:space="0" w:color="auto"/>
              <w:right w:val="single" w:sz="6" w:space="0" w:color="auto"/>
            </w:tcBorders>
          </w:tcPr>
          <w:p w14:paraId="47F12A3F"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single" w:sz="6" w:space="0" w:color="auto"/>
              <w:left w:val="single" w:sz="6" w:space="0" w:color="auto"/>
              <w:bottom w:val="dotted" w:sz="4" w:space="0" w:color="auto"/>
              <w:right w:val="single" w:sz="6" w:space="0" w:color="auto"/>
            </w:tcBorders>
          </w:tcPr>
          <w:p w14:paraId="09EE7DBE"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758" w:type="dxa"/>
            <w:tcBorders>
              <w:top w:val="single" w:sz="6" w:space="0" w:color="auto"/>
              <w:left w:val="single" w:sz="6" w:space="0" w:color="auto"/>
              <w:bottom w:val="dotted" w:sz="4" w:space="0" w:color="auto"/>
              <w:right w:val="single" w:sz="6" w:space="0" w:color="auto"/>
            </w:tcBorders>
          </w:tcPr>
          <w:p w14:paraId="1D5AA71C"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bookmarkStart w:id="1" w:name="Check1"/>
        <w:tc>
          <w:tcPr>
            <w:tcW w:w="1049" w:type="dxa"/>
            <w:tcBorders>
              <w:top w:val="single" w:sz="6" w:space="0" w:color="auto"/>
              <w:left w:val="single" w:sz="6" w:space="0" w:color="auto"/>
              <w:bottom w:val="dotted" w:sz="4" w:space="0" w:color="auto"/>
              <w:right w:val="single" w:sz="6" w:space="0" w:color="auto"/>
            </w:tcBorders>
          </w:tcPr>
          <w:p w14:paraId="39C9A2C8"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bookmarkEnd w:id="1"/>
          </w:p>
        </w:tc>
        <w:tc>
          <w:tcPr>
            <w:tcW w:w="963" w:type="dxa"/>
            <w:tcBorders>
              <w:top w:val="single" w:sz="6" w:space="0" w:color="auto"/>
              <w:left w:val="single" w:sz="6" w:space="0" w:color="auto"/>
              <w:bottom w:val="dotted" w:sz="4" w:space="0" w:color="auto"/>
              <w:right w:val="single" w:sz="6" w:space="0" w:color="auto"/>
            </w:tcBorders>
          </w:tcPr>
          <w:p w14:paraId="0776A2AF"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5" w:type="dxa"/>
            <w:tcBorders>
              <w:top w:val="single" w:sz="6" w:space="0" w:color="auto"/>
              <w:left w:val="single" w:sz="6" w:space="0" w:color="auto"/>
              <w:bottom w:val="dotted" w:sz="4" w:space="0" w:color="auto"/>
              <w:right w:val="single" w:sz="6" w:space="0" w:color="auto"/>
            </w:tcBorders>
          </w:tcPr>
          <w:p w14:paraId="6D4BC6BF"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single" w:sz="6" w:space="0" w:color="auto"/>
              <w:left w:val="single" w:sz="6" w:space="0" w:color="auto"/>
              <w:bottom w:val="dotted" w:sz="4" w:space="0" w:color="auto"/>
              <w:right w:val="single" w:sz="6" w:space="0" w:color="auto"/>
            </w:tcBorders>
          </w:tcPr>
          <w:p w14:paraId="0F148FEA"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single" w:sz="6" w:space="0" w:color="auto"/>
              <w:left w:val="single" w:sz="6" w:space="0" w:color="auto"/>
              <w:bottom w:val="dotted" w:sz="4" w:space="0" w:color="auto"/>
              <w:right w:val="single" w:sz="6" w:space="0" w:color="auto"/>
            </w:tcBorders>
          </w:tcPr>
          <w:p w14:paraId="22E1C7AC"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993" w:type="dxa"/>
            <w:tcBorders>
              <w:top w:val="single" w:sz="6" w:space="0" w:color="auto"/>
              <w:left w:val="single" w:sz="6" w:space="0" w:color="auto"/>
              <w:bottom w:val="dotted" w:sz="4" w:space="0" w:color="auto"/>
              <w:right w:val="single" w:sz="6" w:space="0" w:color="auto"/>
            </w:tcBorders>
          </w:tcPr>
          <w:p w14:paraId="4AB5C5C9"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1124" w:type="dxa"/>
            <w:tcBorders>
              <w:top w:val="single" w:sz="6" w:space="0" w:color="auto"/>
              <w:left w:val="single" w:sz="6" w:space="0" w:color="auto"/>
              <w:bottom w:val="dotted" w:sz="4" w:space="0" w:color="auto"/>
              <w:right w:val="single" w:sz="6" w:space="0" w:color="auto"/>
            </w:tcBorders>
          </w:tcPr>
          <w:p w14:paraId="3A71819E"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r>
      <w:tr w:rsidR="00086694" w:rsidRPr="00156FC1" w14:paraId="2E95E7BD" w14:textId="77777777" w:rsidTr="00D570D1">
        <w:trPr>
          <w:cantSplit/>
          <w:trHeight w:val="323"/>
          <w:jc w:val="center"/>
        </w:trPr>
        <w:tc>
          <w:tcPr>
            <w:tcW w:w="2847" w:type="dxa"/>
            <w:tcBorders>
              <w:top w:val="dotted" w:sz="4" w:space="0" w:color="auto"/>
              <w:left w:val="single" w:sz="6" w:space="0" w:color="auto"/>
              <w:bottom w:val="dotted" w:sz="4" w:space="0" w:color="auto"/>
              <w:right w:val="single" w:sz="6" w:space="0" w:color="auto"/>
            </w:tcBorders>
          </w:tcPr>
          <w:p w14:paraId="50A3B6A2" w14:textId="77777777" w:rsidR="00B844A2" w:rsidRPr="00156FC1" w:rsidRDefault="00B844A2" w:rsidP="004E27E7">
            <w:pPr>
              <w:spacing w:line="280" w:lineRule="atLeast"/>
              <w:jc w:val="center"/>
              <w:rPr>
                <w:rFonts w:ascii="Arial" w:hAnsi="Arial" w:cs="Arial"/>
                <w:sz w:val="20"/>
              </w:rPr>
            </w:pPr>
          </w:p>
        </w:tc>
        <w:tc>
          <w:tcPr>
            <w:tcW w:w="844" w:type="dxa"/>
            <w:tcBorders>
              <w:top w:val="dotted" w:sz="4" w:space="0" w:color="auto"/>
              <w:left w:val="single" w:sz="6" w:space="0" w:color="auto"/>
              <w:bottom w:val="dotted" w:sz="4" w:space="0" w:color="auto"/>
              <w:right w:val="single" w:sz="6" w:space="0" w:color="auto"/>
            </w:tcBorders>
          </w:tcPr>
          <w:p w14:paraId="33A25698" w14:textId="77777777" w:rsidR="00B844A2" w:rsidRPr="00156FC1" w:rsidRDefault="00B844A2" w:rsidP="004E27E7">
            <w:pPr>
              <w:spacing w:line="280" w:lineRule="atLeast"/>
              <w:jc w:val="center"/>
              <w:rPr>
                <w:rFonts w:ascii="Arial" w:hAnsi="Arial" w:cs="Arial"/>
                <w:sz w:val="20"/>
                <w:lang w:val="en-AU"/>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75E0D4B7" w14:textId="77777777" w:rsidR="00B844A2" w:rsidRPr="00156FC1" w:rsidRDefault="00B844A2" w:rsidP="004E27E7">
            <w:pPr>
              <w:spacing w:line="280" w:lineRule="atLeast"/>
              <w:jc w:val="center"/>
              <w:rPr>
                <w:rFonts w:ascii="Arial" w:hAnsi="Arial" w:cs="Arial"/>
                <w:sz w:val="20"/>
                <w:lang w:val="en-AU"/>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723" w:type="dxa"/>
            <w:tcBorders>
              <w:top w:val="dotted" w:sz="4" w:space="0" w:color="auto"/>
              <w:left w:val="single" w:sz="6" w:space="0" w:color="auto"/>
              <w:bottom w:val="dotted" w:sz="4" w:space="0" w:color="auto"/>
              <w:right w:val="single" w:sz="6" w:space="0" w:color="auto"/>
            </w:tcBorders>
          </w:tcPr>
          <w:p w14:paraId="4D4D65F8" w14:textId="77777777" w:rsidR="00B844A2" w:rsidRPr="00156FC1" w:rsidRDefault="00B844A2" w:rsidP="004E27E7">
            <w:pPr>
              <w:spacing w:line="280" w:lineRule="atLeast"/>
              <w:jc w:val="center"/>
              <w:rPr>
                <w:rFonts w:ascii="Arial" w:hAnsi="Arial" w:cs="Arial"/>
                <w:sz w:val="20"/>
                <w:lang w:val="en-AU"/>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2D4DADBE" w14:textId="77777777" w:rsidR="00B844A2" w:rsidRPr="00156FC1" w:rsidRDefault="00B844A2" w:rsidP="004E27E7">
            <w:pPr>
              <w:spacing w:line="280" w:lineRule="atLeast"/>
              <w:jc w:val="center"/>
              <w:rPr>
                <w:rFonts w:ascii="Arial" w:hAnsi="Arial" w:cs="Arial"/>
                <w:sz w:val="20"/>
                <w:lang w:val="en-AU"/>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758" w:type="dxa"/>
            <w:tcBorders>
              <w:top w:val="dotted" w:sz="4" w:space="0" w:color="auto"/>
              <w:left w:val="single" w:sz="6" w:space="0" w:color="auto"/>
              <w:bottom w:val="dotted" w:sz="4" w:space="0" w:color="auto"/>
              <w:right w:val="single" w:sz="6" w:space="0" w:color="auto"/>
            </w:tcBorders>
          </w:tcPr>
          <w:p w14:paraId="180F12EA" w14:textId="77777777" w:rsidR="00B844A2" w:rsidRPr="00156FC1" w:rsidRDefault="00B844A2" w:rsidP="004E27E7">
            <w:pPr>
              <w:spacing w:line="280" w:lineRule="atLeast"/>
              <w:jc w:val="center"/>
              <w:rPr>
                <w:rFonts w:ascii="Arial" w:hAnsi="Arial" w:cs="Arial"/>
                <w:sz w:val="20"/>
                <w:lang w:val="en-AU"/>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1049" w:type="dxa"/>
            <w:tcBorders>
              <w:top w:val="dotted" w:sz="4" w:space="0" w:color="auto"/>
              <w:left w:val="single" w:sz="6" w:space="0" w:color="auto"/>
              <w:bottom w:val="dotted" w:sz="4" w:space="0" w:color="auto"/>
              <w:right w:val="single" w:sz="6" w:space="0" w:color="auto"/>
            </w:tcBorders>
          </w:tcPr>
          <w:p w14:paraId="15555A07" w14:textId="77777777" w:rsidR="00B844A2" w:rsidRPr="00156FC1" w:rsidRDefault="00B844A2" w:rsidP="004E27E7">
            <w:pPr>
              <w:spacing w:line="280" w:lineRule="atLeast"/>
              <w:jc w:val="center"/>
              <w:rPr>
                <w:rFonts w:ascii="Arial" w:hAnsi="Arial" w:cs="Arial"/>
                <w:sz w:val="20"/>
                <w:lang w:val="en-AU"/>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963" w:type="dxa"/>
            <w:tcBorders>
              <w:top w:val="dotted" w:sz="4" w:space="0" w:color="auto"/>
              <w:left w:val="single" w:sz="6" w:space="0" w:color="auto"/>
              <w:bottom w:val="dotted" w:sz="4" w:space="0" w:color="auto"/>
              <w:right w:val="single" w:sz="6" w:space="0" w:color="auto"/>
            </w:tcBorders>
          </w:tcPr>
          <w:p w14:paraId="066B68CE" w14:textId="77777777" w:rsidR="00B844A2" w:rsidRPr="00156FC1" w:rsidRDefault="00B844A2" w:rsidP="004E27E7">
            <w:pPr>
              <w:spacing w:line="280" w:lineRule="atLeast"/>
              <w:jc w:val="center"/>
              <w:rPr>
                <w:rFonts w:ascii="Arial" w:hAnsi="Arial" w:cs="Arial"/>
                <w:sz w:val="20"/>
                <w:lang w:val="en-AU"/>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5" w:type="dxa"/>
            <w:tcBorders>
              <w:top w:val="dotted" w:sz="4" w:space="0" w:color="auto"/>
              <w:left w:val="single" w:sz="6" w:space="0" w:color="auto"/>
              <w:bottom w:val="dotted" w:sz="4" w:space="0" w:color="auto"/>
              <w:right w:val="single" w:sz="6" w:space="0" w:color="auto"/>
            </w:tcBorders>
          </w:tcPr>
          <w:p w14:paraId="61A06B65"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6244E33F"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07CED4C3"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993" w:type="dxa"/>
            <w:tcBorders>
              <w:top w:val="dotted" w:sz="4" w:space="0" w:color="auto"/>
              <w:left w:val="single" w:sz="6" w:space="0" w:color="auto"/>
              <w:bottom w:val="dotted" w:sz="4" w:space="0" w:color="auto"/>
              <w:right w:val="single" w:sz="6" w:space="0" w:color="auto"/>
            </w:tcBorders>
          </w:tcPr>
          <w:p w14:paraId="24C4ED65"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1124" w:type="dxa"/>
            <w:tcBorders>
              <w:top w:val="dotted" w:sz="4" w:space="0" w:color="auto"/>
              <w:left w:val="single" w:sz="6" w:space="0" w:color="auto"/>
              <w:bottom w:val="dotted" w:sz="4" w:space="0" w:color="auto"/>
              <w:right w:val="single" w:sz="6" w:space="0" w:color="auto"/>
            </w:tcBorders>
          </w:tcPr>
          <w:p w14:paraId="31D40A24"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r>
      <w:tr w:rsidR="00086694" w:rsidRPr="00156FC1" w14:paraId="6486EB23" w14:textId="77777777" w:rsidTr="00D570D1">
        <w:trPr>
          <w:cantSplit/>
          <w:trHeight w:val="323"/>
          <w:jc w:val="center"/>
        </w:trPr>
        <w:tc>
          <w:tcPr>
            <w:tcW w:w="2847" w:type="dxa"/>
            <w:tcBorders>
              <w:top w:val="dotted" w:sz="4" w:space="0" w:color="auto"/>
              <w:left w:val="single" w:sz="6" w:space="0" w:color="auto"/>
              <w:bottom w:val="dotted" w:sz="4" w:space="0" w:color="auto"/>
              <w:right w:val="single" w:sz="6" w:space="0" w:color="auto"/>
            </w:tcBorders>
          </w:tcPr>
          <w:p w14:paraId="47E7FD46" w14:textId="77777777" w:rsidR="00B844A2" w:rsidRPr="00156FC1" w:rsidRDefault="00B844A2" w:rsidP="004E27E7">
            <w:pPr>
              <w:spacing w:line="280" w:lineRule="atLeast"/>
              <w:jc w:val="center"/>
              <w:rPr>
                <w:rFonts w:ascii="Arial" w:hAnsi="Arial" w:cs="Arial"/>
                <w:sz w:val="20"/>
              </w:rPr>
            </w:pPr>
          </w:p>
        </w:tc>
        <w:tc>
          <w:tcPr>
            <w:tcW w:w="844" w:type="dxa"/>
            <w:tcBorders>
              <w:top w:val="dotted" w:sz="4" w:space="0" w:color="auto"/>
              <w:left w:val="single" w:sz="6" w:space="0" w:color="auto"/>
              <w:bottom w:val="dotted" w:sz="4" w:space="0" w:color="auto"/>
              <w:right w:val="single" w:sz="6" w:space="0" w:color="auto"/>
            </w:tcBorders>
          </w:tcPr>
          <w:p w14:paraId="29EC4870" w14:textId="77777777" w:rsidR="00B844A2" w:rsidRPr="00156FC1" w:rsidRDefault="00B844A2" w:rsidP="004E27E7">
            <w:pPr>
              <w:spacing w:line="280" w:lineRule="atLeast"/>
              <w:jc w:val="center"/>
              <w:rPr>
                <w:rFonts w:ascii="Arial" w:hAnsi="Arial" w:cs="Arial"/>
                <w:sz w:val="20"/>
                <w:lang w:val="en-AU"/>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68A3BAA4" w14:textId="77777777" w:rsidR="00B844A2" w:rsidRPr="00156FC1" w:rsidRDefault="00B844A2" w:rsidP="004E27E7">
            <w:pPr>
              <w:spacing w:line="280" w:lineRule="atLeast"/>
              <w:jc w:val="center"/>
              <w:rPr>
                <w:rFonts w:ascii="Arial" w:hAnsi="Arial" w:cs="Arial"/>
                <w:sz w:val="20"/>
                <w:lang w:val="en-AU"/>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723" w:type="dxa"/>
            <w:tcBorders>
              <w:top w:val="dotted" w:sz="4" w:space="0" w:color="auto"/>
              <w:left w:val="single" w:sz="6" w:space="0" w:color="auto"/>
              <w:bottom w:val="dotted" w:sz="4" w:space="0" w:color="auto"/>
              <w:right w:val="single" w:sz="6" w:space="0" w:color="auto"/>
            </w:tcBorders>
          </w:tcPr>
          <w:p w14:paraId="6C3C0A21" w14:textId="77777777" w:rsidR="00B844A2" w:rsidRPr="00156FC1" w:rsidRDefault="00B844A2" w:rsidP="004E27E7">
            <w:pPr>
              <w:spacing w:line="280" w:lineRule="atLeast"/>
              <w:jc w:val="center"/>
              <w:rPr>
                <w:rFonts w:ascii="Arial" w:hAnsi="Arial" w:cs="Arial"/>
                <w:sz w:val="20"/>
                <w:lang w:val="en-AU"/>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565D8B0C" w14:textId="77777777" w:rsidR="00B844A2" w:rsidRPr="00156FC1" w:rsidRDefault="00B844A2" w:rsidP="004E27E7">
            <w:pPr>
              <w:spacing w:line="280" w:lineRule="atLeast"/>
              <w:jc w:val="center"/>
              <w:rPr>
                <w:rFonts w:ascii="Arial" w:hAnsi="Arial" w:cs="Arial"/>
                <w:sz w:val="20"/>
                <w:lang w:val="en-AU"/>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758" w:type="dxa"/>
            <w:tcBorders>
              <w:top w:val="dotted" w:sz="4" w:space="0" w:color="auto"/>
              <w:left w:val="single" w:sz="6" w:space="0" w:color="auto"/>
              <w:bottom w:val="dotted" w:sz="4" w:space="0" w:color="auto"/>
              <w:right w:val="single" w:sz="6" w:space="0" w:color="auto"/>
            </w:tcBorders>
          </w:tcPr>
          <w:p w14:paraId="5DAC3D53" w14:textId="77777777" w:rsidR="00B844A2" w:rsidRPr="00156FC1" w:rsidRDefault="00B844A2" w:rsidP="004E27E7">
            <w:pPr>
              <w:spacing w:line="280" w:lineRule="atLeast"/>
              <w:jc w:val="center"/>
              <w:rPr>
                <w:rFonts w:ascii="Arial" w:hAnsi="Arial" w:cs="Arial"/>
                <w:sz w:val="20"/>
                <w:lang w:val="en-AU"/>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1049" w:type="dxa"/>
            <w:tcBorders>
              <w:top w:val="dotted" w:sz="4" w:space="0" w:color="auto"/>
              <w:left w:val="single" w:sz="6" w:space="0" w:color="auto"/>
              <w:bottom w:val="dotted" w:sz="4" w:space="0" w:color="auto"/>
              <w:right w:val="single" w:sz="6" w:space="0" w:color="auto"/>
            </w:tcBorders>
          </w:tcPr>
          <w:p w14:paraId="33B97D8F" w14:textId="77777777" w:rsidR="00B844A2" w:rsidRPr="00156FC1" w:rsidRDefault="00B844A2" w:rsidP="004E27E7">
            <w:pPr>
              <w:spacing w:line="280" w:lineRule="atLeast"/>
              <w:jc w:val="center"/>
              <w:rPr>
                <w:rFonts w:ascii="Arial" w:hAnsi="Arial" w:cs="Arial"/>
                <w:sz w:val="20"/>
                <w:lang w:val="en-AU"/>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963" w:type="dxa"/>
            <w:tcBorders>
              <w:top w:val="dotted" w:sz="4" w:space="0" w:color="auto"/>
              <w:left w:val="single" w:sz="6" w:space="0" w:color="auto"/>
              <w:bottom w:val="dotted" w:sz="4" w:space="0" w:color="auto"/>
              <w:right w:val="single" w:sz="6" w:space="0" w:color="auto"/>
            </w:tcBorders>
          </w:tcPr>
          <w:p w14:paraId="6E1299B5" w14:textId="77777777" w:rsidR="00B844A2" w:rsidRPr="00156FC1" w:rsidRDefault="00B844A2" w:rsidP="004E27E7">
            <w:pPr>
              <w:spacing w:line="280" w:lineRule="atLeast"/>
              <w:jc w:val="center"/>
              <w:rPr>
                <w:rFonts w:ascii="Arial" w:hAnsi="Arial" w:cs="Arial"/>
                <w:sz w:val="20"/>
                <w:lang w:val="en-AU"/>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5" w:type="dxa"/>
            <w:tcBorders>
              <w:top w:val="dotted" w:sz="4" w:space="0" w:color="auto"/>
              <w:left w:val="single" w:sz="6" w:space="0" w:color="auto"/>
              <w:bottom w:val="dotted" w:sz="4" w:space="0" w:color="auto"/>
              <w:right w:val="single" w:sz="6" w:space="0" w:color="auto"/>
            </w:tcBorders>
          </w:tcPr>
          <w:p w14:paraId="5A9FAEE3"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3B05174D"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4D5BC0D6"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993" w:type="dxa"/>
            <w:tcBorders>
              <w:top w:val="dotted" w:sz="4" w:space="0" w:color="auto"/>
              <w:left w:val="single" w:sz="6" w:space="0" w:color="auto"/>
              <w:bottom w:val="dotted" w:sz="4" w:space="0" w:color="auto"/>
              <w:right w:val="single" w:sz="6" w:space="0" w:color="auto"/>
            </w:tcBorders>
          </w:tcPr>
          <w:p w14:paraId="54019FBE"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1124" w:type="dxa"/>
            <w:tcBorders>
              <w:top w:val="dotted" w:sz="4" w:space="0" w:color="auto"/>
              <w:left w:val="single" w:sz="6" w:space="0" w:color="auto"/>
              <w:bottom w:val="dotted" w:sz="4" w:space="0" w:color="auto"/>
              <w:right w:val="single" w:sz="6" w:space="0" w:color="auto"/>
            </w:tcBorders>
          </w:tcPr>
          <w:p w14:paraId="5D5A193C"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r>
      <w:tr w:rsidR="00086694" w:rsidRPr="00156FC1" w14:paraId="2C32D961" w14:textId="77777777" w:rsidTr="00D570D1">
        <w:trPr>
          <w:cantSplit/>
          <w:trHeight w:val="323"/>
          <w:jc w:val="center"/>
        </w:trPr>
        <w:tc>
          <w:tcPr>
            <w:tcW w:w="2847" w:type="dxa"/>
            <w:tcBorders>
              <w:top w:val="dotted" w:sz="4" w:space="0" w:color="auto"/>
              <w:left w:val="single" w:sz="6" w:space="0" w:color="auto"/>
              <w:bottom w:val="dotted" w:sz="4" w:space="0" w:color="auto"/>
              <w:right w:val="single" w:sz="6" w:space="0" w:color="auto"/>
            </w:tcBorders>
          </w:tcPr>
          <w:p w14:paraId="26F77D7A" w14:textId="77777777" w:rsidR="00B844A2" w:rsidRPr="00156FC1" w:rsidRDefault="00B844A2" w:rsidP="004E27E7">
            <w:pPr>
              <w:spacing w:line="280" w:lineRule="atLeast"/>
              <w:jc w:val="center"/>
              <w:rPr>
                <w:rFonts w:ascii="Arial" w:hAnsi="Arial" w:cs="Arial"/>
                <w:sz w:val="20"/>
              </w:rPr>
            </w:pPr>
          </w:p>
        </w:tc>
        <w:tc>
          <w:tcPr>
            <w:tcW w:w="844" w:type="dxa"/>
            <w:tcBorders>
              <w:top w:val="dotted" w:sz="4" w:space="0" w:color="auto"/>
              <w:left w:val="single" w:sz="6" w:space="0" w:color="auto"/>
              <w:bottom w:val="dotted" w:sz="4" w:space="0" w:color="auto"/>
              <w:right w:val="single" w:sz="6" w:space="0" w:color="auto"/>
            </w:tcBorders>
          </w:tcPr>
          <w:p w14:paraId="7F956A0A"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2211EEBB"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723" w:type="dxa"/>
            <w:tcBorders>
              <w:top w:val="dotted" w:sz="4" w:space="0" w:color="auto"/>
              <w:left w:val="single" w:sz="6" w:space="0" w:color="auto"/>
              <w:bottom w:val="dotted" w:sz="4" w:space="0" w:color="auto"/>
              <w:right w:val="single" w:sz="6" w:space="0" w:color="auto"/>
            </w:tcBorders>
          </w:tcPr>
          <w:p w14:paraId="25004165"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15D981C8"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758" w:type="dxa"/>
            <w:tcBorders>
              <w:top w:val="dotted" w:sz="4" w:space="0" w:color="auto"/>
              <w:left w:val="single" w:sz="6" w:space="0" w:color="auto"/>
              <w:bottom w:val="dotted" w:sz="4" w:space="0" w:color="auto"/>
              <w:right w:val="single" w:sz="6" w:space="0" w:color="auto"/>
            </w:tcBorders>
          </w:tcPr>
          <w:p w14:paraId="54549113"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1049" w:type="dxa"/>
            <w:tcBorders>
              <w:top w:val="dotted" w:sz="4" w:space="0" w:color="auto"/>
              <w:left w:val="single" w:sz="6" w:space="0" w:color="auto"/>
              <w:bottom w:val="dotted" w:sz="4" w:space="0" w:color="auto"/>
              <w:right w:val="single" w:sz="6" w:space="0" w:color="auto"/>
            </w:tcBorders>
          </w:tcPr>
          <w:p w14:paraId="4B4E6151"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963" w:type="dxa"/>
            <w:tcBorders>
              <w:top w:val="dotted" w:sz="4" w:space="0" w:color="auto"/>
              <w:left w:val="single" w:sz="6" w:space="0" w:color="auto"/>
              <w:bottom w:val="dotted" w:sz="4" w:space="0" w:color="auto"/>
              <w:right w:val="single" w:sz="6" w:space="0" w:color="auto"/>
            </w:tcBorders>
          </w:tcPr>
          <w:p w14:paraId="18F82AFB"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5" w:type="dxa"/>
            <w:tcBorders>
              <w:top w:val="dotted" w:sz="4" w:space="0" w:color="auto"/>
              <w:left w:val="single" w:sz="6" w:space="0" w:color="auto"/>
              <w:bottom w:val="dotted" w:sz="4" w:space="0" w:color="auto"/>
              <w:right w:val="single" w:sz="6" w:space="0" w:color="auto"/>
            </w:tcBorders>
          </w:tcPr>
          <w:p w14:paraId="0395AEC3"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205E1E92"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55C79590"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993" w:type="dxa"/>
            <w:tcBorders>
              <w:top w:val="dotted" w:sz="4" w:space="0" w:color="auto"/>
              <w:left w:val="single" w:sz="6" w:space="0" w:color="auto"/>
              <w:bottom w:val="dotted" w:sz="4" w:space="0" w:color="auto"/>
              <w:right w:val="single" w:sz="6" w:space="0" w:color="auto"/>
            </w:tcBorders>
          </w:tcPr>
          <w:p w14:paraId="64C19CF0"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1124" w:type="dxa"/>
            <w:tcBorders>
              <w:top w:val="dotted" w:sz="4" w:space="0" w:color="auto"/>
              <w:left w:val="single" w:sz="6" w:space="0" w:color="auto"/>
              <w:bottom w:val="dotted" w:sz="4" w:space="0" w:color="auto"/>
              <w:right w:val="single" w:sz="6" w:space="0" w:color="auto"/>
            </w:tcBorders>
          </w:tcPr>
          <w:p w14:paraId="72AE850B"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r>
      <w:tr w:rsidR="00086694" w:rsidRPr="00156FC1" w14:paraId="14998D95" w14:textId="77777777" w:rsidTr="00D570D1">
        <w:trPr>
          <w:cantSplit/>
          <w:trHeight w:val="323"/>
          <w:jc w:val="center"/>
        </w:trPr>
        <w:tc>
          <w:tcPr>
            <w:tcW w:w="2847" w:type="dxa"/>
            <w:tcBorders>
              <w:top w:val="dotted" w:sz="4" w:space="0" w:color="auto"/>
              <w:left w:val="single" w:sz="6" w:space="0" w:color="auto"/>
              <w:bottom w:val="dotted" w:sz="4" w:space="0" w:color="auto"/>
              <w:right w:val="single" w:sz="6" w:space="0" w:color="auto"/>
            </w:tcBorders>
          </w:tcPr>
          <w:p w14:paraId="35CA24BF" w14:textId="77777777" w:rsidR="00B844A2" w:rsidRPr="00156FC1" w:rsidRDefault="00B844A2" w:rsidP="004E27E7">
            <w:pPr>
              <w:spacing w:line="280" w:lineRule="atLeast"/>
              <w:jc w:val="center"/>
              <w:rPr>
                <w:rFonts w:ascii="Arial" w:hAnsi="Arial" w:cs="Arial"/>
                <w:sz w:val="20"/>
              </w:rPr>
            </w:pPr>
          </w:p>
        </w:tc>
        <w:tc>
          <w:tcPr>
            <w:tcW w:w="844" w:type="dxa"/>
            <w:tcBorders>
              <w:top w:val="dotted" w:sz="4" w:space="0" w:color="auto"/>
              <w:left w:val="single" w:sz="6" w:space="0" w:color="auto"/>
              <w:bottom w:val="dotted" w:sz="4" w:space="0" w:color="auto"/>
              <w:right w:val="single" w:sz="6" w:space="0" w:color="auto"/>
            </w:tcBorders>
          </w:tcPr>
          <w:p w14:paraId="26F08A4E"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74F6A0C8"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723" w:type="dxa"/>
            <w:tcBorders>
              <w:top w:val="dotted" w:sz="4" w:space="0" w:color="auto"/>
              <w:left w:val="single" w:sz="6" w:space="0" w:color="auto"/>
              <w:bottom w:val="dotted" w:sz="4" w:space="0" w:color="auto"/>
              <w:right w:val="single" w:sz="6" w:space="0" w:color="auto"/>
            </w:tcBorders>
          </w:tcPr>
          <w:p w14:paraId="34831FAE"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256315FA"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758" w:type="dxa"/>
            <w:tcBorders>
              <w:top w:val="dotted" w:sz="4" w:space="0" w:color="auto"/>
              <w:left w:val="single" w:sz="6" w:space="0" w:color="auto"/>
              <w:bottom w:val="dotted" w:sz="4" w:space="0" w:color="auto"/>
              <w:right w:val="single" w:sz="6" w:space="0" w:color="auto"/>
            </w:tcBorders>
          </w:tcPr>
          <w:p w14:paraId="654EE166"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1049" w:type="dxa"/>
            <w:tcBorders>
              <w:top w:val="dotted" w:sz="4" w:space="0" w:color="auto"/>
              <w:left w:val="single" w:sz="6" w:space="0" w:color="auto"/>
              <w:bottom w:val="dotted" w:sz="4" w:space="0" w:color="auto"/>
              <w:right w:val="single" w:sz="6" w:space="0" w:color="auto"/>
            </w:tcBorders>
          </w:tcPr>
          <w:p w14:paraId="1E29EE22"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963" w:type="dxa"/>
            <w:tcBorders>
              <w:top w:val="dotted" w:sz="4" w:space="0" w:color="auto"/>
              <w:left w:val="single" w:sz="6" w:space="0" w:color="auto"/>
              <w:bottom w:val="dotted" w:sz="4" w:space="0" w:color="auto"/>
              <w:right w:val="single" w:sz="6" w:space="0" w:color="auto"/>
            </w:tcBorders>
          </w:tcPr>
          <w:p w14:paraId="49A14D4B"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5" w:type="dxa"/>
            <w:tcBorders>
              <w:top w:val="dotted" w:sz="4" w:space="0" w:color="auto"/>
              <w:left w:val="single" w:sz="6" w:space="0" w:color="auto"/>
              <w:bottom w:val="dotted" w:sz="4" w:space="0" w:color="auto"/>
              <w:right w:val="single" w:sz="6" w:space="0" w:color="auto"/>
            </w:tcBorders>
          </w:tcPr>
          <w:p w14:paraId="4C1EFFE6"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5C4C0999"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6C1913C3"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993" w:type="dxa"/>
            <w:tcBorders>
              <w:top w:val="dotted" w:sz="4" w:space="0" w:color="auto"/>
              <w:left w:val="single" w:sz="6" w:space="0" w:color="auto"/>
              <w:bottom w:val="dotted" w:sz="4" w:space="0" w:color="auto"/>
              <w:right w:val="single" w:sz="6" w:space="0" w:color="auto"/>
            </w:tcBorders>
          </w:tcPr>
          <w:p w14:paraId="1918103C"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1124" w:type="dxa"/>
            <w:tcBorders>
              <w:top w:val="dotted" w:sz="4" w:space="0" w:color="auto"/>
              <w:left w:val="single" w:sz="6" w:space="0" w:color="auto"/>
              <w:bottom w:val="dotted" w:sz="4" w:space="0" w:color="auto"/>
              <w:right w:val="single" w:sz="6" w:space="0" w:color="auto"/>
            </w:tcBorders>
          </w:tcPr>
          <w:p w14:paraId="4B3392F5"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r>
      <w:tr w:rsidR="00086694" w:rsidRPr="00156FC1" w14:paraId="74BC9132" w14:textId="77777777" w:rsidTr="00D570D1">
        <w:trPr>
          <w:cantSplit/>
          <w:trHeight w:val="323"/>
          <w:jc w:val="center"/>
        </w:trPr>
        <w:tc>
          <w:tcPr>
            <w:tcW w:w="2847" w:type="dxa"/>
            <w:tcBorders>
              <w:top w:val="dotted" w:sz="4" w:space="0" w:color="auto"/>
              <w:left w:val="single" w:sz="6" w:space="0" w:color="auto"/>
              <w:bottom w:val="dotted" w:sz="4" w:space="0" w:color="auto"/>
              <w:right w:val="single" w:sz="6" w:space="0" w:color="auto"/>
            </w:tcBorders>
          </w:tcPr>
          <w:p w14:paraId="61D95908" w14:textId="77777777" w:rsidR="00B844A2" w:rsidRPr="00156FC1" w:rsidRDefault="00B844A2" w:rsidP="004E27E7">
            <w:pPr>
              <w:spacing w:line="280" w:lineRule="atLeast"/>
              <w:jc w:val="center"/>
              <w:rPr>
                <w:rFonts w:ascii="Arial" w:hAnsi="Arial" w:cs="Arial"/>
                <w:sz w:val="20"/>
              </w:rPr>
            </w:pPr>
          </w:p>
        </w:tc>
        <w:tc>
          <w:tcPr>
            <w:tcW w:w="844" w:type="dxa"/>
            <w:tcBorders>
              <w:top w:val="dotted" w:sz="4" w:space="0" w:color="auto"/>
              <w:left w:val="single" w:sz="6" w:space="0" w:color="auto"/>
              <w:bottom w:val="dotted" w:sz="4" w:space="0" w:color="auto"/>
              <w:right w:val="single" w:sz="6" w:space="0" w:color="auto"/>
            </w:tcBorders>
          </w:tcPr>
          <w:p w14:paraId="6A3961D1"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366A8DEE"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723" w:type="dxa"/>
            <w:tcBorders>
              <w:top w:val="dotted" w:sz="4" w:space="0" w:color="auto"/>
              <w:left w:val="single" w:sz="6" w:space="0" w:color="auto"/>
              <w:bottom w:val="dotted" w:sz="4" w:space="0" w:color="auto"/>
              <w:right w:val="single" w:sz="6" w:space="0" w:color="auto"/>
            </w:tcBorders>
          </w:tcPr>
          <w:p w14:paraId="30D3B8BB"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4562AC89"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758" w:type="dxa"/>
            <w:tcBorders>
              <w:top w:val="dotted" w:sz="4" w:space="0" w:color="auto"/>
              <w:left w:val="single" w:sz="6" w:space="0" w:color="auto"/>
              <w:bottom w:val="dotted" w:sz="4" w:space="0" w:color="auto"/>
              <w:right w:val="single" w:sz="6" w:space="0" w:color="auto"/>
            </w:tcBorders>
          </w:tcPr>
          <w:p w14:paraId="7581CBFF"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1049" w:type="dxa"/>
            <w:tcBorders>
              <w:top w:val="dotted" w:sz="4" w:space="0" w:color="auto"/>
              <w:left w:val="single" w:sz="6" w:space="0" w:color="auto"/>
              <w:bottom w:val="dotted" w:sz="4" w:space="0" w:color="auto"/>
              <w:right w:val="single" w:sz="6" w:space="0" w:color="auto"/>
            </w:tcBorders>
          </w:tcPr>
          <w:p w14:paraId="0F7BF9BD"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963" w:type="dxa"/>
            <w:tcBorders>
              <w:top w:val="dotted" w:sz="4" w:space="0" w:color="auto"/>
              <w:left w:val="single" w:sz="6" w:space="0" w:color="auto"/>
              <w:bottom w:val="dotted" w:sz="4" w:space="0" w:color="auto"/>
              <w:right w:val="single" w:sz="6" w:space="0" w:color="auto"/>
            </w:tcBorders>
          </w:tcPr>
          <w:p w14:paraId="22288421"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5" w:type="dxa"/>
            <w:tcBorders>
              <w:top w:val="dotted" w:sz="4" w:space="0" w:color="auto"/>
              <w:left w:val="single" w:sz="6" w:space="0" w:color="auto"/>
              <w:bottom w:val="dotted" w:sz="4" w:space="0" w:color="auto"/>
              <w:right w:val="single" w:sz="6" w:space="0" w:color="auto"/>
            </w:tcBorders>
          </w:tcPr>
          <w:p w14:paraId="0761AFDF"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49A4B53C"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4EC9939D"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993" w:type="dxa"/>
            <w:tcBorders>
              <w:top w:val="dotted" w:sz="4" w:space="0" w:color="auto"/>
              <w:left w:val="single" w:sz="6" w:space="0" w:color="auto"/>
              <w:bottom w:val="dotted" w:sz="4" w:space="0" w:color="auto"/>
              <w:right w:val="single" w:sz="6" w:space="0" w:color="auto"/>
            </w:tcBorders>
          </w:tcPr>
          <w:p w14:paraId="2630DF8E"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1124" w:type="dxa"/>
            <w:tcBorders>
              <w:top w:val="dotted" w:sz="4" w:space="0" w:color="auto"/>
              <w:left w:val="single" w:sz="6" w:space="0" w:color="auto"/>
              <w:bottom w:val="dotted" w:sz="4" w:space="0" w:color="auto"/>
              <w:right w:val="single" w:sz="6" w:space="0" w:color="auto"/>
            </w:tcBorders>
          </w:tcPr>
          <w:p w14:paraId="3BFD052E"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r>
      <w:tr w:rsidR="00086694" w:rsidRPr="00156FC1" w14:paraId="631D56F9" w14:textId="77777777" w:rsidTr="00D570D1">
        <w:trPr>
          <w:cantSplit/>
          <w:trHeight w:val="314"/>
          <w:jc w:val="center"/>
        </w:trPr>
        <w:tc>
          <w:tcPr>
            <w:tcW w:w="2847" w:type="dxa"/>
            <w:tcBorders>
              <w:top w:val="dotted" w:sz="4" w:space="0" w:color="auto"/>
              <w:left w:val="single" w:sz="6" w:space="0" w:color="auto"/>
              <w:bottom w:val="dotted" w:sz="4" w:space="0" w:color="auto"/>
              <w:right w:val="single" w:sz="6" w:space="0" w:color="auto"/>
            </w:tcBorders>
          </w:tcPr>
          <w:p w14:paraId="011B230E" w14:textId="77777777" w:rsidR="00B844A2" w:rsidRPr="00156FC1" w:rsidRDefault="00B844A2" w:rsidP="004E27E7">
            <w:pPr>
              <w:spacing w:line="280" w:lineRule="atLeast"/>
              <w:jc w:val="center"/>
              <w:rPr>
                <w:rFonts w:ascii="Arial" w:hAnsi="Arial" w:cs="Arial"/>
                <w:sz w:val="20"/>
              </w:rPr>
            </w:pPr>
          </w:p>
        </w:tc>
        <w:tc>
          <w:tcPr>
            <w:tcW w:w="844" w:type="dxa"/>
            <w:tcBorders>
              <w:top w:val="dotted" w:sz="4" w:space="0" w:color="auto"/>
              <w:left w:val="single" w:sz="6" w:space="0" w:color="auto"/>
              <w:bottom w:val="dotted" w:sz="4" w:space="0" w:color="auto"/>
              <w:right w:val="single" w:sz="6" w:space="0" w:color="auto"/>
            </w:tcBorders>
          </w:tcPr>
          <w:p w14:paraId="091C752E"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23C815D1"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723" w:type="dxa"/>
            <w:tcBorders>
              <w:top w:val="dotted" w:sz="4" w:space="0" w:color="auto"/>
              <w:left w:val="single" w:sz="6" w:space="0" w:color="auto"/>
              <w:bottom w:val="dotted" w:sz="4" w:space="0" w:color="auto"/>
              <w:right w:val="single" w:sz="6" w:space="0" w:color="auto"/>
            </w:tcBorders>
          </w:tcPr>
          <w:p w14:paraId="4DF9C96E"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02B162A2"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758" w:type="dxa"/>
            <w:tcBorders>
              <w:top w:val="dotted" w:sz="4" w:space="0" w:color="auto"/>
              <w:left w:val="single" w:sz="6" w:space="0" w:color="auto"/>
              <w:bottom w:val="dotted" w:sz="4" w:space="0" w:color="auto"/>
              <w:right w:val="single" w:sz="6" w:space="0" w:color="auto"/>
            </w:tcBorders>
          </w:tcPr>
          <w:p w14:paraId="6A219E97"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1049" w:type="dxa"/>
            <w:tcBorders>
              <w:top w:val="dotted" w:sz="4" w:space="0" w:color="auto"/>
              <w:left w:val="single" w:sz="6" w:space="0" w:color="auto"/>
              <w:bottom w:val="dotted" w:sz="4" w:space="0" w:color="auto"/>
              <w:right w:val="single" w:sz="6" w:space="0" w:color="auto"/>
            </w:tcBorders>
          </w:tcPr>
          <w:p w14:paraId="26CDFA79"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963" w:type="dxa"/>
            <w:tcBorders>
              <w:top w:val="dotted" w:sz="4" w:space="0" w:color="auto"/>
              <w:left w:val="single" w:sz="6" w:space="0" w:color="auto"/>
              <w:bottom w:val="dotted" w:sz="4" w:space="0" w:color="auto"/>
              <w:right w:val="single" w:sz="6" w:space="0" w:color="auto"/>
            </w:tcBorders>
          </w:tcPr>
          <w:p w14:paraId="470EC8DA"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5" w:type="dxa"/>
            <w:tcBorders>
              <w:top w:val="dotted" w:sz="4" w:space="0" w:color="auto"/>
              <w:left w:val="single" w:sz="6" w:space="0" w:color="auto"/>
              <w:bottom w:val="dotted" w:sz="4" w:space="0" w:color="auto"/>
              <w:right w:val="single" w:sz="6" w:space="0" w:color="auto"/>
            </w:tcBorders>
          </w:tcPr>
          <w:p w14:paraId="1D3C2552"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27707144"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1FB5F334"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993" w:type="dxa"/>
            <w:tcBorders>
              <w:top w:val="dotted" w:sz="4" w:space="0" w:color="auto"/>
              <w:left w:val="single" w:sz="6" w:space="0" w:color="auto"/>
              <w:bottom w:val="dotted" w:sz="4" w:space="0" w:color="auto"/>
              <w:right w:val="single" w:sz="6" w:space="0" w:color="auto"/>
            </w:tcBorders>
          </w:tcPr>
          <w:p w14:paraId="223FDFE5"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1124" w:type="dxa"/>
            <w:tcBorders>
              <w:top w:val="dotted" w:sz="4" w:space="0" w:color="auto"/>
              <w:left w:val="single" w:sz="6" w:space="0" w:color="auto"/>
              <w:bottom w:val="dotted" w:sz="4" w:space="0" w:color="auto"/>
              <w:right w:val="single" w:sz="6" w:space="0" w:color="auto"/>
            </w:tcBorders>
          </w:tcPr>
          <w:p w14:paraId="077D0B0B"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r>
      <w:tr w:rsidR="00086694" w:rsidRPr="00156FC1" w14:paraId="38743873" w14:textId="77777777" w:rsidTr="00D570D1">
        <w:trPr>
          <w:cantSplit/>
          <w:trHeight w:val="323"/>
          <w:jc w:val="center"/>
        </w:trPr>
        <w:tc>
          <w:tcPr>
            <w:tcW w:w="2847" w:type="dxa"/>
            <w:tcBorders>
              <w:top w:val="dotted" w:sz="4" w:space="0" w:color="auto"/>
              <w:left w:val="single" w:sz="6" w:space="0" w:color="auto"/>
              <w:bottom w:val="dotted" w:sz="4" w:space="0" w:color="auto"/>
              <w:right w:val="single" w:sz="6" w:space="0" w:color="auto"/>
            </w:tcBorders>
          </w:tcPr>
          <w:p w14:paraId="779E6E36" w14:textId="77777777" w:rsidR="00B844A2" w:rsidRPr="00156FC1" w:rsidRDefault="00B844A2" w:rsidP="004E27E7">
            <w:pPr>
              <w:spacing w:line="280" w:lineRule="atLeast"/>
              <w:jc w:val="center"/>
              <w:rPr>
                <w:rFonts w:ascii="Arial" w:hAnsi="Arial" w:cs="Arial"/>
                <w:sz w:val="20"/>
              </w:rPr>
            </w:pPr>
          </w:p>
        </w:tc>
        <w:tc>
          <w:tcPr>
            <w:tcW w:w="844" w:type="dxa"/>
            <w:tcBorders>
              <w:top w:val="dotted" w:sz="4" w:space="0" w:color="auto"/>
              <w:left w:val="single" w:sz="6" w:space="0" w:color="auto"/>
              <w:bottom w:val="dotted" w:sz="4" w:space="0" w:color="auto"/>
              <w:right w:val="single" w:sz="6" w:space="0" w:color="auto"/>
            </w:tcBorders>
          </w:tcPr>
          <w:p w14:paraId="13F71311"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08A339FD"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723" w:type="dxa"/>
            <w:tcBorders>
              <w:top w:val="dotted" w:sz="4" w:space="0" w:color="auto"/>
              <w:left w:val="single" w:sz="6" w:space="0" w:color="auto"/>
              <w:bottom w:val="dotted" w:sz="4" w:space="0" w:color="auto"/>
              <w:right w:val="single" w:sz="6" w:space="0" w:color="auto"/>
            </w:tcBorders>
          </w:tcPr>
          <w:p w14:paraId="78F444F8"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4E06E8C9"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758" w:type="dxa"/>
            <w:tcBorders>
              <w:top w:val="dotted" w:sz="4" w:space="0" w:color="auto"/>
              <w:left w:val="single" w:sz="6" w:space="0" w:color="auto"/>
              <w:bottom w:val="dotted" w:sz="4" w:space="0" w:color="auto"/>
              <w:right w:val="single" w:sz="6" w:space="0" w:color="auto"/>
            </w:tcBorders>
          </w:tcPr>
          <w:p w14:paraId="7A1D493F"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1049" w:type="dxa"/>
            <w:tcBorders>
              <w:top w:val="dotted" w:sz="4" w:space="0" w:color="auto"/>
              <w:left w:val="single" w:sz="6" w:space="0" w:color="auto"/>
              <w:bottom w:val="dotted" w:sz="4" w:space="0" w:color="auto"/>
              <w:right w:val="single" w:sz="6" w:space="0" w:color="auto"/>
            </w:tcBorders>
          </w:tcPr>
          <w:p w14:paraId="508FFB1C"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963" w:type="dxa"/>
            <w:tcBorders>
              <w:top w:val="dotted" w:sz="4" w:space="0" w:color="auto"/>
              <w:left w:val="single" w:sz="6" w:space="0" w:color="auto"/>
              <w:bottom w:val="dotted" w:sz="4" w:space="0" w:color="auto"/>
              <w:right w:val="single" w:sz="6" w:space="0" w:color="auto"/>
            </w:tcBorders>
          </w:tcPr>
          <w:p w14:paraId="3EA13983"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5" w:type="dxa"/>
            <w:tcBorders>
              <w:top w:val="dotted" w:sz="4" w:space="0" w:color="auto"/>
              <w:left w:val="single" w:sz="6" w:space="0" w:color="auto"/>
              <w:bottom w:val="dotted" w:sz="4" w:space="0" w:color="auto"/>
              <w:right w:val="single" w:sz="6" w:space="0" w:color="auto"/>
            </w:tcBorders>
          </w:tcPr>
          <w:p w14:paraId="4A283659"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03B9D36C"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844" w:type="dxa"/>
            <w:tcBorders>
              <w:top w:val="dotted" w:sz="4" w:space="0" w:color="auto"/>
              <w:left w:val="single" w:sz="6" w:space="0" w:color="auto"/>
              <w:bottom w:val="dotted" w:sz="4" w:space="0" w:color="auto"/>
              <w:right w:val="single" w:sz="6" w:space="0" w:color="auto"/>
            </w:tcBorders>
          </w:tcPr>
          <w:p w14:paraId="0AF0769B"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993" w:type="dxa"/>
            <w:tcBorders>
              <w:top w:val="dotted" w:sz="4" w:space="0" w:color="auto"/>
              <w:left w:val="single" w:sz="6" w:space="0" w:color="auto"/>
              <w:bottom w:val="dotted" w:sz="4" w:space="0" w:color="auto"/>
              <w:right w:val="single" w:sz="6" w:space="0" w:color="auto"/>
            </w:tcBorders>
          </w:tcPr>
          <w:p w14:paraId="4602DDC4"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c>
          <w:tcPr>
            <w:tcW w:w="1124" w:type="dxa"/>
            <w:tcBorders>
              <w:top w:val="dotted" w:sz="4" w:space="0" w:color="auto"/>
              <w:left w:val="single" w:sz="6" w:space="0" w:color="auto"/>
              <w:bottom w:val="dotted" w:sz="4" w:space="0" w:color="auto"/>
              <w:right w:val="single" w:sz="6" w:space="0" w:color="auto"/>
            </w:tcBorders>
          </w:tcPr>
          <w:p w14:paraId="770290A6" w14:textId="77777777" w:rsidR="00B844A2" w:rsidRPr="00156FC1" w:rsidRDefault="00B844A2" w:rsidP="004E27E7">
            <w:pPr>
              <w:spacing w:line="280" w:lineRule="atLeast"/>
              <w:jc w:val="center"/>
              <w:rPr>
                <w:rFonts w:ascii="Arial" w:hAnsi="Arial" w:cs="Arial"/>
                <w:sz w:val="20"/>
              </w:rPr>
            </w:pPr>
            <w:r w:rsidRPr="00156FC1">
              <w:rPr>
                <w:rFonts w:ascii="Arial" w:hAnsi="Arial" w:cs="Arial"/>
                <w:sz w:val="20"/>
              </w:rPr>
              <w:fldChar w:fldCharType="begin">
                <w:ffData>
                  <w:name w:val="Check1"/>
                  <w:enabled/>
                  <w:calcOnExit w:val="0"/>
                  <w:checkBox>
                    <w:sizeAuto/>
                    <w:default w:val="0"/>
                  </w:checkBox>
                </w:ffData>
              </w:fldChar>
            </w:r>
            <w:r w:rsidRPr="00156FC1">
              <w:rPr>
                <w:rFonts w:ascii="Arial" w:hAnsi="Arial" w:cs="Arial"/>
                <w:sz w:val="20"/>
              </w:rPr>
              <w:instrText xml:space="preserve"> FORMCHECKBOX </w:instrText>
            </w:r>
            <w:r w:rsidR="00397369">
              <w:rPr>
                <w:rFonts w:ascii="Arial" w:hAnsi="Arial" w:cs="Arial"/>
                <w:sz w:val="20"/>
              </w:rPr>
            </w:r>
            <w:r w:rsidR="00397369">
              <w:rPr>
                <w:rFonts w:ascii="Arial" w:hAnsi="Arial" w:cs="Arial"/>
                <w:sz w:val="20"/>
              </w:rPr>
              <w:fldChar w:fldCharType="separate"/>
            </w:r>
            <w:r w:rsidRPr="00156FC1">
              <w:rPr>
                <w:rFonts w:ascii="Arial" w:hAnsi="Arial" w:cs="Arial"/>
                <w:sz w:val="20"/>
              </w:rPr>
              <w:fldChar w:fldCharType="end"/>
            </w:r>
          </w:p>
        </w:tc>
      </w:tr>
    </w:tbl>
    <w:p w14:paraId="305906F1" w14:textId="177C5566" w:rsidR="00047346" w:rsidRPr="00086694" w:rsidRDefault="00047346" w:rsidP="00047346">
      <w:pPr>
        <w:spacing w:before="60" w:line="280" w:lineRule="atLeast"/>
        <w:rPr>
          <w:rFonts w:cstheme="minorHAnsi"/>
          <w:sz w:val="20"/>
          <w:szCs w:val="20"/>
        </w:rPr>
      </w:pPr>
      <w:r w:rsidRPr="00086694">
        <w:rPr>
          <w:rFonts w:cstheme="minorHAnsi"/>
          <w:sz w:val="20"/>
          <w:szCs w:val="20"/>
        </w:rPr>
        <w:t xml:space="preserve">Traces of heavy metals, LCPA, LSPC or radioactive substances should also be entered here. </w:t>
      </w:r>
    </w:p>
    <w:p w14:paraId="47400583" w14:textId="77777777" w:rsidR="00C02BEB" w:rsidRPr="00086694" w:rsidRDefault="00C02BEB" w:rsidP="00C02BEB">
      <w:pPr>
        <w:spacing w:line="280" w:lineRule="atLeast"/>
        <w:rPr>
          <w:rFonts w:cstheme="minorHAnsi"/>
          <w:sz w:val="20"/>
          <w:lang w:val="en-AU"/>
        </w:rPr>
      </w:pPr>
      <w:r w:rsidRPr="00086694">
        <w:rPr>
          <w:rFonts w:cstheme="minorHAnsi"/>
          <w:sz w:val="20"/>
          <w:lang w:val="en-AU"/>
        </w:rPr>
        <w:t>If “Yes” in any of columns 2 to 9 for one or more substances in the above table, please state the details and the concentration of the impurity/component in the table below:</w:t>
      </w:r>
    </w:p>
    <w:p w14:paraId="7E203CFD" w14:textId="77777777" w:rsidR="00C02BEB" w:rsidRPr="00156FC1" w:rsidRDefault="00C02BEB" w:rsidP="00C02BEB">
      <w:pPr>
        <w:spacing w:after="0" w:line="280" w:lineRule="atLeast"/>
        <w:rPr>
          <w:rFonts w:ascii="Arial" w:hAnsi="Arial" w:cs="Arial"/>
          <w:sz w:val="20"/>
          <w:lang w:val="en-AU"/>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2915"/>
        <w:gridCol w:w="1985"/>
        <w:gridCol w:w="1701"/>
        <w:gridCol w:w="1188"/>
        <w:gridCol w:w="1930"/>
        <w:gridCol w:w="1560"/>
        <w:gridCol w:w="2409"/>
      </w:tblGrid>
      <w:tr w:rsidR="00C02BEB" w:rsidRPr="00D570D1" w14:paraId="188F3E59" w14:textId="77777777" w:rsidTr="004E27E7">
        <w:trPr>
          <w:cantSplit/>
        </w:trPr>
        <w:tc>
          <w:tcPr>
            <w:tcW w:w="2915" w:type="dxa"/>
            <w:vMerge w:val="restart"/>
            <w:tcBorders>
              <w:top w:val="single" w:sz="6" w:space="0" w:color="auto"/>
            </w:tcBorders>
          </w:tcPr>
          <w:p w14:paraId="35D0C446" w14:textId="77777777" w:rsidR="00C02BEB" w:rsidRPr="00D570D1" w:rsidRDefault="00C02BEB" w:rsidP="004E27E7">
            <w:pPr>
              <w:spacing w:line="280" w:lineRule="atLeast"/>
              <w:jc w:val="center"/>
              <w:rPr>
                <w:rFonts w:cstheme="minorHAnsi"/>
                <w:sz w:val="20"/>
              </w:rPr>
            </w:pPr>
            <w:r w:rsidRPr="00D570D1">
              <w:rPr>
                <w:rFonts w:cstheme="minorHAnsi"/>
                <w:sz w:val="20"/>
              </w:rPr>
              <w:t>CAS No / name</w:t>
            </w:r>
          </w:p>
        </w:tc>
        <w:tc>
          <w:tcPr>
            <w:tcW w:w="1985" w:type="dxa"/>
            <w:vMerge w:val="restart"/>
            <w:tcBorders>
              <w:top w:val="single" w:sz="6" w:space="0" w:color="auto"/>
            </w:tcBorders>
          </w:tcPr>
          <w:p w14:paraId="25068FC4" w14:textId="77777777" w:rsidR="00C02BEB" w:rsidRPr="00D570D1" w:rsidRDefault="00C02BEB" w:rsidP="004E27E7">
            <w:pPr>
              <w:spacing w:line="280" w:lineRule="atLeast"/>
              <w:jc w:val="center"/>
              <w:rPr>
                <w:rFonts w:cstheme="minorHAnsi"/>
                <w:sz w:val="20"/>
              </w:rPr>
            </w:pPr>
            <w:r w:rsidRPr="00D570D1">
              <w:rPr>
                <w:rFonts w:cstheme="minorHAnsi"/>
                <w:sz w:val="20"/>
              </w:rPr>
              <w:t>Compound / contaminant</w:t>
            </w:r>
          </w:p>
        </w:tc>
        <w:tc>
          <w:tcPr>
            <w:tcW w:w="1701" w:type="dxa"/>
            <w:vMerge w:val="restart"/>
            <w:tcBorders>
              <w:top w:val="single" w:sz="6" w:space="0" w:color="auto"/>
            </w:tcBorders>
          </w:tcPr>
          <w:p w14:paraId="07C61FFC" w14:textId="77777777" w:rsidR="00C02BEB" w:rsidRPr="00D570D1" w:rsidRDefault="00C02BEB" w:rsidP="004E27E7">
            <w:pPr>
              <w:spacing w:line="280" w:lineRule="atLeast"/>
              <w:jc w:val="center"/>
              <w:rPr>
                <w:rFonts w:cstheme="minorHAnsi"/>
                <w:sz w:val="20"/>
              </w:rPr>
            </w:pPr>
            <w:r w:rsidRPr="00D570D1">
              <w:rPr>
                <w:rFonts w:cstheme="minorHAnsi"/>
                <w:sz w:val="20"/>
              </w:rPr>
              <w:t>Concentration (ppm)</w:t>
            </w:r>
          </w:p>
        </w:tc>
        <w:tc>
          <w:tcPr>
            <w:tcW w:w="1188" w:type="dxa"/>
            <w:vMerge w:val="restart"/>
            <w:tcBorders>
              <w:top w:val="single" w:sz="6" w:space="0" w:color="auto"/>
            </w:tcBorders>
          </w:tcPr>
          <w:p w14:paraId="56C5A87D" w14:textId="77777777" w:rsidR="00C02BEB" w:rsidRPr="00D570D1" w:rsidRDefault="00C02BEB" w:rsidP="004E27E7">
            <w:pPr>
              <w:spacing w:line="280" w:lineRule="atLeast"/>
              <w:jc w:val="center"/>
              <w:rPr>
                <w:rFonts w:cstheme="minorHAnsi"/>
                <w:sz w:val="20"/>
              </w:rPr>
            </w:pPr>
            <w:r w:rsidRPr="00D570D1">
              <w:rPr>
                <w:rFonts w:cstheme="minorHAnsi"/>
                <w:sz w:val="20"/>
              </w:rPr>
              <w:t>Intentional additive (Y/N)</w:t>
            </w:r>
          </w:p>
        </w:tc>
        <w:tc>
          <w:tcPr>
            <w:tcW w:w="1930" w:type="dxa"/>
            <w:vMerge w:val="restart"/>
            <w:tcBorders>
              <w:top w:val="single" w:sz="6" w:space="0" w:color="auto"/>
            </w:tcBorders>
          </w:tcPr>
          <w:p w14:paraId="77DDA81C" w14:textId="77777777" w:rsidR="00C02BEB" w:rsidRPr="00D570D1" w:rsidRDefault="00C02BEB" w:rsidP="004E27E7">
            <w:pPr>
              <w:spacing w:line="280" w:lineRule="atLeast"/>
              <w:jc w:val="center"/>
              <w:rPr>
                <w:rFonts w:cstheme="minorHAnsi"/>
                <w:sz w:val="20"/>
              </w:rPr>
            </w:pPr>
            <w:r w:rsidRPr="00D570D1">
              <w:rPr>
                <w:rFonts w:cstheme="minorHAnsi"/>
                <w:sz w:val="20"/>
              </w:rPr>
              <w:t>Analytical methodology</w:t>
            </w:r>
          </w:p>
        </w:tc>
        <w:tc>
          <w:tcPr>
            <w:tcW w:w="3969" w:type="dxa"/>
            <w:gridSpan w:val="2"/>
            <w:tcBorders>
              <w:top w:val="single" w:sz="6" w:space="0" w:color="auto"/>
            </w:tcBorders>
          </w:tcPr>
          <w:p w14:paraId="0D873F2C" w14:textId="77777777" w:rsidR="00C02BEB" w:rsidRPr="00D570D1" w:rsidRDefault="00C02BEB" w:rsidP="004E27E7">
            <w:pPr>
              <w:spacing w:line="280" w:lineRule="atLeast"/>
              <w:jc w:val="center"/>
              <w:rPr>
                <w:rFonts w:cstheme="minorHAnsi"/>
                <w:sz w:val="20"/>
              </w:rPr>
            </w:pPr>
            <w:r w:rsidRPr="00D570D1">
              <w:rPr>
                <w:rFonts w:cstheme="minorHAnsi"/>
                <w:sz w:val="20"/>
              </w:rPr>
              <w:t>If surfactant</w:t>
            </w:r>
          </w:p>
        </w:tc>
      </w:tr>
      <w:tr w:rsidR="00C02BEB" w:rsidRPr="00156FC1" w14:paraId="7F3576B7" w14:textId="77777777" w:rsidTr="004E27E7">
        <w:trPr>
          <w:cantSplit/>
        </w:trPr>
        <w:tc>
          <w:tcPr>
            <w:tcW w:w="2915" w:type="dxa"/>
            <w:vMerge/>
          </w:tcPr>
          <w:p w14:paraId="4A579B1F" w14:textId="77777777" w:rsidR="00C02BEB" w:rsidRPr="00156FC1" w:rsidRDefault="00C02BEB" w:rsidP="004E27E7">
            <w:pPr>
              <w:spacing w:line="280" w:lineRule="atLeast"/>
              <w:rPr>
                <w:rFonts w:ascii="Arial" w:hAnsi="Arial" w:cs="Arial"/>
                <w:sz w:val="20"/>
              </w:rPr>
            </w:pPr>
          </w:p>
        </w:tc>
        <w:tc>
          <w:tcPr>
            <w:tcW w:w="1985" w:type="dxa"/>
            <w:vMerge/>
          </w:tcPr>
          <w:p w14:paraId="1DE6D658" w14:textId="77777777" w:rsidR="00C02BEB" w:rsidRPr="00156FC1" w:rsidRDefault="00C02BEB" w:rsidP="004E27E7">
            <w:pPr>
              <w:spacing w:line="280" w:lineRule="atLeast"/>
              <w:rPr>
                <w:rFonts w:ascii="Arial" w:hAnsi="Arial" w:cs="Arial"/>
                <w:sz w:val="20"/>
              </w:rPr>
            </w:pPr>
          </w:p>
        </w:tc>
        <w:tc>
          <w:tcPr>
            <w:tcW w:w="1701" w:type="dxa"/>
            <w:vMerge/>
          </w:tcPr>
          <w:p w14:paraId="3BB9BEE4" w14:textId="77777777" w:rsidR="00C02BEB" w:rsidRPr="00156FC1" w:rsidRDefault="00C02BEB" w:rsidP="004E27E7">
            <w:pPr>
              <w:spacing w:line="280" w:lineRule="atLeast"/>
              <w:rPr>
                <w:rFonts w:ascii="Arial" w:hAnsi="Arial" w:cs="Arial"/>
                <w:sz w:val="20"/>
              </w:rPr>
            </w:pPr>
          </w:p>
        </w:tc>
        <w:tc>
          <w:tcPr>
            <w:tcW w:w="1188" w:type="dxa"/>
            <w:vMerge/>
          </w:tcPr>
          <w:p w14:paraId="5FDD1142" w14:textId="77777777" w:rsidR="00C02BEB" w:rsidRPr="00156FC1" w:rsidRDefault="00C02BEB" w:rsidP="004E27E7">
            <w:pPr>
              <w:spacing w:line="280" w:lineRule="atLeast"/>
              <w:rPr>
                <w:rFonts w:ascii="Arial" w:hAnsi="Arial" w:cs="Arial"/>
                <w:sz w:val="20"/>
              </w:rPr>
            </w:pPr>
          </w:p>
        </w:tc>
        <w:tc>
          <w:tcPr>
            <w:tcW w:w="1930" w:type="dxa"/>
            <w:vMerge/>
          </w:tcPr>
          <w:p w14:paraId="3EEC086A" w14:textId="77777777" w:rsidR="00C02BEB" w:rsidRPr="00156FC1" w:rsidRDefault="00C02BEB" w:rsidP="004E27E7">
            <w:pPr>
              <w:spacing w:line="280" w:lineRule="atLeast"/>
              <w:rPr>
                <w:rFonts w:ascii="Arial" w:hAnsi="Arial" w:cs="Arial"/>
                <w:sz w:val="20"/>
              </w:rPr>
            </w:pPr>
          </w:p>
        </w:tc>
        <w:tc>
          <w:tcPr>
            <w:tcW w:w="1560" w:type="dxa"/>
          </w:tcPr>
          <w:p w14:paraId="000B9285" w14:textId="77777777" w:rsidR="00C02BEB" w:rsidRPr="00D570D1" w:rsidRDefault="00C02BEB" w:rsidP="004E27E7">
            <w:pPr>
              <w:spacing w:line="280" w:lineRule="atLeast"/>
              <w:rPr>
                <w:rFonts w:cstheme="minorHAnsi"/>
                <w:sz w:val="20"/>
              </w:rPr>
            </w:pPr>
            <w:r w:rsidRPr="00D570D1">
              <w:rPr>
                <w:rFonts w:cstheme="minorHAnsi"/>
                <w:sz w:val="20"/>
              </w:rPr>
              <w:t>Fraction released</w:t>
            </w:r>
          </w:p>
        </w:tc>
        <w:tc>
          <w:tcPr>
            <w:tcW w:w="2409" w:type="dxa"/>
          </w:tcPr>
          <w:p w14:paraId="57009AC8" w14:textId="77777777" w:rsidR="00C02BEB" w:rsidRPr="00D570D1" w:rsidRDefault="00C02BEB" w:rsidP="004E27E7">
            <w:pPr>
              <w:spacing w:line="280" w:lineRule="atLeast"/>
              <w:rPr>
                <w:rFonts w:cstheme="minorHAnsi"/>
                <w:sz w:val="20"/>
              </w:rPr>
            </w:pPr>
            <w:r w:rsidRPr="00D570D1">
              <w:rPr>
                <w:rFonts w:cstheme="minorHAnsi"/>
                <w:sz w:val="20"/>
              </w:rPr>
              <w:t xml:space="preserve">Documentation /reference </w:t>
            </w:r>
          </w:p>
          <w:p w14:paraId="4D3ED9C7" w14:textId="77777777" w:rsidR="00C02BEB" w:rsidRPr="00D570D1" w:rsidRDefault="00C02BEB" w:rsidP="004E27E7">
            <w:pPr>
              <w:spacing w:line="280" w:lineRule="atLeast"/>
              <w:rPr>
                <w:rFonts w:cstheme="minorHAnsi"/>
                <w:sz w:val="20"/>
              </w:rPr>
            </w:pPr>
            <w:r w:rsidRPr="00D570D1">
              <w:rPr>
                <w:rFonts w:cstheme="minorHAnsi"/>
                <w:sz w:val="20"/>
              </w:rPr>
              <w:t>to laboratory test</w:t>
            </w:r>
          </w:p>
        </w:tc>
      </w:tr>
      <w:tr w:rsidR="00C02BEB" w:rsidRPr="00156FC1" w14:paraId="571BA536" w14:textId="77777777" w:rsidTr="004E27E7">
        <w:trPr>
          <w:cantSplit/>
        </w:trPr>
        <w:tc>
          <w:tcPr>
            <w:tcW w:w="2915" w:type="dxa"/>
            <w:tcBorders>
              <w:bottom w:val="dotted" w:sz="4" w:space="0" w:color="auto"/>
            </w:tcBorders>
          </w:tcPr>
          <w:p w14:paraId="41183900" w14:textId="77777777" w:rsidR="00C02BEB" w:rsidRPr="00156FC1" w:rsidRDefault="00C02BEB" w:rsidP="004E27E7">
            <w:pPr>
              <w:spacing w:line="280" w:lineRule="atLeast"/>
              <w:rPr>
                <w:rFonts w:ascii="Arial" w:hAnsi="Arial" w:cs="Arial"/>
                <w:sz w:val="20"/>
              </w:rPr>
            </w:pPr>
          </w:p>
        </w:tc>
        <w:tc>
          <w:tcPr>
            <w:tcW w:w="1985" w:type="dxa"/>
            <w:tcBorders>
              <w:bottom w:val="dotted" w:sz="4" w:space="0" w:color="auto"/>
            </w:tcBorders>
          </w:tcPr>
          <w:p w14:paraId="594F8BD7" w14:textId="77777777" w:rsidR="00C02BEB" w:rsidRPr="00156FC1" w:rsidRDefault="00C02BEB" w:rsidP="004E27E7">
            <w:pPr>
              <w:spacing w:line="280" w:lineRule="atLeast"/>
              <w:rPr>
                <w:rFonts w:ascii="Arial" w:hAnsi="Arial" w:cs="Arial"/>
                <w:sz w:val="20"/>
              </w:rPr>
            </w:pPr>
          </w:p>
        </w:tc>
        <w:tc>
          <w:tcPr>
            <w:tcW w:w="1701" w:type="dxa"/>
            <w:tcBorders>
              <w:bottom w:val="dotted" w:sz="4" w:space="0" w:color="auto"/>
            </w:tcBorders>
          </w:tcPr>
          <w:p w14:paraId="5BB4A4F3" w14:textId="77777777" w:rsidR="00C02BEB" w:rsidRPr="00156FC1" w:rsidRDefault="00C02BEB" w:rsidP="004E27E7">
            <w:pPr>
              <w:spacing w:line="280" w:lineRule="atLeast"/>
              <w:rPr>
                <w:rFonts w:ascii="Arial" w:hAnsi="Arial" w:cs="Arial"/>
                <w:sz w:val="20"/>
              </w:rPr>
            </w:pPr>
          </w:p>
        </w:tc>
        <w:tc>
          <w:tcPr>
            <w:tcW w:w="1188" w:type="dxa"/>
            <w:tcBorders>
              <w:bottom w:val="dotted" w:sz="4" w:space="0" w:color="auto"/>
            </w:tcBorders>
          </w:tcPr>
          <w:p w14:paraId="3C28E30E" w14:textId="77777777" w:rsidR="00C02BEB" w:rsidRPr="00156FC1" w:rsidRDefault="00C02BEB" w:rsidP="004E27E7">
            <w:pPr>
              <w:spacing w:line="280" w:lineRule="atLeast"/>
              <w:rPr>
                <w:rFonts w:ascii="Arial" w:hAnsi="Arial" w:cs="Arial"/>
                <w:sz w:val="20"/>
              </w:rPr>
            </w:pPr>
          </w:p>
        </w:tc>
        <w:tc>
          <w:tcPr>
            <w:tcW w:w="1930" w:type="dxa"/>
            <w:tcBorders>
              <w:bottom w:val="dotted" w:sz="4" w:space="0" w:color="auto"/>
            </w:tcBorders>
          </w:tcPr>
          <w:p w14:paraId="079B75B1" w14:textId="77777777" w:rsidR="00C02BEB" w:rsidRPr="00156FC1" w:rsidRDefault="00C02BEB" w:rsidP="004E27E7">
            <w:pPr>
              <w:spacing w:line="280" w:lineRule="atLeast"/>
              <w:rPr>
                <w:rFonts w:ascii="Arial" w:hAnsi="Arial" w:cs="Arial"/>
                <w:sz w:val="20"/>
              </w:rPr>
            </w:pPr>
          </w:p>
        </w:tc>
        <w:tc>
          <w:tcPr>
            <w:tcW w:w="1560" w:type="dxa"/>
            <w:tcBorders>
              <w:bottom w:val="dotted" w:sz="4" w:space="0" w:color="auto"/>
            </w:tcBorders>
          </w:tcPr>
          <w:p w14:paraId="71FEC676" w14:textId="77777777" w:rsidR="00C02BEB" w:rsidRPr="00156FC1" w:rsidRDefault="00C02BEB" w:rsidP="004E27E7">
            <w:pPr>
              <w:spacing w:line="280" w:lineRule="atLeast"/>
              <w:rPr>
                <w:rFonts w:ascii="Arial" w:hAnsi="Arial" w:cs="Arial"/>
                <w:sz w:val="20"/>
              </w:rPr>
            </w:pPr>
          </w:p>
        </w:tc>
        <w:tc>
          <w:tcPr>
            <w:tcW w:w="2409" w:type="dxa"/>
            <w:tcBorders>
              <w:bottom w:val="dotted" w:sz="4" w:space="0" w:color="auto"/>
            </w:tcBorders>
          </w:tcPr>
          <w:p w14:paraId="5610A1CA" w14:textId="77777777" w:rsidR="00C02BEB" w:rsidRPr="00156FC1" w:rsidRDefault="00C02BEB" w:rsidP="004E27E7">
            <w:pPr>
              <w:spacing w:line="280" w:lineRule="atLeast"/>
              <w:rPr>
                <w:rFonts w:ascii="Arial" w:hAnsi="Arial" w:cs="Arial"/>
                <w:sz w:val="20"/>
              </w:rPr>
            </w:pPr>
          </w:p>
        </w:tc>
      </w:tr>
      <w:tr w:rsidR="00C02BEB" w:rsidRPr="00156FC1" w14:paraId="0121A7CC" w14:textId="77777777" w:rsidTr="004E27E7">
        <w:trPr>
          <w:cantSplit/>
        </w:trPr>
        <w:tc>
          <w:tcPr>
            <w:tcW w:w="2915" w:type="dxa"/>
            <w:tcBorders>
              <w:top w:val="dotted" w:sz="4" w:space="0" w:color="auto"/>
              <w:bottom w:val="dotted" w:sz="4" w:space="0" w:color="auto"/>
            </w:tcBorders>
          </w:tcPr>
          <w:p w14:paraId="5A9DF8DC" w14:textId="77777777" w:rsidR="00C02BEB" w:rsidRPr="00156FC1" w:rsidRDefault="00C02BEB" w:rsidP="004E27E7">
            <w:pPr>
              <w:spacing w:line="280" w:lineRule="atLeast"/>
              <w:rPr>
                <w:rFonts w:ascii="Arial" w:hAnsi="Arial" w:cs="Arial"/>
                <w:sz w:val="20"/>
              </w:rPr>
            </w:pPr>
          </w:p>
        </w:tc>
        <w:tc>
          <w:tcPr>
            <w:tcW w:w="1985" w:type="dxa"/>
            <w:tcBorders>
              <w:top w:val="dotted" w:sz="4" w:space="0" w:color="auto"/>
              <w:bottom w:val="dotted" w:sz="4" w:space="0" w:color="auto"/>
            </w:tcBorders>
          </w:tcPr>
          <w:p w14:paraId="7960ED81" w14:textId="77777777" w:rsidR="00C02BEB" w:rsidRPr="00156FC1" w:rsidRDefault="00C02BEB" w:rsidP="004E27E7">
            <w:pPr>
              <w:spacing w:line="280" w:lineRule="atLeast"/>
              <w:rPr>
                <w:rFonts w:ascii="Arial" w:hAnsi="Arial" w:cs="Arial"/>
                <w:sz w:val="20"/>
              </w:rPr>
            </w:pPr>
          </w:p>
        </w:tc>
        <w:tc>
          <w:tcPr>
            <w:tcW w:w="1701" w:type="dxa"/>
            <w:tcBorders>
              <w:top w:val="dotted" w:sz="4" w:space="0" w:color="auto"/>
              <w:bottom w:val="dotted" w:sz="4" w:space="0" w:color="auto"/>
            </w:tcBorders>
          </w:tcPr>
          <w:p w14:paraId="1684690C" w14:textId="77777777" w:rsidR="00C02BEB" w:rsidRPr="00156FC1" w:rsidRDefault="00C02BEB" w:rsidP="004E27E7">
            <w:pPr>
              <w:spacing w:line="280" w:lineRule="atLeast"/>
              <w:rPr>
                <w:rFonts w:ascii="Arial" w:hAnsi="Arial" w:cs="Arial"/>
                <w:sz w:val="20"/>
              </w:rPr>
            </w:pPr>
          </w:p>
        </w:tc>
        <w:tc>
          <w:tcPr>
            <w:tcW w:w="1188" w:type="dxa"/>
            <w:tcBorders>
              <w:top w:val="dotted" w:sz="4" w:space="0" w:color="auto"/>
              <w:bottom w:val="dotted" w:sz="4" w:space="0" w:color="auto"/>
            </w:tcBorders>
          </w:tcPr>
          <w:p w14:paraId="70BEBC83" w14:textId="77777777" w:rsidR="00C02BEB" w:rsidRPr="00156FC1" w:rsidRDefault="00C02BEB" w:rsidP="004E27E7">
            <w:pPr>
              <w:spacing w:line="280" w:lineRule="atLeast"/>
              <w:rPr>
                <w:rFonts w:ascii="Arial" w:hAnsi="Arial" w:cs="Arial"/>
                <w:sz w:val="20"/>
              </w:rPr>
            </w:pPr>
          </w:p>
        </w:tc>
        <w:tc>
          <w:tcPr>
            <w:tcW w:w="1930" w:type="dxa"/>
            <w:tcBorders>
              <w:top w:val="dotted" w:sz="4" w:space="0" w:color="auto"/>
              <w:bottom w:val="dotted" w:sz="4" w:space="0" w:color="auto"/>
            </w:tcBorders>
          </w:tcPr>
          <w:p w14:paraId="6052CE8C" w14:textId="77777777" w:rsidR="00C02BEB" w:rsidRPr="00156FC1" w:rsidRDefault="00C02BEB" w:rsidP="004E27E7">
            <w:pPr>
              <w:spacing w:line="280" w:lineRule="atLeast"/>
              <w:rPr>
                <w:rFonts w:ascii="Arial" w:hAnsi="Arial" w:cs="Arial"/>
                <w:sz w:val="20"/>
              </w:rPr>
            </w:pPr>
          </w:p>
        </w:tc>
        <w:tc>
          <w:tcPr>
            <w:tcW w:w="1560" w:type="dxa"/>
            <w:tcBorders>
              <w:top w:val="dotted" w:sz="4" w:space="0" w:color="auto"/>
              <w:bottom w:val="dotted" w:sz="4" w:space="0" w:color="auto"/>
            </w:tcBorders>
          </w:tcPr>
          <w:p w14:paraId="63CAAC7F" w14:textId="77777777" w:rsidR="00C02BEB" w:rsidRPr="00156FC1" w:rsidRDefault="00C02BEB" w:rsidP="004E27E7">
            <w:pPr>
              <w:spacing w:line="280" w:lineRule="atLeast"/>
              <w:rPr>
                <w:rFonts w:ascii="Arial" w:hAnsi="Arial" w:cs="Arial"/>
                <w:sz w:val="20"/>
              </w:rPr>
            </w:pPr>
          </w:p>
        </w:tc>
        <w:tc>
          <w:tcPr>
            <w:tcW w:w="2409" w:type="dxa"/>
            <w:tcBorders>
              <w:top w:val="dotted" w:sz="4" w:space="0" w:color="auto"/>
              <w:bottom w:val="dotted" w:sz="4" w:space="0" w:color="auto"/>
            </w:tcBorders>
          </w:tcPr>
          <w:p w14:paraId="71486398" w14:textId="77777777" w:rsidR="00C02BEB" w:rsidRPr="00156FC1" w:rsidRDefault="00C02BEB" w:rsidP="004E27E7">
            <w:pPr>
              <w:spacing w:line="280" w:lineRule="atLeast"/>
              <w:rPr>
                <w:rFonts w:ascii="Arial" w:hAnsi="Arial" w:cs="Arial"/>
                <w:sz w:val="20"/>
              </w:rPr>
            </w:pPr>
          </w:p>
        </w:tc>
      </w:tr>
      <w:tr w:rsidR="00C02BEB" w:rsidRPr="00156FC1" w14:paraId="483F53CC" w14:textId="77777777" w:rsidTr="004E27E7">
        <w:trPr>
          <w:cantSplit/>
        </w:trPr>
        <w:tc>
          <w:tcPr>
            <w:tcW w:w="2915" w:type="dxa"/>
            <w:tcBorders>
              <w:top w:val="dotted" w:sz="4" w:space="0" w:color="auto"/>
              <w:bottom w:val="dotted" w:sz="4" w:space="0" w:color="auto"/>
            </w:tcBorders>
          </w:tcPr>
          <w:p w14:paraId="032EEE0B" w14:textId="77777777" w:rsidR="00C02BEB" w:rsidRPr="00156FC1" w:rsidRDefault="00C02BEB" w:rsidP="004E27E7">
            <w:pPr>
              <w:spacing w:line="280" w:lineRule="atLeast"/>
              <w:rPr>
                <w:rFonts w:ascii="Arial" w:hAnsi="Arial" w:cs="Arial"/>
                <w:sz w:val="20"/>
              </w:rPr>
            </w:pPr>
          </w:p>
        </w:tc>
        <w:tc>
          <w:tcPr>
            <w:tcW w:w="1985" w:type="dxa"/>
            <w:tcBorders>
              <w:top w:val="dotted" w:sz="4" w:space="0" w:color="auto"/>
              <w:bottom w:val="dotted" w:sz="4" w:space="0" w:color="auto"/>
            </w:tcBorders>
          </w:tcPr>
          <w:p w14:paraId="3A6EC090" w14:textId="77777777" w:rsidR="00C02BEB" w:rsidRPr="00156FC1" w:rsidRDefault="00C02BEB" w:rsidP="004E27E7">
            <w:pPr>
              <w:spacing w:line="280" w:lineRule="atLeast"/>
              <w:rPr>
                <w:rFonts w:ascii="Arial" w:hAnsi="Arial" w:cs="Arial"/>
                <w:sz w:val="20"/>
              </w:rPr>
            </w:pPr>
          </w:p>
        </w:tc>
        <w:tc>
          <w:tcPr>
            <w:tcW w:w="1701" w:type="dxa"/>
            <w:tcBorders>
              <w:top w:val="dotted" w:sz="4" w:space="0" w:color="auto"/>
              <w:bottom w:val="dotted" w:sz="4" w:space="0" w:color="auto"/>
            </w:tcBorders>
          </w:tcPr>
          <w:p w14:paraId="45DE2BDD" w14:textId="77777777" w:rsidR="00C02BEB" w:rsidRPr="00156FC1" w:rsidRDefault="00C02BEB" w:rsidP="004E27E7">
            <w:pPr>
              <w:spacing w:line="280" w:lineRule="atLeast"/>
              <w:rPr>
                <w:rFonts w:ascii="Arial" w:hAnsi="Arial" w:cs="Arial"/>
                <w:sz w:val="20"/>
              </w:rPr>
            </w:pPr>
          </w:p>
        </w:tc>
        <w:tc>
          <w:tcPr>
            <w:tcW w:w="1188" w:type="dxa"/>
            <w:tcBorders>
              <w:top w:val="dotted" w:sz="4" w:space="0" w:color="auto"/>
              <w:bottom w:val="dotted" w:sz="4" w:space="0" w:color="auto"/>
            </w:tcBorders>
          </w:tcPr>
          <w:p w14:paraId="77459CD1" w14:textId="77777777" w:rsidR="00C02BEB" w:rsidRPr="00156FC1" w:rsidRDefault="00C02BEB" w:rsidP="004E27E7">
            <w:pPr>
              <w:spacing w:line="280" w:lineRule="atLeast"/>
              <w:rPr>
                <w:rFonts w:ascii="Arial" w:hAnsi="Arial" w:cs="Arial"/>
                <w:sz w:val="20"/>
              </w:rPr>
            </w:pPr>
          </w:p>
        </w:tc>
        <w:tc>
          <w:tcPr>
            <w:tcW w:w="1930" w:type="dxa"/>
            <w:tcBorders>
              <w:top w:val="dotted" w:sz="4" w:space="0" w:color="auto"/>
              <w:bottom w:val="dotted" w:sz="4" w:space="0" w:color="auto"/>
            </w:tcBorders>
          </w:tcPr>
          <w:p w14:paraId="449DEE78" w14:textId="77777777" w:rsidR="00C02BEB" w:rsidRPr="00156FC1" w:rsidRDefault="00C02BEB" w:rsidP="004E27E7">
            <w:pPr>
              <w:spacing w:line="280" w:lineRule="atLeast"/>
              <w:rPr>
                <w:rFonts w:ascii="Arial" w:hAnsi="Arial" w:cs="Arial"/>
                <w:sz w:val="20"/>
              </w:rPr>
            </w:pPr>
          </w:p>
        </w:tc>
        <w:tc>
          <w:tcPr>
            <w:tcW w:w="1560" w:type="dxa"/>
            <w:tcBorders>
              <w:top w:val="dotted" w:sz="4" w:space="0" w:color="auto"/>
              <w:bottom w:val="dotted" w:sz="4" w:space="0" w:color="auto"/>
            </w:tcBorders>
          </w:tcPr>
          <w:p w14:paraId="79D244D6" w14:textId="77777777" w:rsidR="00C02BEB" w:rsidRPr="00156FC1" w:rsidRDefault="00C02BEB" w:rsidP="004E27E7">
            <w:pPr>
              <w:spacing w:line="280" w:lineRule="atLeast"/>
              <w:rPr>
                <w:rFonts w:ascii="Arial" w:hAnsi="Arial" w:cs="Arial"/>
                <w:sz w:val="20"/>
              </w:rPr>
            </w:pPr>
          </w:p>
        </w:tc>
        <w:tc>
          <w:tcPr>
            <w:tcW w:w="2409" w:type="dxa"/>
            <w:tcBorders>
              <w:top w:val="dotted" w:sz="4" w:space="0" w:color="auto"/>
              <w:bottom w:val="dotted" w:sz="4" w:space="0" w:color="auto"/>
            </w:tcBorders>
          </w:tcPr>
          <w:p w14:paraId="12A7BE61" w14:textId="77777777" w:rsidR="00C02BEB" w:rsidRPr="00156FC1" w:rsidRDefault="00C02BEB" w:rsidP="004E27E7">
            <w:pPr>
              <w:spacing w:line="280" w:lineRule="atLeast"/>
              <w:rPr>
                <w:rFonts w:ascii="Arial" w:hAnsi="Arial" w:cs="Arial"/>
                <w:sz w:val="20"/>
              </w:rPr>
            </w:pPr>
          </w:p>
        </w:tc>
      </w:tr>
      <w:tr w:rsidR="00C02BEB" w:rsidRPr="00156FC1" w14:paraId="4B7CAB4A" w14:textId="77777777" w:rsidTr="004E27E7">
        <w:trPr>
          <w:cantSplit/>
        </w:trPr>
        <w:tc>
          <w:tcPr>
            <w:tcW w:w="2915" w:type="dxa"/>
            <w:tcBorders>
              <w:top w:val="dotted" w:sz="4" w:space="0" w:color="auto"/>
              <w:bottom w:val="dotted" w:sz="4" w:space="0" w:color="auto"/>
            </w:tcBorders>
          </w:tcPr>
          <w:p w14:paraId="407E9AAB" w14:textId="77777777" w:rsidR="00C02BEB" w:rsidRPr="00156FC1" w:rsidRDefault="00C02BEB" w:rsidP="004E27E7">
            <w:pPr>
              <w:spacing w:line="280" w:lineRule="atLeast"/>
              <w:rPr>
                <w:rFonts w:ascii="Arial" w:hAnsi="Arial" w:cs="Arial"/>
                <w:sz w:val="20"/>
              </w:rPr>
            </w:pPr>
          </w:p>
        </w:tc>
        <w:tc>
          <w:tcPr>
            <w:tcW w:w="1985" w:type="dxa"/>
            <w:tcBorders>
              <w:top w:val="dotted" w:sz="4" w:space="0" w:color="auto"/>
              <w:bottom w:val="dotted" w:sz="4" w:space="0" w:color="auto"/>
            </w:tcBorders>
          </w:tcPr>
          <w:p w14:paraId="540058A1" w14:textId="77777777" w:rsidR="00C02BEB" w:rsidRPr="00156FC1" w:rsidRDefault="00C02BEB" w:rsidP="004E27E7">
            <w:pPr>
              <w:spacing w:line="280" w:lineRule="atLeast"/>
              <w:rPr>
                <w:rFonts w:ascii="Arial" w:hAnsi="Arial" w:cs="Arial"/>
                <w:sz w:val="20"/>
              </w:rPr>
            </w:pPr>
          </w:p>
        </w:tc>
        <w:tc>
          <w:tcPr>
            <w:tcW w:w="1701" w:type="dxa"/>
            <w:tcBorders>
              <w:top w:val="dotted" w:sz="4" w:space="0" w:color="auto"/>
              <w:bottom w:val="dotted" w:sz="4" w:space="0" w:color="auto"/>
            </w:tcBorders>
          </w:tcPr>
          <w:p w14:paraId="2C54EF68" w14:textId="77777777" w:rsidR="00C02BEB" w:rsidRPr="00156FC1" w:rsidRDefault="00C02BEB" w:rsidP="004E27E7">
            <w:pPr>
              <w:spacing w:line="280" w:lineRule="atLeast"/>
              <w:rPr>
                <w:rFonts w:ascii="Arial" w:hAnsi="Arial" w:cs="Arial"/>
                <w:sz w:val="20"/>
              </w:rPr>
            </w:pPr>
          </w:p>
        </w:tc>
        <w:tc>
          <w:tcPr>
            <w:tcW w:w="1188" w:type="dxa"/>
            <w:tcBorders>
              <w:top w:val="dotted" w:sz="4" w:space="0" w:color="auto"/>
              <w:bottom w:val="dotted" w:sz="4" w:space="0" w:color="auto"/>
            </w:tcBorders>
          </w:tcPr>
          <w:p w14:paraId="5171373B" w14:textId="77777777" w:rsidR="00C02BEB" w:rsidRPr="00156FC1" w:rsidRDefault="00C02BEB" w:rsidP="004E27E7">
            <w:pPr>
              <w:spacing w:line="280" w:lineRule="atLeast"/>
              <w:rPr>
                <w:rFonts w:ascii="Arial" w:hAnsi="Arial" w:cs="Arial"/>
                <w:sz w:val="20"/>
              </w:rPr>
            </w:pPr>
          </w:p>
        </w:tc>
        <w:tc>
          <w:tcPr>
            <w:tcW w:w="1930" w:type="dxa"/>
            <w:tcBorders>
              <w:top w:val="dotted" w:sz="4" w:space="0" w:color="auto"/>
              <w:bottom w:val="dotted" w:sz="4" w:space="0" w:color="auto"/>
            </w:tcBorders>
          </w:tcPr>
          <w:p w14:paraId="7F60B316" w14:textId="77777777" w:rsidR="00C02BEB" w:rsidRPr="00156FC1" w:rsidRDefault="00C02BEB" w:rsidP="004E27E7">
            <w:pPr>
              <w:spacing w:line="280" w:lineRule="atLeast"/>
              <w:rPr>
                <w:rFonts w:ascii="Arial" w:hAnsi="Arial" w:cs="Arial"/>
                <w:sz w:val="20"/>
              </w:rPr>
            </w:pPr>
          </w:p>
        </w:tc>
        <w:tc>
          <w:tcPr>
            <w:tcW w:w="1560" w:type="dxa"/>
            <w:tcBorders>
              <w:top w:val="dotted" w:sz="4" w:space="0" w:color="auto"/>
              <w:bottom w:val="dotted" w:sz="4" w:space="0" w:color="auto"/>
            </w:tcBorders>
          </w:tcPr>
          <w:p w14:paraId="3BC35F55" w14:textId="77777777" w:rsidR="00C02BEB" w:rsidRPr="00156FC1" w:rsidRDefault="00C02BEB" w:rsidP="004E27E7">
            <w:pPr>
              <w:spacing w:line="280" w:lineRule="atLeast"/>
              <w:rPr>
                <w:rFonts w:ascii="Arial" w:hAnsi="Arial" w:cs="Arial"/>
                <w:sz w:val="20"/>
              </w:rPr>
            </w:pPr>
          </w:p>
        </w:tc>
        <w:tc>
          <w:tcPr>
            <w:tcW w:w="2409" w:type="dxa"/>
            <w:tcBorders>
              <w:top w:val="dotted" w:sz="4" w:space="0" w:color="auto"/>
              <w:bottom w:val="dotted" w:sz="4" w:space="0" w:color="auto"/>
            </w:tcBorders>
          </w:tcPr>
          <w:p w14:paraId="512D21F6" w14:textId="77777777" w:rsidR="00C02BEB" w:rsidRPr="00156FC1" w:rsidRDefault="00C02BEB" w:rsidP="004E27E7">
            <w:pPr>
              <w:spacing w:line="280" w:lineRule="atLeast"/>
              <w:rPr>
                <w:rFonts w:ascii="Arial" w:hAnsi="Arial" w:cs="Arial"/>
                <w:sz w:val="20"/>
              </w:rPr>
            </w:pPr>
          </w:p>
        </w:tc>
      </w:tr>
      <w:tr w:rsidR="00C02BEB" w:rsidRPr="00156FC1" w14:paraId="4C0969B5" w14:textId="77777777" w:rsidTr="004E27E7">
        <w:trPr>
          <w:cantSplit/>
        </w:trPr>
        <w:tc>
          <w:tcPr>
            <w:tcW w:w="2915" w:type="dxa"/>
            <w:tcBorders>
              <w:top w:val="dotted" w:sz="4" w:space="0" w:color="auto"/>
              <w:bottom w:val="single" w:sz="6" w:space="0" w:color="auto"/>
            </w:tcBorders>
          </w:tcPr>
          <w:p w14:paraId="08C41652" w14:textId="77777777" w:rsidR="00C02BEB" w:rsidRPr="00156FC1" w:rsidRDefault="00C02BEB" w:rsidP="004E27E7">
            <w:pPr>
              <w:spacing w:line="280" w:lineRule="atLeast"/>
              <w:rPr>
                <w:rFonts w:ascii="Arial" w:hAnsi="Arial" w:cs="Arial"/>
                <w:sz w:val="20"/>
              </w:rPr>
            </w:pPr>
          </w:p>
        </w:tc>
        <w:tc>
          <w:tcPr>
            <w:tcW w:w="1985" w:type="dxa"/>
            <w:tcBorders>
              <w:top w:val="dotted" w:sz="4" w:space="0" w:color="auto"/>
              <w:bottom w:val="single" w:sz="6" w:space="0" w:color="auto"/>
            </w:tcBorders>
          </w:tcPr>
          <w:p w14:paraId="6598F27F" w14:textId="77777777" w:rsidR="00C02BEB" w:rsidRPr="00156FC1" w:rsidRDefault="00C02BEB" w:rsidP="004E27E7">
            <w:pPr>
              <w:spacing w:line="280" w:lineRule="atLeast"/>
              <w:rPr>
                <w:rFonts w:ascii="Arial" w:hAnsi="Arial" w:cs="Arial"/>
                <w:sz w:val="20"/>
              </w:rPr>
            </w:pPr>
          </w:p>
        </w:tc>
        <w:tc>
          <w:tcPr>
            <w:tcW w:w="1701" w:type="dxa"/>
            <w:tcBorders>
              <w:top w:val="dotted" w:sz="4" w:space="0" w:color="auto"/>
              <w:bottom w:val="single" w:sz="6" w:space="0" w:color="auto"/>
            </w:tcBorders>
          </w:tcPr>
          <w:p w14:paraId="379BE082" w14:textId="77777777" w:rsidR="00C02BEB" w:rsidRPr="00156FC1" w:rsidRDefault="00C02BEB" w:rsidP="004E27E7">
            <w:pPr>
              <w:spacing w:line="280" w:lineRule="atLeast"/>
              <w:rPr>
                <w:rFonts w:ascii="Arial" w:hAnsi="Arial" w:cs="Arial"/>
                <w:sz w:val="20"/>
              </w:rPr>
            </w:pPr>
          </w:p>
        </w:tc>
        <w:tc>
          <w:tcPr>
            <w:tcW w:w="1188" w:type="dxa"/>
            <w:tcBorders>
              <w:top w:val="dotted" w:sz="4" w:space="0" w:color="auto"/>
              <w:bottom w:val="single" w:sz="6" w:space="0" w:color="auto"/>
            </w:tcBorders>
          </w:tcPr>
          <w:p w14:paraId="7200A40E" w14:textId="77777777" w:rsidR="00C02BEB" w:rsidRPr="00156FC1" w:rsidRDefault="00C02BEB" w:rsidP="004E27E7">
            <w:pPr>
              <w:spacing w:line="280" w:lineRule="atLeast"/>
              <w:rPr>
                <w:rFonts w:ascii="Arial" w:hAnsi="Arial" w:cs="Arial"/>
                <w:sz w:val="20"/>
              </w:rPr>
            </w:pPr>
          </w:p>
        </w:tc>
        <w:tc>
          <w:tcPr>
            <w:tcW w:w="1930" w:type="dxa"/>
            <w:tcBorders>
              <w:top w:val="dotted" w:sz="4" w:space="0" w:color="auto"/>
              <w:bottom w:val="single" w:sz="6" w:space="0" w:color="auto"/>
            </w:tcBorders>
          </w:tcPr>
          <w:p w14:paraId="1DA29C35" w14:textId="77777777" w:rsidR="00C02BEB" w:rsidRPr="00156FC1" w:rsidRDefault="00C02BEB" w:rsidP="004E27E7">
            <w:pPr>
              <w:spacing w:line="280" w:lineRule="atLeast"/>
              <w:rPr>
                <w:rFonts w:ascii="Arial" w:hAnsi="Arial" w:cs="Arial"/>
                <w:sz w:val="20"/>
              </w:rPr>
            </w:pPr>
          </w:p>
        </w:tc>
        <w:tc>
          <w:tcPr>
            <w:tcW w:w="1560" w:type="dxa"/>
            <w:tcBorders>
              <w:top w:val="dotted" w:sz="4" w:space="0" w:color="auto"/>
              <w:bottom w:val="single" w:sz="6" w:space="0" w:color="auto"/>
            </w:tcBorders>
          </w:tcPr>
          <w:p w14:paraId="024F5F1F" w14:textId="77777777" w:rsidR="00C02BEB" w:rsidRPr="00156FC1" w:rsidRDefault="00C02BEB" w:rsidP="004E27E7">
            <w:pPr>
              <w:spacing w:line="280" w:lineRule="atLeast"/>
              <w:rPr>
                <w:rFonts w:ascii="Arial" w:hAnsi="Arial" w:cs="Arial"/>
                <w:sz w:val="20"/>
              </w:rPr>
            </w:pPr>
          </w:p>
        </w:tc>
        <w:tc>
          <w:tcPr>
            <w:tcW w:w="2409" w:type="dxa"/>
            <w:tcBorders>
              <w:top w:val="dotted" w:sz="4" w:space="0" w:color="auto"/>
              <w:bottom w:val="single" w:sz="6" w:space="0" w:color="auto"/>
            </w:tcBorders>
          </w:tcPr>
          <w:p w14:paraId="3A00CEC7" w14:textId="77777777" w:rsidR="00C02BEB" w:rsidRPr="00156FC1" w:rsidRDefault="00C02BEB" w:rsidP="004E27E7">
            <w:pPr>
              <w:spacing w:line="280" w:lineRule="atLeast"/>
              <w:rPr>
                <w:rFonts w:ascii="Arial" w:hAnsi="Arial" w:cs="Arial"/>
                <w:sz w:val="20"/>
              </w:rPr>
            </w:pPr>
          </w:p>
        </w:tc>
      </w:tr>
    </w:tbl>
    <w:p w14:paraId="4CF3FD0F" w14:textId="77777777" w:rsidR="00C02BEB" w:rsidRDefault="00C02BEB" w:rsidP="00047346">
      <w:pPr>
        <w:spacing w:line="280" w:lineRule="atLeast"/>
        <w:rPr>
          <w:rFonts w:ascii="Arial" w:hAnsi="Arial" w:cs="Arial"/>
          <w:sz w:val="20"/>
          <w:lang w:val="en-AU"/>
        </w:rPr>
      </w:pPr>
    </w:p>
    <w:sectPr w:rsidR="00C02BEB" w:rsidSect="00C02BEB">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9AE57" w14:textId="77777777" w:rsidR="00B22F00" w:rsidRDefault="00B22F00" w:rsidP="00F44873">
      <w:pPr>
        <w:spacing w:after="0" w:line="240" w:lineRule="auto"/>
      </w:pPr>
      <w:r>
        <w:separator/>
      </w:r>
    </w:p>
  </w:endnote>
  <w:endnote w:type="continuationSeparator" w:id="0">
    <w:p w14:paraId="314B4CD8" w14:textId="77777777" w:rsidR="00B22F00" w:rsidRDefault="00B22F00" w:rsidP="00F4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592823"/>
      <w:docPartObj>
        <w:docPartGallery w:val="Page Numbers (Bottom of Page)"/>
        <w:docPartUnique/>
      </w:docPartObj>
    </w:sdtPr>
    <w:sdtEndPr>
      <w:rPr>
        <w:noProof/>
      </w:rPr>
    </w:sdtEndPr>
    <w:sdtContent>
      <w:p w14:paraId="253CB65D" w14:textId="77777777" w:rsidR="0094668F" w:rsidRDefault="0094668F" w:rsidP="002F3A87">
        <w:pPr>
          <w:pStyle w:val="Footer"/>
          <w:pBdr>
            <w:bottom w:val="single" w:sz="4" w:space="1" w:color="auto"/>
          </w:pBdr>
          <w:tabs>
            <w:tab w:val="center" w:pos="4820"/>
          </w:tabs>
          <w:ind w:right="-1"/>
          <w:jc w:val="right"/>
        </w:pPr>
        <w:r>
          <w:fldChar w:fldCharType="begin"/>
        </w:r>
        <w:r>
          <w:instrText xml:space="preserve"> PAGE   \* MERGEFORMAT </w:instrText>
        </w:r>
        <w:r>
          <w:fldChar w:fldCharType="separate"/>
        </w:r>
        <w:r w:rsidR="00397369">
          <w:rPr>
            <w:noProof/>
          </w:rPr>
          <w:t>1</w:t>
        </w:r>
        <w:r>
          <w:rPr>
            <w:noProof/>
          </w:rPr>
          <w:fldChar w:fldCharType="end"/>
        </w:r>
      </w:p>
    </w:sdtContent>
  </w:sdt>
  <w:p w14:paraId="6F2FE17A" w14:textId="5CA56A68" w:rsidR="00C224F9" w:rsidRPr="0094668F" w:rsidRDefault="0094668F" w:rsidP="002F3A87">
    <w:pPr>
      <w:pStyle w:val="Footer"/>
      <w:tabs>
        <w:tab w:val="clear" w:pos="4513"/>
        <w:tab w:val="clear" w:pos="9026"/>
        <w:tab w:val="center" w:pos="4820"/>
        <w:tab w:val="right" w:pos="9639"/>
      </w:tabs>
      <w:ind w:right="-1"/>
    </w:pPr>
    <w:r>
      <w:t>OSPAR Commission</w:t>
    </w:r>
    <w:r>
      <w:tab/>
    </w:r>
    <w:r>
      <w:tab/>
    </w:r>
    <w:r w:rsidR="00A063EC">
      <w:t>OSPAR Recommendation 2019/03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421748"/>
      <w:docPartObj>
        <w:docPartGallery w:val="Page Numbers (Bottom of Page)"/>
        <w:docPartUnique/>
      </w:docPartObj>
    </w:sdtPr>
    <w:sdtEndPr>
      <w:rPr>
        <w:noProof/>
      </w:rPr>
    </w:sdtEndPr>
    <w:sdtContent>
      <w:p w14:paraId="28F8E37B" w14:textId="77777777" w:rsidR="00C224F9" w:rsidRDefault="00C224F9">
        <w:pPr>
          <w:pStyle w:val="Footer"/>
          <w:jc w:val="right"/>
        </w:pPr>
        <w:r>
          <w:fldChar w:fldCharType="begin"/>
        </w:r>
        <w:r>
          <w:instrText xml:space="preserve"> PAGE   \* MERGEFORMAT </w:instrText>
        </w:r>
        <w:r>
          <w:fldChar w:fldCharType="separate"/>
        </w:r>
        <w:r w:rsidR="00397369">
          <w:rPr>
            <w:noProof/>
          </w:rPr>
          <w:t>4</w:t>
        </w:r>
        <w:r>
          <w:rPr>
            <w:noProof/>
          </w:rPr>
          <w:fldChar w:fldCharType="end"/>
        </w:r>
      </w:p>
    </w:sdtContent>
  </w:sdt>
  <w:p w14:paraId="6F3B9CE7" w14:textId="480AC199" w:rsidR="00C224F9" w:rsidRDefault="00C224F9" w:rsidP="00C224F9">
    <w:pPr>
      <w:pStyle w:val="Footer"/>
      <w:tabs>
        <w:tab w:val="clear" w:pos="9026"/>
        <w:tab w:val="right" w:pos="13892"/>
      </w:tabs>
    </w:pPr>
    <w:r>
      <w:t>_______________________________________________________________________________________________________________________________</w:t>
    </w:r>
  </w:p>
  <w:p w14:paraId="5CFF4519" w14:textId="3D1A4BE6" w:rsidR="00C224F9" w:rsidRDefault="00C224F9" w:rsidP="00813642">
    <w:pPr>
      <w:pStyle w:val="Footer"/>
      <w:tabs>
        <w:tab w:val="clear" w:pos="4513"/>
        <w:tab w:val="clear" w:pos="9026"/>
        <w:tab w:val="center" w:pos="7088"/>
        <w:tab w:val="right" w:pos="13892"/>
      </w:tabs>
    </w:pPr>
    <w:r>
      <w:t>OSPAR Commission</w:t>
    </w:r>
    <w:r>
      <w:tab/>
    </w:r>
    <w:r w:rsidR="00813642">
      <w:tab/>
    </w:r>
    <w:r w:rsidR="00A063EC">
      <w:t>OSPAR Recommendation 2019/03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4F3F1" w14:textId="77777777" w:rsidR="00B22F00" w:rsidRDefault="00B22F00" w:rsidP="00F44873">
      <w:pPr>
        <w:spacing w:after="0" w:line="240" w:lineRule="auto"/>
      </w:pPr>
      <w:r>
        <w:separator/>
      </w:r>
    </w:p>
  </w:footnote>
  <w:footnote w:type="continuationSeparator" w:id="0">
    <w:p w14:paraId="75F7D8B6" w14:textId="77777777" w:rsidR="00B22F00" w:rsidRDefault="00B22F00" w:rsidP="00F44873">
      <w:pPr>
        <w:spacing w:after="0" w:line="240" w:lineRule="auto"/>
      </w:pPr>
      <w:r>
        <w:continuationSeparator/>
      </w:r>
    </w:p>
  </w:footnote>
  <w:footnote w:id="1">
    <w:p w14:paraId="1467B339" w14:textId="77777777" w:rsidR="00047346" w:rsidRPr="003F25DF" w:rsidRDefault="00047346" w:rsidP="00047346">
      <w:pPr>
        <w:pStyle w:val="FootnoteText"/>
        <w:rPr>
          <w:rFonts w:asciiTheme="minorHAnsi" w:hAnsiTheme="minorHAnsi" w:cs="Arial"/>
          <w:sz w:val="16"/>
          <w:szCs w:val="16"/>
        </w:rPr>
      </w:pPr>
      <w:r w:rsidRPr="003F25DF">
        <w:rPr>
          <w:rStyle w:val="FootnoteReference"/>
          <w:rFonts w:asciiTheme="minorHAnsi" w:hAnsiTheme="minorHAnsi"/>
        </w:rPr>
        <w:footnoteRef/>
      </w:r>
      <w:r w:rsidRPr="003F25DF">
        <w:rPr>
          <w:rFonts w:asciiTheme="minorHAnsi" w:hAnsiTheme="minorHAnsi"/>
        </w:rPr>
        <w:t xml:space="preserve"> </w:t>
      </w:r>
      <w:r w:rsidRPr="003F25DF">
        <w:rPr>
          <w:rFonts w:asciiTheme="minorHAnsi" w:hAnsiTheme="minorHAnsi" w:cs="Arial"/>
          <w:sz w:val="16"/>
          <w:szCs w:val="16"/>
        </w:rPr>
        <w:t>Defined as per ECHA publication on 20 March 2019</w:t>
      </w:r>
    </w:p>
    <w:p w14:paraId="695344CE" w14:textId="77777777" w:rsidR="00047346" w:rsidRPr="003F25DF" w:rsidRDefault="00397369" w:rsidP="00047346">
      <w:pPr>
        <w:pStyle w:val="FootnoteText"/>
        <w:rPr>
          <w:rFonts w:asciiTheme="minorHAnsi" w:hAnsiTheme="minorHAnsi"/>
        </w:rPr>
      </w:pPr>
      <w:hyperlink r:id="rId1" w:history="1">
        <w:r w:rsidR="00047346" w:rsidRPr="003F25DF">
          <w:rPr>
            <w:rStyle w:val="Hyperlink"/>
            <w:rFonts w:asciiTheme="minorHAnsi" w:hAnsiTheme="minorHAnsi"/>
            <w:sz w:val="16"/>
            <w:szCs w:val="16"/>
          </w:rPr>
          <w:t>https://echa.europa.eu/registry-of-restriction-intentions/-/dislist/details/0b0236e18244cd73</w:t>
        </w:r>
      </w:hyperlink>
    </w:p>
  </w:footnote>
  <w:footnote w:id="2">
    <w:p w14:paraId="3A838E65" w14:textId="77777777" w:rsidR="00047346" w:rsidRPr="003F25DF" w:rsidRDefault="00047346" w:rsidP="00047346">
      <w:pPr>
        <w:pStyle w:val="CommentText"/>
        <w:rPr>
          <w:rFonts w:cs="Arial"/>
          <w:spacing w:val="-2"/>
        </w:rPr>
      </w:pPr>
      <w:r w:rsidRPr="003F25DF">
        <w:rPr>
          <w:rStyle w:val="FootnoteReference"/>
        </w:rPr>
        <w:footnoteRef/>
      </w:r>
      <w:r w:rsidRPr="003F25DF">
        <w:t xml:space="preserve"> </w:t>
      </w:r>
      <w:r w:rsidRPr="003F25DF">
        <w:rPr>
          <w:rFonts w:cs="Arial"/>
          <w:spacing w:val="-2"/>
          <w:sz w:val="16"/>
          <w:szCs w:val="16"/>
        </w:rPr>
        <w:t>Defined as per the European Commission publication on 18 October 2011</w:t>
      </w:r>
    </w:p>
    <w:p w14:paraId="63FA8052" w14:textId="77777777" w:rsidR="00047346" w:rsidRPr="003F25DF" w:rsidRDefault="00397369" w:rsidP="00047346">
      <w:pPr>
        <w:pStyle w:val="FootnoteText"/>
        <w:rPr>
          <w:rFonts w:asciiTheme="minorHAnsi" w:hAnsiTheme="minorHAnsi"/>
        </w:rPr>
      </w:pPr>
      <w:hyperlink r:id="rId2" w:history="1">
        <w:r w:rsidR="00047346" w:rsidRPr="003F25DF">
          <w:rPr>
            <w:rStyle w:val="Hyperlink"/>
            <w:rFonts w:asciiTheme="minorHAnsi" w:hAnsiTheme="minorHAnsi"/>
            <w:sz w:val="16"/>
            <w:szCs w:val="16"/>
          </w:rPr>
          <w:t>https://publications.europa.eu/en/publication-detail/-/publication/17af73d9-da70-4a46-a421-c62e3d1df6ce/language-en</w:t>
        </w:r>
      </w:hyperlink>
    </w:p>
  </w:footnote>
  <w:footnote w:id="3">
    <w:p w14:paraId="312808EC" w14:textId="77777777" w:rsidR="00047346" w:rsidRPr="009B0C9D" w:rsidRDefault="00047346" w:rsidP="00047346">
      <w:pPr>
        <w:pStyle w:val="FootnoteText"/>
        <w:rPr>
          <w:rFonts w:ascii="Calibri" w:hAnsi="Calibri"/>
          <w:sz w:val="18"/>
          <w:szCs w:val="18"/>
        </w:rPr>
      </w:pPr>
      <w:r w:rsidRPr="009B0C9D">
        <w:rPr>
          <w:rStyle w:val="FootnoteReference"/>
          <w:rFonts w:ascii="Calibri" w:hAnsi="Calibri"/>
          <w:sz w:val="18"/>
          <w:szCs w:val="18"/>
        </w:rPr>
        <w:footnoteRef/>
      </w:r>
      <w:r w:rsidRPr="009B0C9D">
        <w:rPr>
          <w:rFonts w:ascii="Calibri" w:hAnsi="Calibri"/>
          <w:sz w:val="18"/>
          <w:szCs w:val="18"/>
        </w:rPr>
        <w:t xml:space="preserve"> Entries under column 4 must be ticked if the substance must be authorised under REACH for offshore use</w:t>
      </w:r>
    </w:p>
  </w:footnote>
  <w:footnote w:id="4">
    <w:p w14:paraId="67EB1335" w14:textId="77777777" w:rsidR="00047346" w:rsidRPr="009B0C9D" w:rsidRDefault="00047346" w:rsidP="00047346">
      <w:pPr>
        <w:pStyle w:val="FootnoteText"/>
        <w:rPr>
          <w:rFonts w:ascii="Calibri" w:hAnsi="Calibri"/>
          <w:sz w:val="18"/>
          <w:szCs w:val="18"/>
        </w:rPr>
      </w:pPr>
      <w:r w:rsidRPr="009B0C9D">
        <w:rPr>
          <w:rStyle w:val="FootnoteReference"/>
          <w:rFonts w:ascii="Calibri" w:hAnsi="Calibri"/>
          <w:sz w:val="18"/>
          <w:szCs w:val="18"/>
        </w:rPr>
        <w:footnoteRef/>
      </w:r>
      <w:r w:rsidRPr="009B0C9D">
        <w:rPr>
          <w:rFonts w:ascii="Calibri" w:hAnsi="Calibri"/>
          <w:sz w:val="18"/>
          <w:szCs w:val="18"/>
        </w:rPr>
        <w:t xml:space="preserve"> Entries under column 5 must be ticked if the offshore use of the substance is restricted under REACH.</w:t>
      </w:r>
    </w:p>
  </w:footnote>
  <w:footnote w:id="5">
    <w:p w14:paraId="404CD16A" w14:textId="77777777" w:rsidR="00047346" w:rsidRDefault="00047346" w:rsidP="00047346">
      <w:pPr>
        <w:pStyle w:val="FootnoteText"/>
      </w:pPr>
      <w:r>
        <w:rPr>
          <w:rStyle w:val="FootnoteReference"/>
        </w:rPr>
        <w:footnoteRef/>
      </w:r>
      <w:r>
        <w:t xml:space="preserve"> </w:t>
      </w:r>
      <w:r w:rsidRPr="000B0C39">
        <w:rPr>
          <w:rFonts w:ascii="Calibri" w:hAnsi="Calibri"/>
          <w:sz w:val="18"/>
          <w:szCs w:val="18"/>
        </w:rPr>
        <w:t xml:space="preserve">Entries under column 12 must be ticked, if </w:t>
      </w:r>
      <w:r>
        <w:rPr>
          <w:rFonts w:ascii="Calibri" w:hAnsi="Calibri"/>
          <w:sz w:val="18"/>
          <w:szCs w:val="18"/>
        </w:rPr>
        <w:t xml:space="preserve">known </w:t>
      </w:r>
      <w:r w:rsidRPr="000B0C39">
        <w:rPr>
          <w:rFonts w:ascii="Calibri" w:hAnsi="Calibri"/>
          <w:sz w:val="18"/>
          <w:szCs w:val="18"/>
        </w:rPr>
        <w:t xml:space="preserve">nanomaterials are </w:t>
      </w:r>
      <w:r>
        <w:rPr>
          <w:rFonts w:ascii="Calibri" w:hAnsi="Calibri"/>
          <w:sz w:val="18"/>
          <w:szCs w:val="18"/>
        </w:rPr>
        <w:t>present.</w:t>
      </w:r>
    </w:p>
  </w:footnote>
  <w:footnote w:id="6">
    <w:p w14:paraId="5E0A9E55" w14:textId="77777777" w:rsidR="00047346" w:rsidRDefault="00047346" w:rsidP="00D570D1">
      <w:pPr>
        <w:pStyle w:val="FootnoteText"/>
        <w:tabs>
          <w:tab w:val="clear" w:pos="567"/>
          <w:tab w:val="left" w:pos="142"/>
        </w:tabs>
        <w:ind w:left="142" w:hanging="142"/>
      </w:pPr>
      <w:r>
        <w:rPr>
          <w:rStyle w:val="FootnoteReference"/>
        </w:rPr>
        <w:footnoteRef/>
      </w:r>
      <w:r>
        <w:t xml:space="preserve"> </w:t>
      </w:r>
      <w:r w:rsidRPr="000B0C39">
        <w:rPr>
          <w:rFonts w:ascii="Calibri" w:hAnsi="Calibri"/>
          <w:sz w:val="18"/>
          <w:szCs w:val="18"/>
        </w:rPr>
        <w:t>If a substance is intended as a biocidal active in a biocidal product according to the EU Biocidal Product Regulation (BRP) (EU) 528/2012, column 13 must be ticked to confirm that the substance is a biocidal active and that it complies with the BPR requirements.  In column 1 the relevant Product Type(s) should also be indicated.</w:t>
      </w:r>
    </w:p>
  </w:footnote>
  <w:footnote w:id="7">
    <w:p w14:paraId="58690003" w14:textId="77777777" w:rsidR="00047346" w:rsidRDefault="00047346" w:rsidP="00D570D1">
      <w:pPr>
        <w:pStyle w:val="FootnoteText"/>
        <w:tabs>
          <w:tab w:val="clear" w:pos="567"/>
          <w:tab w:val="left" w:pos="142"/>
        </w:tabs>
        <w:ind w:left="142" w:hanging="142"/>
      </w:pPr>
      <w:r>
        <w:rPr>
          <w:rStyle w:val="FootnoteReference"/>
        </w:rPr>
        <w:footnoteRef/>
      </w:r>
      <w:r>
        <w:t xml:space="preserve"> </w:t>
      </w:r>
      <w:r w:rsidRPr="004D1348">
        <w:rPr>
          <w:rFonts w:ascii="Calibri" w:hAnsi="Calibri"/>
          <w:sz w:val="18"/>
          <w:szCs w:val="18"/>
        </w:rPr>
        <w:t>Entries under column 10 should be ticked if the chemical is, or contains, substances that are solid synthetic polymers insoluble in water, including those supplied dissolved in an organic solvent.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3470"/>
    <w:multiLevelType w:val="hybridMultilevel"/>
    <w:tmpl w:val="360486E0"/>
    <w:lvl w:ilvl="0" w:tplc="55CCCD44">
      <w:start w:val="1"/>
      <w:numFmt w:val="lowerRoman"/>
      <w:lvlText w:val="%1."/>
      <w:lvlJc w:val="left"/>
      <w:pPr>
        <w:ind w:left="1860" w:hanging="720"/>
      </w:pPr>
      <w:rPr>
        <w:rFonts w:hint="default"/>
      </w:rPr>
    </w:lvl>
    <w:lvl w:ilvl="1" w:tplc="04060019" w:tentative="1">
      <w:start w:val="1"/>
      <w:numFmt w:val="lowerLetter"/>
      <w:lvlText w:val="%2."/>
      <w:lvlJc w:val="left"/>
      <w:pPr>
        <w:ind w:left="2220" w:hanging="360"/>
      </w:pPr>
    </w:lvl>
    <w:lvl w:ilvl="2" w:tplc="0406001B" w:tentative="1">
      <w:start w:val="1"/>
      <w:numFmt w:val="lowerRoman"/>
      <w:lvlText w:val="%3."/>
      <w:lvlJc w:val="right"/>
      <w:pPr>
        <w:ind w:left="2940" w:hanging="180"/>
      </w:pPr>
    </w:lvl>
    <w:lvl w:ilvl="3" w:tplc="0406000F" w:tentative="1">
      <w:start w:val="1"/>
      <w:numFmt w:val="decimal"/>
      <w:lvlText w:val="%4."/>
      <w:lvlJc w:val="left"/>
      <w:pPr>
        <w:ind w:left="3660" w:hanging="360"/>
      </w:pPr>
    </w:lvl>
    <w:lvl w:ilvl="4" w:tplc="04060019" w:tentative="1">
      <w:start w:val="1"/>
      <w:numFmt w:val="lowerLetter"/>
      <w:lvlText w:val="%5."/>
      <w:lvlJc w:val="left"/>
      <w:pPr>
        <w:ind w:left="4380" w:hanging="360"/>
      </w:pPr>
    </w:lvl>
    <w:lvl w:ilvl="5" w:tplc="0406001B" w:tentative="1">
      <w:start w:val="1"/>
      <w:numFmt w:val="lowerRoman"/>
      <w:lvlText w:val="%6."/>
      <w:lvlJc w:val="right"/>
      <w:pPr>
        <w:ind w:left="5100" w:hanging="180"/>
      </w:pPr>
    </w:lvl>
    <w:lvl w:ilvl="6" w:tplc="0406000F" w:tentative="1">
      <w:start w:val="1"/>
      <w:numFmt w:val="decimal"/>
      <w:lvlText w:val="%7."/>
      <w:lvlJc w:val="left"/>
      <w:pPr>
        <w:ind w:left="5820" w:hanging="360"/>
      </w:pPr>
    </w:lvl>
    <w:lvl w:ilvl="7" w:tplc="04060019" w:tentative="1">
      <w:start w:val="1"/>
      <w:numFmt w:val="lowerLetter"/>
      <w:lvlText w:val="%8."/>
      <w:lvlJc w:val="left"/>
      <w:pPr>
        <w:ind w:left="6540" w:hanging="360"/>
      </w:pPr>
    </w:lvl>
    <w:lvl w:ilvl="8" w:tplc="0406001B" w:tentative="1">
      <w:start w:val="1"/>
      <w:numFmt w:val="lowerRoman"/>
      <w:lvlText w:val="%9."/>
      <w:lvlJc w:val="right"/>
      <w:pPr>
        <w:ind w:left="7260" w:hanging="180"/>
      </w:pPr>
    </w:lvl>
  </w:abstractNum>
  <w:abstractNum w:abstractNumId="1">
    <w:nsid w:val="3E8708CD"/>
    <w:multiLevelType w:val="hybridMultilevel"/>
    <w:tmpl w:val="360486E0"/>
    <w:lvl w:ilvl="0" w:tplc="55CCCD44">
      <w:start w:val="1"/>
      <w:numFmt w:val="lowerRoman"/>
      <w:lvlText w:val="%1."/>
      <w:lvlJc w:val="left"/>
      <w:pPr>
        <w:ind w:left="3594" w:hanging="720"/>
      </w:pPr>
      <w:rPr>
        <w:rFonts w:hint="default"/>
      </w:rPr>
    </w:lvl>
    <w:lvl w:ilvl="1" w:tplc="04060019" w:tentative="1">
      <w:start w:val="1"/>
      <w:numFmt w:val="lowerLetter"/>
      <w:lvlText w:val="%2."/>
      <w:lvlJc w:val="left"/>
      <w:pPr>
        <w:ind w:left="3954" w:hanging="360"/>
      </w:pPr>
    </w:lvl>
    <w:lvl w:ilvl="2" w:tplc="0406001B" w:tentative="1">
      <w:start w:val="1"/>
      <w:numFmt w:val="lowerRoman"/>
      <w:lvlText w:val="%3."/>
      <w:lvlJc w:val="right"/>
      <w:pPr>
        <w:ind w:left="4674" w:hanging="180"/>
      </w:pPr>
    </w:lvl>
    <w:lvl w:ilvl="3" w:tplc="0406000F" w:tentative="1">
      <w:start w:val="1"/>
      <w:numFmt w:val="decimal"/>
      <w:lvlText w:val="%4."/>
      <w:lvlJc w:val="left"/>
      <w:pPr>
        <w:ind w:left="5394" w:hanging="360"/>
      </w:pPr>
    </w:lvl>
    <w:lvl w:ilvl="4" w:tplc="04060019" w:tentative="1">
      <w:start w:val="1"/>
      <w:numFmt w:val="lowerLetter"/>
      <w:lvlText w:val="%5."/>
      <w:lvlJc w:val="left"/>
      <w:pPr>
        <w:ind w:left="6114" w:hanging="360"/>
      </w:pPr>
    </w:lvl>
    <w:lvl w:ilvl="5" w:tplc="0406001B" w:tentative="1">
      <w:start w:val="1"/>
      <w:numFmt w:val="lowerRoman"/>
      <w:lvlText w:val="%6."/>
      <w:lvlJc w:val="right"/>
      <w:pPr>
        <w:ind w:left="6834" w:hanging="180"/>
      </w:pPr>
    </w:lvl>
    <w:lvl w:ilvl="6" w:tplc="0406000F" w:tentative="1">
      <w:start w:val="1"/>
      <w:numFmt w:val="decimal"/>
      <w:lvlText w:val="%7."/>
      <w:lvlJc w:val="left"/>
      <w:pPr>
        <w:ind w:left="7554" w:hanging="360"/>
      </w:pPr>
    </w:lvl>
    <w:lvl w:ilvl="7" w:tplc="04060019" w:tentative="1">
      <w:start w:val="1"/>
      <w:numFmt w:val="lowerLetter"/>
      <w:lvlText w:val="%8."/>
      <w:lvlJc w:val="left"/>
      <w:pPr>
        <w:ind w:left="8274" w:hanging="360"/>
      </w:pPr>
    </w:lvl>
    <w:lvl w:ilvl="8" w:tplc="0406001B" w:tentative="1">
      <w:start w:val="1"/>
      <w:numFmt w:val="lowerRoman"/>
      <w:lvlText w:val="%9."/>
      <w:lvlJc w:val="right"/>
      <w:pPr>
        <w:ind w:left="89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7D"/>
    <w:rsid w:val="00016F02"/>
    <w:rsid w:val="00047346"/>
    <w:rsid w:val="00057A7D"/>
    <w:rsid w:val="00076649"/>
    <w:rsid w:val="00086694"/>
    <w:rsid w:val="000A4EF8"/>
    <w:rsid w:val="000C121B"/>
    <w:rsid w:val="00116372"/>
    <w:rsid w:val="00133080"/>
    <w:rsid w:val="001372AD"/>
    <w:rsid w:val="001D4D8E"/>
    <w:rsid w:val="001F21F7"/>
    <w:rsid w:val="00294B18"/>
    <w:rsid w:val="002E1C3E"/>
    <w:rsid w:val="002F3A87"/>
    <w:rsid w:val="003557E3"/>
    <w:rsid w:val="00377921"/>
    <w:rsid w:val="00397369"/>
    <w:rsid w:val="003F25DF"/>
    <w:rsid w:val="00433861"/>
    <w:rsid w:val="004373B5"/>
    <w:rsid w:val="00453396"/>
    <w:rsid w:val="00453C7D"/>
    <w:rsid w:val="005301AA"/>
    <w:rsid w:val="005F149C"/>
    <w:rsid w:val="005F7537"/>
    <w:rsid w:val="00630794"/>
    <w:rsid w:val="00641B4F"/>
    <w:rsid w:val="006E6EB1"/>
    <w:rsid w:val="00727C9B"/>
    <w:rsid w:val="00770AD8"/>
    <w:rsid w:val="008000E7"/>
    <w:rsid w:val="00813642"/>
    <w:rsid w:val="008246A4"/>
    <w:rsid w:val="0088117D"/>
    <w:rsid w:val="0088231B"/>
    <w:rsid w:val="008A0F23"/>
    <w:rsid w:val="008B1B68"/>
    <w:rsid w:val="008C3ABE"/>
    <w:rsid w:val="008F1E72"/>
    <w:rsid w:val="0094668F"/>
    <w:rsid w:val="009B1146"/>
    <w:rsid w:val="009C1F9B"/>
    <w:rsid w:val="009C6A35"/>
    <w:rsid w:val="009D0891"/>
    <w:rsid w:val="009F0342"/>
    <w:rsid w:val="00A063EC"/>
    <w:rsid w:val="00A315B7"/>
    <w:rsid w:val="00A82EAE"/>
    <w:rsid w:val="00AC0D0E"/>
    <w:rsid w:val="00AC4E0B"/>
    <w:rsid w:val="00AE129A"/>
    <w:rsid w:val="00AE5EFA"/>
    <w:rsid w:val="00B00694"/>
    <w:rsid w:val="00B22F00"/>
    <w:rsid w:val="00B74A3A"/>
    <w:rsid w:val="00B844A2"/>
    <w:rsid w:val="00B92167"/>
    <w:rsid w:val="00BB1BA0"/>
    <w:rsid w:val="00BB68AF"/>
    <w:rsid w:val="00BF5B13"/>
    <w:rsid w:val="00C02BEB"/>
    <w:rsid w:val="00C224F9"/>
    <w:rsid w:val="00C3597D"/>
    <w:rsid w:val="00C96AC1"/>
    <w:rsid w:val="00CC3B3A"/>
    <w:rsid w:val="00D42C07"/>
    <w:rsid w:val="00D433B4"/>
    <w:rsid w:val="00D5476B"/>
    <w:rsid w:val="00D570D1"/>
    <w:rsid w:val="00D5798F"/>
    <w:rsid w:val="00D750FC"/>
    <w:rsid w:val="00D86699"/>
    <w:rsid w:val="00E30A68"/>
    <w:rsid w:val="00E36D08"/>
    <w:rsid w:val="00E67C95"/>
    <w:rsid w:val="00E718ED"/>
    <w:rsid w:val="00E927EC"/>
    <w:rsid w:val="00F1144C"/>
    <w:rsid w:val="00F44873"/>
    <w:rsid w:val="00FB45A5"/>
    <w:rsid w:val="00FB7663"/>
    <w:rsid w:val="00FF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6F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7D"/>
  </w:style>
  <w:style w:type="paragraph" w:styleId="Heading1">
    <w:name w:val="heading 1"/>
    <w:basedOn w:val="Normal"/>
    <w:next w:val="Normal"/>
    <w:link w:val="Heading1Char"/>
    <w:uiPriority w:val="9"/>
    <w:qFormat/>
    <w:rsid w:val="00F448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F448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3C7D"/>
    <w:rPr>
      <w:sz w:val="16"/>
      <w:szCs w:val="16"/>
    </w:rPr>
  </w:style>
  <w:style w:type="paragraph" w:styleId="CommentText">
    <w:name w:val="annotation text"/>
    <w:basedOn w:val="Normal"/>
    <w:link w:val="CommentTextChar"/>
    <w:unhideWhenUsed/>
    <w:rsid w:val="00453C7D"/>
    <w:pPr>
      <w:spacing w:line="240" w:lineRule="auto"/>
    </w:pPr>
    <w:rPr>
      <w:sz w:val="20"/>
      <w:szCs w:val="20"/>
    </w:rPr>
  </w:style>
  <w:style w:type="character" w:customStyle="1" w:styleId="CommentTextChar">
    <w:name w:val="Comment Text Char"/>
    <w:basedOn w:val="DefaultParagraphFont"/>
    <w:link w:val="CommentText"/>
    <w:rsid w:val="00453C7D"/>
    <w:rPr>
      <w:sz w:val="20"/>
      <w:szCs w:val="20"/>
    </w:rPr>
  </w:style>
  <w:style w:type="paragraph" w:styleId="BalloonText">
    <w:name w:val="Balloon Text"/>
    <w:basedOn w:val="Normal"/>
    <w:link w:val="BalloonTextChar"/>
    <w:uiPriority w:val="99"/>
    <w:semiHidden/>
    <w:unhideWhenUsed/>
    <w:rsid w:val="00453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7D"/>
    <w:rPr>
      <w:rFonts w:ascii="Segoe UI" w:hAnsi="Segoe UI" w:cs="Segoe UI"/>
      <w:sz w:val="18"/>
      <w:szCs w:val="18"/>
    </w:rPr>
  </w:style>
  <w:style w:type="character" w:customStyle="1" w:styleId="Heading1Char">
    <w:name w:val="Heading 1 Char"/>
    <w:basedOn w:val="DefaultParagraphFont"/>
    <w:link w:val="Heading1"/>
    <w:uiPriority w:val="9"/>
    <w:rsid w:val="00F4487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44873"/>
    <w:rPr>
      <w:rFonts w:asciiTheme="majorHAnsi" w:eastAsiaTheme="majorEastAsia" w:hAnsiTheme="majorHAnsi" w:cstheme="majorBidi"/>
      <w:i/>
      <w:iCs/>
      <w:color w:val="2F5496" w:themeColor="accent1" w:themeShade="BF"/>
    </w:rPr>
  </w:style>
  <w:style w:type="table" w:customStyle="1" w:styleId="TableGrid1">
    <w:name w:val="Table Grid1"/>
    <w:basedOn w:val="TableNormal"/>
    <w:next w:val="TableGrid"/>
    <w:rsid w:val="00F44873"/>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4873"/>
    <w:rPr>
      <w:color w:val="808080"/>
    </w:rPr>
  </w:style>
  <w:style w:type="table" w:styleId="TableGrid">
    <w:name w:val="Table Grid"/>
    <w:basedOn w:val="TableNormal"/>
    <w:uiPriority w:val="39"/>
    <w:rsid w:val="00F44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F149C"/>
    <w:rPr>
      <w:b/>
      <w:bCs/>
    </w:rPr>
  </w:style>
  <w:style w:type="character" w:customStyle="1" w:styleId="CommentSubjectChar">
    <w:name w:val="Comment Subject Char"/>
    <w:basedOn w:val="CommentTextChar"/>
    <w:link w:val="CommentSubject"/>
    <w:uiPriority w:val="99"/>
    <w:semiHidden/>
    <w:rsid w:val="005F149C"/>
    <w:rPr>
      <w:b/>
      <w:bCs/>
      <w:sz w:val="20"/>
      <w:szCs w:val="20"/>
    </w:rPr>
  </w:style>
  <w:style w:type="paragraph" w:styleId="BodyText">
    <w:name w:val="Body Text"/>
    <w:basedOn w:val="Normal"/>
    <w:link w:val="BodyTextChar"/>
    <w:rsid w:val="00F1144C"/>
    <w:pPr>
      <w:tabs>
        <w:tab w:val="left" w:pos="567"/>
      </w:tabs>
      <w:spacing w:after="140" w:line="280" w:lineRule="atLeast"/>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F1144C"/>
    <w:rPr>
      <w:rFonts w:ascii="Arial" w:eastAsia="Times New Roman" w:hAnsi="Arial" w:cs="Times New Roman"/>
      <w:sz w:val="20"/>
      <w:szCs w:val="20"/>
      <w:lang w:val="x-none"/>
    </w:rPr>
  </w:style>
  <w:style w:type="paragraph" w:styleId="FootnoteText">
    <w:name w:val="footnote text"/>
    <w:basedOn w:val="Normal"/>
    <w:link w:val="FootnoteTextChar"/>
    <w:semiHidden/>
    <w:rsid w:val="00453396"/>
    <w:pPr>
      <w:tabs>
        <w:tab w:val="left" w:pos="567"/>
        <w:tab w:val="left" w:pos="1134"/>
        <w:tab w:val="left" w:pos="1701"/>
        <w:tab w:val="left" w:pos="2268"/>
      </w:tabs>
      <w:spacing w:after="120" w:line="240" w:lineRule="auto"/>
      <w:ind w:left="567" w:hanging="567"/>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53396"/>
    <w:rPr>
      <w:rFonts w:ascii="Times New Roman" w:eastAsia="Times New Roman" w:hAnsi="Times New Roman" w:cs="Times New Roman"/>
      <w:sz w:val="20"/>
      <w:szCs w:val="20"/>
      <w:lang w:eastAsia="en-GB"/>
    </w:rPr>
  </w:style>
  <w:style w:type="character" w:styleId="FootnoteReference">
    <w:name w:val="footnote reference"/>
    <w:aliases w:val="stylish"/>
    <w:semiHidden/>
    <w:rsid w:val="00453396"/>
    <w:rPr>
      <w:vertAlign w:val="superscript"/>
    </w:rPr>
  </w:style>
  <w:style w:type="character" w:styleId="Hyperlink">
    <w:name w:val="Hyperlink"/>
    <w:rsid w:val="00453396"/>
    <w:rPr>
      <w:rFonts w:ascii="Arial" w:hAnsi="Arial" w:cs="Arial"/>
      <w:color w:val="16288E"/>
      <w:u w:val="none"/>
    </w:rPr>
  </w:style>
  <w:style w:type="paragraph" w:customStyle="1" w:styleId="Indenta">
    <w:name w:val="Indent a"/>
    <w:basedOn w:val="Normal"/>
    <w:rsid w:val="009F0342"/>
    <w:pPr>
      <w:tabs>
        <w:tab w:val="left" w:pos="567"/>
        <w:tab w:val="left" w:pos="1134"/>
        <w:tab w:val="left" w:pos="1701"/>
        <w:tab w:val="left" w:pos="2268"/>
      </w:tabs>
      <w:spacing w:after="120" w:line="240" w:lineRule="auto"/>
      <w:ind w:left="1134" w:hanging="567"/>
    </w:pPr>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C22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4F9"/>
  </w:style>
  <w:style w:type="paragraph" w:styleId="Footer">
    <w:name w:val="footer"/>
    <w:aliases w:val="Footer1"/>
    <w:basedOn w:val="Normal"/>
    <w:link w:val="FooterChar"/>
    <w:uiPriority w:val="99"/>
    <w:unhideWhenUsed/>
    <w:rsid w:val="00C224F9"/>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C22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7D"/>
  </w:style>
  <w:style w:type="paragraph" w:styleId="Heading1">
    <w:name w:val="heading 1"/>
    <w:basedOn w:val="Normal"/>
    <w:next w:val="Normal"/>
    <w:link w:val="Heading1Char"/>
    <w:uiPriority w:val="9"/>
    <w:qFormat/>
    <w:rsid w:val="00F448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F448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3C7D"/>
    <w:rPr>
      <w:sz w:val="16"/>
      <w:szCs w:val="16"/>
    </w:rPr>
  </w:style>
  <w:style w:type="paragraph" w:styleId="CommentText">
    <w:name w:val="annotation text"/>
    <w:basedOn w:val="Normal"/>
    <w:link w:val="CommentTextChar"/>
    <w:unhideWhenUsed/>
    <w:rsid w:val="00453C7D"/>
    <w:pPr>
      <w:spacing w:line="240" w:lineRule="auto"/>
    </w:pPr>
    <w:rPr>
      <w:sz w:val="20"/>
      <w:szCs w:val="20"/>
    </w:rPr>
  </w:style>
  <w:style w:type="character" w:customStyle="1" w:styleId="CommentTextChar">
    <w:name w:val="Comment Text Char"/>
    <w:basedOn w:val="DefaultParagraphFont"/>
    <w:link w:val="CommentText"/>
    <w:rsid w:val="00453C7D"/>
    <w:rPr>
      <w:sz w:val="20"/>
      <w:szCs w:val="20"/>
    </w:rPr>
  </w:style>
  <w:style w:type="paragraph" w:styleId="BalloonText">
    <w:name w:val="Balloon Text"/>
    <w:basedOn w:val="Normal"/>
    <w:link w:val="BalloonTextChar"/>
    <w:uiPriority w:val="99"/>
    <w:semiHidden/>
    <w:unhideWhenUsed/>
    <w:rsid w:val="00453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7D"/>
    <w:rPr>
      <w:rFonts w:ascii="Segoe UI" w:hAnsi="Segoe UI" w:cs="Segoe UI"/>
      <w:sz w:val="18"/>
      <w:szCs w:val="18"/>
    </w:rPr>
  </w:style>
  <w:style w:type="character" w:customStyle="1" w:styleId="Heading1Char">
    <w:name w:val="Heading 1 Char"/>
    <w:basedOn w:val="DefaultParagraphFont"/>
    <w:link w:val="Heading1"/>
    <w:uiPriority w:val="9"/>
    <w:rsid w:val="00F4487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44873"/>
    <w:rPr>
      <w:rFonts w:asciiTheme="majorHAnsi" w:eastAsiaTheme="majorEastAsia" w:hAnsiTheme="majorHAnsi" w:cstheme="majorBidi"/>
      <w:i/>
      <w:iCs/>
      <w:color w:val="2F5496" w:themeColor="accent1" w:themeShade="BF"/>
    </w:rPr>
  </w:style>
  <w:style w:type="table" w:customStyle="1" w:styleId="TableGrid1">
    <w:name w:val="Table Grid1"/>
    <w:basedOn w:val="TableNormal"/>
    <w:next w:val="TableGrid"/>
    <w:rsid w:val="00F44873"/>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4873"/>
    <w:rPr>
      <w:color w:val="808080"/>
    </w:rPr>
  </w:style>
  <w:style w:type="table" w:styleId="TableGrid">
    <w:name w:val="Table Grid"/>
    <w:basedOn w:val="TableNormal"/>
    <w:uiPriority w:val="39"/>
    <w:rsid w:val="00F44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F149C"/>
    <w:rPr>
      <w:b/>
      <w:bCs/>
    </w:rPr>
  </w:style>
  <w:style w:type="character" w:customStyle="1" w:styleId="CommentSubjectChar">
    <w:name w:val="Comment Subject Char"/>
    <w:basedOn w:val="CommentTextChar"/>
    <w:link w:val="CommentSubject"/>
    <w:uiPriority w:val="99"/>
    <w:semiHidden/>
    <w:rsid w:val="005F149C"/>
    <w:rPr>
      <w:b/>
      <w:bCs/>
      <w:sz w:val="20"/>
      <w:szCs w:val="20"/>
    </w:rPr>
  </w:style>
  <w:style w:type="paragraph" w:styleId="BodyText">
    <w:name w:val="Body Text"/>
    <w:basedOn w:val="Normal"/>
    <w:link w:val="BodyTextChar"/>
    <w:rsid w:val="00F1144C"/>
    <w:pPr>
      <w:tabs>
        <w:tab w:val="left" w:pos="567"/>
      </w:tabs>
      <w:spacing w:after="140" w:line="280" w:lineRule="atLeast"/>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F1144C"/>
    <w:rPr>
      <w:rFonts w:ascii="Arial" w:eastAsia="Times New Roman" w:hAnsi="Arial" w:cs="Times New Roman"/>
      <w:sz w:val="20"/>
      <w:szCs w:val="20"/>
      <w:lang w:val="x-none"/>
    </w:rPr>
  </w:style>
  <w:style w:type="paragraph" w:styleId="FootnoteText">
    <w:name w:val="footnote text"/>
    <w:basedOn w:val="Normal"/>
    <w:link w:val="FootnoteTextChar"/>
    <w:semiHidden/>
    <w:rsid w:val="00453396"/>
    <w:pPr>
      <w:tabs>
        <w:tab w:val="left" w:pos="567"/>
        <w:tab w:val="left" w:pos="1134"/>
        <w:tab w:val="left" w:pos="1701"/>
        <w:tab w:val="left" w:pos="2268"/>
      </w:tabs>
      <w:spacing w:after="120" w:line="240" w:lineRule="auto"/>
      <w:ind w:left="567" w:hanging="567"/>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53396"/>
    <w:rPr>
      <w:rFonts w:ascii="Times New Roman" w:eastAsia="Times New Roman" w:hAnsi="Times New Roman" w:cs="Times New Roman"/>
      <w:sz w:val="20"/>
      <w:szCs w:val="20"/>
      <w:lang w:eastAsia="en-GB"/>
    </w:rPr>
  </w:style>
  <w:style w:type="character" w:styleId="FootnoteReference">
    <w:name w:val="footnote reference"/>
    <w:aliases w:val="stylish"/>
    <w:semiHidden/>
    <w:rsid w:val="00453396"/>
    <w:rPr>
      <w:vertAlign w:val="superscript"/>
    </w:rPr>
  </w:style>
  <w:style w:type="character" w:styleId="Hyperlink">
    <w:name w:val="Hyperlink"/>
    <w:rsid w:val="00453396"/>
    <w:rPr>
      <w:rFonts w:ascii="Arial" w:hAnsi="Arial" w:cs="Arial"/>
      <w:color w:val="16288E"/>
      <w:u w:val="none"/>
    </w:rPr>
  </w:style>
  <w:style w:type="paragraph" w:customStyle="1" w:styleId="Indenta">
    <w:name w:val="Indent a"/>
    <w:basedOn w:val="Normal"/>
    <w:rsid w:val="009F0342"/>
    <w:pPr>
      <w:tabs>
        <w:tab w:val="left" w:pos="567"/>
        <w:tab w:val="left" w:pos="1134"/>
        <w:tab w:val="left" w:pos="1701"/>
        <w:tab w:val="left" w:pos="2268"/>
      </w:tabs>
      <w:spacing w:after="120" w:line="240" w:lineRule="auto"/>
      <w:ind w:left="1134" w:hanging="567"/>
    </w:pPr>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C22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4F9"/>
  </w:style>
  <w:style w:type="paragraph" w:styleId="Footer">
    <w:name w:val="footer"/>
    <w:aliases w:val="Footer1"/>
    <w:basedOn w:val="Normal"/>
    <w:link w:val="FooterChar"/>
    <w:uiPriority w:val="99"/>
    <w:unhideWhenUsed/>
    <w:rsid w:val="00C224F9"/>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C2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24909">
      <w:bodyDiv w:val="1"/>
      <w:marLeft w:val="0"/>
      <w:marRight w:val="0"/>
      <w:marTop w:val="0"/>
      <w:marBottom w:val="0"/>
      <w:divBdr>
        <w:top w:val="none" w:sz="0" w:space="0" w:color="auto"/>
        <w:left w:val="none" w:sz="0" w:space="0" w:color="auto"/>
        <w:bottom w:val="none" w:sz="0" w:space="0" w:color="auto"/>
        <w:right w:val="none" w:sz="0" w:space="0" w:color="auto"/>
      </w:divBdr>
    </w:div>
    <w:div w:id="18775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publications.europa.eu/en/publication-detail/-/publication/17af73d9-da70-4a46-a421-c62e3d1df6ce/language-en" TargetMode="External"/><Relationship Id="rId1" Type="http://schemas.openxmlformats.org/officeDocument/2006/relationships/hyperlink" Target="https://emea01.safelinks.protection.outlook.com/?url=https%3A%2F%2Fecha.europa.eu%2Fregistry-of-restriction-intentions%2F-%2Fdislist%2Fdetails%2F0b0236e18244cd73&amp;data=02%7C01%7Csaravanan.marappan%40beis.gov.uk%7C801a921c4cb341ac568508d6b1d25a6c%7Ccbac700502c143ebb497e6492d1b2dd8%7C0%7C0%7C636891914349063201&amp;sdata=fEoNJs3x3jxyMlTAQAqDpU%2BvwsyUqZQJ0LvyI%2Fr1JV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B6E4-7562-4F2C-B54F-AB234465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Saravan</dc:creator>
  <cp:lastModifiedBy>Barbara Middleton</cp:lastModifiedBy>
  <cp:revision>4</cp:revision>
  <cp:lastPrinted>2019-04-02T10:00:00Z</cp:lastPrinted>
  <dcterms:created xsi:type="dcterms:W3CDTF">2019-07-23T10:06:00Z</dcterms:created>
  <dcterms:modified xsi:type="dcterms:W3CDTF">2019-07-23T10:11:00Z</dcterms:modified>
</cp:coreProperties>
</file>