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F014" w14:textId="63ABF076" w:rsidR="00742516" w:rsidRPr="00742516" w:rsidRDefault="00742516" w:rsidP="00742516">
      <w:pPr>
        <w:tabs>
          <w:tab w:val="left" w:pos="567"/>
          <w:tab w:val="left" w:pos="1134"/>
          <w:tab w:val="left" w:pos="1701"/>
          <w:tab w:val="left" w:pos="2268"/>
        </w:tabs>
        <w:suppressAutoHyphens/>
        <w:spacing w:before="240" w:after="240" w:line="240" w:lineRule="auto"/>
        <w:rPr>
          <w:rFonts w:ascii="Calibri" w:eastAsia="Times New Roman" w:hAnsi="Calibri" w:cs="Arial"/>
          <w:b/>
          <w:bCs/>
          <w:sz w:val="32"/>
          <w:szCs w:val="32"/>
          <w:lang w:eastAsia="zh-CN"/>
        </w:rPr>
      </w:pPr>
      <w:r w:rsidRPr="00742516">
        <w:rPr>
          <w:rFonts w:ascii="Calibri" w:eastAsia="Times New Roman" w:hAnsi="Calibri" w:cs="Arial"/>
          <w:b/>
          <w:bCs/>
          <w:sz w:val="32"/>
          <w:szCs w:val="32"/>
          <w:lang w:eastAsia="zh-CN"/>
        </w:rPr>
        <w:t>Principles governing the framework for Cumulative Effects Assessment of offshore wind farm development</w:t>
      </w:r>
      <w:r>
        <w:rPr>
          <w:rFonts w:ascii="Calibri" w:eastAsia="Times New Roman" w:hAnsi="Calibri" w:cs="Arial"/>
          <w:b/>
          <w:bCs/>
          <w:sz w:val="32"/>
          <w:szCs w:val="32"/>
          <w:lang w:eastAsia="zh-CN"/>
        </w:rPr>
        <w:t xml:space="preserve"> (EIHA 2023 Summary Record, </w:t>
      </w:r>
      <w:r>
        <w:rPr>
          <w:rFonts w:ascii="Calibri" w:eastAsia="Times New Roman" w:hAnsi="Calibri" w:cs="Calibri"/>
          <w:b/>
          <w:bCs/>
          <w:sz w:val="32"/>
          <w:szCs w:val="32"/>
          <w:lang w:eastAsia="zh-CN"/>
        </w:rPr>
        <w:t>§</w:t>
      </w:r>
      <w:r>
        <w:rPr>
          <w:rFonts w:ascii="Calibri" w:eastAsia="Times New Roman" w:hAnsi="Calibri" w:cs="Arial"/>
          <w:b/>
          <w:bCs/>
          <w:sz w:val="32"/>
          <w:szCs w:val="32"/>
          <w:lang w:eastAsia="zh-CN"/>
        </w:rPr>
        <w:t xml:space="preserve"> </w:t>
      </w:r>
      <w:r w:rsidR="00975784">
        <w:rPr>
          <w:rFonts w:ascii="Calibri" w:eastAsia="Times New Roman" w:hAnsi="Calibri" w:cs="Arial"/>
          <w:b/>
          <w:bCs/>
          <w:sz w:val="32"/>
          <w:szCs w:val="32"/>
          <w:lang w:eastAsia="zh-CN"/>
        </w:rPr>
        <w:t>8.7)</w:t>
      </w:r>
    </w:p>
    <w:p w14:paraId="2440ABEC" w14:textId="77777777" w:rsidR="00742516" w:rsidRDefault="00742516" w:rsidP="00742516">
      <w:pPr>
        <w:tabs>
          <w:tab w:val="left" w:pos="567"/>
          <w:tab w:val="left" w:pos="1134"/>
          <w:tab w:val="left" w:pos="1701"/>
          <w:tab w:val="left" w:pos="2268"/>
        </w:tabs>
        <w:spacing w:after="120" w:line="240" w:lineRule="auto"/>
        <w:jc w:val="both"/>
        <w:rPr>
          <w:rFonts w:ascii="Calibri" w:eastAsia="MS Mincho" w:hAnsi="Calibri" w:cs="Times New Roman"/>
          <w:szCs w:val="20"/>
          <w:lang w:eastAsia="en-GB"/>
        </w:rPr>
      </w:pPr>
    </w:p>
    <w:p w14:paraId="63B61F8E" w14:textId="3EAE9EEC" w:rsidR="00742516" w:rsidRDefault="00742516" w:rsidP="00742516">
      <w:pPr>
        <w:tabs>
          <w:tab w:val="left" w:pos="567"/>
          <w:tab w:val="left" w:pos="1134"/>
          <w:tab w:val="left" w:pos="1701"/>
          <w:tab w:val="left" w:pos="2268"/>
        </w:tabs>
        <w:spacing w:after="120" w:line="240" w:lineRule="auto"/>
        <w:jc w:val="both"/>
        <w:rPr>
          <w:rFonts w:ascii="Calibri" w:eastAsia="MS Mincho" w:hAnsi="Calibri" w:cs="Times New Roman"/>
          <w:szCs w:val="20"/>
          <w:lang w:eastAsia="en-GB"/>
        </w:rPr>
      </w:pPr>
      <w:r w:rsidRPr="00742516">
        <w:rPr>
          <w:rFonts w:ascii="Calibri" w:eastAsia="MS Mincho" w:hAnsi="Calibri" w:cs="Times New Roman"/>
          <w:szCs w:val="20"/>
          <w:lang w:eastAsia="en-GB"/>
        </w:rPr>
        <w:t>The following principles governing the C</w:t>
      </w:r>
      <w:r>
        <w:rPr>
          <w:rFonts w:ascii="Calibri" w:eastAsia="MS Mincho" w:hAnsi="Calibri" w:cs="Times New Roman"/>
          <w:szCs w:val="20"/>
          <w:lang w:eastAsia="en-GB"/>
        </w:rPr>
        <w:t xml:space="preserve">umulative Effects Assessment (CEA) </w:t>
      </w:r>
      <w:r w:rsidRPr="00742516">
        <w:rPr>
          <w:rFonts w:ascii="Calibri" w:eastAsia="MS Mincho" w:hAnsi="Calibri" w:cs="Times New Roman"/>
          <w:szCs w:val="20"/>
          <w:lang w:eastAsia="en-GB"/>
        </w:rPr>
        <w:t xml:space="preserve">framework have been adopted by ICG-ORED: </w:t>
      </w:r>
    </w:p>
    <w:p w14:paraId="42683A4B" w14:textId="77777777" w:rsidR="00C5394F" w:rsidRPr="00742516" w:rsidRDefault="00C5394F" w:rsidP="00742516">
      <w:pPr>
        <w:tabs>
          <w:tab w:val="left" w:pos="567"/>
          <w:tab w:val="left" w:pos="1134"/>
          <w:tab w:val="left" w:pos="1701"/>
          <w:tab w:val="left" w:pos="2268"/>
        </w:tabs>
        <w:spacing w:after="120" w:line="240" w:lineRule="auto"/>
        <w:jc w:val="both"/>
        <w:rPr>
          <w:rFonts w:ascii="Calibri" w:eastAsia="MS Mincho" w:hAnsi="Calibri" w:cs="Times New Roman"/>
          <w:szCs w:val="20"/>
          <w:lang w:eastAsia="en-GB"/>
        </w:rPr>
      </w:pPr>
    </w:p>
    <w:p w14:paraId="5CE575E2" w14:textId="77777777" w:rsidR="00742516" w:rsidRPr="00742516" w:rsidRDefault="00742516" w:rsidP="00C5394F">
      <w:pPr>
        <w:numPr>
          <w:ilvl w:val="0"/>
          <w:numId w:val="3"/>
        </w:numPr>
        <w:tabs>
          <w:tab w:val="left" w:pos="0"/>
          <w:tab w:val="left" w:pos="567"/>
          <w:tab w:val="left" w:pos="1134"/>
          <w:tab w:val="left" w:pos="1701"/>
          <w:tab w:val="left" w:pos="2268"/>
        </w:tabs>
        <w:suppressAutoHyphens/>
        <w:spacing w:after="120" w:line="276" w:lineRule="auto"/>
        <w:contextualSpacing/>
        <w:jc w:val="both"/>
        <w:rPr>
          <w:rFonts w:ascii="Calibri" w:eastAsia="MS Mincho" w:hAnsi="Calibri" w:cs="Calibri"/>
          <w:lang w:eastAsia="en-GB"/>
        </w:rPr>
      </w:pPr>
      <w:r w:rsidRPr="00742516">
        <w:rPr>
          <w:rFonts w:ascii="Calibri" w:eastAsia="MS Mincho" w:hAnsi="Calibri" w:cs="Calibri"/>
          <w:lang w:eastAsia="en-GB"/>
        </w:rPr>
        <w:t xml:space="preserve">The results of the CEA should be used to elaborate recommendations on additional OSPAR measures to protect the marine environment. </w:t>
      </w:r>
    </w:p>
    <w:p w14:paraId="69E83D22" w14:textId="426B9440" w:rsidR="00742516" w:rsidRPr="00742516" w:rsidRDefault="00742516" w:rsidP="00C5394F">
      <w:pPr>
        <w:numPr>
          <w:ilvl w:val="0"/>
          <w:numId w:val="3"/>
        </w:numPr>
        <w:tabs>
          <w:tab w:val="left" w:pos="0"/>
          <w:tab w:val="left" w:pos="567"/>
          <w:tab w:val="left" w:pos="1134"/>
          <w:tab w:val="left" w:pos="1701"/>
          <w:tab w:val="left" w:pos="2268"/>
        </w:tabs>
        <w:suppressAutoHyphens/>
        <w:spacing w:after="120" w:line="276" w:lineRule="auto"/>
        <w:contextualSpacing/>
        <w:jc w:val="both"/>
        <w:rPr>
          <w:rFonts w:ascii="Arial" w:eastAsia="MS Mincho" w:hAnsi="Arial" w:cs="Calibri"/>
          <w:lang w:eastAsia="en-GB"/>
        </w:rPr>
      </w:pPr>
      <w:r w:rsidRPr="00742516">
        <w:rPr>
          <w:rFonts w:ascii="Calibri" w:eastAsia="MS Mincho" w:hAnsi="Calibri" w:cs="Calibri"/>
          <w:lang w:eastAsia="en-GB"/>
        </w:rPr>
        <w:t xml:space="preserve">The work of ICG-ORED in general and the CEA framework </w:t>
      </w:r>
      <w:proofErr w:type="gramStart"/>
      <w:r w:rsidRPr="00742516">
        <w:rPr>
          <w:rFonts w:ascii="Calibri" w:eastAsia="MS Mincho" w:hAnsi="Calibri" w:cs="Calibri"/>
          <w:lang w:eastAsia="en-GB"/>
        </w:rPr>
        <w:t>in particular must</w:t>
      </w:r>
      <w:proofErr w:type="gramEnd"/>
      <w:r w:rsidRPr="00742516">
        <w:rPr>
          <w:rFonts w:ascii="Calibri" w:eastAsia="MS Mincho" w:hAnsi="Calibri" w:cs="Calibri"/>
          <w:lang w:eastAsia="en-GB"/>
        </w:rPr>
        <w:t xml:space="preserve"> abide by the OSPAR overarching principles.</w:t>
      </w:r>
      <w:r>
        <w:rPr>
          <w:rStyle w:val="FootnoteReference"/>
          <w:rFonts w:ascii="Calibri" w:eastAsia="MS Mincho" w:hAnsi="Calibri" w:cs="Calibri"/>
          <w:lang w:eastAsia="en-GB"/>
        </w:rPr>
        <w:footnoteReference w:id="1"/>
      </w:r>
    </w:p>
    <w:p w14:paraId="0D7E3FFC" w14:textId="77777777" w:rsidR="00742516" w:rsidRPr="00742516" w:rsidRDefault="00742516" w:rsidP="00C5394F">
      <w:pPr>
        <w:numPr>
          <w:ilvl w:val="0"/>
          <w:numId w:val="3"/>
        </w:numPr>
        <w:tabs>
          <w:tab w:val="left" w:pos="0"/>
          <w:tab w:val="left" w:pos="567"/>
          <w:tab w:val="left" w:pos="1134"/>
          <w:tab w:val="left" w:pos="1701"/>
          <w:tab w:val="left" w:pos="2268"/>
        </w:tabs>
        <w:suppressAutoHyphens/>
        <w:spacing w:after="120" w:line="276" w:lineRule="auto"/>
        <w:contextualSpacing/>
        <w:jc w:val="both"/>
        <w:rPr>
          <w:rFonts w:ascii="Arial" w:eastAsia="MS Mincho" w:hAnsi="Arial" w:cs="Times New Roman"/>
          <w:lang w:val="en-US" w:eastAsia="en-GB"/>
        </w:rPr>
      </w:pPr>
      <w:r w:rsidRPr="00742516">
        <w:rPr>
          <w:rFonts w:ascii="Calibri" w:eastAsia="MS Mincho" w:hAnsi="Calibri" w:cs="Calibri"/>
          <w:lang w:eastAsia="en-GB"/>
        </w:rPr>
        <w:t>The effects assessment should be based on the DAPSIR framework including a pathway approach based on spatial information.</w:t>
      </w:r>
    </w:p>
    <w:p w14:paraId="3F6958F9" w14:textId="77777777" w:rsidR="00742516" w:rsidRDefault="00742516" w:rsidP="00C5394F">
      <w:pPr>
        <w:numPr>
          <w:ilvl w:val="0"/>
          <w:numId w:val="3"/>
        </w:numPr>
        <w:tabs>
          <w:tab w:val="left" w:pos="0"/>
          <w:tab w:val="left" w:pos="567"/>
          <w:tab w:val="left" w:pos="1134"/>
          <w:tab w:val="left" w:pos="1701"/>
          <w:tab w:val="left" w:pos="2268"/>
        </w:tabs>
        <w:suppressAutoHyphens/>
        <w:spacing w:after="120" w:line="276" w:lineRule="auto"/>
        <w:contextualSpacing/>
        <w:jc w:val="both"/>
        <w:rPr>
          <w:rFonts w:ascii="Calibri" w:eastAsia="MS Mincho" w:hAnsi="Calibri" w:cs="Calibri"/>
          <w:lang w:eastAsia="en-GB"/>
        </w:rPr>
      </w:pPr>
      <w:r w:rsidRPr="00742516">
        <w:rPr>
          <w:rFonts w:ascii="Calibri" w:eastAsia="MS Mincho" w:hAnsi="Calibri" w:cs="Calibri"/>
          <w:lang w:eastAsia="en-GB"/>
        </w:rPr>
        <w:t>The description of effects should be based on the most recent publicly available knowledge and the following underlying principles:</w:t>
      </w:r>
    </w:p>
    <w:p w14:paraId="3C790F3C" w14:textId="77777777" w:rsidR="00C5394F" w:rsidRPr="00742516" w:rsidRDefault="00C5394F" w:rsidP="00C5394F">
      <w:pPr>
        <w:tabs>
          <w:tab w:val="left" w:pos="0"/>
          <w:tab w:val="left" w:pos="567"/>
          <w:tab w:val="left" w:pos="1134"/>
          <w:tab w:val="left" w:pos="1701"/>
          <w:tab w:val="left" w:pos="2268"/>
        </w:tabs>
        <w:suppressAutoHyphens/>
        <w:spacing w:after="120" w:line="276" w:lineRule="auto"/>
        <w:ind w:left="360"/>
        <w:contextualSpacing/>
        <w:jc w:val="both"/>
        <w:rPr>
          <w:rFonts w:ascii="Calibri" w:eastAsia="MS Mincho" w:hAnsi="Calibri" w:cs="Calibri"/>
          <w:lang w:eastAsia="en-GB"/>
        </w:rPr>
      </w:pPr>
    </w:p>
    <w:p w14:paraId="47872BA9"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 xml:space="preserve">transparency about knowledge gaps and assumptions and use of expert judgements to address knowledge </w:t>
      </w:r>
      <w:proofErr w:type="gramStart"/>
      <w:r w:rsidRPr="00742516">
        <w:rPr>
          <w:rFonts w:ascii="Calibri" w:eastAsia="Times New Roman" w:hAnsi="Calibri" w:cs="Calibri"/>
          <w:szCs w:val="20"/>
          <w:lang w:eastAsia="en-GB"/>
        </w:rPr>
        <w:t>gaps;</w:t>
      </w:r>
      <w:proofErr w:type="gramEnd"/>
    </w:p>
    <w:p w14:paraId="27A2DF1E"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 xml:space="preserve">use of the precautionary principle assuming a realistic worst-case approach within the range of expected </w:t>
      </w:r>
      <w:proofErr w:type="gramStart"/>
      <w:r w:rsidRPr="00742516">
        <w:rPr>
          <w:rFonts w:ascii="Calibri" w:eastAsia="Times New Roman" w:hAnsi="Calibri" w:cs="Calibri"/>
          <w:szCs w:val="20"/>
          <w:lang w:eastAsia="en-GB"/>
        </w:rPr>
        <w:t>developments;</w:t>
      </w:r>
      <w:proofErr w:type="gramEnd"/>
    </w:p>
    <w:p w14:paraId="2E564AE1"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absolute clarity about the geographical scale and time horizon of the calculated effects; and</w:t>
      </w:r>
    </w:p>
    <w:p w14:paraId="3F83706E"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focus on species that are expected to suffer significant negative effects.</w:t>
      </w:r>
    </w:p>
    <w:p w14:paraId="307D0BDF" w14:textId="77777777" w:rsidR="00742516" w:rsidRPr="00742516" w:rsidRDefault="00742516" w:rsidP="00742516">
      <w:pPr>
        <w:tabs>
          <w:tab w:val="left" w:pos="0"/>
        </w:tabs>
        <w:spacing w:after="120" w:line="276" w:lineRule="auto"/>
        <w:jc w:val="both"/>
        <w:rPr>
          <w:rFonts w:ascii="Calibri" w:eastAsia="MS Mincho" w:hAnsi="Calibri" w:cs="Calibri"/>
          <w:lang w:eastAsia="en-GB"/>
        </w:rPr>
      </w:pPr>
    </w:p>
    <w:p w14:paraId="483D30AB" w14:textId="77777777" w:rsidR="00742516" w:rsidRPr="00742516" w:rsidRDefault="00742516" w:rsidP="00742516">
      <w:pPr>
        <w:tabs>
          <w:tab w:val="left" w:pos="0"/>
        </w:tabs>
        <w:spacing w:after="120" w:line="276" w:lineRule="auto"/>
        <w:jc w:val="both"/>
        <w:rPr>
          <w:rFonts w:ascii="Calibri" w:eastAsia="MS Mincho" w:hAnsi="Calibri" w:cs="Calibri"/>
          <w:lang w:eastAsia="en-GB"/>
        </w:rPr>
      </w:pPr>
      <w:r w:rsidRPr="00742516">
        <w:rPr>
          <w:rFonts w:ascii="Calibri" w:eastAsia="MS Mincho" w:hAnsi="Calibri" w:cs="Calibri"/>
          <w:lang w:eastAsia="en-GB"/>
        </w:rPr>
        <w:t>In what concerns the development of the CEA framework and its subsequent assessments, including, in a first step, the bird pilot, the following has been agreed:</w:t>
      </w:r>
    </w:p>
    <w:p w14:paraId="6E80F4F9" w14:textId="77777777" w:rsidR="00742516" w:rsidRPr="00742516" w:rsidRDefault="00742516" w:rsidP="00742516">
      <w:pPr>
        <w:numPr>
          <w:ilvl w:val="0"/>
          <w:numId w:val="2"/>
        </w:numPr>
        <w:tabs>
          <w:tab w:val="left" w:pos="0"/>
          <w:tab w:val="left" w:pos="567"/>
          <w:tab w:val="left" w:pos="1134"/>
          <w:tab w:val="left" w:pos="1701"/>
          <w:tab w:val="left" w:pos="2268"/>
        </w:tabs>
        <w:suppressAutoHyphens/>
        <w:spacing w:after="120" w:line="276" w:lineRule="auto"/>
        <w:jc w:val="both"/>
        <w:rPr>
          <w:rFonts w:ascii="Calibri" w:eastAsia="MS Mincho" w:hAnsi="Calibri" w:cs="Calibri"/>
          <w:lang w:eastAsia="en-GB"/>
        </w:rPr>
      </w:pPr>
      <w:r w:rsidRPr="00742516">
        <w:rPr>
          <w:rFonts w:ascii="Calibri" w:eastAsia="MS Mincho" w:hAnsi="Calibri" w:cs="Calibri"/>
          <w:lang w:eastAsia="en-GB"/>
        </w:rPr>
        <w:t xml:space="preserve">The framework should be applicable within the entire OSPAR area, but separate assessments could be carried out for each of the OSPAR sub-areas. The selection of sub-areas in the first phase should be done as part of the bird pilot. </w:t>
      </w:r>
    </w:p>
    <w:p w14:paraId="6442E107" w14:textId="77777777" w:rsidR="00742516" w:rsidRPr="00742516" w:rsidRDefault="00742516" w:rsidP="00742516">
      <w:pPr>
        <w:numPr>
          <w:ilvl w:val="0"/>
          <w:numId w:val="2"/>
        </w:numPr>
        <w:tabs>
          <w:tab w:val="left" w:pos="0"/>
          <w:tab w:val="left" w:pos="567"/>
          <w:tab w:val="left" w:pos="1134"/>
          <w:tab w:val="left" w:pos="1701"/>
          <w:tab w:val="left" w:pos="2268"/>
        </w:tabs>
        <w:suppressAutoHyphens/>
        <w:spacing w:after="120" w:line="276" w:lineRule="auto"/>
        <w:jc w:val="both"/>
        <w:rPr>
          <w:rFonts w:ascii="Arial" w:eastAsia="MS Mincho" w:hAnsi="Arial" w:cs="Times New Roman"/>
          <w:lang w:val="en-US" w:eastAsia="en-GB"/>
        </w:rPr>
      </w:pPr>
      <w:r w:rsidRPr="00742516">
        <w:rPr>
          <w:rFonts w:ascii="Calibri" w:eastAsia="MS Mincho" w:hAnsi="Calibri" w:cs="Calibri"/>
          <w:lang w:eastAsia="en-GB"/>
        </w:rPr>
        <w:t xml:space="preserve">The development of the CEA framework will be done in a </w:t>
      </w:r>
      <w:proofErr w:type="gramStart"/>
      <w:r w:rsidRPr="00742516">
        <w:rPr>
          <w:rFonts w:ascii="Calibri" w:eastAsia="MS Mincho" w:hAnsi="Calibri" w:cs="Calibri"/>
          <w:lang w:eastAsia="en-GB"/>
        </w:rPr>
        <w:t>step-wise</w:t>
      </w:r>
      <w:proofErr w:type="gramEnd"/>
      <w:r w:rsidRPr="00742516">
        <w:rPr>
          <w:rFonts w:ascii="Calibri" w:eastAsia="MS Mincho" w:hAnsi="Calibri" w:cs="Calibri"/>
          <w:lang w:eastAsia="en-GB"/>
        </w:rPr>
        <w:t xml:space="preserve"> manner:</w:t>
      </w:r>
      <w:r w:rsidRPr="00742516">
        <w:rPr>
          <w:rFonts w:ascii="Calibri" w:eastAsia="MS Mincho" w:hAnsi="Calibri" w:cs="Calibri"/>
          <w:vertAlign w:val="superscript"/>
          <w:lang w:eastAsia="en-GB"/>
        </w:rPr>
        <w:footnoteReference w:id="2"/>
      </w:r>
    </w:p>
    <w:p w14:paraId="74BFAB06"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in a first phase, include one activity (offshore wind energy) and associated pressures, and one receptor (birds, including seabirds and migratory birds</w:t>
      </w:r>
      <w:proofErr w:type="gramStart"/>
      <w:r w:rsidRPr="00742516">
        <w:rPr>
          <w:rFonts w:ascii="Calibri" w:eastAsia="Times New Roman" w:hAnsi="Calibri" w:cs="Calibri"/>
          <w:szCs w:val="20"/>
          <w:lang w:eastAsia="en-GB"/>
        </w:rPr>
        <w:t>);</w:t>
      </w:r>
      <w:proofErr w:type="gramEnd"/>
    </w:p>
    <w:p w14:paraId="7810EB14"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t>in a second phase, add other receptors; and</w:t>
      </w:r>
    </w:p>
    <w:p w14:paraId="3C175FAB" w14:textId="77777777" w:rsidR="00742516" w:rsidRPr="00742516" w:rsidRDefault="00742516" w:rsidP="00742516">
      <w:pPr>
        <w:numPr>
          <w:ilvl w:val="0"/>
          <w:numId w:val="1"/>
        </w:numPr>
        <w:tabs>
          <w:tab w:val="left" w:pos="567"/>
          <w:tab w:val="left" w:pos="1134"/>
          <w:tab w:val="left" w:pos="1701"/>
          <w:tab w:val="left" w:pos="2268"/>
        </w:tabs>
        <w:suppressAutoHyphens/>
        <w:spacing w:after="120" w:line="240" w:lineRule="auto"/>
        <w:contextualSpacing/>
        <w:jc w:val="both"/>
        <w:rPr>
          <w:rFonts w:ascii="Calibri" w:eastAsia="Times New Roman" w:hAnsi="Calibri" w:cs="Calibri"/>
          <w:szCs w:val="20"/>
          <w:lang w:eastAsia="en-GB"/>
        </w:rPr>
      </w:pPr>
      <w:r w:rsidRPr="00742516">
        <w:rPr>
          <w:rFonts w:ascii="Calibri" w:eastAsia="Times New Roman" w:hAnsi="Calibri" w:cs="Calibri"/>
          <w:szCs w:val="20"/>
          <w:lang w:eastAsia="en-GB"/>
        </w:rPr>
        <w:lastRenderedPageBreak/>
        <w:t>in a third phase, add other stressors that together with offshore wind may affect the receptors of interest. Only stressors that are directly or indirectly related to offshore wind developments are to be considered.</w:t>
      </w:r>
      <w:r w:rsidRPr="00742516">
        <w:rPr>
          <w:rFonts w:ascii="Calibri" w:eastAsia="Times New Roman" w:hAnsi="Calibri" w:cs="Calibri"/>
          <w:szCs w:val="20"/>
          <w:vertAlign w:val="superscript"/>
          <w:lang w:eastAsia="en-GB"/>
        </w:rPr>
        <w:footnoteReference w:id="3"/>
      </w:r>
    </w:p>
    <w:p w14:paraId="67BDF145" w14:textId="77777777" w:rsidR="00742516" w:rsidRPr="00742516" w:rsidRDefault="00742516" w:rsidP="00742516">
      <w:pPr>
        <w:numPr>
          <w:ilvl w:val="0"/>
          <w:numId w:val="2"/>
        </w:numPr>
        <w:tabs>
          <w:tab w:val="left" w:pos="0"/>
          <w:tab w:val="left" w:pos="567"/>
          <w:tab w:val="left" w:pos="1134"/>
          <w:tab w:val="left" w:pos="1701"/>
          <w:tab w:val="left" w:pos="2268"/>
        </w:tabs>
        <w:suppressAutoHyphens/>
        <w:spacing w:after="120" w:line="276" w:lineRule="auto"/>
        <w:jc w:val="both"/>
        <w:rPr>
          <w:rFonts w:ascii="Arial" w:eastAsia="MS Mincho" w:hAnsi="Arial" w:cs="Times New Roman"/>
          <w:lang w:eastAsia="en-GB"/>
        </w:rPr>
      </w:pPr>
      <w:r w:rsidRPr="00742516">
        <w:rPr>
          <w:rFonts w:ascii="Calibri" w:eastAsia="MS Mincho" w:hAnsi="Calibri" w:cs="Calibri"/>
          <w:lang w:eastAsia="en-GB"/>
        </w:rPr>
        <w:t xml:space="preserve">The assessment should consider two </w:t>
      </w:r>
      <w:proofErr w:type="gramStart"/>
      <w:r w:rsidRPr="00742516">
        <w:rPr>
          <w:rFonts w:ascii="Calibri" w:eastAsia="MS Mincho" w:hAnsi="Calibri" w:cs="Calibri"/>
          <w:lang w:eastAsia="en-GB"/>
        </w:rPr>
        <w:t>time-frames</w:t>
      </w:r>
      <w:proofErr w:type="gramEnd"/>
      <w:r w:rsidRPr="00742516">
        <w:rPr>
          <w:rFonts w:ascii="Calibri" w:eastAsia="MS Mincho" w:hAnsi="Calibri" w:cs="Calibri"/>
          <w:lang w:eastAsia="en-GB"/>
        </w:rPr>
        <w:t>: up to 2030 and beyond 2030, in line with the development of scenarios, which is carried out in parallel.</w:t>
      </w:r>
    </w:p>
    <w:p w14:paraId="0AA877BB" w14:textId="6B04A210" w:rsidR="00AD5586" w:rsidRDefault="00AD5586">
      <w:pPr>
        <w:rPr>
          <w:rFonts w:ascii="Calibri" w:hAnsi="Calibri" w:cs="Calibri"/>
          <w:b/>
          <w:bCs/>
          <w:color w:val="000000" w:themeColor="text1"/>
          <w:kern w:val="20"/>
          <w:sz w:val="24"/>
          <w:szCs w:val="20"/>
          <w:lang w:val="en-US" w:eastAsia="ja-JP"/>
        </w:rPr>
      </w:pPr>
      <w:r>
        <w:rPr>
          <w:rFonts w:ascii="Calibri" w:hAnsi="Calibri" w:cs="Calibri"/>
          <w:b/>
          <w:bCs/>
          <w:color w:val="000000" w:themeColor="text1"/>
          <w:kern w:val="20"/>
          <w:sz w:val="24"/>
          <w:szCs w:val="20"/>
          <w:lang w:val="en-US" w:eastAsia="ja-JP"/>
        </w:rPr>
        <w:br w:type="page"/>
      </w:r>
    </w:p>
    <w:p w14:paraId="40AEEC7A" w14:textId="77777777" w:rsidR="00742516" w:rsidRDefault="00742516">
      <w:pPr>
        <w:rPr>
          <w:rFonts w:ascii="Calibri" w:hAnsi="Calibri" w:cs="Calibri"/>
          <w:b/>
          <w:bCs/>
          <w:color w:val="000000" w:themeColor="text1"/>
          <w:kern w:val="20"/>
          <w:sz w:val="24"/>
          <w:szCs w:val="20"/>
          <w:lang w:val="en-US" w:eastAsia="ja-JP"/>
        </w:rPr>
      </w:pPr>
    </w:p>
    <w:p w14:paraId="161B7B68" w14:textId="77777777" w:rsidR="00742516" w:rsidRDefault="00742516">
      <w:pPr>
        <w:rPr>
          <w:rFonts w:ascii="Calibri" w:hAnsi="Calibri" w:cs="Calibri"/>
          <w:b/>
          <w:bCs/>
          <w:color w:val="000000" w:themeColor="text1"/>
          <w:kern w:val="20"/>
          <w:sz w:val="24"/>
          <w:szCs w:val="20"/>
          <w:lang w:val="en-US" w:eastAsia="ja-JP"/>
        </w:rPr>
      </w:pPr>
    </w:p>
    <w:p w14:paraId="11B56C3B" w14:textId="0FBD1DE8" w:rsidR="00742516" w:rsidRPr="00742516" w:rsidRDefault="00742516">
      <w:pPr>
        <w:rPr>
          <w:rFonts w:ascii="Calibri" w:hAnsi="Calibri" w:cs="Calibri"/>
          <w:color w:val="000000" w:themeColor="text1"/>
          <w:kern w:val="20"/>
          <w:sz w:val="20"/>
          <w:szCs w:val="20"/>
          <w:lang w:val="en-US" w:eastAsia="ja-JP"/>
        </w:rPr>
      </w:pPr>
      <w:r w:rsidRPr="00742516">
        <w:rPr>
          <w:rFonts w:ascii="Calibri" w:hAnsi="Calibri" w:cs="Calibri"/>
          <w:color w:val="000000" w:themeColor="text1"/>
          <w:kern w:val="20"/>
          <w:sz w:val="20"/>
          <w:szCs w:val="20"/>
          <w:lang w:val="en-US" w:eastAsia="ja-JP"/>
        </w:rPr>
        <w:t>These include the application of the ecosystem approach, the precautionary principles, the polluter pays principle and the application of best available technique and best environmental practice, as well as the principle that preventive action should be taken, the principle of sustainable development, including circular economy approaches, and the principle that priority is given to environmental damage being rectified at source.</w:t>
      </w:r>
    </w:p>
    <w:p w14:paraId="2BCA2531" w14:textId="77777777" w:rsidR="00676134" w:rsidRPr="00960E47" w:rsidRDefault="00676134" w:rsidP="00960E47">
      <w:pPr>
        <w:rPr>
          <w:rFonts w:ascii="Calibri" w:hAnsi="Calibri" w:cs="Calibri"/>
          <w:b/>
          <w:bCs/>
          <w:color w:val="000000" w:themeColor="text1"/>
          <w:kern w:val="20"/>
          <w:sz w:val="24"/>
          <w:szCs w:val="20"/>
          <w:lang w:val="en-US" w:eastAsia="ja-JP"/>
        </w:rPr>
      </w:pPr>
    </w:p>
    <w:sectPr w:rsidR="00676134" w:rsidRPr="00960E47" w:rsidSect="000E05F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099C" w14:textId="77777777" w:rsidR="00F654B5" w:rsidRDefault="00F654B5" w:rsidP="00E00C28">
      <w:pPr>
        <w:spacing w:after="0" w:line="240" w:lineRule="auto"/>
      </w:pPr>
      <w:r>
        <w:separator/>
      </w:r>
    </w:p>
  </w:endnote>
  <w:endnote w:type="continuationSeparator" w:id="0">
    <w:p w14:paraId="17A1B34A" w14:textId="77777777" w:rsidR="00F654B5" w:rsidRDefault="00F654B5" w:rsidP="00E0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65F9" w14:textId="41C1BDF9" w:rsidR="000A29DD" w:rsidRDefault="00501AD9">
    <w:pPr>
      <w:pStyle w:val="Footer"/>
    </w:pPr>
    <w:r>
      <w:rPr>
        <w:noProof/>
      </w:rPr>
      <w:drawing>
        <wp:inline distT="0" distB="0" distL="0" distR="0" wp14:anchorId="40A1CE5A" wp14:editId="1270E07A">
          <wp:extent cx="6120130" cy="260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0985"/>
                  </a:xfrm>
                  <a:prstGeom prst="rect">
                    <a:avLst/>
                  </a:prstGeom>
                  <a:noFill/>
                  <a:ln>
                    <a:noFill/>
                  </a:ln>
                </pic:spPr>
              </pic:pic>
            </a:graphicData>
          </a:graphic>
        </wp:inline>
      </w:drawing>
    </w:r>
    <w:r w:rsidR="000A29DD" w:rsidRPr="000A29DD">
      <w:rPr>
        <w:noProof/>
        <w:lang w:val="da-DK" w:eastAsia="da-DK"/>
      </w:rPr>
      <w:drawing>
        <wp:anchor distT="0" distB="0" distL="114300" distR="114300" simplePos="0" relativeHeight="251664384" behindDoc="0" locked="0" layoutInCell="1" allowOverlap="1" wp14:anchorId="071F2767" wp14:editId="708938C0">
          <wp:simplePos x="0" y="0"/>
          <wp:positionH relativeFrom="page">
            <wp:posOffset>-138989</wp:posOffset>
          </wp:positionH>
          <wp:positionV relativeFrom="paragraph">
            <wp:posOffset>395656</wp:posOffset>
          </wp:positionV>
          <wp:extent cx="9300210" cy="431165"/>
          <wp:effectExtent l="0" t="0" r="0"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300210" cy="4311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E4FE" w14:textId="783B1D8F" w:rsidR="00BB3D05" w:rsidRDefault="008D1153">
    <w:pPr>
      <w:pStyle w:val="Footer"/>
    </w:pPr>
    <w:r w:rsidRPr="000A29DD">
      <w:rPr>
        <w:noProof/>
        <w:lang w:val="da-DK" w:eastAsia="da-DK"/>
      </w:rPr>
      <w:drawing>
        <wp:anchor distT="0" distB="0" distL="114300" distR="114300" simplePos="0" relativeHeight="251666432" behindDoc="0" locked="0" layoutInCell="1" allowOverlap="1" wp14:anchorId="0EE9F5F5" wp14:editId="631D8C38">
          <wp:simplePos x="0" y="0"/>
          <wp:positionH relativeFrom="page">
            <wp:posOffset>-171450</wp:posOffset>
          </wp:positionH>
          <wp:positionV relativeFrom="paragraph">
            <wp:posOffset>381000</wp:posOffset>
          </wp:positionV>
          <wp:extent cx="9300210" cy="4311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00210" cy="4311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6F7C" w14:textId="6C22EC4C" w:rsidR="000A29DD" w:rsidRPr="000A29DD" w:rsidRDefault="00501AD9" w:rsidP="000A29DD">
    <w:pPr>
      <w:pStyle w:val="Footer"/>
    </w:pPr>
    <w:r>
      <w:rPr>
        <w:noProof/>
      </w:rPr>
      <w:drawing>
        <wp:inline distT="0" distB="0" distL="0" distR="0" wp14:anchorId="12D00D02" wp14:editId="23FD26AF">
          <wp:extent cx="6120130" cy="2609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0985"/>
                  </a:xfrm>
                  <a:prstGeom prst="rect">
                    <a:avLst/>
                  </a:prstGeom>
                  <a:noFill/>
                  <a:ln>
                    <a:noFill/>
                  </a:ln>
                </pic:spPr>
              </pic:pic>
            </a:graphicData>
          </a:graphic>
        </wp:inline>
      </w:drawing>
    </w:r>
    <w:r w:rsidR="000A29DD" w:rsidRPr="000A29DD">
      <w:rPr>
        <w:noProof/>
        <w:lang w:val="da-DK" w:eastAsia="da-DK"/>
      </w:rPr>
      <w:drawing>
        <wp:anchor distT="0" distB="0" distL="114300" distR="114300" simplePos="0" relativeHeight="251662336" behindDoc="0" locked="0" layoutInCell="1" allowOverlap="1" wp14:anchorId="25D853BA" wp14:editId="09F7AE26">
          <wp:simplePos x="0" y="0"/>
          <wp:positionH relativeFrom="margin">
            <wp:posOffset>-2349525</wp:posOffset>
          </wp:positionH>
          <wp:positionV relativeFrom="paragraph">
            <wp:posOffset>388468</wp:posOffset>
          </wp:positionV>
          <wp:extent cx="9300210" cy="4311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300210" cy="4311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D894" w14:textId="77777777" w:rsidR="00F654B5" w:rsidRDefault="00F654B5" w:rsidP="00E00C28">
      <w:pPr>
        <w:spacing w:after="0" w:line="240" w:lineRule="auto"/>
      </w:pPr>
      <w:r>
        <w:separator/>
      </w:r>
    </w:p>
  </w:footnote>
  <w:footnote w:type="continuationSeparator" w:id="0">
    <w:p w14:paraId="5049A112" w14:textId="77777777" w:rsidR="00F654B5" w:rsidRDefault="00F654B5" w:rsidP="00E00C28">
      <w:pPr>
        <w:spacing w:after="0" w:line="240" w:lineRule="auto"/>
      </w:pPr>
      <w:r>
        <w:continuationSeparator/>
      </w:r>
    </w:p>
  </w:footnote>
  <w:footnote w:id="1">
    <w:p w14:paraId="3423346A" w14:textId="33FD4468" w:rsidR="00742516" w:rsidRDefault="00742516">
      <w:pPr>
        <w:pStyle w:val="FootnoteText"/>
      </w:pPr>
      <w:r>
        <w:rPr>
          <w:rStyle w:val="FootnoteReference"/>
        </w:rPr>
        <w:footnoteRef/>
      </w:r>
      <w:r>
        <w:t xml:space="preserve"> </w:t>
      </w:r>
      <w:r w:rsidRPr="00742516">
        <w:t>These include the application of the ecosystem approach, the precautionary principles, the polluter pays principle and the application of best available technique and best environmental practice, as well as the principle that preventive action should be taken, the principle of sustainable development, including circular economy approaches, and the principle that priority is given to environmental damage being rectified at source.</w:t>
      </w:r>
    </w:p>
  </w:footnote>
  <w:footnote w:id="2">
    <w:p w14:paraId="64634114" w14:textId="77777777" w:rsidR="00742516" w:rsidRPr="00742516" w:rsidRDefault="00742516" w:rsidP="00742516">
      <w:pPr>
        <w:pStyle w:val="FootnoteText"/>
      </w:pPr>
      <w:r w:rsidRPr="00742516">
        <w:rPr>
          <w:rStyle w:val="FootnoteReference"/>
        </w:rPr>
        <w:footnoteRef/>
      </w:r>
      <w:r w:rsidRPr="00742516">
        <w:t xml:space="preserve"> Since ICG-ORED will be conducting a bird pilot, the order of the second and third phases may be reversed, </w:t>
      </w:r>
      <w:proofErr w:type="gramStart"/>
      <w:r w:rsidRPr="00742516">
        <w:t>in order to</w:t>
      </w:r>
      <w:proofErr w:type="gramEnd"/>
      <w:r w:rsidRPr="00742516">
        <w:t xml:space="preserve"> assess the effects of additional pressures on birds. </w:t>
      </w:r>
    </w:p>
  </w:footnote>
  <w:footnote w:id="3">
    <w:p w14:paraId="4EC47CD9" w14:textId="77777777" w:rsidR="00742516" w:rsidRPr="00742516" w:rsidRDefault="00742516" w:rsidP="00742516">
      <w:pPr>
        <w:pStyle w:val="FootnoteText"/>
      </w:pPr>
      <w:r w:rsidRPr="00742516">
        <w:rPr>
          <w:rStyle w:val="FootnoteReference"/>
        </w:rPr>
        <w:footnoteRef/>
      </w:r>
      <w:r w:rsidRPr="00742516">
        <w:t xml:space="preserve"> Examples of such stressors are changes to marine food webs caused by offshore wind that impact food availability or changes in fishing activities resulting from offshore wind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F8F" w14:textId="7B6428ED" w:rsidR="000E05FB" w:rsidRDefault="00293B21">
    <w:pPr>
      <w:pStyle w:val="Header"/>
    </w:pPr>
    <w:r>
      <w:rPr>
        <w:noProof/>
      </w:rPr>
      <w:drawing>
        <wp:inline distT="0" distB="0" distL="0" distR="0" wp14:anchorId="36F92D88" wp14:editId="271212B3">
          <wp:extent cx="2353310" cy="6159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615950"/>
                  </a:xfrm>
                  <a:prstGeom prst="rect">
                    <a:avLst/>
                  </a:prstGeom>
                  <a:noFill/>
                </pic:spPr>
              </pic:pic>
            </a:graphicData>
          </a:graphic>
        </wp:inline>
      </w:drawing>
    </w:r>
  </w:p>
  <w:p w14:paraId="3EEED2EA" w14:textId="77777777" w:rsidR="000E05FB" w:rsidRDefault="000E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C72E" w14:textId="4D59B14A" w:rsidR="00E00C28" w:rsidRDefault="00960E47">
    <w:pPr>
      <w:pStyle w:val="Header"/>
    </w:pPr>
    <w:r>
      <w:rPr>
        <w:noProof/>
        <w:lang w:val="da-DK" w:eastAsia="da-DK"/>
      </w:rPr>
      <w:drawing>
        <wp:inline distT="0" distB="0" distL="0" distR="0" wp14:anchorId="04F3333C" wp14:editId="010145FD">
          <wp:extent cx="2353437" cy="614855"/>
          <wp:effectExtent l="0" t="0" r="889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7243" cy="63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80C9" w14:textId="6E96993E" w:rsidR="00676134" w:rsidRDefault="00825C15" w:rsidP="00501AD9">
    <w:pPr>
      <w:pStyle w:val="Header"/>
      <w:jc w:val="center"/>
    </w:pPr>
    <w:r>
      <w:rPr>
        <w:noProof/>
        <w:lang w:val="da-DK" w:eastAsia="da-DK"/>
      </w:rPr>
      <w:drawing>
        <wp:anchor distT="0" distB="0" distL="114300" distR="114300" simplePos="0" relativeHeight="251667456" behindDoc="0" locked="0" layoutInCell="1" allowOverlap="1" wp14:anchorId="705249F1" wp14:editId="2281E460">
          <wp:simplePos x="0" y="0"/>
          <wp:positionH relativeFrom="page">
            <wp:posOffset>7620</wp:posOffset>
          </wp:positionH>
          <wp:positionV relativeFrom="paragraph">
            <wp:posOffset>-438785</wp:posOffset>
          </wp:positionV>
          <wp:extent cx="7628890" cy="1795145"/>
          <wp:effectExtent l="0" t="0" r="0" b="0"/>
          <wp:wrapThrough wrapText="bothSides">
            <wp:wrapPolygon edited="0">
              <wp:start x="0" y="0"/>
              <wp:lineTo x="0" y="8940"/>
              <wp:lineTo x="3182" y="11002"/>
              <wp:lineTo x="2104" y="11002"/>
              <wp:lineTo x="1133" y="12836"/>
              <wp:lineTo x="1133" y="14670"/>
              <wp:lineTo x="485" y="17650"/>
              <wp:lineTo x="647" y="18796"/>
              <wp:lineTo x="1834" y="20859"/>
              <wp:lineTo x="2373" y="20859"/>
              <wp:lineTo x="17422" y="19713"/>
              <wp:lineTo x="17530" y="18337"/>
              <wp:lineTo x="21521" y="14670"/>
              <wp:lineTo x="215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8890" cy="1795145"/>
                  </a:xfrm>
                  <a:prstGeom prst="rect">
                    <a:avLst/>
                  </a:prstGeom>
                </pic:spPr>
              </pic:pic>
            </a:graphicData>
          </a:graphic>
          <wp14:sizeRelH relativeFrom="margin">
            <wp14:pctWidth>0</wp14:pctWidth>
          </wp14:sizeRelH>
          <wp14:sizeRelV relativeFrom="margin">
            <wp14:pctHeight>0</wp14:pctHeight>
          </wp14:sizeRelV>
        </wp:anchor>
      </w:drawing>
    </w:r>
  </w:p>
  <w:p w14:paraId="519A5B63" w14:textId="77777777" w:rsidR="00676134" w:rsidRDefault="00676134" w:rsidP="00D276A9">
    <w:pPr>
      <w:pStyle w:val="Header"/>
      <w:jc w:val="right"/>
    </w:pPr>
  </w:p>
  <w:p w14:paraId="38E7AF4C" w14:textId="1BA8C3E8" w:rsidR="000E05FB" w:rsidRDefault="000E0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368"/>
    <w:multiLevelType w:val="hybridMultilevel"/>
    <w:tmpl w:val="D352854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6FF13491"/>
    <w:multiLevelType w:val="hybridMultilevel"/>
    <w:tmpl w:val="812CF00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0511B27"/>
    <w:multiLevelType w:val="hybridMultilevel"/>
    <w:tmpl w:val="0DAC015C"/>
    <w:lvl w:ilvl="0" w:tplc="C758F044">
      <w:numFmt w:val="bullet"/>
      <w:lvlText w:val="-"/>
      <w:lvlJc w:val="left"/>
      <w:pPr>
        <w:ind w:left="360" w:hanging="360"/>
      </w:pPr>
      <w:rPr>
        <w:rFonts w:ascii="Calibri" w:eastAsia="Times New Roman"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60232493">
    <w:abstractNumId w:val="0"/>
  </w:num>
  <w:num w:numId="2" w16cid:durableId="559753128">
    <w:abstractNumId w:val="2"/>
  </w:num>
  <w:num w:numId="3" w16cid:durableId="182119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28"/>
    <w:rsid w:val="000A29DD"/>
    <w:rsid w:val="000D585D"/>
    <w:rsid w:val="000E05FB"/>
    <w:rsid w:val="000E36E5"/>
    <w:rsid w:val="00103DDE"/>
    <w:rsid w:val="001A43C2"/>
    <w:rsid w:val="001B3C46"/>
    <w:rsid w:val="001B462A"/>
    <w:rsid w:val="00211C7E"/>
    <w:rsid w:val="00293B21"/>
    <w:rsid w:val="002A1F09"/>
    <w:rsid w:val="002B18C2"/>
    <w:rsid w:val="002E60B6"/>
    <w:rsid w:val="002F4015"/>
    <w:rsid w:val="002F4B98"/>
    <w:rsid w:val="00412495"/>
    <w:rsid w:val="0044255C"/>
    <w:rsid w:val="00475B45"/>
    <w:rsid w:val="004965D2"/>
    <w:rsid w:val="004A27A2"/>
    <w:rsid w:val="004E2E63"/>
    <w:rsid w:val="00501AD9"/>
    <w:rsid w:val="00541482"/>
    <w:rsid w:val="00560C4B"/>
    <w:rsid w:val="00583423"/>
    <w:rsid w:val="00590A02"/>
    <w:rsid w:val="005D41BB"/>
    <w:rsid w:val="00676134"/>
    <w:rsid w:val="00695811"/>
    <w:rsid w:val="007318CA"/>
    <w:rsid w:val="00736C88"/>
    <w:rsid w:val="00742516"/>
    <w:rsid w:val="00746588"/>
    <w:rsid w:val="00763983"/>
    <w:rsid w:val="007D08AC"/>
    <w:rsid w:val="007D7ADB"/>
    <w:rsid w:val="00825C15"/>
    <w:rsid w:val="008D1153"/>
    <w:rsid w:val="00960E47"/>
    <w:rsid w:val="00975784"/>
    <w:rsid w:val="00AD5586"/>
    <w:rsid w:val="00B328D5"/>
    <w:rsid w:val="00B47E7A"/>
    <w:rsid w:val="00B82C7F"/>
    <w:rsid w:val="00B93F65"/>
    <w:rsid w:val="00BB3D05"/>
    <w:rsid w:val="00BB7C69"/>
    <w:rsid w:val="00C5394F"/>
    <w:rsid w:val="00C56C69"/>
    <w:rsid w:val="00CB5FA8"/>
    <w:rsid w:val="00D2113F"/>
    <w:rsid w:val="00D276A9"/>
    <w:rsid w:val="00D77706"/>
    <w:rsid w:val="00D95A23"/>
    <w:rsid w:val="00E00C28"/>
    <w:rsid w:val="00EA7972"/>
    <w:rsid w:val="00EF0EFF"/>
    <w:rsid w:val="00F654B5"/>
    <w:rsid w:val="00F87759"/>
    <w:rsid w:val="00FC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7982F"/>
  <w15:chartTrackingRefBased/>
  <w15:docId w15:val="{6B335AED-1B92-466C-8850-27B3FFE9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C28"/>
  </w:style>
  <w:style w:type="paragraph" w:styleId="Footer">
    <w:name w:val="footer"/>
    <w:basedOn w:val="Normal"/>
    <w:link w:val="FooterChar"/>
    <w:uiPriority w:val="99"/>
    <w:unhideWhenUsed/>
    <w:rsid w:val="00E0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C28"/>
  </w:style>
  <w:style w:type="character" w:styleId="Hyperlink">
    <w:name w:val="Hyperlink"/>
    <w:basedOn w:val="DefaultParagraphFont"/>
    <w:uiPriority w:val="99"/>
    <w:unhideWhenUsed/>
    <w:rsid w:val="000E05FB"/>
    <w:rPr>
      <w:color w:val="0563C1" w:themeColor="hyperlink"/>
      <w:u w:val="single"/>
    </w:rPr>
  </w:style>
  <w:style w:type="paragraph" w:styleId="FootnoteText">
    <w:name w:val="footnote text"/>
    <w:basedOn w:val="Normal"/>
    <w:link w:val="FootnoteTextChar"/>
    <w:uiPriority w:val="99"/>
    <w:semiHidden/>
    <w:unhideWhenUsed/>
    <w:rsid w:val="00D211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13F"/>
    <w:rPr>
      <w:sz w:val="20"/>
      <w:szCs w:val="20"/>
    </w:rPr>
  </w:style>
  <w:style w:type="character" w:styleId="FootnoteReference">
    <w:name w:val="footnote reference"/>
    <w:rsid w:val="00D2113F"/>
    <w:rPr>
      <w:vertAlign w:val="superscript"/>
    </w:rPr>
  </w:style>
  <w:style w:type="character" w:styleId="CommentReference">
    <w:name w:val="annotation reference"/>
    <w:basedOn w:val="DefaultParagraphFont"/>
    <w:uiPriority w:val="99"/>
    <w:semiHidden/>
    <w:unhideWhenUsed/>
    <w:rsid w:val="00CB5FA8"/>
    <w:rPr>
      <w:sz w:val="16"/>
      <w:szCs w:val="16"/>
    </w:rPr>
  </w:style>
  <w:style w:type="paragraph" w:styleId="CommentText">
    <w:name w:val="annotation text"/>
    <w:basedOn w:val="Normal"/>
    <w:link w:val="CommentTextChar"/>
    <w:uiPriority w:val="99"/>
    <w:semiHidden/>
    <w:unhideWhenUsed/>
    <w:rsid w:val="00CB5FA8"/>
    <w:pPr>
      <w:spacing w:line="240" w:lineRule="auto"/>
    </w:pPr>
    <w:rPr>
      <w:sz w:val="20"/>
      <w:szCs w:val="20"/>
    </w:rPr>
  </w:style>
  <w:style w:type="character" w:customStyle="1" w:styleId="CommentTextChar">
    <w:name w:val="Comment Text Char"/>
    <w:basedOn w:val="DefaultParagraphFont"/>
    <w:link w:val="CommentText"/>
    <w:uiPriority w:val="99"/>
    <w:semiHidden/>
    <w:rsid w:val="00CB5FA8"/>
    <w:rPr>
      <w:sz w:val="20"/>
      <w:szCs w:val="20"/>
    </w:rPr>
  </w:style>
  <w:style w:type="paragraph" w:styleId="CommentSubject">
    <w:name w:val="annotation subject"/>
    <w:basedOn w:val="CommentText"/>
    <w:next w:val="CommentText"/>
    <w:link w:val="CommentSubjectChar"/>
    <w:uiPriority w:val="99"/>
    <w:semiHidden/>
    <w:unhideWhenUsed/>
    <w:rsid w:val="00CB5FA8"/>
    <w:rPr>
      <w:b/>
      <w:bCs/>
    </w:rPr>
  </w:style>
  <w:style w:type="character" w:customStyle="1" w:styleId="CommentSubjectChar">
    <w:name w:val="Comment Subject Char"/>
    <w:basedOn w:val="CommentTextChar"/>
    <w:link w:val="CommentSubject"/>
    <w:uiPriority w:val="99"/>
    <w:semiHidden/>
    <w:rsid w:val="00CB5FA8"/>
    <w:rPr>
      <w:b/>
      <w:bCs/>
      <w:sz w:val="20"/>
      <w:szCs w:val="20"/>
    </w:rPr>
  </w:style>
  <w:style w:type="paragraph" w:styleId="Revision">
    <w:name w:val="Revision"/>
    <w:hidden/>
    <w:uiPriority w:val="99"/>
    <w:semiHidden/>
    <w:rsid w:val="00EF0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2882-1E73-48B0-96CF-906ED1F7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Ritchie</dc:creator>
  <cp:keywords/>
  <dc:description/>
  <cp:lastModifiedBy>Philip Stamp</cp:lastModifiedBy>
  <cp:revision>4</cp:revision>
  <dcterms:created xsi:type="dcterms:W3CDTF">2023-05-17T09:35:00Z</dcterms:created>
  <dcterms:modified xsi:type="dcterms:W3CDTF">2023-05-17T09:48:00Z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