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48"/>
      </w:tblGrid>
      <w:tr w:rsidR="009A1ABD" w:rsidRPr="0061681F" w14:paraId="40D91A0E" w14:textId="77777777" w:rsidTr="009A1ABD">
        <w:trPr>
          <w:trHeight w:val="426"/>
        </w:trPr>
        <w:tc>
          <w:tcPr>
            <w:tcW w:w="4792" w:type="dxa"/>
            <w:tcMar>
              <w:left w:w="28" w:type="dxa"/>
              <w:right w:w="28" w:type="dxa"/>
            </w:tcMar>
          </w:tcPr>
          <w:p w14:paraId="54493933" w14:textId="47F65FBA" w:rsidR="009A1ABD" w:rsidRPr="0061681F" w:rsidRDefault="009A1ABD" w:rsidP="001207B9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4848" w:type="dxa"/>
            <w:tcMar>
              <w:left w:w="28" w:type="dxa"/>
              <w:right w:w="28" w:type="dxa"/>
            </w:tcMar>
          </w:tcPr>
          <w:p w14:paraId="248EBC58" w14:textId="779DB77A" w:rsidR="009A1ABD" w:rsidRPr="0061681F" w:rsidRDefault="00942D7A" w:rsidP="001207B9">
            <w:pPr>
              <w:spacing w:after="0" w:line="276" w:lineRule="auto"/>
              <w:jc w:val="right"/>
              <w:rPr>
                <w:sz w:val="26"/>
                <w:szCs w:val="26"/>
              </w:rPr>
            </w:pPr>
            <w:r w:rsidRPr="0061681F">
              <w:rPr>
                <w:sz w:val="26"/>
                <w:szCs w:val="26"/>
              </w:rPr>
              <w:t xml:space="preserve">Annex </w:t>
            </w:r>
            <w:r w:rsidR="001207B9">
              <w:rPr>
                <w:sz w:val="26"/>
                <w:szCs w:val="26"/>
              </w:rPr>
              <w:t>6</w:t>
            </w:r>
          </w:p>
          <w:p w14:paraId="18243A31" w14:textId="67518F1F" w:rsidR="00942D7A" w:rsidRPr="0061681F" w:rsidRDefault="00942D7A" w:rsidP="001207B9">
            <w:pPr>
              <w:spacing w:after="0" w:line="276" w:lineRule="auto"/>
              <w:jc w:val="right"/>
              <w:rPr>
                <w:sz w:val="26"/>
                <w:szCs w:val="26"/>
              </w:rPr>
            </w:pPr>
            <w:r w:rsidRPr="0061681F">
              <w:rPr>
                <w:sz w:val="26"/>
                <w:szCs w:val="26"/>
              </w:rPr>
              <w:t xml:space="preserve">Ref: </w:t>
            </w:r>
            <w:r w:rsidRPr="0061681F">
              <w:rPr>
                <w:rFonts w:cs="Calibri"/>
                <w:sz w:val="26"/>
                <w:szCs w:val="26"/>
              </w:rPr>
              <w:t>§</w:t>
            </w:r>
            <w:r w:rsidR="007159FE">
              <w:rPr>
                <w:rFonts w:cs="Calibri"/>
                <w:sz w:val="26"/>
                <w:szCs w:val="26"/>
              </w:rPr>
              <w:t>5.12e</w:t>
            </w:r>
            <w:r w:rsidRPr="0061681F">
              <w:rPr>
                <w:sz w:val="26"/>
                <w:szCs w:val="26"/>
              </w:rPr>
              <w:t xml:space="preserve"> </w:t>
            </w:r>
          </w:p>
        </w:tc>
      </w:tr>
      <w:tr w:rsidR="009A1ABD" w:rsidRPr="0061681F" w14:paraId="400F2B52" w14:textId="77777777" w:rsidTr="00987112">
        <w:tc>
          <w:tcPr>
            <w:tcW w:w="9640" w:type="dxa"/>
            <w:gridSpan w:val="2"/>
            <w:tcMar>
              <w:left w:w="28" w:type="dxa"/>
              <w:right w:w="28" w:type="dxa"/>
            </w:tcMar>
          </w:tcPr>
          <w:p w14:paraId="63C96406" w14:textId="77777777" w:rsidR="009A1ABD" w:rsidRPr="0061681F" w:rsidRDefault="009A1ABD" w:rsidP="009A1ABD">
            <w:pPr>
              <w:spacing w:line="276" w:lineRule="auto"/>
              <w:rPr>
                <w:sz w:val="26"/>
                <w:szCs w:val="26"/>
              </w:rPr>
            </w:pPr>
            <w:r w:rsidRPr="0061681F">
              <w:rPr>
                <w:sz w:val="26"/>
                <w:szCs w:val="26"/>
              </w:rPr>
              <w:t>OSPAR Convention for the Protection of the Marine Environment of the North-East Atlantic</w:t>
            </w:r>
          </w:p>
        </w:tc>
      </w:tr>
      <w:tr w:rsidR="009A1ABD" w:rsidRPr="0061681F" w14:paraId="1BF0F6C3" w14:textId="77777777" w:rsidTr="00987112"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FDCD45" w14:textId="77777777" w:rsidR="009A1ABD" w:rsidRPr="0061681F" w:rsidRDefault="009A1ABD" w:rsidP="009A1ABD">
            <w:pPr>
              <w:spacing w:after="0" w:line="276" w:lineRule="auto"/>
              <w:rPr>
                <w:sz w:val="26"/>
                <w:szCs w:val="26"/>
              </w:rPr>
            </w:pPr>
            <w:r w:rsidRPr="0061681F">
              <w:rPr>
                <w:sz w:val="26"/>
                <w:szCs w:val="26"/>
              </w:rPr>
              <w:t>Meeting of the Coordination Group (</w:t>
            </w:r>
            <w:proofErr w:type="spellStart"/>
            <w:r w:rsidRPr="0061681F">
              <w:rPr>
                <w:sz w:val="26"/>
                <w:szCs w:val="26"/>
              </w:rPr>
              <w:t>CoG</w:t>
            </w:r>
            <w:proofErr w:type="spellEnd"/>
            <w:r w:rsidRPr="0061681F">
              <w:rPr>
                <w:sz w:val="26"/>
                <w:szCs w:val="26"/>
              </w:rPr>
              <w:t>)</w:t>
            </w:r>
          </w:p>
          <w:p w14:paraId="43B899CC" w14:textId="77777777" w:rsidR="009A1ABD" w:rsidRPr="0061681F" w:rsidRDefault="009A1ABD" w:rsidP="009A1ABD">
            <w:pPr>
              <w:spacing w:line="276" w:lineRule="auto"/>
              <w:rPr>
                <w:sz w:val="26"/>
                <w:szCs w:val="26"/>
              </w:rPr>
            </w:pPr>
            <w:r w:rsidRPr="0061681F">
              <w:rPr>
                <w:sz w:val="26"/>
                <w:szCs w:val="26"/>
              </w:rPr>
              <w:t>Videoconference: 10 May 2021</w:t>
            </w:r>
          </w:p>
        </w:tc>
      </w:tr>
    </w:tbl>
    <w:p w14:paraId="52688010" w14:textId="6D03DB06" w:rsidR="005B3582" w:rsidRPr="009A1ABD" w:rsidRDefault="00477DCE" w:rsidP="00477DCE">
      <w:pPr>
        <w:pStyle w:val="Title"/>
        <w:rPr>
          <w:rFonts w:asciiTheme="minorHAnsi" w:hAnsiTheme="minorHAnsi" w:cstheme="minorHAnsi"/>
        </w:rPr>
      </w:pPr>
      <w:r w:rsidRPr="009A1ABD">
        <w:rPr>
          <w:rFonts w:asciiTheme="minorHAnsi" w:hAnsiTheme="minorHAnsi" w:cstheme="minorHAnsi"/>
        </w:rPr>
        <w:t>OSPAR Regional Plan to improve adequacy and coherence of MSFD implementation 2020-2026</w:t>
      </w:r>
    </w:p>
    <w:p w14:paraId="604FAFFF" w14:textId="48320E30" w:rsidR="009569A4" w:rsidRPr="009A1ABD" w:rsidRDefault="00477DCE" w:rsidP="009A1ABD">
      <w:pPr>
        <w:pStyle w:val="Heading1"/>
      </w:pPr>
      <w:bookmarkStart w:id="0" w:name="_Ref50134681"/>
      <w:r w:rsidRPr="009A1ABD">
        <w:t>I.</w:t>
      </w:r>
      <w:r w:rsidRPr="009A1ABD">
        <w:tab/>
      </w:r>
      <w:r w:rsidR="002A6484" w:rsidRPr="009A1ABD">
        <w:t xml:space="preserve">Assessment </w:t>
      </w:r>
      <w:r w:rsidR="00181047" w:rsidRPr="009A1ABD">
        <w:t>and determination of GES (Art. 8 and 9 MSFD)</w:t>
      </w:r>
      <w:bookmarkEnd w:id="0"/>
    </w:p>
    <w:tbl>
      <w:tblPr>
        <w:tblStyle w:val="TableGrid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2A6484" w:rsidRPr="009A1ABD" w14:paraId="10CE5CCC" w14:textId="77777777" w:rsidTr="009A1ABD">
        <w:tc>
          <w:tcPr>
            <w:tcW w:w="9067" w:type="dxa"/>
            <w:shd w:val="clear" w:color="auto" w:fill="9CC2E5" w:themeFill="accent1" w:themeFillTint="99"/>
          </w:tcPr>
          <w:p w14:paraId="60E6C988" w14:textId="1AB62387" w:rsidR="002A6484" w:rsidRPr="009A1ABD" w:rsidRDefault="002A6484" w:rsidP="00CC501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40"/>
              </w:rPr>
            </w:pPr>
            <w:r w:rsidRPr="009A1ABD">
              <w:rPr>
                <w:rFonts w:asciiTheme="minorHAnsi" w:hAnsiTheme="minorHAnsi" w:cstheme="minorHAnsi"/>
                <w:b/>
                <w:szCs w:val="40"/>
              </w:rPr>
              <w:t>OBJECTIVE 1</w:t>
            </w:r>
            <w:r w:rsidR="00145CCA" w:rsidRPr="009A1ABD">
              <w:rPr>
                <w:rFonts w:asciiTheme="minorHAnsi" w:hAnsiTheme="minorHAnsi" w:cstheme="minorHAnsi"/>
                <w:b/>
                <w:szCs w:val="40"/>
              </w:rPr>
              <w:t>:</w:t>
            </w:r>
            <w:r w:rsidRPr="009A1ABD">
              <w:rPr>
                <w:rFonts w:asciiTheme="minorHAnsi" w:hAnsiTheme="minorHAnsi" w:cstheme="minorHAnsi"/>
                <w:szCs w:val="40"/>
              </w:rPr>
              <w:t xml:space="preserve"> Ongoing </w:t>
            </w:r>
            <w:r w:rsidRPr="009A1ABD">
              <w:rPr>
                <w:rFonts w:asciiTheme="minorHAnsi" w:hAnsiTheme="minorHAnsi" w:cstheme="minorHAnsi"/>
                <w:b/>
                <w:szCs w:val="40"/>
              </w:rPr>
              <w:t xml:space="preserve">regional operationalisation and implementation of the Commission Decision </w:t>
            </w:r>
            <w:r w:rsidR="00FD7D27" w:rsidRPr="009A1ABD">
              <w:rPr>
                <w:rFonts w:asciiTheme="minorHAnsi" w:hAnsiTheme="minorHAnsi" w:cstheme="minorHAnsi"/>
                <w:szCs w:val="40"/>
              </w:rPr>
              <w:t>(EU) 2017/848</w:t>
            </w:r>
            <w:r w:rsidR="00CC501E" w:rsidRPr="009A1ABD">
              <w:rPr>
                <w:rStyle w:val="FootnoteReference"/>
                <w:rFonts w:asciiTheme="minorHAnsi" w:hAnsiTheme="minorHAnsi" w:cstheme="minorHAnsi"/>
                <w:szCs w:val="40"/>
              </w:rPr>
              <w:footnoteReference w:id="2"/>
            </w:r>
            <w:r w:rsidRPr="009A1ABD">
              <w:rPr>
                <w:rFonts w:asciiTheme="minorHAnsi" w:hAnsiTheme="minorHAnsi" w:cstheme="minorHAnsi"/>
                <w:b/>
                <w:szCs w:val="40"/>
              </w:rPr>
              <w:t xml:space="preserve">on criteria and methodological standards </w:t>
            </w:r>
            <w:r w:rsidRPr="009A1ABD">
              <w:rPr>
                <w:rFonts w:asciiTheme="minorHAnsi" w:hAnsiTheme="minorHAnsi" w:cstheme="minorHAnsi"/>
                <w:szCs w:val="40"/>
              </w:rPr>
              <w:t>on good environmental status assessment</w:t>
            </w:r>
            <w:r w:rsidR="00496444" w:rsidRPr="009A1ABD">
              <w:rPr>
                <w:rFonts w:asciiTheme="minorHAnsi" w:hAnsiTheme="minorHAnsi" w:cstheme="minorHAnsi"/>
                <w:szCs w:val="40"/>
              </w:rPr>
              <w:t>.</w:t>
            </w:r>
          </w:p>
        </w:tc>
      </w:tr>
    </w:tbl>
    <w:p w14:paraId="23D1D989" w14:textId="28CDC15C" w:rsidR="002A6484" w:rsidRPr="009A1ABD" w:rsidRDefault="002A6484" w:rsidP="009A1ABD">
      <w:pPr>
        <w:pStyle w:val="Heading20"/>
      </w:pPr>
      <w:r w:rsidRPr="009A1ABD">
        <w:t xml:space="preserve">ACTION 1: </w:t>
      </w:r>
      <w:r w:rsidR="00113682" w:rsidRPr="009A1ABD">
        <w:t>(2021-2023) / Pre-QSR2023</w:t>
      </w:r>
    </w:p>
    <w:p w14:paraId="3515EB0E" w14:textId="4A34923D" w:rsidR="00856A91" w:rsidRPr="009A1ABD" w:rsidRDefault="002A6484" w:rsidP="00145CCA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 w:rsidRPr="009A1ABD">
        <w:rPr>
          <w:rFonts w:asciiTheme="minorHAnsi" w:hAnsiTheme="minorHAnsi" w:cstheme="minorHAnsi"/>
          <w:b w:val="0"/>
        </w:rPr>
        <w:t>Continue</w:t>
      </w:r>
      <w:r w:rsidRPr="009A1ABD">
        <w:rPr>
          <w:rFonts w:asciiTheme="minorHAnsi" w:hAnsiTheme="minorHAnsi" w:cstheme="minorHAnsi"/>
        </w:rPr>
        <w:t xml:space="preserve"> to develop OSPAR</w:t>
      </w:r>
      <w:r w:rsidR="000B2F1D" w:rsidRPr="009A1ABD">
        <w:rPr>
          <w:rFonts w:asciiTheme="minorHAnsi" w:hAnsiTheme="minorHAnsi" w:cstheme="minorHAnsi"/>
        </w:rPr>
        <w:t xml:space="preserve"> </w:t>
      </w:r>
      <w:r w:rsidRPr="009A1ABD">
        <w:rPr>
          <w:rFonts w:asciiTheme="minorHAnsi" w:hAnsiTheme="minorHAnsi" w:cstheme="minorHAnsi"/>
        </w:rPr>
        <w:t>indicators</w:t>
      </w:r>
      <w:r w:rsidR="000B2F1D" w:rsidRPr="009A1ABD">
        <w:rPr>
          <w:rFonts w:asciiTheme="minorHAnsi" w:hAnsiTheme="minorHAnsi" w:cstheme="minorHAnsi"/>
        </w:rPr>
        <w:t>,</w:t>
      </w:r>
      <w:r w:rsidRPr="009A1ABD">
        <w:rPr>
          <w:rFonts w:asciiTheme="minorHAnsi" w:hAnsiTheme="minorHAnsi" w:cstheme="minorHAnsi"/>
        </w:rPr>
        <w:t xml:space="preserve"> including list of elements, </w:t>
      </w:r>
      <w:r w:rsidR="00856A91" w:rsidRPr="009A1ABD">
        <w:rPr>
          <w:rFonts w:asciiTheme="minorHAnsi" w:hAnsiTheme="minorHAnsi" w:cstheme="minorHAnsi"/>
        </w:rPr>
        <w:t xml:space="preserve">methodological standards, </w:t>
      </w:r>
      <w:r w:rsidRPr="009A1ABD">
        <w:rPr>
          <w:rFonts w:asciiTheme="minorHAnsi" w:hAnsiTheme="minorHAnsi" w:cstheme="minorHAnsi"/>
        </w:rPr>
        <w:t>aggregation methods</w:t>
      </w:r>
      <w:r w:rsidR="00856A91" w:rsidRPr="009A1ABD">
        <w:rPr>
          <w:rFonts w:asciiTheme="minorHAnsi" w:hAnsiTheme="minorHAnsi" w:cstheme="minorHAnsi"/>
        </w:rPr>
        <w:t xml:space="preserve"> and threshold values</w:t>
      </w:r>
      <w:r w:rsidRPr="009A1ABD">
        <w:rPr>
          <w:rFonts w:asciiTheme="minorHAnsi" w:hAnsiTheme="minorHAnsi" w:cstheme="minorHAnsi"/>
        </w:rPr>
        <w:t xml:space="preserve">. </w:t>
      </w:r>
      <w:r w:rsidRPr="009A1ABD">
        <w:rPr>
          <w:rFonts w:asciiTheme="minorHAnsi" w:hAnsiTheme="minorHAnsi" w:cstheme="minorHAnsi"/>
          <w:b w:val="0"/>
        </w:rPr>
        <w:t>Each OSPAR Committee and their subsidiary bodies ensure th</w:t>
      </w:r>
      <w:r w:rsidR="005242E4" w:rsidRPr="009A1ABD">
        <w:rPr>
          <w:rFonts w:asciiTheme="minorHAnsi" w:hAnsiTheme="minorHAnsi" w:cstheme="minorHAnsi"/>
          <w:b w:val="0"/>
        </w:rPr>
        <w:t>at their</w:t>
      </w:r>
      <w:r w:rsidRPr="009A1ABD">
        <w:rPr>
          <w:rFonts w:asciiTheme="minorHAnsi" w:hAnsiTheme="minorHAnsi" w:cstheme="minorHAnsi"/>
          <w:b w:val="0"/>
        </w:rPr>
        <w:t xml:space="preserve"> work</w:t>
      </w:r>
      <w:r w:rsidR="00856A91" w:rsidRPr="009A1ABD">
        <w:rPr>
          <w:rFonts w:asciiTheme="minorHAnsi" w:hAnsiTheme="minorHAnsi" w:cstheme="minorHAnsi"/>
          <w:b w:val="0"/>
        </w:rPr>
        <w:t xml:space="preserve"> </w:t>
      </w:r>
      <w:r w:rsidR="005242E4" w:rsidRPr="009A1ABD">
        <w:rPr>
          <w:rFonts w:asciiTheme="minorHAnsi" w:hAnsiTheme="minorHAnsi" w:cstheme="minorHAnsi"/>
          <w:b w:val="0"/>
        </w:rPr>
        <w:t xml:space="preserve">plan and timeline for methodological developments such as common indicators reflect the time plan </w:t>
      </w:r>
      <w:r w:rsidRPr="009A1ABD">
        <w:rPr>
          <w:rFonts w:asciiTheme="minorHAnsi" w:hAnsiTheme="minorHAnsi" w:cstheme="minorHAnsi"/>
          <w:b w:val="0"/>
        </w:rPr>
        <w:t>expressed in</w:t>
      </w:r>
      <w:r w:rsidR="005242E4" w:rsidRPr="009A1ABD">
        <w:rPr>
          <w:rFonts w:asciiTheme="minorHAnsi" w:hAnsiTheme="minorHAnsi" w:cstheme="minorHAnsi"/>
          <w:b w:val="0"/>
        </w:rPr>
        <w:t xml:space="preserve"> the</w:t>
      </w:r>
      <w:r w:rsidRPr="009A1ABD">
        <w:rPr>
          <w:rFonts w:asciiTheme="minorHAnsi" w:hAnsiTheme="minorHAnsi" w:cstheme="minorHAnsi"/>
          <w:b w:val="0"/>
        </w:rPr>
        <w:t xml:space="preserve"> </w:t>
      </w:r>
      <w:r w:rsidRPr="009A1ABD">
        <w:rPr>
          <w:rFonts w:asciiTheme="minorHAnsi" w:hAnsiTheme="minorHAnsi" w:cstheme="minorHAnsi"/>
        </w:rPr>
        <w:t xml:space="preserve">Timetable for regional implementation of the Commission Decision on GES (2017/848/EU) </w:t>
      </w:r>
      <w:r w:rsidR="00F2769D" w:rsidRPr="009A1ABD">
        <w:rPr>
          <w:rStyle w:val="FootnoteReference"/>
          <w:rFonts w:asciiTheme="minorHAnsi" w:hAnsiTheme="minorHAnsi" w:cstheme="minorHAnsi"/>
          <w:b w:val="0"/>
        </w:rPr>
        <w:footnoteReference w:id="3"/>
      </w:r>
      <w:r w:rsidR="00B939EB" w:rsidRPr="009A1ABD">
        <w:rPr>
          <w:rFonts w:asciiTheme="minorHAnsi" w:hAnsiTheme="minorHAnsi" w:cstheme="minorHAnsi"/>
          <w:b w:val="0"/>
        </w:rPr>
        <w:t xml:space="preserve">that was </w:t>
      </w:r>
      <w:r w:rsidRPr="009A1ABD">
        <w:rPr>
          <w:rFonts w:asciiTheme="minorHAnsi" w:hAnsiTheme="minorHAnsi" w:cstheme="minorHAnsi"/>
          <w:b w:val="0"/>
        </w:rPr>
        <w:t>provided to the European Commission (EC) in</w:t>
      </w:r>
      <w:r w:rsidR="00113682" w:rsidRPr="009A1ABD">
        <w:rPr>
          <w:rFonts w:asciiTheme="minorHAnsi" w:hAnsiTheme="minorHAnsi" w:cstheme="minorHAnsi"/>
          <w:b w:val="0"/>
        </w:rPr>
        <w:t xml:space="preserve"> March 2020.</w:t>
      </w:r>
      <w:r w:rsidR="00856A91" w:rsidRPr="009A1ABD">
        <w:rPr>
          <w:rFonts w:asciiTheme="minorHAnsi" w:hAnsiTheme="minorHAnsi" w:cstheme="minorHAnsi"/>
          <w:b w:val="0"/>
        </w:rPr>
        <w:t xml:space="preserve"> This work is undertaken in coherence with CIS EU work groups </w:t>
      </w:r>
      <w:r w:rsidR="00856A91" w:rsidRPr="009A1ABD">
        <w:rPr>
          <w:rFonts w:asciiTheme="minorHAnsi" w:hAnsiTheme="minorHAnsi" w:cstheme="minorHAnsi"/>
        </w:rPr>
        <w:t>to improve consistency with the Art.8 MSFD guidance</w:t>
      </w:r>
      <w:r w:rsidR="00856A91" w:rsidRPr="009A1ABD">
        <w:rPr>
          <w:rFonts w:asciiTheme="minorHAnsi" w:hAnsiTheme="minorHAnsi" w:cstheme="minorHAnsi"/>
          <w:b w:val="0"/>
        </w:rPr>
        <w:t>.</w:t>
      </w:r>
    </w:p>
    <w:p w14:paraId="1074DF53" w14:textId="26F372A8" w:rsidR="002A6484" w:rsidRPr="009A1ABD" w:rsidRDefault="002A6484" w:rsidP="00EC5FF7">
      <w:pPr>
        <w:pStyle w:val="Heading2"/>
        <w:numPr>
          <w:ilvl w:val="0"/>
          <w:numId w:val="8"/>
        </w:numPr>
        <w:rPr>
          <w:rFonts w:asciiTheme="minorHAnsi" w:hAnsiTheme="minorHAnsi" w:cstheme="minorHAnsi"/>
        </w:rPr>
      </w:pPr>
      <w:r w:rsidRPr="009A1ABD">
        <w:rPr>
          <w:rFonts w:asciiTheme="minorHAnsi" w:hAnsiTheme="minorHAnsi" w:cstheme="minorHAnsi"/>
          <w:i/>
        </w:rPr>
        <w:t xml:space="preserve">WHO: </w:t>
      </w:r>
      <w:r w:rsidRPr="009A1ABD">
        <w:rPr>
          <w:rFonts w:asciiTheme="minorHAnsi" w:hAnsiTheme="minorHAnsi" w:cstheme="minorHAnsi"/>
          <w:b w:val="0"/>
          <w:i/>
        </w:rPr>
        <w:t>OSPAR Committee</w:t>
      </w:r>
      <w:r w:rsidR="00FD7D27" w:rsidRPr="009A1ABD">
        <w:rPr>
          <w:rFonts w:asciiTheme="minorHAnsi" w:hAnsiTheme="minorHAnsi" w:cstheme="minorHAnsi"/>
          <w:b w:val="0"/>
          <w:i/>
        </w:rPr>
        <w:t>s</w:t>
      </w:r>
      <w:r w:rsidRPr="009A1ABD">
        <w:rPr>
          <w:rFonts w:asciiTheme="minorHAnsi" w:hAnsiTheme="minorHAnsi" w:cstheme="minorHAnsi"/>
          <w:b w:val="0"/>
          <w:i/>
        </w:rPr>
        <w:t xml:space="preserve"> and their subsidiary bodies</w:t>
      </w:r>
      <w:r w:rsidR="00F2769D" w:rsidRPr="009A1ABD">
        <w:rPr>
          <w:rFonts w:asciiTheme="minorHAnsi" w:hAnsiTheme="minorHAnsi" w:cstheme="minorHAnsi"/>
          <w:b w:val="0"/>
          <w:i/>
        </w:rPr>
        <w:t xml:space="preserve">, coordinated by </w:t>
      </w:r>
      <w:proofErr w:type="spellStart"/>
      <w:proofErr w:type="gramStart"/>
      <w:r w:rsidR="00F2769D" w:rsidRPr="009A1ABD">
        <w:rPr>
          <w:rFonts w:asciiTheme="minorHAnsi" w:hAnsiTheme="minorHAnsi" w:cstheme="minorHAnsi"/>
          <w:b w:val="0"/>
          <w:i/>
        </w:rPr>
        <w:t>CoG</w:t>
      </w:r>
      <w:proofErr w:type="spellEnd"/>
      <w:proofErr w:type="gramEnd"/>
    </w:p>
    <w:p w14:paraId="1A02DAE6" w14:textId="1A57953C" w:rsidR="00113682" w:rsidRPr="009A1ABD" w:rsidRDefault="002A6484" w:rsidP="009A1ABD">
      <w:pPr>
        <w:pStyle w:val="Heading20"/>
      </w:pPr>
      <w:r w:rsidRPr="009A1ABD">
        <w:t xml:space="preserve">ACTION 2: </w:t>
      </w:r>
      <w:r w:rsidR="00113682" w:rsidRPr="009A1ABD">
        <w:t>(2020-2023) / Pre-QSR2023</w:t>
      </w:r>
    </w:p>
    <w:p w14:paraId="6EA83DEE" w14:textId="44390D60" w:rsidR="002A6484" w:rsidRPr="009A1ABD" w:rsidRDefault="002A6484" w:rsidP="00145CCA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r w:rsidRPr="009A1ABD">
        <w:rPr>
          <w:rFonts w:asciiTheme="minorHAnsi" w:hAnsiTheme="minorHAnsi" w:cstheme="minorHAnsi"/>
        </w:rPr>
        <w:t>Agree that OSPAR work represent</w:t>
      </w:r>
      <w:r w:rsidR="0064047C" w:rsidRPr="009A1ABD">
        <w:rPr>
          <w:rFonts w:asciiTheme="minorHAnsi" w:hAnsiTheme="minorHAnsi" w:cstheme="minorHAnsi"/>
        </w:rPr>
        <w:t>s</w:t>
      </w:r>
      <w:r w:rsidR="005242E4" w:rsidRPr="009A1ABD">
        <w:rPr>
          <w:rFonts w:asciiTheme="minorHAnsi" w:hAnsiTheme="minorHAnsi" w:cstheme="minorHAnsi"/>
        </w:rPr>
        <w:t xml:space="preserve"> </w:t>
      </w:r>
      <w:r w:rsidR="0064047C" w:rsidRPr="009A1ABD">
        <w:rPr>
          <w:rFonts w:asciiTheme="minorHAnsi" w:hAnsiTheme="minorHAnsi" w:cstheme="minorHAnsi"/>
        </w:rPr>
        <w:t>a</w:t>
      </w:r>
      <w:r w:rsidRPr="009A1ABD">
        <w:rPr>
          <w:rFonts w:asciiTheme="minorHAnsi" w:hAnsiTheme="minorHAnsi" w:cstheme="minorHAnsi"/>
        </w:rPr>
        <w:t xml:space="preserve"> coordinated regional response for the implementation of the Commission Decision</w:t>
      </w:r>
      <w:r w:rsidR="00CB187E">
        <w:rPr>
          <w:rFonts w:asciiTheme="minorHAnsi" w:hAnsiTheme="minorHAnsi" w:cstheme="minorHAnsi"/>
        </w:rPr>
        <w:t xml:space="preserve"> for the Contracting Parties that are European Member States</w:t>
      </w:r>
      <w:r w:rsidR="00C04DBB" w:rsidRPr="009A1ABD">
        <w:rPr>
          <w:rFonts w:asciiTheme="minorHAnsi" w:hAnsiTheme="minorHAnsi" w:cstheme="minorHAnsi"/>
        </w:rPr>
        <w:t>,</w:t>
      </w:r>
      <w:r w:rsidR="00923E77" w:rsidRPr="009A1ABD">
        <w:rPr>
          <w:rFonts w:asciiTheme="minorHAnsi" w:hAnsiTheme="minorHAnsi" w:cstheme="minorHAnsi"/>
        </w:rPr>
        <w:t xml:space="preserve"> at the</w:t>
      </w:r>
      <w:r w:rsidR="00CB187E">
        <w:rPr>
          <w:rFonts w:asciiTheme="minorHAnsi" w:hAnsiTheme="minorHAnsi" w:cstheme="minorHAnsi"/>
        </w:rPr>
        <w:t>ir</w:t>
      </w:r>
      <w:r w:rsidR="00923E77" w:rsidRPr="009A1ABD">
        <w:rPr>
          <w:rFonts w:asciiTheme="minorHAnsi" w:hAnsiTheme="minorHAnsi" w:cstheme="minorHAnsi"/>
        </w:rPr>
        <w:t xml:space="preserve"> disposal to use it for their national MSFD reporting obligations</w:t>
      </w:r>
      <w:r w:rsidR="00BD7695" w:rsidRPr="009A1ABD">
        <w:rPr>
          <w:rFonts w:asciiTheme="minorHAnsi" w:hAnsiTheme="minorHAnsi" w:cstheme="minorHAnsi"/>
          <w:b w:val="0"/>
          <w:bCs/>
        </w:rPr>
        <w:t>.</w:t>
      </w:r>
    </w:p>
    <w:p w14:paraId="3EA01D6B" w14:textId="09454595" w:rsidR="002A6484" w:rsidRPr="009A1ABD" w:rsidRDefault="002A6484" w:rsidP="00EC5FF7">
      <w:pPr>
        <w:pStyle w:val="Heading2"/>
        <w:numPr>
          <w:ilvl w:val="0"/>
          <w:numId w:val="18"/>
        </w:numPr>
        <w:rPr>
          <w:rFonts w:asciiTheme="minorHAnsi" w:hAnsiTheme="minorHAnsi" w:cstheme="minorHAnsi"/>
        </w:rPr>
      </w:pPr>
      <w:r w:rsidRPr="009A1ABD">
        <w:rPr>
          <w:rFonts w:asciiTheme="minorHAnsi" w:hAnsiTheme="minorHAnsi" w:cstheme="minorHAnsi"/>
          <w:i/>
        </w:rPr>
        <w:t>WHO:</w:t>
      </w:r>
      <w:r w:rsidRPr="009A1ABD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9A1ABD">
        <w:rPr>
          <w:rFonts w:asciiTheme="minorHAnsi" w:hAnsiTheme="minorHAnsi" w:cstheme="minorHAnsi"/>
          <w:b w:val="0"/>
          <w:i/>
        </w:rPr>
        <w:t>CoG</w:t>
      </w:r>
      <w:proofErr w:type="spellEnd"/>
      <w:r w:rsidRPr="009A1ABD">
        <w:rPr>
          <w:rFonts w:asciiTheme="minorHAnsi" w:hAnsiTheme="minorHAnsi" w:cstheme="minorHAnsi"/>
          <w:b w:val="0"/>
          <w:i/>
        </w:rPr>
        <w:t xml:space="preserve"> and </w:t>
      </w:r>
      <w:proofErr w:type="gramStart"/>
      <w:r w:rsidR="00942D7A">
        <w:rPr>
          <w:rFonts w:asciiTheme="minorHAnsi" w:hAnsiTheme="minorHAnsi" w:cstheme="minorHAnsi"/>
          <w:b w:val="0"/>
          <w:i/>
        </w:rPr>
        <w:t>HOD</w:t>
      </w:r>
      <w:proofErr w:type="gramEnd"/>
    </w:p>
    <w:tbl>
      <w:tblPr>
        <w:tblStyle w:val="TableGrid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872463" w:rsidRPr="009A1ABD" w14:paraId="16815D78" w14:textId="77777777" w:rsidTr="009A1ABD">
        <w:tc>
          <w:tcPr>
            <w:tcW w:w="9067" w:type="dxa"/>
            <w:shd w:val="clear" w:color="auto" w:fill="9CC2E5" w:themeFill="accent1" w:themeFillTint="99"/>
          </w:tcPr>
          <w:p w14:paraId="6C1FAECA" w14:textId="22508D36" w:rsidR="00872463" w:rsidRPr="009A1ABD" w:rsidRDefault="002A6484" w:rsidP="0090115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40"/>
              </w:rPr>
            </w:pPr>
            <w:r w:rsidRPr="009A1ABD">
              <w:rPr>
                <w:rFonts w:asciiTheme="minorHAnsi" w:hAnsiTheme="minorHAnsi" w:cstheme="minorHAnsi"/>
                <w:b/>
                <w:szCs w:val="40"/>
              </w:rPr>
              <w:t>OBJECTIVE 2</w:t>
            </w:r>
            <w:r w:rsidR="00145CCA" w:rsidRPr="009A1ABD">
              <w:rPr>
                <w:rFonts w:asciiTheme="minorHAnsi" w:hAnsiTheme="minorHAnsi" w:cstheme="minorHAnsi"/>
                <w:b/>
                <w:szCs w:val="40"/>
              </w:rPr>
              <w:t>:</w:t>
            </w:r>
            <w:r w:rsidR="00872463" w:rsidRPr="009A1ABD">
              <w:rPr>
                <w:rFonts w:asciiTheme="minorHAnsi" w:hAnsiTheme="minorHAnsi" w:cstheme="minorHAnsi"/>
                <w:szCs w:val="40"/>
              </w:rPr>
              <w:t xml:space="preserve"> For the next assessment in 2024 of the Good Environmental Status (GES) </w:t>
            </w:r>
            <w:r w:rsidR="00214BCC" w:rsidRPr="009A1ABD">
              <w:rPr>
                <w:rFonts w:asciiTheme="minorHAnsi" w:hAnsiTheme="minorHAnsi" w:cstheme="minorHAnsi"/>
                <w:szCs w:val="40"/>
              </w:rPr>
              <w:t>under</w:t>
            </w:r>
            <w:r w:rsidR="00872463" w:rsidRPr="009A1ABD">
              <w:rPr>
                <w:rFonts w:asciiTheme="minorHAnsi" w:hAnsiTheme="minorHAnsi" w:cstheme="minorHAnsi"/>
                <w:szCs w:val="40"/>
              </w:rPr>
              <w:t xml:space="preserve"> the third cycle of the MSFD and for the </w:t>
            </w:r>
            <w:r w:rsidR="0064047C" w:rsidRPr="009A1ABD">
              <w:rPr>
                <w:rFonts w:asciiTheme="minorHAnsi" w:hAnsiTheme="minorHAnsi" w:cstheme="minorHAnsi"/>
                <w:szCs w:val="40"/>
              </w:rPr>
              <w:t xml:space="preserve">forthcoming </w:t>
            </w:r>
            <w:r w:rsidR="00872463" w:rsidRPr="009A1ABD">
              <w:rPr>
                <w:rFonts w:asciiTheme="minorHAnsi" w:hAnsiTheme="minorHAnsi" w:cstheme="minorHAnsi"/>
                <w:szCs w:val="40"/>
              </w:rPr>
              <w:t xml:space="preserve">cycles, </w:t>
            </w:r>
            <w:r w:rsidR="00872463" w:rsidRPr="009A1ABD">
              <w:rPr>
                <w:rFonts w:asciiTheme="minorHAnsi" w:hAnsiTheme="minorHAnsi" w:cstheme="minorHAnsi"/>
                <w:b/>
                <w:szCs w:val="40"/>
              </w:rPr>
              <w:t xml:space="preserve">make the Quality Status Report </w:t>
            </w:r>
            <w:r w:rsidR="004D2F9A" w:rsidRPr="009A1ABD">
              <w:rPr>
                <w:rFonts w:asciiTheme="minorHAnsi" w:hAnsiTheme="minorHAnsi" w:cstheme="minorHAnsi"/>
                <w:b/>
                <w:szCs w:val="40"/>
              </w:rPr>
              <w:t xml:space="preserve">2023 </w:t>
            </w:r>
            <w:r w:rsidR="00872463" w:rsidRPr="009A1ABD">
              <w:rPr>
                <w:rFonts w:asciiTheme="minorHAnsi" w:hAnsiTheme="minorHAnsi" w:cstheme="minorHAnsi"/>
                <w:b/>
                <w:szCs w:val="40"/>
              </w:rPr>
              <w:t>(QSR</w:t>
            </w:r>
            <w:r w:rsidR="004D2F9A" w:rsidRPr="009A1ABD">
              <w:rPr>
                <w:rFonts w:asciiTheme="minorHAnsi" w:hAnsiTheme="minorHAnsi" w:cstheme="minorHAnsi"/>
                <w:b/>
                <w:szCs w:val="40"/>
              </w:rPr>
              <w:t xml:space="preserve"> 2023</w:t>
            </w:r>
            <w:r w:rsidR="00872463" w:rsidRPr="009A1ABD">
              <w:rPr>
                <w:rFonts w:asciiTheme="minorHAnsi" w:hAnsiTheme="minorHAnsi" w:cstheme="minorHAnsi"/>
                <w:b/>
                <w:szCs w:val="40"/>
              </w:rPr>
              <w:t xml:space="preserve">) </w:t>
            </w:r>
            <w:r w:rsidR="00901152" w:rsidRPr="009A1ABD">
              <w:rPr>
                <w:rFonts w:asciiTheme="minorHAnsi" w:hAnsiTheme="minorHAnsi" w:cstheme="minorHAnsi"/>
                <w:b/>
                <w:szCs w:val="40"/>
              </w:rPr>
              <w:t>support</w:t>
            </w:r>
            <w:r w:rsidR="00872463" w:rsidRPr="009A1ABD">
              <w:rPr>
                <w:rFonts w:asciiTheme="minorHAnsi" w:hAnsiTheme="minorHAnsi" w:cstheme="minorHAnsi"/>
                <w:b/>
                <w:szCs w:val="40"/>
              </w:rPr>
              <w:t xml:space="preserve"> the national </w:t>
            </w:r>
            <w:r w:rsidR="00113682" w:rsidRPr="009A1ABD">
              <w:rPr>
                <w:rFonts w:asciiTheme="minorHAnsi" w:hAnsiTheme="minorHAnsi" w:cstheme="minorHAnsi"/>
                <w:b/>
                <w:szCs w:val="40"/>
              </w:rPr>
              <w:t xml:space="preserve">reporting </w:t>
            </w:r>
            <w:r w:rsidR="007638BF" w:rsidRPr="009A1ABD">
              <w:rPr>
                <w:rFonts w:asciiTheme="minorHAnsi" w:hAnsiTheme="minorHAnsi" w:cstheme="minorHAnsi"/>
                <w:b/>
                <w:szCs w:val="40"/>
              </w:rPr>
              <w:t xml:space="preserve">of the </w:t>
            </w:r>
            <w:r w:rsidR="00113682" w:rsidRPr="009A1ABD">
              <w:rPr>
                <w:rFonts w:asciiTheme="minorHAnsi" w:hAnsiTheme="minorHAnsi" w:cstheme="minorHAnsi"/>
                <w:b/>
                <w:szCs w:val="40"/>
              </w:rPr>
              <w:t>EU</w:t>
            </w:r>
            <w:r w:rsidR="00BE3637" w:rsidRPr="009A1ABD">
              <w:rPr>
                <w:rFonts w:asciiTheme="minorHAnsi" w:hAnsiTheme="minorHAnsi" w:cstheme="minorHAnsi"/>
                <w:b/>
                <w:szCs w:val="40"/>
              </w:rPr>
              <w:t xml:space="preserve"> </w:t>
            </w:r>
            <w:r w:rsidR="00CE5935" w:rsidRPr="009A1ABD">
              <w:rPr>
                <w:rFonts w:asciiTheme="minorHAnsi" w:hAnsiTheme="minorHAnsi" w:cstheme="minorHAnsi"/>
                <w:b/>
                <w:szCs w:val="40"/>
              </w:rPr>
              <w:t>Member Sta</w:t>
            </w:r>
            <w:r w:rsidR="00872463" w:rsidRPr="009A1ABD">
              <w:rPr>
                <w:rFonts w:asciiTheme="minorHAnsi" w:hAnsiTheme="minorHAnsi" w:cstheme="minorHAnsi"/>
                <w:b/>
                <w:szCs w:val="40"/>
              </w:rPr>
              <w:t>te</w:t>
            </w:r>
            <w:r w:rsidR="00113682" w:rsidRPr="009A1ABD">
              <w:rPr>
                <w:rFonts w:asciiTheme="minorHAnsi" w:hAnsiTheme="minorHAnsi" w:cstheme="minorHAnsi"/>
                <w:b/>
                <w:szCs w:val="40"/>
              </w:rPr>
              <w:t>s</w:t>
            </w:r>
            <w:r w:rsidR="00BE3637" w:rsidRPr="009A1ABD">
              <w:rPr>
                <w:rFonts w:asciiTheme="minorHAnsi" w:hAnsiTheme="minorHAnsi" w:cstheme="minorHAnsi"/>
                <w:b/>
                <w:szCs w:val="40"/>
              </w:rPr>
              <w:t xml:space="preserve"> </w:t>
            </w:r>
            <w:r w:rsidR="00BE3637" w:rsidRPr="009A1ABD">
              <w:rPr>
                <w:rFonts w:asciiTheme="minorHAnsi" w:hAnsiTheme="minorHAnsi" w:cstheme="minorHAnsi"/>
                <w:szCs w:val="40"/>
              </w:rPr>
              <w:t xml:space="preserve">that </w:t>
            </w:r>
            <w:r w:rsidR="00113682" w:rsidRPr="009A1ABD">
              <w:rPr>
                <w:rFonts w:asciiTheme="minorHAnsi" w:hAnsiTheme="minorHAnsi" w:cstheme="minorHAnsi"/>
                <w:szCs w:val="40"/>
              </w:rPr>
              <w:t>are</w:t>
            </w:r>
            <w:r w:rsidR="00BE3637" w:rsidRPr="009A1ABD">
              <w:rPr>
                <w:rFonts w:asciiTheme="minorHAnsi" w:hAnsiTheme="minorHAnsi" w:cstheme="minorHAnsi"/>
                <w:szCs w:val="40"/>
              </w:rPr>
              <w:t xml:space="preserve"> Contracting Part</w:t>
            </w:r>
            <w:r w:rsidR="00113682" w:rsidRPr="009A1ABD">
              <w:rPr>
                <w:rFonts w:asciiTheme="minorHAnsi" w:hAnsiTheme="minorHAnsi" w:cstheme="minorHAnsi"/>
                <w:szCs w:val="40"/>
              </w:rPr>
              <w:t>ies</w:t>
            </w:r>
            <w:r w:rsidR="00872463" w:rsidRPr="009A1ABD">
              <w:rPr>
                <w:rFonts w:asciiTheme="minorHAnsi" w:hAnsiTheme="minorHAnsi" w:cstheme="minorHAnsi"/>
                <w:szCs w:val="40"/>
              </w:rPr>
              <w:t>.</w:t>
            </w:r>
          </w:p>
        </w:tc>
      </w:tr>
    </w:tbl>
    <w:p w14:paraId="7BEB6F3A" w14:textId="454FC858" w:rsidR="00BE3637" w:rsidRPr="009A1ABD" w:rsidRDefault="00BE3637" w:rsidP="009A1ABD">
      <w:pPr>
        <w:pStyle w:val="Heading20"/>
      </w:pPr>
      <w:r w:rsidRPr="009A1ABD">
        <w:lastRenderedPageBreak/>
        <w:t xml:space="preserve">ACTION </w:t>
      </w:r>
      <w:r w:rsidR="009A1ABD">
        <w:t>3</w:t>
      </w:r>
      <w:r w:rsidRPr="009A1ABD">
        <w:t xml:space="preserve">: </w:t>
      </w:r>
      <w:r w:rsidR="00214BCC" w:rsidRPr="009A1ABD">
        <w:t>(2020-2023)</w:t>
      </w:r>
      <w:r w:rsidR="00113682" w:rsidRPr="009A1ABD">
        <w:t xml:space="preserve"> Pre-QSR2023</w:t>
      </w:r>
    </w:p>
    <w:p w14:paraId="1216EB79" w14:textId="2D5B7BFB" w:rsidR="00CE5935" w:rsidRPr="009A1ABD" w:rsidRDefault="00CE5935" w:rsidP="00145CCA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 w:rsidRPr="009A1ABD">
        <w:rPr>
          <w:rFonts w:asciiTheme="minorHAnsi" w:hAnsiTheme="minorHAnsi" w:cstheme="minorHAnsi"/>
          <w:b w:val="0"/>
        </w:rPr>
        <w:t xml:space="preserve">Each OSPAR Committee and their subsidiary bodies ensure that the thematic assessments and the indicator assessments produced for </w:t>
      </w:r>
      <w:r w:rsidRPr="009A1ABD">
        <w:rPr>
          <w:rFonts w:asciiTheme="minorHAnsi" w:hAnsiTheme="minorHAnsi" w:cstheme="minorHAnsi"/>
        </w:rPr>
        <w:t>the next QSR 2023 meet</w:t>
      </w:r>
      <w:r w:rsidRPr="009A1ABD">
        <w:rPr>
          <w:rFonts w:asciiTheme="minorHAnsi" w:hAnsiTheme="minorHAnsi" w:cstheme="minorHAnsi"/>
          <w:b w:val="0"/>
        </w:rPr>
        <w:t xml:space="preserve"> </w:t>
      </w:r>
      <w:r w:rsidRPr="009A1ABD">
        <w:rPr>
          <w:rFonts w:asciiTheme="minorHAnsi" w:hAnsiTheme="minorHAnsi" w:cstheme="minorHAnsi"/>
        </w:rPr>
        <w:t xml:space="preserve">the reporting requirements of Articles 8 and 9 of the MSFD </w:t>
      </w:r>
      <w:r w:rsidR="00FD0D17" w:rsidRPr="009A1ABD">
        <w:rPr>
          <w:rFonts w:asciiTheme="minorHAnsi" w:hAnsiTheme="minorHAnsi" w:cstheme="minorHAnsi"/>
        </w:rPr>
        <w:t>in regard of the GES (</w:t>
      </w:r>
      <w:r w:rsidR="005242E4" w:rsidRPr="009A1ABD">
        <w:rPr>
          <w:rFonts w:asciiTheme="minorHAnsi" w:hAnsiTheme="minorHAnsi" w:cstheme="minorHAnsi"/>
        </w:rPr>
        <w:t>EU</w:t>
      </w:r>
      <w:r w:rsidR="00FD0D17" w:rsidRPr="009A1ABD">
        <w:rPr>
          <w:rFonts w:asciiTheme="minorHAnsi" w:hAnsiTheme="minorHAnsi" w:cstheme="minorHAnsi"/>
        </w:rPr>
        <w:t>) D</w:t>
      </w:r>
      <w:r w:rsidRPr="009A1ABD">
        <w:rPr>
          <w:rFonts w:asciiTheme="minorHAnsi" w:hAnsiTheme="minorHAnsi" w:cstheme="minorHAnsi"/>
        </w:rPr>
        <w:t>ecision 2017/848</w:t>
      </w:r>
      <w:r w:rsidRPr="009A1ABD">
        <w:rPr>
          <w:rFonts w:asciiTheme="minorHAnsi" w:hAnsiTheme="minorHAnsi" w:cstheme="minorHAnsi"/>
          <w:b w:val="0"/>
        </w:rPr>
        <w:t xml:space="preserve"> of the European Commission</w:t>
      </w:r>
      <w:r w:rsidR="00787BD7" w:rsidRPr="009A1ABD">
        <w:rPr>
          <w:rStyle w:val="FootnoteReference"/>
          <w:rFonts w:asciiTheme="minorHAnsi" w:hAnsiTheme="minorHAnsi" w:cstheme="minorHAnsi"/>
          <w:b w:val="0"/>
        </w:rPr>
        <w:footnoteReference w:id="4"/>
      </w:r>
      <w:r w:rsidRPr="009A1ABD">
        <w:rPr>
          <w:rFonts w:asciiTheme="minorHAnsi" w:hAnsiTheme="minorHAnsi" w:cstheme="minorHAnsi"/>
          <w:b w:val="0"/>
        </w:rPr>
        <w:t>.</w:t>
      </w:r>
    </w:p>
    <w:p w14:paraId="14544DE9" w14:textId="77777777" w:rsidR="00787BD7" w:rsidRPr="009A1ABD" w:rsidRDefault="00787BD7" w:rsidP="00CE5935">
      <w:pPr>
        <w:pStyle w:val="Heading2"/>
        <w:numPr>
          <w:ilvl w:val="0"/>
          <w:numId w:val="0"/>
        </w:numPr>
        <w:ind w:left="425" w:hanging="425"/>
        <w:rPr>
          <w:rFonts w:asciiTheme="minorHAnsi" w:hAnsiTheme="minorHAnsi" w:cstheme="minorHAnsi"/>
          <w:b w:val="0"/>
        </w:rPr>
      </w:pPr>
      <w:r w:rsidRPr="009A1ABD">
        <w:rPr>
          <w:rFonts w:asciiTheme="minorHAnsi" w:hAnsiTheme="minorHAnsi" w:cstheme="minorHAnsi"/>
          <w:b w:val="0"/>
        </w:rPr>
        <w:t>This action refers to deliverable 1.3 of ICG-MSFD’s Forward Work plan.</w:t>
      </w:r>
    </w:p>
    <w:p w14:paraId="013DAC08" w14:textId="3A9375DD" w:rsidR="004D2F9A" w:rsidRPr="009A1ABD" w:rsidRDefault="004D2F9A" w:rsidP="00CE5935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</w:t>
      </w:r>
      <w:r w:rsidR="00145CCA" w:rsidRPr="009A1ABD">
        <w:rPr>
          <w:rFonts w:asciiTheme="minorHAnsi" w:hAnsiTheme="minorHAnsi" w:cstheme="minorHAnsi"/>
          <w:i/>
        </w:rPr>
        <w:t>:</w:t>
      </w:r>
      <w:r w:rsidR="00EC6B52" w:rsidRPr="009A1ABD">
        <w:rPr>
          <w:rFonts w:asciiTheme="minorHAnsi" w:hAnsiTheme="minorHAnsi" w:cstheme="minorHAnsi"/>
          <w:b w:val="0"/>
          <w:i/>
        </w:rPr>
        <w:t xml:space="preserve"> ICG-QSR</w:t>
      </w:r>
      <w:r w:rsidRPr="009A1ABD">
        <w:rPr>
          <w:rFonts w:asciiTheme="minorHAnsi" w:hAnsiTheme="minorHAnsi" w:cstheme="minorHAnsi"/>
          <w:b w:val="0"/>
          <w:i/>
        </w:rPr>
        <w:t xml:space="preserve"> for guidance; OSPAR </w:t>
      </w:r>
      <w:r w:rsidR="00CE5935" w:rsidRPr="009A1ABD">
        <w:rPr>
          <w:rFonts w:asciiTheme="minorHAnsi" w:hAnsiTheme="minorHAnsi" w:cstheme="minorHAnsi"/>
          <w:b w:val="0"/>
          <w:i/>
        </w:rPr>
        <w:t>Committees</w:t>
      </w:r>
      <w:r w:rsidR="00F2676B" w:rsidRPr="009A1ABD">
        <w:rPr>
          <w:rFonts w:asciiTheme="minorHAnsi" w:hAnsiTheme="minorHAnsi" w:cstheme="minorHAnsi"/>
          <w:b w:val="0"/>
          <w:i/>
        </w:rPr>
        <w:t xml:space="preserve"> and their subsidiaries bodies</w:t>
      </w:r>
      <w:r w:rsidRPr="009A1ABD">
        <w:rPr>
          <w:rFonts w:asciiTheme="minorHAnsi" w:hAnsiTheme="minorHAnsi" w:cstheme="minorHAnsi"/>
          <w:b w:val="0"/>
          <w:i/>
        </w:rPr>
        <w:t xml:space="preserve"> for </w:t>
      </w:r>
      <w:proofErr w:type="gramStart"/>
      <w:r w:rsidRPr="009A1ABD">
        <w:rPr>
          <w:rFonts w:asciiTheme="minorHAnsi" w:hAnsiTheme="minorHAnsi" w:cstheme="minorHAnsi"/>
          <w:b w:val="0"/>
          <w:i/>
        </w:rPr>
        <w:t>application</w:t>
      </w:r>
      <w:proofErr w:type="gramEnd"/>
    </w:p>
    <w:p w14:paraId="42993BC0" w14:textId="38DCFD44" w:rsidR="00EC72C1" w:rsidRPr="009A1ABD" w:rsidRDefault="00477DCE" w:rsidP="009A1ABD">
      <w:pPr>
        <w:pStyle w:val="Heading1"/>
      </w:pPr>
      <w:r w:rsidRPr="009A1ABD">
        <w:t>II.</w:t>
      </w:r>
      <w:r w:rsidRPr="009A1ABD">
        <w:tab/>
      </w:r>
      <w:r w:rsidR="00EC72C1" w:rsidRPr="009A1ABD">
        <w:t>Environmental targets</w:t>
      </w:r>
    </w:p>
    <w:tbl>
      <w:tblPr>
        <w:tblStyle w:val="TableGrid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5544CD" w:rsidRPr="009A1ABD" w14:paraId="153F199A" w14:textId="77777777" w:rsidTr="009A1ABD">
        <w:tc>
          <w:tcPr>
            <w:tcW w:w="9067" w:type="dxa"/>
            <w:shd w:val="clear" w:color="auto" w:fill="9CC2E5" w:themeFill="accent1" w:themeFillTint="99"/>
          </w:tcPr>
          <w:p w14:paraId="0B9604B4" w14:textId="1F896057" w:rsidR="005544CD" w:rsidRPr="009A1ABD" w:rsidRDefault="005544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40"/>
              </w:rPr>
            </w:pPr>
            <w:r w:rsidRPr="009A1ABD">
              <w:rPr>
                <w:rFonts w:asciiTheme="minorHAnsi" w:hAnsiTheme="minorHAnsi" w:cstheme="minorHAnsi"/>
                <w:b/>
                <w:szCs w:val="40"/>
              </w:rPr>
              <w:t>MAIN OBJECTIVE</w:t>
            </w:r>
            <w:r w:rsidR="00145CCA" w:rsidRPr="009A1ABD">
              <w:rPr>
                <w:rFonts w:asciiTheme="minorHAnsi" w:hAnsiTheme="minorHAnsi" w:cstheme="minorHAnsi"/>
                <w:b/>
                <w:szCs w:val="40"/>
              </w:rPr>
              <w:t>:</w:t>
            </w:r>
            <w:r w:rsidRPr="009A1ABD">
              <w:rPr>
                <w:rFonts w:asciiTheme="minorHAnsi" w:hAnsiTheme="minorHAnsi" w:cstheme="minorHAnsi"/>
                <w:b/>
                <w:szCs w:val="40"/>
              </w:rPr>
              <w:t xml:space="preserve"> </w:t>
            </w:r>
            <w:r w:rsidR="000B2F1D" w:rsidRPr="009A1ABD">
              <w:rPr>
                <w:rFonts w:asciiTheme="minorHAnsi" w:hAnsiTheme="minorHAnsi" w:cstheme="minorHAnsi"/>
                <w:b/>
                <w:szCs w:val="40"/>
              </w:rPr>
              <w:t>Identify</w:t>
            </w:r>
            <w:r w:rsidRPr="009A1ABD">
              <w:rPr>
                <w:rFonts w:asciiTheme="minorHAnsi" w:hAnsiTheme="minorHAnsi" w:cstheme="minorHAnsi"/>
                <w:b/>
                <w:szCs w:val="40"/>
              </w:rPr>
              <w:t xml:space="preserve"> coherent environmental targets</w:t>
            </w:r>
            <w:r w:rsidRPr="009A1ABD">
              <w:rPr>
                <w:rFonts w:asciiTheme="minorHAnsi" w:hAnsiTheme="minorHAnsi" w:cstheme="minorHAnsi"/>
                <w:szCs w:val="40"/>
              </w:rPr>
              <w:t xml:space="preserve"> to improve regional implementation of Art.10 MSFD.</w:t>
            </w:r>
          </w:p>
        </w:tc>
      </w:tr>
    </w:tbl>
    <w:p w14:paraId="30C5E2DE" w14:textId="2ACC89C4" w:rsidR="005544CD" w:rsidRPr="009A1ABD" w:rsidRDefault="005544CD" w:rsidP="009A1ABD">
      <w:pPr>
        <w:pStyle w:val="Heading20"/>
      </w:pPr>
      <w:r w:rsidRPr="009A1ABD">
        <w:t>ACTION 1: (2020-2023)</w:t>
      </w:r>
    </w:p>
    <w:p w14:paraId="329D21C9" w14:textId="4564AD86" w:rsidR="00214BCC" w:rsidRPr="009A1ABD" w:rsidRDefault="005544CD" w:rsidP="00145CCA">
      <w:pPr>
        <w:pStyle w:val="Heading2"/>
        <w:numPr>
          <w:ilvl w:val="0"/>
          <w:numId w:val="0"/>
        </w:numPr>
        <w:rPr>
          <w:rFonts w:asciiTheme="minorHAnsi" w:hAnsiTheme="minorHAnsi" w:cstheme="minorHAnsi"/>
          <w:bCs/>
          <w:color w:val="000000" w:themeColor="text1"/>
        </w:rPr>
      </w:pPr>
      <w:r w:rsidRPr="009A1ABD">
        <w:rPr>
          <w:rFonts w:asciiTheme="minorHAnsi" w:hAnsiTheme="minorHAnsi" w:cstheme="minorHAnsi"/>
          <w:b w:val="0"/>
        </w:rPr>
        <w:t xml:space="preserve">OSPAR Committee and subsidiary bodies identify opportunities for </w:t>
      </w:r>
      <w:r w:rsidRPr="009A1ABD">
        <w:rPr>
          <w:rFonts w:asciiTheme="minorHAnsi" w:hAnsiTheme="minorHAnsi" w:cstheme="minorHAnsi"/>
        </w:rPr>
        <w:t xml:space="preserve">coherent regional environmental targets </w:t>
      </w:r>
      <w:r w:rsidR="000B2F1D" w:rsidRPr="009A1ABD">
        <w:rPr>
          <w:rFonts w:asciiTheme="minorHAnsi" w:hAnsiTheme="minorHAnsi" w:cstheme="minorHAnsi"/>
        </w:rPr>
        <w:t>on the pressures where regional and subregional measures are relevant</w:t>
      </w:r>
      <w:r w:rsidRPr="009A1ABD">
        <w:rPr>
          <w:rFonts w:asciiTheme="minorHAnsi" w:hAnsiTheme="minorHAnsi" w:cstheme="minorHAnsi"/>
          <w:bCs/>
          <w:color w:val="000000" w:themeColor="text1"/>
        </w:rPr>
        <w:t>.</w:t>
      </w:r>
    </w:p>
    <w:p w14:paraId="5125EC44" w14:textId="7EA790C0" w:rsidR="005544CD" w:rsidRPr="009A1ABD" w:rsidRDefault="005544CD" w:rsidP="005544CD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</w:t>
      </w:r>
      <w:r w:rsidR="00145CCA" w:rsidRPr="009A1ABD">
        <w:rPr>
          <w:rFonts w:asciiTheme="minorHAnsi" w:hAnsiTheme="minorHAnsi" w:cstheme="minorHAnsi"/>
          <w:i/>
        </w:rPr>
        <w:t>:</w:t>
      </w:r>
      <w:r w:rsidRPr="009A1ABD">
        <w:rPr>
          <w:rFonts w:asciiTheme="minorHAnsi" w:hAnsiTheme="minorHAnsi" w:cstheme="minorHAnsi"/>
          <w:b w:val="0"/>
          <w:i/>
        </w:rPr>
        <w:t xml:space="preserve"> OSPAR Committees for guidance and subsidiary bodies for application</w:t>
      </w:r>
      <w:r w:rsidR="0074095F" w:rsidRPr="009A1ABD">
        <w:rPr>
          <w:rFonts w:asciiTheme="minorHAnsi" w:hAnsiTheme="minorHAnsi" w:cstheme="minorHAnsi"/>
          <w:b w:val="0"/>
          <w:i/>
        </w:rPr>
        <w:t>, on the basis of the steer given by ICG-</w:t>
      </w:r>
      <w:proofErr w:type="gramStart"/>
      <w:r w:rsidR="0074095F" w:rsidRPr="009A1ABD">
        <w:rPr>
          <w:rFonts w:asciiTheme="minorHAnsi" w:hAnsiTheme="minorHAnsi" w:cstheme="minorHAnsi"/>
          <w:b w:val="0"/>
          <w:i/>
        </w:rPr>
        <w:t>MSFD</w:t>
      </w:r>
      <w:proofErr w:type="gramEnd"/>
    </w:p>
    <w:p w14:paraId="30969BB4" w14:textId="6AC7866B" w:rsidR="007638BF" w:rsidRPr="009A1ABD" w:rsidRDefault="005544CD" w:rsidP="009A1ABD">
      <w:pPr>
        <w:pStyle w:val="Heading20"/>
      </w:pPr>
      <w:r w:rsidRPr="009A1ABD">
        <w:t xml:space="preserve">ACTION 2: </w:t>
      </w:r>
      <w:r w:rsidR="007638BF" w:rsidRPr="009A1ABD">
        <w:t>Post-QSR2023</w:t>
      </w:r>
    </w:p>
    <w:p w14:paraId="622ACEF1" w14:textId="5E33551E" w:rsidR="005544CD" w:rsidRPr="009A1ABD" w:rsidRDefault="00F53C1E" w:rsidP="00EC5FF7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r w:rsidRPr="009A1ABD">
        <w:rPr>
          <w:rFonts w:asciiTheme="minorHAnsi" w:hAnsiTheme="minorHAnsi" w:cstheme="minorHAnsi"/>
        </w:rPr>
        <w:t>To provide a regional approach to coherent national targets for all MSFD descriptors.</w:t>
      </w:r>
    </w:p>
    <w:p w14:paraId="1A6A3457" w14:textId="77669E15" w:rsidR="009A1ABD" w:rsidRPr="009A1ABD" w:rsidRDefault="009A1ABD" w:rsidP="009A1ABD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WHO:</w:t>
      </w:r>
      <w:r w:rsidRPr="009A1ABD">
        <w:rPr>
          <w:rFonts w:asciiTheme="minorHAnsi" w:hAnsiTheme="minorHAnsi" w:cstheme="minorHAnsi"/>
          <w:b w:val="0"/>
          <w:i/>
        </w:rPr>
        <w:t xml:space="preserve"> ICG-</w:t>
      </w:r>
      <w:proofErr w:type="gramStart"/>
      <w:r w:rsidRPr="009A1ABD">
        <w:rPr>
          <w:rFonts w:asciiTheme="minorHAnsi" w:hAnsiTheme="minorHAnsi" w:cstheme="minorHAnsi"/>
          <w:b w:val="0"/>
          <w:i/>
        </w:rPr>
        <w:t>MSFD</w:t>
      </w:r>
      <w:proofErr w:type="gramEnd"/>
    </w:p>
    <w:p w14:paraId="1F51DC14" w14:textId="56F46D8D" w:rsidR="00EC72C1" w:rsidRPr="009A1ABD" w:rsidRDefault="00477DCE" w:rsidP="009A1ABD">
      <w:pPr>
        <w:pStyle w:val="Heading1"/>
      </w:pPr>
      <w:r w:rsidRPr="009A1ABD">
        <w:t>III.</w:t>
      </w:r>
      <w:r w:rsidRPr="009A1ABD">
        <w:tab/>
      </w:r>
      <w:r w:rsidR="006C6EA2" w:rsidRPr="009A1ABD">
        <w:t>Monitoring</w:t>
      </w:r>
    </w:p>
    <w:tbl>
      <w:tblPr>
        <w:tblStyle w:val="TableGrid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F53C1E" w:rsidRPr="009A1ABD" w14:paraId="0B427866" w14:textId="77777777" w:rsidTr="009A1ABD">
        <w:tc>
          <w:tcPr>
            <w:tcW w:w="9067" w:type="dxa"/>
            <w:shd w:val="clear" w:color="auto" w:fill="9CC2E5" w:themeFill="accent1" w:themeFillTint="99"/>
          </w:tcPr>
          <w:p w14:paraId="30BAD9CE" w14:textId="032ED86F" w:rsidR="00F53C1E" w:rsidRPr="009A1ABD" w:rsidRDefault="00F53C1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40"/>
              </w:rPr>
            </w:pPr>
            <w:r w:rsidRPr="009A1ABD">
              <w:rPr>
                <w:rFonts w:asciiTheme="minorHAnsi" w:hAnsiTheme="minorHAnsi" w:cstheme="minorHAnsi"/>
                <w:b/>
                <w:szCs w:val="40"/>
              </w:rPr>
              <w:t>MAIN OBJECTIVE</w:t>
            </w:r>
            <w:r w:rsidR="00145CCA" w:rsidRPr="009A1ABD">
              <w:rPr>
                <w:rFonts w:asciiTheme="minorHAnsi" w:hAnsiTheme="minorHAnsi" w:cstheme="minorHAnsi"/>
                <w:b/>
                <w:szCs w:val="40"/>
              </w:rPr>
              <w:t>:</w:t>
            </w:r>
            <w:r w:rsidRPr="009A1ABD">
              <w:rPr>
                <w:rFonts w:asciiTheme="minorHAnsi" w:hAnsiTheme="minorHAnsi" w:cstheme="minorHAnsi"/>
                <w:szCs w:val="40"/>
              </w:rPr>
              <w:t xml:space="preserve"> </w:t>
            </w:r>
            <w:r w:rsidR="0061126C" w:rsidRPr="009A1ABD">
              <w:rPr>
                <w:rFonts w:asciiTheme="minorHAnsi" w:hAnsiTheme="minorHAnsi" w:cstheme="minorHAnsi"/>
                <w:szCs w:val="40"/>
              </w:rPr>
              <w:t>To improve consistency of the OSPAR Coordinated Environmental Monitoring Program</w:t>
            </w:r>
            <w:r w:rsidR="00FD7D27" w:rsidRPr="009A1ABD">
              <w:rPr>
                <w:rFonts w:asciiTheme="minorHAnsi" w:hAnsiTheme="minorHAnsi" w:cstheme="minorHAnsi"/>
                <w:szCs w:val="40"/>
              </w:rPr>
              <w:t>me</w:t>
            </w:r>
            <w:r w:rsidR="0061126C" w:rsidRPr="009A1ABD">
              <w:rPr>
                <w:rFonts w:asciiTheme="minorHAnsi" w:hAnsiTheme="minorHAnsi" w:cstheme="minorHAnsi"/>
                <w:szCs w:val="40"/>
              </w:rPr>
              <w:t xml:space="preserve"> (CEMP) with the Art.11 MSFD requirements.</w:t>
            </w:r>
          </w:p>
        </w:tc>
      </w:tr>
    </w:tbl>
    <w:p w14:paraId="11A02362" w14:textId="69EBD68A" w:rsidR="0061126C" w:rsidRPr="009A1ABD" w:rsidRDefault="0061126C" w:rsidP="009A1ABD">
      <w:pPr>
        <w:pStyle w:val="Heading20"/>
      </w:pPr>
      <w:r w:rsidRPr="009A1ABD">
        <w:t>ACTION 1: (2020-2023)</w:t>
      </w:r>
    </w:p>
    <w:p w14:paraId="25C315E5" w14:textId="171A4D41" w:rsidR="0061126C" w:rsidRPr="009A1ABD" w:rsidRDefault="0061126C" w:rsidP="00145CCA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 w:rsidRPr="009A1ABD">
        <w:rPr>
          <w:rFonts w:asciiTheme="minorHAnsi" w:hAnsiTheme="minorHAnsi" w:cstheme="minorHAnsi"/>
          <w:b w:val="0"/>
        </w:rPr>
        <w:t xml:space="preserve">Contracting Parties to </w:t>
      </w:r>
      <w:r w:rsidR="00FD7D27" w:rsidRPr="009A1ABD">
        <w:rPr>
          <w:rFonts w:asciiTheme="minorHAnsi" w:hAnsiTheme="minorHAnsi" w:cstheme="minorHAnsi"/>
          <w:b w:val="0"/>
        </w:rPr>
        <w:t>make sure the CEMP monitoring guidelines are</w:t>
      </w:r>
      <w:r w:rsidR="00983B5F" w:rsidRPr="009A1ABD">
        <w:rPr>
          <w:rFonts w:asciiTheme="minorHAnsi" w:hAnsiTheme="minorHAnsi" w:cstheme="minorHAnsi"/>
          <w:b w:val="0"/>
        </w:rPr>
        <w:t xml:space="preserve"> developed to support Art.11 MSFD requirements and</w:t>
      </w:r>
      <w:r w:rsidR="00FD7D27" w:rsidRPr="009A1ABD">
        <w:rPr>
          <w:rFonts w:asciiTheme="minorHAnsi" w:hAnsiTheme="minorHAnsi" w:cstheme="minorHAnsi"/>
          <w:b w:val="0"/>
        </w:rPr>
        <w:t xml:space="preserve"> </w:t>
      </w:r>
      <w:r w:rsidRPr="009A1ABD">
        <w:rPr>
          <w:rFonts w:asciiTheme="minorHAnsi" w:hAnsiTheme="minorHAnsi" w:cstheme="minorHAnsi"/>
          <w:b w:val="0"/>
        </w:rPr>
        <w:t>implement</w:t>
      </w:r>
      <w:r w:rsidR="00FD7D27" w:rsidRPr="009A1ABD">
        <w:rPr>
          <w:rFonts w:asciiTheme="minorHAnsi" w:hAnsiTheme="minorHAnsi" w:cstheme="minorHAnsi"/>
          <w:b w:val="0"/>
        </w:rPr>
        <w:t>ed in order</w:t>
      </w:r>
      <w:r w:rsidR="00BD7695" w:rsidRPr="009A1ABD">
        <w:rPr>
          <w:rFonts w:asciiTheme="minorHAnsi" w:hAnsiTheme="minorHAnsi" w:cstheme="minorHAnsi"/>
          <w:b w:val="0"/>
        </w:rPr>
        <w:t xml:space="preserve"> </w:t>
      </w:r>
      <w:r w:rsidR="00FD7D27" w:rsidRPr="009A1ABD">
        <w:rPr>
          <w:rFonts w:asciiTheme="minorHAnsi" w:hAnsiTheme="minorHAnsi" w:cstheme="minorHAnsi"/>
          <w:b w:val="0"/>
        </w:rPr>
        <w:t xml:space="preserve">to </w:t>
      </w:r>
      <w:r w:rsidRPr="009A1ABD">
        <w:rPr>
          <w:rFonts w:asciiTheme="minorHAnsi" w:hAnsiTheme="minorHAnsi" w:cstheme="minorHAnsi"/>
          <w:b w:val="0"/>
        </w:rPr>
        <w:t>monitor OSPAR</w:t>
      </w:r>
      <w:r w:rsidRPr="009A1ABD">
        <w:rPr>
          <w:rFonts w:asciiTheme="minorHAnsi" w:hAnsiTheme="minorHAnsi" w:cstheme="minorHAnsi"/>
        </w:rPr>
        <w:t xml:space="preserve"> indicators</w:t>
      </w:r>
      <w:r w:rsidR="00FD7D27" w:rsidRPr="009A1ABD">
        <w:rPr>
          <w:rFonts w:asciiTheme="minorHAnsi" w:hAnsiTheme="minorHAnsi" w:cstheme="minorHAnsi"/>
        </w:rPr>
        <w:t xml:space="preserve"> used for QSR assessments</w:t>
      </w:r>
      <w:r w:rsidR="00BD7695" w:rsidRPr="009A1ABD">
        <w:rPr>
          <w:rFonts w:asciiTheme="minorHAnsi" w:hAnsiTheme="minorHAnsi" w:cstheme="minorHAnsi"/>
        </w:rPr>
        <w:t xml:space="preserve"> </w:t>
      </w:r>
      <w:r w:rsidR="00FD7D27" w:rsidRPr="009A1ABD">
        <w:rPr>
          <w:rFonts w:asciiTheme="minorHAnsi" w:hAnsiTheme="minorHAnsi" w:cstheme="minorHAnsi"/>
        </w:rPr>
        <w:t>at a (sub-)regional scale.</w:t>
      </w:r>
    </w:p>
    <w:p w14:paraId="4CD4A9B5" w14:textId="64F5B8F7" w:rsidR="0061126C" w:rsidRPr="009A1ABD" w:rsidRDefault="0061126C" w:rsidP="009A1ABD">
      <w:pPr>
        <w:pStyle w:val="Heading20"/>
      </w:pPr>
      <w:r w:rsidRPr="009A1ABD">
        <w:t xml:space="preserve">ACTION 2: </w:t>
      </w:r>
      <w:r w:rsidR="00E42772" w:rsidRPr="009A1ABD">
        <w:t>(2020-2023)</w:t>
      </w:r>
    </w:p>
    <w:p w14:paraId="7E9EBC37" w14:textId="24D3E94D" w:rsidR="00F53C1E" w:rsidRPr="009A1ABD" w:rsidRDefault="0061126C" w:rsidP="00145CCA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 w:rsidRPr="009A1ABD">
        <w:rPr>
          <w:rFonts w:asciiTheme="minorHAnsi" w:hAnsiTheme="minorHAnsi" w:cstheme="minorHAnsi"/>
          <w:b w:val="0"/>
        </w:rPr>
        <w:t>Identify the gap</w:t>
      </w:r>
      <w:r w:rsidR="006068E9" w:rsidRPr="009A1ABD">
        <w:rPr>
          <w:rFonts w:asciiTheme="minorHAnsi" w:hAnsiTheme="minorHAnsi" w:cstheme="minorHAnsi"/>
          <w:b w:val="0"/>
        </w:rPr>
        <w:t>s</w:t>
      </w:r>
      <w:r w:rsidRPr="009A1ABD">
        <w:rPr>
          <w:rFonts w:asciiTheme="minorHAnsi" w:hAnsiTheme="minorHAnsi" w:cstheme="minorHAnsi"/>
          <w:b w:val="0"/>
        </w:rPr>
        <w:t xml:space="preserve"> of </w:t>
      </w:r>
      <w:r w:rsidR="006068E9" w:rsidRPr="009A1ABD">
        <w:rPr>
          <w:rFonts w:asciiTheme="minorHAnsi" w:hAnsiTheme="minorHAnsi" w:cstheme="minorHAnsi"/>
          <w:b w:val="0"/>
        </w:rPr>
        <w:t xml:space="preserve">national and regional </w:t>
      </w:r>
      <w:r w:rsidRPr="009A1ABD">
        <w:rPr>
          <w:rFonts w:asciiTheme="minorHAnsi" w:hAnsiTheme="minorHAnsi" w:cstheme="minorHAnsi"/>
          <w:b w:val="0"/>
        </w:rPr>
        <w:t>monitoring and provide guidance for a</w:t>
      </w:r>
      <w:r w:rsidR="00145CCA" w:rsidRPr="009A1ABD">
        <w:rPr>
          <w:rFonts w:asciiTheme="minorHAnsi" w:hAnsiTheme="minorHAnsi" w:cstheme="minorHAnsi"/>
          <w:b w:val="0"/>
        </w:rPr>
        <w:t>n</w:t>
      </w:r>
      <w:r w:rsidRPr="009A1ABD">
        <w:rPr>
          <w:rFonts w:asciiTheme="minorHAnsi" w:hAnsiTheme="minorHAnsi" w:cstheme="minorHAnsi"/>
          <w:b w:val="0"/>
        </w:rPr>
        <w:t xml:space="preserve"> enhanced regional coordinated</w:t>
      </w:r>
      <w:r w:rsidR="00E42772" w:rsidRPr="009A1ABD">
        <w:rPr>
          <w:rFonts w:asciiTheme="minorHAnsi" w:hAnsiTheme="minorHAnsi" w:cstheme="minorHAnsi"/>
          <w:b w:val="0"/>
        </w:rPr>
        <w:t xml:space="preserve"> monitoring</w:t>
      </w:r>
      <w:r w:rsidRPr="009A1ABD">
        <w:rPr>
          <w:rFonts w:asciiTheme="minorHAnsi" w:hAnsiTheme="minorHAnsi" w:cstheme="minorHAnsi"/>
          <w:b w:val="0"/>
        </w:rPr>
        <w:t xml:space="preserve"> program</w:t>
      </w:r>
      <w:r w:rsidR="00FD7D27" w:rsidRPr="009A1ABD">
        <w:rPr>
          <w:rFonts w:asciiTheme="minorHAnsi" w:hAnsiTheme="minorHAnsi" w:cstheme="minorHAnsi"/>
          <w:b w:val="0"/>
        </w:rPr>
        <w:t>me</w:t>
      </w:r>
      <w:r w:rsidRPr="009A1ABD">
        <w:rPr>
          <w:rFonts w:asciiTheme="minorHAnsi" w:hAnsiTheme="minorHAnsi" w:cstheme="minorHAnsi"/>
          <w:b w:val="0"/>
        </w:rPr>
        <w:t>.</w:t>
      </w:r>
    </w:p>
    <w:p w14:paraId="02147B50" w14:textId="6DD98E79" w:rsidR="00280E02" w:rsidRPr="009A1ABD" w:rsidRDefault="0061126C" w:rsidP="00145CCA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</w:t>
      </w:r>
      <w:r w:rsidR="00145CCA" w:rsidRPr="009A1ABD">
        <w:rPr>
          <w:rFonts w:asciiTheme="minorHAnsi" w:hAnsiTheme="minorHAnsi" w:cstheme="minorHAnsi"/>
          <w:i/>
        </w:rPr>
        <w:t>:</w:t>
      </w:r>
      <w:r w:rsidRPr="009A1ABD">
        <w:rPr>
          <w:rFonts w:asciiTheme="minorHAnsi" w:hAnsiTheme="minorHAnsi" w:cstheme="minorHAnsi"/>
          <w:b w:val="0"/>
          <w:i/>
        </w:rPr>
        <w:t xml:space="preserve"> OSPAR Committees for guidance and subsidiary bodies for </w:t>
      </w:r>
      <w:proofErr w:type="gramStart"/>
      <w:r w:rsidRPr="009A1ABD">
        <w:rPr>
          <w:rFonts w:asciiTheme="minorHAnsi" w:hAnsiTheme="minorHAnsi" w:cstheme="minorHAnsi"/>
          <w:b w:val="0"/>
          <w:i/>
        </w:rPr>
        <w:t>application</w:t>
      </w:r>
      <w:proofErr w:type="gramEnd"/>
    </w:p>
    <w:p w14:paraId="4487DCAD" w14:textId="0E029DA3" w:rsidR="00280E02" w:rsidRPr="009A1ABD" w:rsidRDefault="00983B5F" w:rsidP="009A1ABD">
      <w:pPr>
        <w:pStyle w:val="Heading1"/>
      </w:pPr>
      <w:r w:rsidRPr="009A1ABD">
        <w:lastRenderedPageBreak/>
        <w:t>IV</w:t>
      </w:r>
      <w:r w:rsidR="00477DCE" w:rsidRPr="009A1ABD">
        <w:t>.</w:t>
      </w:r>
      <w:r w:rsidR="00477DCE" w:rsidRPr="009A1ABD">
        <w:tab/>
      </w:r>
      <w:r w:rsidR="006C6EA2" w:rsidRPr="009A1ABD">
        <w:t>Programmes of Measures</w:t>
      </w:r>
    </w:p>
    <w:tbl>
      <w:tblPr>
        <w:tblStyle w:val="TableGrid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7"/>
      </w:tblGrid>
      <w:tr w:rsidR="00280E02" w:rsidRPr="009A1ABD" w14:paraId="6EF3A74D" w14:textId="77777777" w:rsidTr="009A1ABD">
        <w:tc>
          <w:tcPr>
            <w:tcW w:w="9067" w:type="dxa"/>
            <w:shd w:val="clear" w:color="auto" w:fill="9CC2E5" w:themeFill="accent1" w:themeFillTint="99"/>
          </w:tcPr>
          <w:p w14:paraId="46922073" w14:textId="24AE2035" w:rsidR="00280E02" w:rsidRPr="009A1ABD" w:rsidRDefault="00280E02" w:rsidP="00E40D6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40"/>
              </w:rPr>
            </w:pPr>
            <w:r w:rsidRPr="009A1ABD">
              <w:rPr>
                <w:rFonts w:asciiTheme="minorHAnsi" w:hAnsiTheme="minorHAnsi" w:cstheme="minorHAnsi"/>
                <w:b/>
                <w:szCs w:val="40"/>
              </w:rPr>
              <w:t>MAIN OBJECTIVE</w:t>
            </w:r>
            <w:r w:rsidR="00145CCA" w:rsidRPr="009A1ABD">
              <w:rPr>
                <w:rFonts w:asciiTheme="minorHAnsi" w:hAnsiTheme="minorHAnsi" w:cstheme="minorHAnsi"/>
                <w:b/>
                <w:szCs w:val="40"/>
              </w:rPr>
              <w:t>:</w:t>
            </w:r>
            <w:r w:rsidRPr="009A1ABD">
              <w:rPr>
                <w:rFonts w:asciiTheme="minorHAnsi" w:hAnsiTheme="minorHAnsi" w:cstheme="minorHAnsi"/>
                <w:szCs w:val="40"/>
              </w:rPr>
              <w:t xml:space="preserve"> To </w:t>
            </w:r>
            <w:r w:rsidR="00412CC4" w:rsidRPr="009A1ABD">
              <w:rPr>
                <w:rFonts w:asciiTheme="minorHAnsi" w:hAnsiTheme="minorHAnsi" w:cstheme="minorHAnsi"/>
                <w:b/>
                <w:szCs w:val="22"/>
              </w:rPr>
              <w:t>develop</w:t>
            </w:r>
            <w:r w:rsidRPr="009A1ABD">
              <w:rPr>
                <w:rFonts w:asciiTheme="minorHAnsi" w:hAnsiTheme="minorHAnsi" w:cstheme="minorHAnsi"/>
                <w:b/>
                <w:szCs w:val="22"/>
              </w:rPr>
              <w:t xml:space="preserve"> coordinated and</w:t>
            </w:r>
            <w:r w:rsidR="00412CC4" w:rsidRPr="009A1ABD">
              <w:rPr>
                <w:rFonts w:asciiTheme="minorHAnsi" w:hAnsiTheme="minorHAnsi" w:cstheme="minorHAnsi"/>
                <w:b/>
                <w:szCs w:val="22"/>
              </w:rPr>
              <w:t>, where appropriate,</w:t>
            </w:r>
            <w:r w:rsidR="00E40D6B" w:rsidRPr="009A1AB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A1ABD">
              <w:rPr>
                <w:rFonts w:asciiTheme="minorHAnsi" w:hAnsiTheme="minorHAnsi" w:cstheme="minorHAnsi"/>
                <w:b/>
                <w:szCs w:val="22"/>
              </w:rPr>
              <w:t>joint measures,</w:t>
            </w:r>
            <w:r w:rsidR="00E40D6B" w:rsidRPr="009A1ABD">
              <w:rPr>
                <w:rFonts w:asciiTheme="minorHAnsi" w:hAnsiTheme="minorHAnsi" w:cstheme="minorHAnsi"/>
                <w:b/>
                <w:szCs w:val="22"/>
              </w:rPr>
              <w:t xml:space="preserve"> taking into account the feedbacks f</w:t>
            </w:r>
            <w:r w:rsidR="00BD7695" w:rsidRPr="009A1ABD">
              <w:rPr>
                <w:rFonts w:asciiTheme="minorHAnsi" w:hAnsiTheme="minorHAnsi" w:cstheme="minorHAnsi"/>
                <w:b/>
                <w:szCs w:val="22"/>
              </w:rPr>
              <w:t>rom</w:t>
            </w:r>
            <w:r w:rsidR="00E40D6B" w:rsidRPr="009A1ABD">
              <w:rPr>
                <w:rFonts w:asciiTheme="minorHAnsi" w:hAnsiTheme="minorHAnsi" w:cstheme="minorHAnsi"/>
                <w:b/>
                <w:szCs w:val="22"/>
              </w:rPr>
              <w:t xml:space="preserve"> the MSFD 2nd cycle reporting on Programs of Measures (</w:t>
            </w:r>
            <w:proofErr w:type="spellStart"/>
            <w:r w:rsidR="00E40D6B" w:rsidRPr="009A1ABD">
              <w:rPr>
                <w:rFonts w:asciiTheme="minorHAnsi" w:hAnsiTheme="minorHAnsi" w:cstheme="minorHAnsi"/>
                <w:b/>
                <w:szCs w:val="22"/>
              </w:rPr>
              <w:t>PoM</w:t>
            </w:r>
            <w:proofErr w:type="spellEnd"/>
            <w:r w:rsidR="00E40D6B" w:rsidRPr="009A1ABD">
              <w:rPr>
                <w:rFonts w:asciiTheme="minorHAnsi" w:hAnsiTheme="minorHAnsi" w:cstheme="minorHAnsi"/>
                <w:b/>
                <w:szCs w:val="22"/>
              </w:rPr>
              <w:t>),</w:t>
            </w:r>
            <w:r w:rsidRPr="009A1ABD">
              <w:rPr>
                <w:rFonts w:asciiTheme="minorHAnsi" w:hAnsiTheme="minorHAnsi" w:cstheme="minorHAnsi"/>
                <w:b/>
                <w:szCs w:val="22"/>
              </w:rPr>
              <w:t xml:space="preserve"> in order to improve consistency with the </w:t>
            </w:r>
            <w:r w:rsidR="00E40D6B" w:rsidRPr="009A1ABD">
              <w:rPr>
                <w:rFonts w:asciiTheme="minorHAnsi" w:hAnsiTheme="minorHAnsi" w:cstheme="minorHAnsi"/>
                <w:b/>
                <w:szCs w:val="22"/>
              </w:rPr>
              <w:t>forthcoming</w:t>
            </w:r>
            <w:r w:rsidR="00BD7695" w:rsidRPr="009A1AB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A1ABD">
              <w:rPr>
                <w:rFonts w:asciiTheme="minorHAnsi" w:hAnsiTheme="minorHAnsi" w:cstheme="minorHAnsi"/>
                <w:b/>
                <w:szCs w:val="22"/>
              </w:rPr>
              <w:t>cycle</w:t>
            </w:r>
            <w:r w:rsidR="00BD7695" w:rsidRPr="009A1ABD">
              <w:rPr>
                <w:rFonts w:asciiTheme="minorHAnsi" w:hAnsiTheme="minorHAnsi" w:cstheme="minorHAnsi"/>
                <w:b/>
                <w:szCs w:val="22"/>
              </w:rPr>
              <w:t>s</w:t>
            </w:r>
            <w:r w:rsidRPr="009A1ABD">
              <w:rPr>
                <w:rFonts w:asciiTheme="minorHAnsi" w:hAnsiTheme="minorHAnsi" w:cstheme="minorHAnsi"/>
                <w:b/>
                <w:szCs w:val="22"/>
              </w:rPr>
              <w:t xml:space="preserve"> of MSFD </w:t>
            </w:r>
            <w:proofErr w:type="spellStart"/>
            <w:r w:rsidR="00E40D6B" w:rsidRPr="009A1ABD">
              <w:rPr>
                <w:rFonts w:asciiTheme="minorHAnsi" w:hAnsiTheme="minorHAnsi" w:cstheme="minorHAnsi"/>
                <w:b/>
                <w:szCs w:val="22"/>
              </w:rPr>
              <w:t>PoM</w:t>
            </w:r>
            <w:proofErr w:type="spellEnd"/>
            <w:r w:rsidRPr="009A1ABD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</w:tr>
    </w:tbl>
    <w:p w14:paraId="50E87CEE" w14:textId="6E3FC2C8" w:rsidR="00280E02" w:rsidRPr="009A1ABD" w:rsidRDefault="006068E9" w:rsidP="009A1ABD">
      <w:pPr>
        <w:pStyle w:val="Heading20"/>
      </w:pPr>
      <w:r w:rsidRPr="009A1ABD">
        <w:t>ACTION 1</w:t>
      </w:r>
      <w:r w:rsidR="00280E02" w:rsidRPr="009A1ABD">
        <w:t xml:space="preserve">: </w:t>
      </w:r>
      <w:r w:rsidR="00E42772" w:rsidRPr="009A1ABD">
        <w:t xml:space="preserve">(2021-2023) / </w:t>
      </w:r>
      <w:r w:rsidR="007638BF" w:rsidRPr="009A1ABD">
        <w:t>post QSR2023</w:t>
      </w:r>
    </w:p>
    <w:p w14:paraId="182DBB6F" w14:textId="30746F47" w:rsidR="00983B5F" w:rsidRPr="009A1ABD" w:rsidRDefault="00280E02" w:rsidP="00983B5F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r w:rsidRPr="009A1ABD">
        <w:rPr>
          <w:rFonts w:asciiTheme="minorHAnsi" w:hAnsiTheme="minorHAnsi" w:cstheme="minorHAnsi"/>
          <w:b w:val="0"/>
        </w:rPr>
        <w:t>OSPAR Committees and subsidiary bodies</w:t>
      </w:r>
      <w:r w:rsidRPr="009A1ABD">
        <w:rPr>
          <w:rFonts w:asciiTheme="minorHAnsi" w:hAnsiTheme="minorHAnsi" w:cstheme="minorHAnsi"/>
        </w:rPr>
        <w:t xml:space="preserve"> </w:t>
      </w:r>
      <w:r w:rsidR="00983B5F" w:rsidRPr="009A1ABD">
        <w:rPr>
          <w:rFonts w:asciiTheme="minorHAnsi" w:hAnsiTheme="minorHAnsi" w:cstheme="minorHAnsi"/>
        </w:rPr>
        <w:t xml:space="preserve">to improve consistency regarding measures implemented nationally at a (sub-) regional scale especially regarding OSPAR work on noise, marine litter, </w:t>
      </w:r>
      <w:proofErr w:type="gramStart"/>
      <w:r w:rsidR="00983B5F" w:rsidRPr="009A1ABD">
        <w:rPr>
          <w:rFonts w:asciiTheme="minorHAnsi" w:hAnsiTheme="minorHAnsi" w:cstheme="minorHAnsi"/>
        </w:rPr>
        <w:t>biodiversity</w:t>
      </w:r>
      <w:proofErr w:type="gramEnd"/>
      <w:r w:rsidR="00983B5F" w:rsidRPr="009A1ABD">
        <w:rPr>
          <w:rFonts w:asciiTheme="minorHAnsi" w:hAnsiTheme="minorHAnsi" w:cstheme="minorHAnsi"/>
        </w:rPr>
        <w:t xml:space="preserve"> and habitats</w:t>
      </w:r>
      <w:r w:rsidR="00983B5F" w:rsidRPr="009A1ABD">
        <w:rPr>
          <w:rStyle w:val="FootnoteReference"/>
          <w:rFonts w:asciiTheme="minorHAnsi" w:hAnsiTheme="minorHAnsi" w:cstheme="minorHAnsi"/>
        </w:rPr>
        <w:footnoteReference w:id="5"/>
      </w:r>
      <w:r w:rsidR="00983B5F" w:rsidRPr="009A1ABD">
        <w:rPr>
          <w:rFonts w:asciiTheme="minorHAnsi" w:hAnsiTheme="minorHAnsi" w:cstheme="minorHAnsi"/>
        </w:rPr>
        <w:t>, as required by the NEAES operational objectives and implementation plan.</w:t>
      </w:r>
    </w:p>
    <w:p w14:paraId="54273D78" w14:textId="71301537" w:rsidR="00983B5F" w:rsidRPr="009A1ABD" w:rsidRDefault="002E178B" w:rsidP="009A1ABD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WHO:</w:t>
      </w:r>
      <w:r w:rsidRPr="009A1ABD">
        <w:rPr>
          <w:rFonts w:asciiTheme="minorHAnsi" w:hAnsiTheme="minorHAnsi" w:cstheme="minorHAnsi"/>
          <w:b w:val="0"/>
          <w:i/>
        </w:rPr>
        <w:t xml:space="preserve"> OSPAR Committees for guidance and subsidiary bodies for </w:t>
      </w:r>
      <w:proofErr w:type="gramStart"/>
      <w:r w:rsidRPr="009A1ABD">
        <w:rPr>
          <w:rFonts w:asciiTheme="minorHAnsi" w:hAnsiTheme="minorHAnsi" w:cstheme="minorHAnsi"/>
          <w:b w:val="0"/>
          <w:i/>
        </w:rPr>
        <w:t>application</w:t>
      </w:r>
      <w:proofErr w:type="gramEnd"/>
    </w:p>
    <w:p w14:paraId="12CAE711" w14:textId="5DDB1D34" w:rsidR="00983B5F" w:rsidRPr="009A1ABD" w:rsidRDefault="00983B5F" w:rsidP="009A1ABD">
      <w:pPr>
        <w:pStyle w:val="Heading20"/>
      </w:pPr>
      <w:r w:rsidRPr="009A1ABD">
        <w:t>ACTION 2: Post-QSR 2023</w:t>
      </w:r>
    </w:p>
    <w:p w14:paraId="75417A29" w14:textId="37ED6844" w:rsidR="00280E02" w:rsidRPr="009A1ABD" w:rsidRDefault="00983B5F" w:rsidP="00145CCA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r w:rsidRPr="009A1ABD">
        <w:rPr>
          <w:rFonts w:asciiTheme="minorHAnsi" w:hAnsiTheme="minorHAnsi" w:cstheme="minorHAnsi"/>
          <w:b w:val="0"/>
        </w:rPr>
        <w:t xml:space="preserve">OSPAR Committees, subsidiary </w:t>
      </w:r>
      <w:proofErr w:type="gramStart"/>
      <w:r w:rsidRPr="009A1ABD">
        <w:rPr>
          <w:rFonts w:asciiTheme="minorHAnsi" w:hAnsiTheme="minorHAnsi" w:cstheme="minorHAnsi"/>
          <w:b w:val="0"/>
        </w:rPr>
        <w:t>bodies</w:t>
      </w:r>
      <w:proofErr w:type="gramEnd"/>
      <w:r w:rsidRPr="009A1ABD">
        <w:rPr>
          <w:rFonts w:asciiTheme="minorHAnsi" w:hAnsiTheme="minorHAnsi" w:cstheme="minorHAnsi"/>
        </w:rPr>
        <w:t xml:space="preserve"> and Contracting Parties to </w:t>
      </w:r>
      <w:r w:rsidR="00280E02" w:rsidRPr="009A1ABD">
        <w:rPr>
          <w:rFonts w:asciiTheme="minorHAnsi" w:hAnsiTheme="minorHAnsi" w:cstheme="minorHAnsi"/>
        </w:rPr>
        <w:t>identify and provide</w:t>
      </w:r>
      <w:r w:rsidR="00D6347E" w:rsidRPr="009A1ABD">
        <w:rPr>
          <w:rFonts w:asciiTheme="minorHAnsi" w:hAnsiTheme="minorHAnsi" w:cstheme="minorHAnsi"/>
        </w:rPr>
        <w:t xml:space="preserve"> approach</w:t>
      </w:r>
      <w:r w:rsidR="00E40D6B" w:rsidRPr="009A1ABD">
        <w:rPr>
          <w:rFonts w:asciiTheme="minorHAnsi" w:hAnsiTheme="minorHAnsi" w:cstheme="minorHAnsi"/>
        </w:rPr>
        <w:t>es</w:t>
      </w:r>
      <w:r w:rsidR="00280E02" w:rsidRPr="009A1ABD">
        <w:rPr>
          <w:rFonts w:asciiTheme="minorHAnsi" w:hAnsiTheme="minorHAnsi" w:cstheme="minorHAnsi"/>
        </w:rPr>
        <w:t xml:space="preserve"> on how to establish joint </w:t>
      </w:r>
      <w:r w:rsidR="006068E9" w:rsidRPr="009A1ABD">
        <w:rPr>
          <w:rFonts w:asciiTheme="minorHAnsi" w:hAnsiTheme="minorHAnsi" w:cstheme="minorHAnsi"/>
        </w:rPr>
        <w:t>measures</w:t>
      </w:r>
      <w:r w:rsidRPr="009A1ABD">
        <w:rPr>
          <w:rFonts w:asciiTheme="minorHAnsi" w:hAnsiTheme="minorHAnsi" w:cstheme="minorHAnsi"/>
        </w:rPr>
        <w:t xml:space="preserve"> based on the national MSFD measures.</w:t>
      </w:r>
    </w:p>
    <w:p w14:paraId="3CC4C6B1" w14:textId="77777777" w:rsidR="009A1ABD" w:rsidRPr="009A1ABD" w:rsidRDefault="009A1ABD" w:rsidP="009A1ABD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WHO:</w:t>
      </w:r>
      <w:r w:rsidRPr="009A1ABD">
        <w:rPr>
          <w:rFonts w:asciiTheme="minorHAnsi" w:hAnsiTheme="minorHAnsi" w:cstheme="minorHAnsi"/>
          <w:b w:val="0"/>
          <w:i/>
        </w:rPr>
        <w:t xml:space="preserve"> OSPAR Committees for guidance and subsidiary bodies for </w:t>
      </w:r>
      <w:proofErr w:type="gramStart"/>
      <w:r w:rsidRPr="009A1ABD">
        <w:rPr>
          <w:rFonts w:asciiTheme="minorHAnsi" w:hAnsiTheme="minorHAnsi" w:cstheme="minorHAnsi"/>
          <w:b w:val="0"/>
          <w:i/>
        </w:rPr>
        <w:t>application</w:t>
      </w:r>
      <w:proofErr w:type="gramEnd"/>
    </w:p>
    <w:p w14:paraId="5B15C64B" w14:textId="29C5D4CB" w:rsidR="006C6EA2" w:rsidRPr="009A1ABD" w:rsidRDefault="00477DCE" w:rsidP="009A1ABD">
      <w:pPr>
        <w:pStyle w:val="Heading1"/>
      </w:pPr>
      <w:r w:rsidRPr="009A1ABD">
        <w:t>V.</w:t>
      </w:r>
      <w:r w:rsidRPr="009A1ABD">
        <w:tab/>
      </w:r>
      <w:r w:rsidR="006C6EA2" w:rsidRPr="009A1ABD">
        <w:t>C</w:t>
      </w:r>
      <w:r w:rsidR="000B2F1D" w:rsidRPr="009A1ABD">
        <w:t>ross-regional c</w:t>
      </w:r>
      <w:r w:rsidR="006C6EA2" w:rsidRPr="009A1ABD">
        <w:t>ooperation with other Regional Sea Convention</w:t>
      </w:r>
      <w:r w:rsidR="000B2F1D" w:rsidRPr="009A1ABD">
        <w:t>s</w:t>
      </w:r>
    </w:p>
    <w:tbl>
      <w:tblPr>
        <w:tblStyle w:val="TableGrid"/>
        <w:tblW w:w="8806" w:type="dxa"/>
        <w:jc w:val="center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806"/>
      </w:tblGrid>
      <w:tr w:rsidR="006068E9" w:rsidRPr="009A1ABD" w14:paraId="2A9219E0" w14:textId="77777777" w:rsidTr="006068E9">
        <w:trPr>
          <w:trHeight w:val="1695"/>
          <w:jc w:val="center"/>
        </w:trPr>
        <w:tc>
          <w:tcPr>
            <w:tcW w:w="8806" w:type="dxa"/>
            <w:shd w:val="clear" w:color="auto" w:fill="9CC2E5" w:themeFill="accent1" w:themeFillTint="99"/>
          </w:tcPr>
          <w:p w14:paraId="2954857F" w14:textId="2C406F2B" w:rsidR="006068E9" w:rsidRPr="009A1ABD" w:rsidRDefault="006068E9" w:rsidP="007023D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 w:rsidRPr="009A1ABD">
              <w:rPr>
                <w:rFonts w:asciiTheme="minorHAnsi" w:hAnsiTheme="minorHAnsi" w:cstheme="minorHAnsi"/>
                <w:b/>
                <w:szCs w:val="40"/>
              </w:rPr>
              <w:t>MAIN OBJECTIVE</w:t>
            </w:r>
            <w:r w:rsidR="00145CCA" w:rsidRPr="009A1ABD">
              <w:rPr>
                <w:rFonts w:asciiTheme="minorHAnsi" w:hAnsiTheme="minorHAnsi" w:cstheme="minorHAnsi"/>
                <w:b/>
                <w:szCs w:val="40"/>
              </w:rPr>
              <w:t>:</w:t>
            </w:r>
            <w:r w:rsidRPr="009A1ABD">
              <w:rPr>
                <w:rFonts w:asciiTheme="minorHAnsi" w:hAnsiTheme="minorHAnsi" w:cstheme="minorHAnsi"/>
                <w:b/>
                <w:szCs w:val="40"/>
              </w:rPr>
              <w:t xml:space="preserve"> Promote further coherence between the four marine regions where required by the Directive, in particular </w:t>
            </w:r>
            <w:r w:rsidR="007F16D7" w:rsidRPr="009A1ABD">
              <w:rPr>
                <w:rFonts w:asciiTheme="minorHAnsi" w:hAnsiTheme="minorHAnsi" w:cstheme="minorHAnsi"/>
                <w:b/>
                <w:szCs w:val="40"/>
              </w:rPr>
              <w:t xml:space="preserve">through cooperation </w:t>
            </w:r>
            <w:r w:rsidRPr="009A1ABD">
              <w:rPr>
                <w:rFonts w:asciiTheme="minorHAnsi" w:hAnsiTheme="minorHAnsi" w:cstheme="minorHAnsi"/>
                <w:b/>
                <w:szCs w:val="40"/>
              </w:rPr>
              <w:t>between OSPAR and HELCOM and between OSPAR and Barcelona Convention with the view to fostering a coherent level of ambition across the EU, taking into account regional specificities.</w:t>
            </w:r>
          </w:p>
        </w:tc>
      </w:tr>
    </w:tbl>
    <w:p w14:paraId="1959AB82" w14:textId="3CF8769B" w:rsidR="007918F5" w:rsidRPr="009A1ABD" w:rsidRDefault="007918F5" w:rsidP="009A1ABD">
      <w:pPr>
        <w:pStyle w:val="Heading20"/>
      </w:pPr>
      <w:r w:rsidRPr="009A1ABD">
        <w:t xml:space="preserve">ACTION 1: </w:t>
      </w:r>
      <w:r w:rsidR="00E42772" w:rsidRPr="009A1ABD">
        <w:t>(</w:t>
      </w:r>
      <w:r w:rsidRPr="009A1ABD">
        <w:t>2020-2023</w:t>
      </w:r>
      <w:r w:rsidR="00E42772" w:rsidRPr="009A1ABD">
        <w:t>) / Pre-QSR2023</w:t>
      </w:r>
    </w:p>
    <w:p w14:paraId="5AB94239" w14:textId="725B9DC5" w:rsidR="00591554" w:rsidRPr="009A1ABD" w:rsidRDefault="00591554" w:rsidP="00591554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 w:rsidRPr="009A1ABD">
        <w:rPr>
          <w:rFonts w:asciiTheme="minorHAnsi" w:hAnsiTheme="minorHAnsi" w:cstheme="minorHAnsi"/>
          <w:b w:val="0"/>
        </w:rPr>
        <w:t xml:space="preserve">OSPAR seeks further opportunities for </w:t>
      </w:r>
      <w:r w:rsidRPr="009A1ABD">
        <w:rPr>
          <w:rFonts w:asciiTheme="minorHAnsi" w:hAnsiTheme="minorHAnsi" w:cstheme="minorHAnsi"/>
        </w:rPr>
        <w:t>close cooperation with HELCOM and Barcelona Convention</w:t>
      </w:r>
      <w:r w:rsidRPr="009A1ABD">
        <w:rPr>
          <w:rFonts w:asciiTheme="minorHAnsi" w:hAnsiTheme="minorHAnsi" w:cstheme="minorHAnsi"/>
          <w:b w:val="0"/>
        </w:rPr>
        <w:t xml:space="preserve"> with the aim </w:t>
      </w:r>
      <w:r w:rsidRPr="009A1ABD">
        <w:rPr>
          <w:rFonts w:asciiTheme="minorHAnsi" w:hAnsiTheme="minorHAnsi" w:cstheme="minorHAnsi"/>
        </w:rPr>
        <w:t xml:space="preserve">to make maximum use of potential synergies and to apply comparable/consistent approaches </w:t>
      </w:r>
      <w:r w:rsidRPr="009A1ABD">
        <w:rPr>
          <w:rFonts w:asciiTheme="minorHAnsi" w:hAnsiTheme="minorHAnsi" w:cstheme="minorHAnsi"/>
          <w:b w:val="0"/>
        </w:rPr>
        <w:t>for their assessment methods</w:t>
      </w:r>
      <w:r w:rsidR="006E2A72" w:rsidRPr="009A1ABD">
        <w:rPr>
          <w:rFonts w:asciiTheme="minorHAnsi" w:hAnsiTheme="minorHAnsi" w:cstheme="minorHAnsi"/>
          <w:b w:val="0"/>
        </w:rPr>
        <w:t>,</w:t>
      </w:r>
      <w:r w:rsidR="009A1ABD">
        <w:rPr>
          <w:rFonts w:asciiTheme="minorHAnsi" w:hAnsiTheme="minorHAnsi" w:cstheme="minorHAnsi"/>
          <w:b w:val="0"/>
        </w:rPr>
        <w:t xml:space="preserve"> </w:t>
      </w:r>
      <w:r w:rsidRPr="009A1ABD">
        <w:rPr>
          <w:rFonts w:asciiTheme="minorHAnsi" w:hAnsiTheme="minorHAnsi" w:cstheme="minorHAnsi"/>
          <w:b w:val="0"/>
        </w:rPr>
        <w:t>monitoring guidelines</w:t>
      </w:r>
      <w:r w:rsidR="006E2A72" w:rsidRPr="009A1ABD">
        <w:rPr>
          <w:rFonts w:asciiTheme="minorHAnsi" w:hAnsiTheme="minorHAnsi" w:cstheme="minorHAnsi"/>
          <w:b w:val="0"/>
        </w:rPr>
        <w:t>, measures,</w:t>
      </w:r>
      <w:r w:rsidRPr="009A1ABD">
        <w:rPr>
          <w:rFonts w:asciiTheme="minorHAnsi" w:hAnsiTheme="minorHAnsi" w:cstheme="minorHAnsi"/>
          <w:b w:val="0"/>
        </w:rPr>
        <w:t xml:space="preserve"> including through joint working groups.</w:t>
      </w:r>
    </w:p>
    <w:p w14:paraId="22EAE3B0" w14:textId="63880280" w:rsidR="00591554" w:rsidRPr="009A1ABD" w:rsidRDefault="002E178B" w:rsidP="009A1ABD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WHO:</w:t>
      </w:r>
      <w:r w:rsidRPr="009A1ABD">
        <w:rPr>
          <w:rFonts w:asciiTheme="minorHAnsi" w:hAnsiTheme="minorHAnsi" w:cstheme="minorHAnsi"/>
          <w:b w:val="0"/>
          <w:i/>
        </w:rPr>
        <w:t xml:space="preserve"> OSPAR Committees for guidance and subsidiary bodies for </w:t>
      </w:r>
      <w:proofErr w:type="gramStart"/>
      <w:r w:rsidRPr="009A1ABD">
        <w:rPr>
          <w:rFonts w:asciiTheme="minorHAnsi" w:hAnsiTheme="minorHAnsi" w:cstheme="minorHAnsi"/>
          <w:b w:val="0"/>
          <w:i/>
        </w:rPr>
        <w:t>application</w:t>
      </w:r>
      <w:proofErr w:type="gramEnd"/>
    </w:p>
    <w:p w14:paraId="0A233E35" w14:textId="65AC6ED3" w:rsidR="000A21F9" w:rsidRPr="009A1ABD" w:rsidRDefault="000A21F9" w:rsidP="009A1ABD">
      <w:pPr>
        <w:pStyle w:val="Heading20"/>
      </w:pPr>
      <w:r w:rsidRPr="009A1ABD">
        <w:t>ACTION 2</w:t>
      </w:r>
      <w:r w:rsidR="00E42772" w:rsidRPr="009A1ABD">
        <w:t>: (2020-2023) / Pre-QSR2023</w:t>
      </w:r>
    </w:p>
    <w:p w14:paraId="55D95A71" w14:textId="392018F9" w:rsidR="000542EF" w:rsidRPr="009A1ABD" w:rsidRDefault="000542EF" w:rsidP="000542EF">
      <w:pPr>
        <w:pStyle w:val="Heading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 w:rsidRPr="009A1ABD">
        <w:rPr>
          <w:rFonts w:asciiTheme="minorHAnsi" w:hAnsiTheme="minorHAnsi" w:cstheme="minorHAnsi"/>
          <w:b w:val="0"/>
        </w:rPr>
        <w:t>Contracting Parties provide guidance to improve consistency of the OSPAR’s QSR 2023 with HELCOM’s HOLAS III and the Barcelona Convention’s QSR 2023.</w:t>
      </w:r>
    </w:p>
    <w:p w14:paraId="3971C667" w14:textId="35D2C851" w:rsidR="009A1ABD" w:rsidRPr="009A1ABD" w:rsidRDefault="002E178B" w:rsidP="009A1ABD">
      <w:pPr>
        <w:pStyle w:val="Heading2"/>
        <w:numPr>
          <w:ilvl w:val="0"/>
          <w:numId w:val="8"/>
        </w:numPr>
        <w:rPr>
          <w:rFonts w:asciiTheme="minorHAnsi" w:hAnsiTheme="minorHAnsi" w:cstheme="minorHAnsi"/>
          <w:b w:val="0"/>
          <w:i/>
        </w:rPr>
      </w:pPr>
      <w:r w:rsidRPr="009A1ABD">
        <w:rPr>
          <w:rFonts w:asciiTheme="minorHAnsi" w:hAnsiTheme="minorHAnsi" w:cstheme="minorHAnsi"/>
          <w:i/>
        </w:rPr>
        <w:t>WHO:</w:t>
      </w:r>
      <w:r w:rsidRPr="009A1ABD">
        <w:rPr>
          <w:rFonts w:asciiTheme="minorHAnsi" w:hAnsiTheme="minorHAnsi" w:cstheme="minorHAnsi"/>
          <w:b w:val="0"/>
          <w:i/>
        </w:rPr>
        <w:t xml:space="preserve"> OSPAR Committees for guidance and subsidiary bodies for </w:t>
      </w:r>
      <w:proofErr w:type="gramStart"/>
      <w:r w:rsidRPr="009A1ABD">
        <w:rPr>
          <w:rFonts w:asciiTheme="minorHAnsi" w:hAnsiTheme="minorHAnsi" w:cstheme="minorHAnsi"/>
          <w:b w:val="0"/>
          <w:i/>
        </w:rPr>
        <w:t>application</w:t>
      </w:r>
      <w:proofErr w:type="gramEnd"/>
    </w:p>
    <w:sectPr w:rsidR="009A1ABD" w:rsidRPr="009A1ABD" w:rsidSect="00C172C8">
      <w:footerReference w:type="default" r:id="rId8"/>
      <w:pgSz w:w="11906" w:h="16838"/>
      <w:pgMar w:top="1417" w:right="1417" w:bottom="1134" w:left="1417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59C4" w14:textId="77777777" w:rsidR="008F6FEE" w:rsidRDefault="008F6FEE" w:rsidP="00C31CC8">
      <w:pPr>
        <w:spacing w:after="0" w:line="240" w:lineRule="auto"/>
      </w:pPr>
      <w:r>
        <w:separator/>
      </w:r>
    </w:p>
  </w:endnote>
  <w:endnote w:type="continuationSeparator" w:id="0">
    <w:p w14:paraId="2F2A9ACA" w14:textId="77777777" w:rsidR="008F6FEE" w:rsidRDefault="008F6FEE" w:rsidP="00C31CC8">
      <w:pPr>
        <w:spacing w:after="0" w:line="240" w:lineRule="auto"/>
      </w:pPr>
      <w:r>
        <w:continuationSeparator/>
      </w:r>
    </w:p>
  </w:endnote>
  <w:endnote w:type="continuationNotice" w:id="1">
    <w:p w14:paraId="419E5377" w14:textId="77777777" w:rsidR="008F6FEE" w:rsidRDefault="008F6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96"/>
      <w:gridCol w:w="3288"/>
      <w:gridCol w:w="2888"/>
    </w:tblGrid>
    <w:tr w:rsidR="00942D7A" w:rsidRPr="00297E95" w14:paraId="44E8E84F" w14:textId="77777777" w:rsidTr="0054485E">
      <w:tc>
        <w:tcPr>
          <w:tcW w:w="3085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1F7DB99" w14:textId="77777777" w:rsidR="00942D7A" w:rsidRPr="00297E95" w:rsidRDefault="00942D7A" w:rsidP="00942D7A">
          <w:pPr>
            <w:pStyle w:val="Footer"/>
            <w:rPr>
              <w:rFonts w:cs="Arial"/>
              <w:sz w:val="20"/>
            </w:rPr>
          </w:pPr>
        </w:p>
      </w:tc>
      <w:tc>
        <w:tcPr>
          <w:tcW w:w="3544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CB072D1" w14:textId="77777777" w:rsidR="00942D7A" w:rsidRPr="00297E95" w:rsidRDefault="00942D7A" w:rsidP="00942D7A">
          <w:pPr>
            <w:pStyle w:val="Footer"/>
            <w:jc w:val="center"/>
            <w:rPr>
              <w:rFonts w:cs="Arial"/>
              <w:sz w:val="20"/>
            </w:rPr>
          </w:pPr>
        </w:p>
      </w:tc>
      <w:tc>
        <w:tcPr>
          <w:tcW w:w="3118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831ADE5" w14:textId="77777777" w:rsidR="00942D7A" w:rsidRPr="00297E95" w:rsidRDefault="00942D7A" w:rsidP="00942D7A">
          <w:pPr>
            <w:pStyle w:val="Footer"/>
            <w:jc w:val="right"/>
            <w:rPr>
              <w:rFonts w:cs="Arial"/>
              <w:sz w:val="20"/>
            </w:rPr>
          </w:pPr>
          <w:r w:rsidRPr="00297E95">
            <w:rPr>
              <w:rStyle w:val="PageNumber"/>
              <w:rFonts w:cs="Arial"/>
              <w:sz w:val="20"/>
            </w:rPr>
            <w:fldChar w:fldCharType="begin"/>
          </w:r>
          <w:r w:rsidRPr="00297E95">
            <w:rPr>
              <w:rStyle w:val="PageNumber"/>
              <w:rFonts w:cs="Arial"/>
              <w:sz w:val="20"/>
            </w:rPr>
            <w:instrText xml:space="preserve"> PAGE </w:instrText>
          </w:r>
          <w:r w:rsidRPr="00297E95">
            <w:rPr>
              <w:rStyle w:val="PageNumber"/>
              <w:rFonts w:cs="Arial"/>
              <w:sz w:val="20"/>
            </w:rPr>
            <w:fldChar w:fldCharType="separate"/>
          </w:r>
          <w:r>
            <w:rPr>
              <w:rStyle w:val="PageNumber"/>
              <w:rFonts w:cs="Arial"/>
              <w:noProof/>
              <w:sz w:val="20"/>
            </w:rPr>
            <w:t>12</w:t>
          </w:r>
          <w:r w:rsidRPr="00297E95">
            <w:rPr>
              <w:rStyle w:val="PageNumber"/>
              <w:rFonts w:cs="Arial"/>
              <w:sz w:val="20"/>
            </w:rPr>
            <w:fldChar w:fldCharType="end"/>
          </w:r>
          <w:r w:rsidRPr="00297E95">
            <w:rPr>
              <w:rStyle w:val="PageNumber"/>
              <w:rFonts w:cs="Arial"/>
              <w:sz w:val="20"/>
            </w:rPr>
            <w:t xml:space="preserve"> of </w:t>
          </w:r>
          <w:r w:rsidRPr="00297E95">
            <w:rPr>
              <w:rStyle w:val="PageNumber"/>
              <w:rFonts w:cs="Arial"/>
              <w:sz w:val="20"/>
            </w:rPr>
            <w:fldChar w:fldCharType="begin"/>
          </w:r>
          <w:r w:rsidRPr="00297E95">
            <w:rPr>
              <w:rStyle w:val="PageNumber"/>
              <w:rFonts w:cs="Arial"/>
              <w:sz w:val="20"/>
            </w:rPr>
            <w:instrText xml:space="preserve"> NUMPAGES   \* MERGEFORMAT </w:instrText>
          </w:r>
          <w:r w:rsidRPr="00297E95">
            <w:rPr>
              <w:rStyle w:val="PageNumber"/>
              <w:rFonts w:cs="Arial"/>
              <w:sz w:val="20"/>
            </w:rPr>
            <w:fldChar w:fldCharType="separate"/>
          </w:r>
          <w:r>
            <w:rPr>
              <w:rStyle w:val="PageNumber"/>
              <w:rFonts w:cs="Arial"/>
              <w:noProof/>
              <w:sz w:val="20"/>
            </w:rPr>
            <w:t>17</w:t>
          </w:r>
          <w:r w:rsidRPr="00297E95">
            <w:rPr>
              <w:rStyle w:val="PageNumber"/>
              <w:rFonts w:cs="Arial"/>
              <w:sz w:val="20"/>
            </w:rPr>
            <w:fldChar w:fldCharType="end"/>
          </w:r>
        </w:p>
      </w:tc>
    </w:tr>
    <w:tr w:rsidR="00942D7A" w:rsidRPr="00297E95" w14:paraId="53B88AB3" w14:textId="77777777" w:rsidTr="0054485E">
      <w:tc>
        <w:tcPr>
          <w:tcW w:w="3085" w:type="dxa"/>
          <w:tcBorders>
            <w:top w:val="single" w:sz="4" w:space="0" w:color="auto"/>
          </w:tcBorders>
          <w:shd w:val="clear" w:color="auto" w:fill="auto"/>
        </w:tcPr>
        <w:p w14:paraId="3624E86E" w14:textId="77777777" w:rsidR="00942D7A" w:rsidRPr="00297E95" w:rsidRDefault="00942D7A" w:rsidP="00942D7A">
          <w:pPr>
            <w:pStyle w:val="Footer"/>
            <w:rPr>
              <w:rFonts w:cs="Arial"/>
              <w:sz w:val="20"/>
            </w:rPr>
          </w:pPr>
          <w:r w:rsidRPr="00297E95">
            <w:rPr>
              <w:rFonts w:cs="Arial"/>
              <w:sz w:val="20"/>
            </w:rPr>
            <w:t xml:space="preserve">OSPAR Commission </w:t>
          </w:r>
        </w:p>
      </w:tc>
      <w:tc>
        <w:tcPr>
          <w:tcW w:w="3544" w:type="dxa"/>
          <w:tcBorders>
            <w:top w:val="single" w:sz="4" w:space="0" w:color="auto"/>
          </w:tcBorders>
          <w:shd w:val="clear" w:color="auto" w:fill="auto"/>
        </w:tcPr>
        <w:p w14:paraId="40F5939C" w14:textId="5F831E94" w:rsidR="00942D7A" w:rsidRPr="00297E95" w:rsidRDefault="00942D7A" w:rsidP="00942D7A">
          <w:pPr>
            <w:pStyle w:val="Footer"/>
            <w:jc w:val="center"/>
            <w:rPr>
              <w:rFonts w:cs="Arial"/>
              <w:sz w:val="20"/>
            </w:rPr>
          </w:pPr>
          <w:r w:rsidRPr="00297E95">
            <w:rPr>
              <w:rFonts w:cs="Arial"/>
              <w:sz w:val="20"/>
            </w:rPr>
            <w:t xml:space="preserve">Summary Record – </w:t>
          </w:r>
          <w:proofErr w:type="spellStart"/>
          <w:r w:rsidRPr="00297E95">
            <w:rPr>
              <w:rFonts w:cs="Arial"/>
              <w:sz w:val="20"/>
            </w:rPr>
            <w:t>CoG</w:t>
          </w:r>
          <w:proofErr w:type="spellEnd"/>
          <w:r w:rsidRPr="00297E95">
            <w:rPr>
              <w:rFonts w:cs="Arial"/>
              <w:sz w:val="20"/>
            </w:rPr>
            <w:t>(</w:t>
          </w:r>
          <w:r>
            <w:rPr>
              <w:rFonts w:cs="Arial"/>
              <w:sz w:val="20"/>
            </w:rPr>
            <w:t>1</w:t>
          </w:r>
          <w:r w:rsidRPr="00297E95">
            <w:rPr>
              <w:rFonts w:cs="Arial"/>
              <w:sz w:val="20"/>
            </w:rPr>
            <w:t>) 20</w:t>
          </w:r>
          <w:r>
            <w:rPr>
              <w:rFonts w:cs="Arial"/>
              <w:sz w:val="20"/>
            </w:rPr>
            <w:t>21</w:t>
          </w:r>
        </w:p>
      </w:tc>
      <w:tc>
        <w:tcPr>
          <w:tcW w:w="3118" w:type="dxa"/>
          <w:tcBorders>
            <w:top w:val="single" w:sz="4" w:space="0" w:color="auto"/>
          </w:tcBorders>
          <w:shd w:val="clear" w:color="auto" w:fill="auto"/>
        </w:tcPr>
        <w:p w14:paraId="282CA4BC" w14:textId="023913E4" w:rsidR="00942D7A" w:rsidRPr="00297E95" w:rsidRDefault="00942D7A" w:rsidP="00942D7A">
          <w:pPr>
            <w:pStyle w:val="Footer"/>
            <w:jc w:val="right"/>
            <w:rPr>
              <w:rFonts w:cs="Arial"/>
              <w:sz w:val="20"/>
            </w:rPr>
          </w:pPr>
          <w:proofErr w:type="spellStart"/>
          <w:r w:rsidRPr="00297E95">
            <w:rPr>
              <w:rFonts w:cs="Arial"/>
              <w:sz w:val="20"/>
            </w:rPr>
            <w:t>CoG</w:t>
          </w:r>
          <w:proofErr w:type="spellEnd"/>
          <w:r w:rsidRPr="00297E95">
            <w:rPr>
              <w:rFonts w:cs="Arial"/>
              <w:sz w:val="20"/>
            </w:rPr>
            <w:t>(</w:t>
          </w:r>
          <w:r>
            <w:rPr>
              <w:rFonts w:cs="Arial"/>
              <w:sz w:val="20"/>
            </w:rPr>
            <w:t>1</w:t>
          </w:r>
          <w:r w:rsidRPr="00297E95">
            <w:rPr>
              <w:rFonts w:cs="Arial"/>
              <w:sz w:val="20"/>
            </w:rPr>
            <w:t xml:space="preserve">) </w:t>
          </w:r>
          <w:r>
            <w:rPr>
              <w:rFonts w:cs="Arial"/>
              <w:sz w:val="20"/>
            </w:rPr>
            <w:t>21</w:t>
          </w:r>
          <w:r w:rsidRPr="00297E95">
            <w:rPr>
              <w:rFonts w:cs="Arial"/>
              <w:sz w:val="20"/>
            </w:rPr>
            <w:t>/7/1</w:t>
          </w:r>
          <w:r>
            <w:rPr>
              <w:rFonts w:cs="Arial"/>
              <w:sz w:val="20"/>
            </w:rPr>
            <w:t xml:space="preserve">, Annex </w:t>
          </w:r>
          <w:r w:rsidR="001207B9">
            <w:rPr>
              <w:rFonts w:cs="Arial"/>
              <w:sz w:val="20"/>
            </w:rPr>
            <w:t>6</w:t>
          </w:r>
        </w:p>
      </w:tc>
    </w:tr>
  </w:tbl>
  <w:p w14:paraId="61D9A99D" w14:textId="2F86772B" w:rsidR="00181047" w:rsidRDefault="00181047">
    <w:pPr>
      <w:pStyle w:val="Footer"/>
      <w:jc w:val="right"/>
    </w:pPr>
  </w:p>
  <w:p w14:paraId="764CD6A8" w14:textId="77777777" w:rsidR="00181047" w:rsidRDefault="00181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9B98" w14:textId="77777777" w:rsidR="008F6FEE" w:rsidRDefault="008F6FEE" w:rsidP="00C31CC8">
      <w:pPr>
        <w:spacing w:after="0" w:line="240" w:lineRule="auto"/>
      </w:pPr>
      <w:r>
        <w:separator/>
      </w:r>
    </w:p>
  </w:footnote>
  <w:footnote w:type="continuationSeparator" w:id="0">
    <w:p w14:paraId="186EBF92" w14:textId="77777777" w:rsidR="008F6FEE" w:rsidRDefault="008F6FEE" w:rsidP="00C31CC8">
      <w:pPr>
        <w:spacing w:after="0" w:line="240" w:lineRule="auto"/>
      </w:pPr>
      <w:r>
        <w:continuationSeparator/>
      </w:r>
    </w:p>
  </w:footnote>
  <w:footnote w:type="continuationNotice" w:id="1">
    <w:p w14:paraId="0FA46654" w14:textId="77777777" w:rsidR="008F6FEE" w:rsidRDefault="008F6FEE">
      <w:pPr>
        <w:spacing w:after="0" w:line="240" w:lineRule="auto"/>
      </w:pPr>
    </w:p>
  </w:footnote>
  <w:footnote w:id="2">
    <w:p w14:paraId="767FB897" w14:textId="69078D9A" w:rsidR="00CC501E" w:rsidRPr="009A1ABD" w:rsidRDefault="00CC501E" w:rsidP="00A45E20">
      <w:pPr>
        <w:pStyle w:val="FootnoteText"/>
        <w:spacing w:line="240" w:lineRule="auto"/>
      </w:pPr>
      <w:r w:rsidRPr="009A1ABD">
        <w:rPr>
          <w:rStyle w:val="FootnoteReference"/>
        </w:rPr>
        <w:footnoteRef/>
      </w:r>
      <w:r w:rsidRPr="009A1ABD">
        <w:t xml:space="preserve"> </w:t>
      </w:r>
      <w:hyperlink r:id="rId1" w:history="1">
        <w:r w:rsidR="009A1ABD" w:rsidRPr="009B2005">
          <w:rPr>
            <w:rStyle w:val="Hyperlink"/>
          </w:rPr>
          <w:t>https://eur-lex.europa.eu/legal-content/EN/TXT/PDF/?uri=CELEX:32017D0848&amp;from=EN</w:t>
        </w:r>
      </w:hyperlink>
      <w:r w:rsidR="009A1ABD">
        <w:t xml:space="preserve"> </w:t>
      </w:r>
    </w:p>
  </w:footnote>
  <w:footnote w:id="3">
    <w:p w14:paraId="1DA23207" w14:textId="3CC934FD" w:rsidR="00F2769D" w:rsidRPr="009A1ABD" w:rsidRDefault="00F2769D" w:rsidP="00A45E20">
      <w:pPr>
        <w:pStyle w:val="FootnoteText"/>
        <w:spacing w:line="240" w:lineRule="auto"/>
      </w:pPr>
      <w:r w:rsidRPr="009A1ABD">
        <w:rPr>
          <w:rStyle w:val="FootnoteReference"/>
        </w:rPr>
        <w:footnoteRef/>
      </w:r>
      <w:r w:rsidR="00983B5F" w:rsidRPr="009A1ABD">
        <w:t xml:space="preserve">Cf Annex 1 of the MSFD-CIS work programme, as agreed by Marine Directors in 12/2020: </w:t>
      </w:r>
      <w:hyperlink r:id="rId2" w:history="1">
        <w:r w:rsidR="009A1ABD" w:rsidRPr="009A1ABD">
          <w:rPr>
            <w:rStyle w:val="Hyperlink"/>
          </w:rPr>
          <w:t>https://circabc.europa.eu/ui/group/326ae5ac-0419-4167-83ca-e3c210534a69/library/99126297-37b3-45eb-ae06-ec21928b3c2a/details</w:t>
        </w:r>
      </w:hyperlink>
      <w:r w:rsidR="009A1ABD" w:rsidRPr="009A1ABD">
        <w:t xml:space="preserve"> </w:t>
      </w:r>
    </w:p>
  </w:footnote>
  <w:footnote w:id="4">
    <w:p w14:paraId="70593AB7" w14:textId="3DE8B6C7" w:rsidR="00787BD7" w:rsidRPr="00787BD7" w:rsidRDefault="00787BD7" w:rsidP="0056787A">
      <w:pPr>
        <w:pStyle w:val="FootnoteText"/>
        <w:jc w:val="left"/>
        <w:rPr>
          <w:lang w:val="fr-FR"/>
        </w:rPr>
      </w:pPr>
      <w:r>
        <w:rPr>
          <w:rStyle w:val="FootnoteReference"/>
        </w:rPr>
        <w:footnoteRef/>
      </w:r>
      <w:r w:rsidRPr="00901152">
        <w:rPr>
          <w:lang w:val="fr-FR"/>
        </w:rPr>
        <w:t xml:space="preserve"> </w:t>
      </w:r>
      <w:hyperlink r:id="rId3" w:history="1">
        <w:r w:rsidR="009A1ABD" w:rsidRPr="009B2005">
          <w:rPr>
            <w:rStyle w:val="Hyperlink"/>
            <w:lang w:val="fr-FR"/>
          </w:rPr>
          <w:t>https://eur-lex.europa.eu/legal-content/EN/TXT/PDF/?</w:t>
        </w:r>
        <w:r w:rsidR="009A1ABD" w:rsidRPr="0063323D">
          <w:rPr>
            <w:rStyle w:val="Hyperlink"/>
            <w:lang w:val="fr-FR"/>
          </w:rPr>
          <w:t>uri</w:t>
        </w:r>
        <w:r w:rsidR="009A1ABD" w:rsidRPr="009B2005">
          <w:rPr>
            <w:rStyle w:val="Hyperlink"/>
            <w:lang w:val="fr-FR"/>
          </w:rPr>
          <w:t>=CELEX:32017D0848&amp;from=EN</w:t>
        </w:r>
      </w:hyperlink>
      <w:r w:rsidR="009A1ABD">
        <w:rPr>
          <w:lang w:val="fr-FR"/>
        </w:rPr>
        <w:t xml:space="preserve"> </w:t>
      </w:r>
    </w:p>
  </w:footnote>
  <w:footnote w:id="5">
    <w:p w14:paraId="006DFB84" w14:textId="2BBAAD7C" w:rsidR="00983B5F" w:rsidRPr="009A1ABD" w:rsidRDefault="00983B5F" w:rsidP="009A1ABD">
      <w:pPr>
        <w:pStyle w:val="FootnoteText"/>
        <w:spacing w:line="276" w:lineRule="auto"/>
      </w:pPr>
      <w:r w:rsidRPr="009A1ABD">
        <w:rPr>
          <w:rStyle w:val="FootnoteReference"/>
        </w:rPr>
        <w:footnoteRef/>
      </w:r>
      <w:r w:rsidRPr="009A1ABD">
        <w:t xml:space="preserve"> These fields were agreed at </w:t>
      </w:r>
      <w:r w:rsidRPr="009A1ABD">
        <w:rPr>
          <w:rFonts w:cs="Arial"/>
          <w:bCs/>
          <w:color w:val="000000" w:themeColor="text1"/>
          <w:szCs w:val="22"/>
        </w:rPr>
        <w:t xml:space="preserve">ICG-MSFD(2) 2019: </w:t>
      </w:r>
      <w:hyperlink r:id="rId4" w:history="1">
        <w:r w:rsidR="009A1ABD" w:rsidRPr="009B2005">
          <w:rPr>
            <w:rStyle w:val="Hyperlink"/>
            <w:rFonts w:cs="Arial"/>
            <w:bCs/>
            <w:szCs w:val="22"/>
          </w:rPr>
          <w:t>https://www.ospar.org/meetings/archive/intersessional-correspondence-group-on-the-marine-strategy-framework-directive-789</w:t>
        </w:r>
      </w:hyperlink>
      <w:r w:rsidR="009A1ABD">
        <w:rPr>
          <w:rFonts w:cs="Arial"/>
          <w:bCs/>
          <w:color w:val="000000" w:themeColor="text1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416"/>
    <w:multiLevelType w:val="hybridMultilevel"/>
    <w:tmpl w:val="F724D67E"/>
    <w:lvl w:ilvl="0" w:tplc="226AB7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D2D"/>
    <w:multiLevelType w:val="hybridMultilevel"/>
    <w:tmpl w:val="8926005C"/>
    <w:lvl w:ilvl="0" w:tplc="04130003">
      <w:start w:val="1"/>
      <w:numFmt w:val="bullet"/>
      <w:lvlText w:val="o"/>
      <w:lvlJc w:val="left"/>
      <w:pPr>
        <w:tabs>
          <w:tab w:val="num" w:pos="824"/>
        </w:tabs>
        <w:ind w:left="82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1131355B"/>
    <w:multiLevelType w:val="hybridMultilevel"/>
    <w:tmpl w:val="09CAEB64"/>
    <w:lvl w:ilvl="0" w:tplc="3FB8C3BE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C1850"/>
    <w:multiLevelType w:val="hybridMultilevel"/>
    <w:tmpl w:val="D9B23A84"/>
    <w:lvl w:ilvl="0" w:tplc="3FB8C3BE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2EA9"/>
    <w:multiLevelType w:val="hybridMultilevel"/>
    <w:tmpl w:val="F6E094EE"/>
    <w:lvl w:ilvl="0" w:tplc="92AC3F0A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92B"/>
    <w:multiLevelType w:val="hybridMultilevel"/>
    <w:tmpl w:val="DDB2834A"/>
    <w:lvl w:ilvl="0" w:tplc="224046D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24046D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615"/>
    <w:multiLevelType w:val="hybridMultilevel"/>
    <w:tmpl w:val="13A6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65EC"/>
    <w:multiLevelType w:val="hybridMultilevel"/>
    <w:tmpl w:val="D7E2BA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1939"/>
    <w:multiLevelType w:val="hybridMultilevel"/>
    <w:tmpl w:val="B62E8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75D2"/>
    <w:multiLevelType w:val="multilevel"/>
    <w:tmpl w:val="53BA5F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6F96"/>
    <w:multiLevelType w:val="hybridMultilevel"/>
    <w:tmpl w:val="75DC0E30"/>
    <w:lvl w:ilvl="0" w:tplc="4F980CCC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632C2406">
      <w:start w:val="1"/>
      <w:numFmt w:val="upperRoman"/>
      <w:lvlText w:val="%2"/>
      <w:lvlJc w:val="righ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2306B"/>
    <w:multiLevelType w:val="hybridMultilevel"/>
    <w:tmpl w:val="29D07D8E"/>
    <w:lvl w:ilvl="0" w:tplc="021086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22834"/>
    <w:multiLevelType w:val="hybridMultilevel"/>
    <w:tmpl w:val="2AA2E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76A5B"/>
    <w:multiLevelType w:val="hybridMultilevel"/>
    <w:tmpl w:val="74A68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6A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0"/>
  </w:num>
  <w:num w:numId="18">
    <w:abstractNumId w:val="8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C8"/>
    <w:rsid w:val="000058E7"/>
    <w:rsid w:val="00015086"/>
    <w:rsid w:val="000542EF"/>
    <w:rsid w:val="000A21F9"/>
    <w:rsid w:val="000A4239"/>
    <w:rsid w:val="000B05B4"/>
    <w:rsid w:val="000B2F1D"/>
    <w:rsid w:val="000D476F"/>
    <w:rsid w:val="000E02BD"/>
    <w:rsid w:val="00113682"/>
    <w:rsid w:val="001207B9"/>
    <w:rsid w:val="0012681A"/>
    <w:rsid w:val="001414E6"/>
    <w:rsid w:val="00142CB8"/>
    <w:rsid w:val="00145CCA"/>
    <w:rsid w:val="0014745C"/>
    <w:rsid w:val="00181047"/>
    <w:rsid w:val="00192F75"/>
    <w:rsid w:val="001A79D5"/>
    <w:rsid w:val="001E323B"/>
    <w:rsid w:val="001F1B7B"/>
    <w:rsid w:val="00214BCC"/>
    <w:rsid w:val="002662A3"/>
    <w:rsid w:val="00271C29"/>
    <w:rsid w:val="00280E02"/>
    <w:rsid w:val="002A6484"/>
    <w:rsid w:val="002A7C0E"/>
    <w:rsid w:val="002B4CCB"/>
    <w:rsid w:val="002E178B"/>
    <w:rsid w:val="003079C8"/>
    <w:rsid w:val="003137EC"/>
    <w:rsid w:val="00393E0A"/>
    <w:rsid w:val="00394395"/>
    <w:rsid w:val="003A4676"/>
    <w:rsid w:val="003E0D28"/>
    <w:rsid w:val="00412CC4"/>
    <w:rsid w:val="00444E99"/>
    <w:rsid w:val="00473453"/>
    <w:rsid w:val="0047427C"/>
    <w:rsid w:val="00477DCE"/>
    <w:rsid w:val="00484DE3"/>
    <w:rsid w:val="00496444"/>
    <w:rsid w:val="004A7CCB"/>
    <w:rsid w:val="004D2F9A"/>
    <w:rsid w:val="00504519"/>
    <w:rsid w:val="005242E4"/>
    <w:rsid w:val="005544CD"/>
    <w:rsid w:val="0056787A"/>
    <w:rsid w:val="00583045"/>
    <w:rsid w:val="00591554"/>
    <w:rsid w:val="005B3582"/>
    <w:rsid w:val="005C57FE"/>
    <w:rsid w:val="005D5B07"/>
    <w:rsid w:val="005F1DCA"/>
    <w:rsid w:val="005F7E0B"/>
    <w:rsid w:val="006068E9"/>
    <w:rsid w:val="0061126C"/>
    <w:rsid w:val="0061681F"/>
    <w:rsid w:val="0063323D"/>
    <w:rsid w:val="0064047C"/>
    <w:rsid w:val="00661D38"/>
    <w:rsid w:val="006C137B"/>
    <w:rsid w:val="006C6EA2"/>
    <w:rsid w:val="006E2A72"/>
    <w:rsid w:val="007159FE"/>
    <w:rsid w:val="00717C77"/>
    <w:rsid w:val="0074095F"/>
    <w:rsid w:val="007638BF"/>
    <w:rsid w:val="00787BD7"/>
    <w:rsid w:val="007918F5"/>
    <w:rsid w:val="007E1354"/>
    <w:rsid w:val="007F16D7"/>
    <w:rsid w:val="00805393"/>
    <w:rsid w:val="00812030"/>
    <w:rsid w:val="00814BBC"/>
    <w:rsid w:val="00843E43"/>
    <w:rsid w:val="00856A91"/>
    <w:rsid w:val="00860E96"/>
    <w:rsid w:val="008651D4"/>
    <w:rsid w:val="00872463"/>
    <w:rsid w:val="008A61DA"/>
    <w:rsid w:val="008D1738"/>
    <w:rsid w:val="008F1A80"/>
    <w:rsid w:val="008F6FEE"/>
    <w:rsid w:val="00901152"/>
    <w:rsid w:val="00916976"/>
    <w:rsid w:val="00923E77"/>
    <w:rsid w:val="00924B25"/>
    <w:rsid w:val="00936AFA"/>
    <w:rsid w:val="00942D7A"/>
    <w:rsid w:val="009569A4"/>
    <w:rsid w:val="009638E4"/>
    <w:rsid w:val="00973A8A"/>
    <w:rsid w:val="00980AF8"/>
    <w:rsid w:val="00983B5F"/>
    <w:rsid w:val="009A1ABD"/>
    <w:rsid w:val="009A76DE"/>
    <w:rsid w:val="009E7CA7"/>
    <w:rsid w:val="00A14FC7"/>
    <w:rsid w:val="00A35096"/>
    <w:rsid w:val="00A45E20"/>
    <w:rsid w:val="00A6621F"/>
    <w:rsid w:val="00A83861"/>
    <w:rsid w:val="00A91467"/>
    <w:rsid w:val="00A96761"/>
    <w:rsid w:val="00AA231D"/>
    <w:rsid w:val="00AB7082"/>
    <w:rsid w:val="00B03984"/>
    <w:rsid w:val="00B55B97"/>
    <w:rsid w:val="00B769E9"/>
    <w:rsid w:val="00B939EB"/>
    <w:rsid w:val="00B955DF"/>
    <w:rsid w:val="00BA4EBD"/>
    <w:rsid w:val="00BD7695"/>
    <w:rsid w:val="00BE3637"/>
    <w:rsid w:val="00C04DBB"/>
    <w:rsid w:val="00C172C8"/>
    <w:rsid w:val="00C2788D"/>
    <w:rsid w:val="00C31CC8"/>
    <w:rsid w:val="00C34EB7"/>
    <w:rsid w:val="00C40744"/>
    <w:rsid w:val="00C425AC"/>
    <w:rsid w:val="00C95DE6"/>
    <w:rsid w:val="00CB187E"/>
    <w:rsid w:val="00CB3800"/>
    <w:rsid w:val="00CC501E"/>
    <w:rsid w:val="00CD2969"/>
    <w:rsid w:val="00CD4FC6"/>
    <w:rsid w:val="00CE5935"/>
    <w:rsid w:val="00D017C1"/>
    <w:rsid w:val="00D216B3"/>
    <w:rsid w:val="00D35F7C"/>
    <w:rsid w:val="00D6347E"/>
    <w:rsid w:val="00DB067A"/>
    <w:rsid w:val="00DB7E81"/>
    <w:rsid w:val="00DC259A"/>
    <w:rsid w:val="00E00FDA"/>
    <w:rsid w:val="00E04FA1"/>
    <w:rsid w:val="00E40D6B"/>
    <w:rsid w:val="00E42772"/>
    <w:rsid w:val="00E50A6F"/>
    <w:rsid w:val="00EA29CA"/>
    <w:rsid w:val="00EB146C"/>
    <w:rsid w:val="00EB22FC"/>
    <w:rsid w:val="00EC5FF7"/>
    <w:rsid w:val="00EC6B52"/>
    <w:rsid w:val="00EC72C1"/>
    <w:rsid w:val="00EE306B"/>
    <w:rsid w:val="00EF6344"/>
    <w:rsid w:val="00F07FB2"/>
    <w:rsid w:val="00F2676B"/>
    <w:rsid w:val="00F2769D"/>
    <w:rsid w:val="00F336B7"/>
    <w:rsid w:val="00F53C1E"/>
    <w:rsid w:val="00F8122C"/>
    <w:rsid w:val="00F845C5"/>
    <w:rsid w:val="00F92095"/>
    <w:rsid w:val="00F96B5D"/>
    <w:rsid w:val="00FA0F85"/>
    <w:rsid w:val="00FC3678"/>
    <w:rsid w:val="00FD0D17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FEC700"/>
  <w15:chartTrackingRefBased/>
  <w15:docId w15:val="{B59DFFC0-E302-4185-B3DC-506346E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C8"/>
    <w:pPr>
      <w:spacing w:after="120" w:line="360" w:lineRule="auto"/>
      <w:jc w:val="both"/>
    </w:pPr>
    <w:rPr>
      <w:rFonts w:ascii="Calibri" w:eastAsia="Times New Roman" w:hAnsi="Calibri" w:cs="Times New Roman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ABD"/>
    <w:pPr>
      <w:keepNext/>
      <w:keepLines/>
      <w:tabs>
        <w:tab w:val="left" w:pos="567"/>
      </w:tabs>
      <w:spacing w:before="240" w:after="240" w:line="276" w:lineRule="auto"/>
      <w:outlineLvl w:val="0"/>
    </w:pPr>
    <w:rPr>
      <w:rFonts w:asciiTheme="minorHAnsi" w:eastAsiaTheme="majorEastAsia" w:hAnsiTheme="minorHAnsi" w:cstheme="minorHAnsi"/>
      <w:sz w:val="26"/>
      <w:szCs w:val="26"/>
    </w:rPr>
  </w:style>
  <w:style w:type="paragraph" w:styleId="Heading20">
    <w:name w:val="heading 2"/>
    <w:basedOn w:val="Heading2"/>
    <w:next w:val="Normal"/>
    <w:link w:val="Heading2Char"/>
    <w:uiPriority w:val="9"/>
    <w:unhideWhenUsed/>
    <w:qFormat/>
    <w:rsid w:val="009A1ABD"/>
    <w:pPr>
      <w:numPr>
        <w:numId w:val="0"/>
      </w:numPr>
      <w:ind w:left="425" w:hanging="425"/>
      <w:outlineLvl w:val="1"/>
    </w:pPr>
    <w:rPr>
      <w:rFonts w:asciiTheme="minorHAnsi" w:hAnsiTheme="minorHAns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1CC8"/>
    <w:pPr>
      <w:autoSpaceDE w:val="0"/>
      <w:autoSpaceDN w:val="0"/>
      <w:adjustRightInd w:val="0"/>
      <w:spacing w:before="240" w:after="240" w:line="276" w:lineRule="auto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1CC8"/>
    <w:rPr>
      <w:rFonts w:ascii="Calibri" w:eastAsia="Times New Roman" w:hAnsi="Calibri" w:cs="Times New Roman"/>
      <w:sz w:val="40"/>
      <w:szCs w:val="40"/>
      <w:lang w:val="en-GB" w:eastAsia="nl-NL"/>
    </w:rPr>
  </w:style>
  <w:style w:type="paragraph" w:styleId="FootnoteText">
    <w:name w:val="footnote text"/>
    <w:basedOn w:val="Normal"/>
    <w:link w:val="FootnoteTextChar"/>
    <w:semiHidden/>
    <w:rsid w:val="00C31C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1CC8"/>
    <w:rPr>
      <w:rFonts w:ascii="Calibri" w:eastAsia="Times New Roman" w:hAnsi="Calibri" w:cs="Times New Roman"/>
      <w:sz w:val="20"/>
      <w:szCs w:val="20"/>
      <w:lang w:val="en-GB" w:eastAsia="nl-NL"/>
    </w:rPr>
  </w:style>
  <w:style w:type="character" w:styleId="FootnoteReference">
    <w:name w:val="footnote reference"/>
    <w:semiHidden/>
    <w:rsid w:val="00C31CC8"/>
    <w:rPr>
      <w:vertAlign w:val="superscript"/>
    </w:rPr>
  </w:style>
  <w:style w:type="paragraph" w:customStyle="1" w:styleId="Heading2">
    <w:name w:val="Heading2"/>
    <w:basedOn w:val="Normal"/>
    <w:link w:val="Heading2Char0"/>
    <w:qFormat/>
    <w:rsid w:val="00C31CC8"/>
    <w:pPr>
      <w:numPr>
        <w:numId w:val="1"/>
      </w:numPr>
      <w:autoSpaceDE w:val="0"/>
      <w:autoSpaceDN w:val="0"/>
      <w:adjustRightInd w:val="0"/>
      <w:spacing w:before="200" w:line="276" w:lineRule="auto"/>
    </w:pPr>
    <w:rPr>
      <w:rFonts w:cs="Calibri"/>
      <w:b/>
      <w:szCs w:val="22"/>
    </w:rPr>
  </w:style>
  <w:style w:type="character" w:customStyle="1" w:styleId="Heading2Char0">
    <w:name w:val="Heading2 Char"/>
    <w:link w:val="Heading2"/>
    <w:rsid w:val="00C31CC8"/>
    <w:rPr>
      <w:rFonts w:ascii="Calibri" w:eastAsia="Times New Roman" w:hAnsi="Calibri" w:cs="Calibri"/>
      <w:b/>
      <w:lang w:val="en-GB" w:eastAsia="nl-NL"/>
    </w:rPr>
  </w:style>
  <w:style w:type="paragraph" w:styleId="ListParagraph">
    <w:name w:val="List Paragraph"/>
    <w:aliases w:val="Heading 2_sj,List Paragraph1,Listenabsatz1,_Bullet,Normal bullet 2,Bullet list,Dot pt,Parágrafo da Lista"/>
    <w:basedOn w:val="Normal"/>
    <w:link w:val="ListParagraphChar"/>
    <w:uiPriority w:val="34"/>
    <w:qFormat/>
    <w:rsid w:val="00C31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47"/>
    <w:rPr>
      <w:rFonts w:ascii="Calibri" w:eastAsia="Times New Roman" w:hAnsi="Calibri" w:cs="Times New Roman"/>
      <w:szCs w:val="24"/>
      <w:lang w:val="en-GB" w:eastAsia="nl-NL"/>
    </w:rPr>
  </w:style>
  <w:style w:type="paragraph" w:styleId="Footer">
    <w:name w:val="footer"/>
    <w:aliases w:val="Footer1"/>
    <w:basedOn w:val="Normal"/>
    <w:link w:val="FooterChar"/>
    <w:unhideWhenUsed/>
    <w:rsid w:val="0018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181047"/>
    <w:rPr>
      <w:rFonts w:ascii="Calibri" w:eastAsia="Times New Roman" w:hAnsi="Calibri" w:cs="Times New Roman"/>
      <w:szCs w:val="24"/>
      <w:lang w:val="en-GB" w:eastAsia="nl-NL"/>
    </w:rPr>
  </w:style>
  <w:style w:type="character" w:customStyle="1" w:styleId="tlid-translation">
    <w:name w:val="tlid-translation"/>
    <w:basedOn w:val="DefaultParagraphFont"/>
    <w:rsid w:val="00843E43"/>
  </w:style>
  <w:style w:type="table" w:styleId="TableGrid">
    <w:name w:val="Table Grid"/>
    <w:basedOn w:val="TableNormal"/>
    <w:uiPriority w:val="39"/>
    <w:rsid w:val="0087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1ABD"/>
    <w:rPr>
      <w:rFonts w:eastAsiaTheme="majorEastAsia" w:cstheme="minorHAnsi"/>
      <w:sz w:val="26"/>
      <w:szCs w:val="26"/>
      <w:lang w:val="en-GB" w:eastAsia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444E99"/>
    <w:pPr>
      <w:spacing w:line="259" w:lineRule="auto"/>
      <w:jc w:val="left"/>
      <w:outlineLvl w:val="9"/>
    </w:pPr>
    <w:rPr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63323D"/>
    <w:rPr>
      <w:noProof w:val="0"/>
      <w:color w:val="0563C1" w:themeColor="hyperlink"/>
      <w:u w:val="single"/>
      <w:lang w:val="en-GB"/>
    </w:rPr>
  </w:style>
  <w:style w:type="character" w:styleId="CommentReference">
    <w:name w:val="annotation reference"/>
    <w:basedOn w:val="DefaultParagraphFont"/>
    <w:semiHidden/>
    <w:unhideWhenUsed/>
    <w:rsid w:val="005544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4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44CD"/>
    <w:rPr>
      <w:rFonts w:ascii="Calibri" w:eastAsia="Times New Roman" w:hAnsi="Calibri" w:cs="Times New Roman"/>
      <w:sz w:val="20"/>
      <w:szCs w:val="20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4CD"/>
    <w:rPr>
      <w:rFonts w:ascii="Calibri" w:eastAsia="Times New Roman" w:hAnsi="Calibri" w:cs="Times New Roman"/>
      <w:b/>
      <w:bCs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CD"/>
    <w:rPr>
      <w:rFonts w:ascii="Segoe UI" w:eastAsia="Times New Roman" w:hAnsi="Segoe UI" w:cs="Segoe UI"/>
      <w:sz w:val="18"/>
      <w:szCs w:val="18"/>
      <w:lang w:val="en-GB" w:eastAsia="nl-NL"/>
    </w:rPr>
  </w:style>
  <w:style w:type="paragraph" w:styleId="Revision">
    <w:name w:val="Revision"/>
    <w:hidden/>
    <w:uiPriority w:val="99"/>
    <w:semiHidden/>
    <w:rsid w:val="005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"/>
    <w:rsid w:val="00F92095"/>
  </w:style>
  <w:style w:type="character" w:customStyle="1" w:styleId="BodyTextChar">
    <w:name w:val="Body Text Char"/>
    <w:basedOn w:val="DefaultParagraphFont"/>
    <w:link w:val="BodyText"/>
    <w:rsid w:val="00F92095"/>
    <w:rPr>
      <w:rFonts w:ascii="Calibri" w:eastAsia="Times New Roman" w:hAnsi="Calibri" w:cs="Times New Roman"/>
      <w:szCs w:val="24"/>
      <w:lang w:val="en-GB" w:eastAsia="nl-NL"/>
    </w:rPr>
  </w:style>
  <w:style w:type="character" w:customStyle="1" w:styleId="Heading2Char">
    <w:name w:val="Heading 2 Char"/>
    <w:basedOn w:val="DefaultParagraphFont"/>
    <w:link w:val="Heading20"/>
    <w:uiPriority w:val="9"/>
    <w:rsid w:val="009A1ABD"/>
    <w:rPr>
      <w:rFonts w:eastAsia="Times New Roman" w:cstheme="minorHAnsi"/>
      <w:b/>
      <w:lang w:val="en-GB" w:eastAsia="nl-NL"/>
    </w:rPr>
  </w:style>
  <w:style w:type="character" w:customStyle="1" w:styleId="ListParagraphChar">
    <w:name w:val="List Paragraph Char"/>
    <w:aliases w:val="Heading 2_sj Char,List Paragraph1 Char,Listenabsatz1 Char,_Bullet Char,Normal bullet 2 Char,Bullet list Char,Dot pt Char,Parágrafo da Lista Char"/>
    <w:basedOn w:val="DefaultParagraphFont"/>
    <w:link w:val="ListParagraph"/>
    <w:uiPriority w:val="34"/>
    <w:qFormat/>
    <w:locked/>
    <w:rsid w:val="00E50A6F"/>
    <w:rPr>
      <w:rFonts w:ascii="Calibri" w:eastAsia="Times New Roman" w:hAnsi="Calibri" w:cs="Times New Roman"/>
      <w:szCs w:val="24"/>
      <w:lang w:val="en-GB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856A9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A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A91"/>
    <w:rPr>
      <w:rFonts w:ascii="Calibri" w:eastAsia="Times New Roman" w:hAnsi="Calibri" w:cs="Times New Roman"/>
      <w:sz w:val="20"/>
      <w:szCs w:val="20"/>
      <w:lang w:val="en-GB"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856A9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AB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4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PDF/?uri=CELEX:32017D0848&amp;from=EN" TargetMode="External"/><Relationship Id="rId2" Type="http://schemas.openxmlformats.org/officeDocument/2006/relationships/hyperlink" Target="https://circabc.europa.eu/ui/group/326ae5ac-0419-4167-83ca-e3c210534a69/library/99126297-37b3-45eb-ae06-ec21928b3c2a/details" TargetMode="External"/><Relationship Id="rId1" Type="http://schemas.openxmlformats.org/officeDocument/2006/relationships/hyperlink" Target="https://eur-lex.europa.eu/legal-content/EN/TXT/PDF/?uri=CELEX:32017D0848&amp;from=EN" TargetMode="External"/><Relationship Id="rId4" Type="http://schemas.openxmlformats.org/officeDocument/2006/relationships/hyperlink" Target="https://www.ospar.org/meetings/archive/intersessional-correspondence-group-on-the-marine-strategy-framework-directive-7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6EAF-3032-4B47-834E-9CFBA139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MTES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DUCOMMUN Laure</dc:creator>
  <cp:keywords/>
  <dc:description/>
  <cp:lastModifiedBy>Barbara Middleton</cp:lastModifiedBy>
  <cp:revision>8</cp:revision>
  <dcterms:created xsi:type="dcterms:W3CDTF">2021-05-10T14:38:00Z</dcterms:created>
  <dcterms:modified xsi:type="dcterms:W3CDTF">2021-05-28T13:04:00Z</dcterms:modified>
</cp:coreProperties>
</file>