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90BD" w14:textId="144F0D00" w:rsidR="00F30B53" w:rsidRPr="002F06C4" w:rsidRDefault="002F06C4" w:rsidP="00E574E5">
      <w:pPr>
        <w:pStyle w:val="Heading1"/>
        <w:jc w:val="both"/>
        <w:rPr>
          <w:rFonts w:asciiTheme="minorHAnsi" w:hAnsiTheme="minorHAnsi" w:cstheme="minorHAnsi"/>
          <w:sz w:val="44"/>
          <w:szCs w:val="44"/>
          <w:lang w:val="en-GB"/>
        </w:rPr>
      </w:pPr>
      <w:r w:rsidRPr="002F06C4">
        <w:rPr>
          <w:rFonts w:asciiTheme="minorHAnsi" w:hAnsiTheme="minorHAnsi" w:cstheme="minorHAnsi"/>
          <w:noProof/>
          <w:sz w:val="44"/>
          <w:szCs w:val="44"/>
          <w:lang w:val="en-GB"/>
        </w:rPr>
        <w:drawing>
          <wp:inline distT="0" distB="0" distL="0" distR="0" wp14:anchorId="32FDF78D" wp14:editId="0B3BD199">
            <wp:extent cx="1506381" cy="393825"/>
            <wp:effectExtent l="0" t="0" r="0" b="6350"/>
            <wp:docPr id="459482781" name="Picture 3" descr="A 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82781" name="Picture 3" descr="A blue letter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2177" cy="400569"/>
                    </a:xfrm>
                    <a:prstGeom prst="rect">
                      <a:avLst/>
                    </a:prstGeom>
                    <a:noFill/>
                    <a:ln>
                      <a:noFill/>
                    </a:ln>
                  </pic:spPr>
                </pic:pic>
              </a:graphicData>
            </a:graphic>
          </wp:inline>
        </w:drawing>
      </w:r>
    </w:p>
    <w:p w14:paraId="2C090269" w14:textId="53FEA693" w:rsidR="00341BCF" w:rsidRDefault="00F160D7" w:rsidP="00945610">
      <w:pPr>
        <w:spacing w:after="0" w:line="240" w:lineRule="auto"/>
        <w:jc w:val="right"/>
        <w:rPr>
          <w:rFonts w:cstheme="minorHAnsi"/>
          <w:lang w:val="en-GB"/>
        </w:rPr>
      </w:pPr>
      <w:bookmarkStart w:id="0" w:name="_Hlk201757657"/>
      <w:r>
        <w:rPr>
          <w:rFonts w:cstheme="minorHAnsi"/>
          <w:lang w:val="en-GB"/>
        </w:rPr>
        <w:t xml:space="preserve">Annex </w:t>
      </w:r>
      <w:r w:rsidR="00991E11">
        <w:rPr>
          <w:rFonts w:cstheme="minorHAnsi"/>
          <w:lang w:val="en-GB"/>
        </w:rPr>
        <w:t>13</w:t>
      </w:r>
    </w:p>
    <w:p w14:paraId="6A55B828" w14:textId="799311C5" w:rsidR="00945610" w:rsidRDefault="00945610" w:rsidP="009A09F6">
      <w:pPr>
        <w:jc w:val="right"/>
        <w:rPr>
          <w:rFonts w:cstheme="minorHAnsi"/>
          <w:lang w:val="en-GB"/>
        </w:rPr>
      </w:pPr>
      <w:r>
        <w:rPr>
          <w:rFonts w:cstheme="minorHAnsi"/>
          <w:lang w:val="en-GB"/>
        </w:rPr>
        <w:t>(Ref. § 11.3)</w:t>
      </w:r>
    </w:p>
    <w:tbl>
      <w:tblPr>
        <w:tblW w:w="9724" w:type="dxa"/>
        <w:tblCellMar>
          <w:top w:w="85" w:type="dxa"/>
          <w:left w:w="0" w:type="dxa"/>
          <w:bottom w:w="85" w:type="dxa"/>
          <w:right w:w="0" w:type="dxa"/>
        </w:tblCellMar>
        <w:tblLook w:val="01E0" w:firstRow="1" w:lastRow="1" w:firstColumn="1" w:lastColumn="1" w:noHBand="0" w:noVBand="0"/>
      </w:tblPr>
      <w:tblGrid>
        <w:gridCol w:w="9639"/>
        <w:gridCol w:w="85"/>
      </w:tblGrid>
      <w:tr w:rsidR="00991E11" w:rsidRPr="006C713D" w14:paraId="575E772B" w14:textId="77777777" w:rsidTr="00991E11">
        <w:trPr>
          <w:gridAfter w:val="1"/>
          <w:wAfter w:w="85" w:type="dxa"/>
          <w:trHeight w:val="284"/>
        </w:trPr>
        <w:tc>
          <w:tcPr>
            <w:tcW w:w="9639" w:type="dxa"/>
          </w:tcPr>
          <w:p w14:paraId="6B6D3385" w14:textId="77777777" w:rsidR="00991E11" w:rsidRPr="006C713D" w:rsidRDefault="00991E11" w:rsidP="00D36E32">
            <w:pPr>
              <w:rPr>
                <w:rFonts w:cstheme="minorHAnsi"/>
              </w:rPr>
            </w:pPr>
            <w:r w:rsidRPr="006C713D">
              <w:rPr>
                <w:rFonts w:cstheme="minorHAnsi"/>
              </w:rPr>
              <w:t>OSPAR Convention for the Protection of the Marine Environment of the North-East Atlantic</w:t>
            </w:r>
          </w:p>
        </w:tc>
      </w:tr>
      <w:tr w:rsidR="00991E11" w:rsidRPr="000F69E2" w14:paraId="75F995AC" w14:textId="77777777" w:rsidTr="00991E11">
        <w:trPr>
          <w:trHeight w:val="284"/>
        </w:trPr>
        <w:tc>
          <w:tcPr>
            <w:tcW w:w="9724" w:type="dxa"/>
            <w:gridSpan w:val="2"/>
            <w:tcBorders>
              <w:bottom w:val="single" w:sz="4" w:space="0" w:color="808080" w:themeColor="background1" w:themeShade="80"/>
            </w:tcBorders>
          </w:tcPr>
          <w:p w14:paraId="5E0E7E37" w14:textId="77777777" w:rsidR="00991E11" w:rsidRPr="000F69E2" w:rsidRDefault="00991E11" w:rsidP="00D36E32">
            <w:pPr>
              <w:pStyle w:val="Docheader"/>
              <w:tabs>
                <w:tab w:val="left" w:pos="1134"/>
                <w:tab w:val="left" w:pos="1701"/>
              </w:tabs>
              <w:spacing w:after="120" w:line="276" w:lineRule="auto"/>
              <w:contextualSpacing/>
              <w:rPr>
                <w:rFonts w:cs="Calibri"/>
                <w:sz w:val="22"/>
                <w:szCs w:val="22"/>
                <w:lang w:val="en-GB"/>
              </w:rPr>
            </w:pPr>
            <w:r w:rsidRPr="000F69E2">
              <w:rPr>
                <w:rFonts w:cs="Calibri"/>
                <w:sz w:val="22"/>
                <w:szCs w:val="22"/>
                <w:lang w:val="en-GB"/>
              </w:rPr>
              <w:t>Meeting of the OSPAR Commission (OSPAR)</w:t>
            </w:r>
          </w:p>
          <w:p w14:paraId="6D0CFCC3" w14:textId="77777777" w:rsidR="00991E11" w:rsidRPr="000F69E2" w:rsidRDefault="00991E11" w:rsidP="00D36E32">
            <w:pPr>
              <w:pStyle w:val="Docheader"/>
              <w:tabs>
                <w:tab w:val="left" w:pos="1134"/>
                <w:tab w:val="left" w:pos="1701"/>
              </w:tabs>
              <w:spacing w:after="120" w:line="276" w:lineRule="auto"/>
              <w:contextualSpacing/>
              <w:rPr>
                <w:rFonts w:cs="Calibri"/>
                <w:sz w:val="22"/>
                <w:szCs w:val="22"/>
                <w:lang w:val="en-GB"/>
              </w:rPr>
            </w:pPr>
            <w:r w:rsidRPr="000F69E2">
              <w:rPr>
                <w:rFonts w:cs="Calibri"/>
                <w:sz w:val="22"/>
                <w:szCs w:val="22"/>
                <w:lang w:val="en-GB"/>
              </w:rPr>
              <w:t>Online: 19 June 2025</w:t>
            </w:r>
          </w:p>
          <w:p w14:paraId="2649BD8D" w14:textId="77777777" w:rsidR="00991E11" w:rsidRPr="000F69E2" w:rsidRDefault="00991E11" w:rsidP="00D36E32">
            <w:pPr>
              <w:pStyle w:val="Docheader"/>
              <w:tabs>
                <w:tab w:val="left" w:pos="1134"/>
                <w:tab w:val="left" w:pos="1701"/>
              </w:tabs>
              <w:spacing w:after="120" w:line="276" w:lineRule="auto"/>
              <w:contextualSpacing/>
              <w:rPr>
                <w:rFonts w:cs="Calibri"/>
                <w:sz w:val="22"/>
                <w:szCs w:val="22"/>
                <w:lang w:val="en-GB"/>
              </w:rPr>
            </w:pPr>
            <w:r w:rsidRPr="000F69E2">
              <w:rPr>
                <w:rFonts w:cs="Calibri"/>
                <w:sz w:val="22"/>
                <w:szCs w:val="22"/>
                <w:lang w:val="en-GB"/>
              </w:rPr>
              <w:t>Vigo: 23-27 June 2025</w:t>
            </w:r>
          </w:p>
        </w:tc>
      </w:tr>
      <w:bookmarkEnd w:id="0"/>
    </w:tbl>
    <w:p w14:paraId="6851BAA9" w14:textId="77777777" w:rsidR="00F160D7" w:rsidRPr="002F06C4" w:rsidRDefault="00F160D7" w:rsidP="009A09F6">
      <w:pPr>
        <w:jc w:val="right"/>
        <w:rPr>
          <w:rFonts w:cstheme="minorHAnsi"/>
          <w:lang w:val="en-GB"/>
        </w:rPr>
      </w:pPr>
    </w:p>
    <w:p w14:paraId="6A87ACC2" w14:textId="63FCD1CC" w:rsidR="00F30B53" w:rsidRPr="002F06C4" w:rsidRDefault="00341BCF" w:rsidP="00E574E5">
      <w:pPr>
        <w:jc w:val="both"/>
        <w:rPr>
          <w:rFonts w:cstheme="minorHAnsi"/>
          <w:lang w:val="en-GB"/>
        </w:rPr>
      </w:pPr>
      <w:r w:rsidRPr="002F06C4">
        <w:rPr>
          <w:rFonts w:cstheme="minorHAnsi"/>
          <w:sz w:val="44"/>
          <w:szCs w:val="44"/>
          <w:lang w:val="en-GB"/>
        </w:rPr>
        <w:t xml:space="preserve">Communication </w:t>
      </w:r>
      <w:r w:rsidR="009A09F6">
        <w:rPr>
          <w:rFonts w:cstheme="minorHAnsi"/>
          <w:sz w:val="44"/>
          <w:szCs w:val="44"/>
          <w:lang w:val="en-GB"/>
        </w:rPr>
        <w:t>S</w:t>
      </w:r>
      <w:r w:rsidRPr="002F06C4">
        <w:rPr>
          <w:rFonts w:cstheme="minorHAnsi"/>
          <w:sz w:val="44"/>
          <w:szCs w:val="44"/>
          <w:lang w:val="en-GB"/>
        </w:rPr>
        <w:t>trategy 202</w:t>
      </w:r>
      <w:r w:rsidR="002F06C4" w:rsidRPr="002F06C4">
        <w:rPr>
          <w:rFonts w:cstheme="minorHAnsi"/>
          <w:sz w:val="44"/>
          <w:szCs w:val="44"/>
          <w:lang w:val="en-GB"/>
        </w:rPr>
        <w:t>5</w:t>
      </w:r>
      <w:r w:rsidRPr="002F06C4">
        <w:rPr>
          <w:rFonts w:cstheme="minorHAnsi"/>
          <w:sz w:val="44"/>
          <w:szCs w:val="44"/>
          <w:lang w:val="en-GB"/>
        </w:rPr>
        <w:t>-20</w:t>
      </w:r>
      <w:r w:rsidR="002F06C4" w:rsidRPr="002F06C4">
        <w:rPr>
          <w:rFonts w:cstheme="minorHAnsi"/>
          <w:sz w:val="44"/>
          <w:szCs w:val="44"/>
          <w:lang w:val="en-GB"/>
        </w:rPr>
        <w:t>30</w:t>
      </w:r>
    </w:p>
    <w:p w14:paraId="71FB90ED" w14:textId="77777777" w:rsidR="00F30B53" w:rsidRPr="000C502F" w:rsidRDefault="00F30B53" w:rsidP="000C502F">
      <w:pPr>
        <w:jc w:val="both"/>
        <w:rPr>
          <w:rFonts w:eastAsiaTheme="majorEastAsia" w:cstheme="minorHAnsi"/>
          <w:sz w:val="32"/>
          <w:szCs w:val="32"/>
          <w:lang w:val="en-GB"/>
        </w:rPr>
      </w:pPr>
      <w:r w:rsidRPr="000C502F">
        <w:rPr>
          <w:rFonts w:eastAsiaTheme="majorEastAsia" w:cstheme="minorHAnsi"/>
          <w:sz w:val="32"/>
          <w:szCs w:val="32"/>
          <w:lang w:val="en-GB"/>
        </w:rPr>
        <w:t>Background</w:t>
      </w:r>
    </w:p>
    <w:p w14:paraId="3A4B51A4" w14:textId="5F5DA933" w:rsidR="00F25422" w:rsidRDefault="00F25422" w:rsidP="00652EEC">
      <w:pPr>
        <w:pStyle w:val="ListParagraph"/>
        <w:numPr>
          <w:ilvl w:val="0"/>
          <w:numId w:val="42"/>
        </w:numPr>
        <w:jc w:val="both"/>
        <w:rPr>
          <w:rFonts w:cstheme="minorHAnsi"/>
          <w:lang w:val="en-GB"/>
        </w:rPr>
      </w:pPr>
      <w:r w:rsidRPr="00652EEC">
        <w:rPr>
          <w:rFonts w:cstheme="minorHAnsi"/>
          <w:lang w:val="en-GB"/>
        </w:rPr>
        <w:t>OSPAR is the mechanism by which fifteen Governments of the western coasts and catchments of Europe, together with the European Union, cooperate to protect the marine environment of the North-East Atlantic. Since 1972 OSPAR has worked to identify threats to the marine environment, and has organised, across the region, programmes and measures to ensure effective action to combat them. In doing so it has pioneered ways of ensuring monitoring and assessment of the quality status of the seas, of setting internationally agreed goals and of checking that the participating Governments are delivering what is needed.</w:t>
      </w:r>
    </w:p>
    <w:p w14:paraId="32DE6516" w14:textId="77777777" w:rsidR="00652EEC" w:rsidRPr="00652EEC" w:rsidRDefault="00652EEC" w:rsidP="00652EEC">
      <w:pPr>
        <w:pStyle w:val="ListParagraph"/>
        <w:ind w:left="360"/>
        <w:jc w:val="both"/>
        <w:rPr>
          <w:rFonts w:cstheme="minorHAnsi"/>
          <w:lang w:val="en-GB"/>
        </w:rPr>
      </w:pPr>
    </w:p>
    <w:p w14:paraId="52212B95" w14:textId="3E99AF70" w:rsidR="00F25422" w:rsidRDefault="00F25422" w:rsidP="00652EEC">
      <w:pPr>
        <w:pStyle w:val="ListParagraph"/>
        <w:numPr>
          <w:ilvl w:val="0"/>
          <w:numId w:val="42"/>
        </w:numPr>
        <w:jc w:val="both"/>
        <w:rPr>
          <w:rFonts w:cstheme="minorHAnsi"/>
          <w:lang w:val="en-GB"/>
        </w:rPr>
      </w:pPr>
      <w:r w:rsidRPr="00652EEC">
        <w:rPr>
          <w:rFonts w:cstheme="minorHAnsi"/>
          <w:lang w:val="en-GB"/>
        </w:rPr>
        <w:t>OSPAR, like all organisations today, faces increased scrutiny from its contracting Governments, government agencies, NGOs and the public. A proactive communication strategy will assist in underlining OSPAR as a vehicle for Contracting Party cooperation and actions and a worthy recipient of wider support and respect. Conveying OSPAR messages will require careful positioning in a world crowded with competing organisations.</w:t>
      </w:r>
    </w:p>
    <w:p w14:paraId="09C86278" w14:textId="77777777" w:rsidR="00652EEC" w:rsidRPr="00652EEC" w:rsidRDefault="00652EEC" w:rsidP="00652EEC">
      <w:pPr>
        <w:pStyle w:val="ListParagraph"/>
        <w:ind w:left="360"/>
        <w:jc w:val="both"/>
        <w:rPr>
          <w:rFonts w:cstheme="minorHAnsi"/>
          <w:lang w:val="en-GB"/>
        </w:rPr>
      </w:pPr>
    </w:p>
    <w:p w14:paraId="5F91CBB3" w14:textId="5E661A00" w:rsidR="00E574E5" w:rsidRPr="00652EEC" w:rsidRDefault="00F25422" w:rsidP="00652EEC">
      <w:pPr>
        <w:pStyle w:val="ListParagraph"/>
        <w:numPr>
          <w:ilvl w:val="0"/>
          <w:numId w:val="42"/>
        </w:numPr>
        <w:jc w:val="both"/>
        <w:rPr>
          <w:rFonts w:cstheme="minorHAnsi"/>
          <w:lang w:val="en-GB"/>
        </w:rPr>
      </w:pPr>
      <w:r w:rsidRPr="00652EEC">
        <w:rPr>
          <w:rFonts w:cstheme="minorHAnsi"/>
          <w:lang w:val="en-GB"/>
        </w:rPr>
        <w:t xml:space="preserve">This document </w:t>
      </w:r>
      <w:r w:rsidR="00A4437F" w:rsidRPr="00652EEC">
        <w:rPr>
          <w:rFonts w:cstheme="minorHAnsi"/>
          <w:lang w:val="en-GB"/>
        </w:rPr>
        <w:t>covers the period from 202</w:t>
      </w:r>
      <w:r w:rsidR="002F06C4" w:rsidRPr="00652EEC">
        <w:rPr>
          <w:rFonts w:cstheme="minorHAnsi"/>
          <w:lang w:val="en-GB"/>
        </w:rPr>
        <w:t>5</w:t>
      </w:r>
      <w:r w:rsidR="00A4437F" w:rsidRPr="00652EEC">
        <w:rPr>
          <w:rFonts w:cstheme="minorHAnsi"/>
          <w:lang w:val="en-GB"/>
        </w:rPr>
        <w:t>-</w:t>
      </w:r>
      <w:r w:rsidR="002F06C4" w:rsidRPr="00652EEC">
        <w:rPr>
          <w:rFonts w:cstheme="minorHAnsi"/>
          <w:lang w:val="en-GB"/>
        </w:rPr>
        <w:t>30</w:t>
      </w:r>
      <w:r w:rsidR="00A4437F" w:rsidRPr="00652EEC">
        <w:rPr>
          <w:rFonts w:cstheme="minorHAnsi"/>
          <w:lang w:val="en-GB"/>
        </w:rPr>
        <w:t xml:space="preserve"> and </w:t>
      </w:r>
      <w:r w:rsidRPr="00652EEC">
        <w:rPr>
          <w:rFonts w:cstheme="minorHAnsi"/>
          <w:lang w:val="en-GB"/>
        </w:rPr>
        <w:t xml:space="preserve">serves as the OSPAR Commission’s overarching communication strategy </w:t>
      </w:r>
      <w:r w:rsidR="002B6D30" w:rsidRPr="00652EEC">
        <w:rPr>
          <w:rFonts w:cstheme="minorHAnsi"/>
          <w:lang w:val="en-GB"/>
        </w:rPr>
        <w:t>during</w:t>
      </w:r>
      <w:r w:rsidRPr="00652EEC">
        <w:rPr>
          <w:rFonts w:cstheme="minorHAnsi"/>
          <w:lang w:val="en-GB"/>
        </w:rPr>
        <w:t xml:space="preserve"> th</w:t>
      </w:r>
      <w:r w:rsidR="00A4437F" w:rsidRPr="00652EEC">
        <w:rPr>
          <w:rFonts w:cstheme="minorHAnsi"/>
          <w:lang w:val="en-GB"/>
        </w:rPr>
        <w:t>is</w:t>
      </w:r>
      <w:r w:rsidRPr="00652EEC">
        <w:rPr>
          <w:rFonts w:cstheme="minorHAnsi"/>
          <w:lang w:val="en-GB"/>
        </w:rPr>
        <w:t xml:space="preserve"> period</w:t>
      </w:r>
      <w:r w:rsidR="00A4437F" w:rsidRPr="00652EEC">
        <w:rPr>
          <w:rFonts w:cstheme="minorHAnsi"/>
          <w:lang w:val="en-GB"/>
        </w:rPr>
        <w:t xml:space="preserve">. It focuses on </w:t>
      </w:r>
      <w:r w:rsidR="00DC4CB2" w:rsidRPr="00652EEC">
        <w:rPr>
          <w:rFonts w:cstheme="minorHAnsi"/>
          <w:lang w:val="en-GB"/>
        </w:rPr>
        <w:t xml:space="preserve">the communication opportunities offered by </w:t>
      </w:r>
      <w:r w:rsidR="00A4437F" w:rsidRPr="00652EEC">
        <w:rPr>
          <w:rFonts w:cstheme="minorHAnsi"/>
          <w:lang w:val="en-GB"/>
        </w:rPr>
        <w:t xml:space="preserve">some major </w:t>
      </w:r>
      <w:r w:rsidR="00B466D2" w:rsidRPr="00652EEC">
        <w:rPr>
          <w:rFonts w:cstheme="minorHAnsi"/>
          <w:lang w:val="en-GB"/>
        </w:rPr>
        <w:t>events in the OSPAR calendar</w:t>
      </w:r>
      <w:r w:rsidR="00A4437F" w:rsidRPr="00652EEC">
        <w:rPr>
          <w:rFonts w:cstheme="minorHAnsi"/>
          <w:lang w:val="en-GB"/>
        </w:rPr>
        <w:t xml:space="preserve"> such as the</w:t>
      </w:r>
      <w:r w:rsidR="00DC4CB2" w:rsidRPr="00652EEC">
        <w:rPr>
          <w:rFonts w:cstheme="minorHAnsi"/>
          <w:lang w:val="en-GB"/>
        </w:rPr>
        <w:t xml:space="preserve"> </w:t>
      </w:r>
      <w:r w:rsidR="002F06C4" w:rsidRPr="00652EEC">
        <w:rPr>
          <w:rFonts w:cstheme="minorHAnsi"/>
          <w:lang w:val="en-GB"/>
        </w:rPr>
        <w:t xml:space="preserve">Intermediate Assessment 2028, the review and revision </w:t>
      </w:r>
      <w:r w:rsidR="00A4437F" w:rsidRPr="00652EEC">
        <w:rPr>
          <w:rFonts w:cstheme="minorHAnsi"/>
          <w:lang w:val="en-GB"/>
        </w:rPr>
        <w:t>of the North-East Atlantic Environment Strategy</w:t>
      </w:r>
      <w:r w:rsidR="002F06C4" w:rsidRPr="00652EEC">
        <w:rPr>
          <w:rFonts w:cstheme="minorHAnsi"/>
          <w:lang w:val="en-GB"/>
        </w:rPr>
        <w:t xml:space="preserve"> </w:t>
      </w:r>
      <w:r w:rsidR="009A7AC1" w:rsidRPr="00652EEC">
        <w:rPr>
          <w:rFonts w:cstheme="minorHAnsi"/>
          <w:lang w:val="en-GB"/>
        </w:rPr>
        <w:t xml:space="preserve">(NEAES) </w:t>
      </w:r>
      <w:r w:rsidR="002F06C4" w:rsidRPr="00652EEC">
        <w:rPr>
          <w:rFonts w:cstheme="minorHAnsi"/>
          <w:lang w:val="en-GB"/>
        </w:rPr>
        <w:t xml:space="preserve">in </w:t>
      </w:r>
      <w:r w:rsidRPr="00652EEC">
        <w:rPr>
          <w:rFonts w:cstheme="minorHAnsi"/>
          <w:lang w:val="en-GB"/>
        </w:rPr>
        <w:t>20</w:t>
      </w:r>
      <w:r w:rsidR="00A4437F" w:rsidRPr="00652EEC">
        <w:rPr>
          <w:rFonts w:cstheme="minorHAnsi"/>
          <w:lang w:val="en-GB"/>
        </w:rPr>
        <w:t xml:space="preserve">30, and </w:t>
      </w:r>
      <w:r w:rsidR="002F06C4" w:rsidRPr="00652EEC">
        <w:rPr>
          <w:rFonts w:cstheme="minorHAnsi"/>
          <w:lang w:val="en-GB"/>
        </w:rPr>
        <w:t>the Ministerial meeting due in 2030</w:t>
      </w:r>
      <w:r w:rsidRPr="00652EEC">
        <w:rPr>
          <w:rFonts w:cstheme="minorHAnsi"/>
          <w:lang w:val="en-GB"/>
        </w:rPr>
        <w:t xml:space="preserve">. </w:t>
      </w:r>
      <w:r w:rsidR="00B466D2" w:rsidRPr="00652EEC">
        <w:rPr>
          <w:rFonts w:cstheme="minorHAnsi"/>
          <w:lang w:val="en-GB"/>
        </w:rPr>
        <w:t>Major activities</w:t>
      </w:r>
      <w:r w:rsidR="002F06C4" w:rsidRPr="00652EEC">
        <w:rPr>
          <w:rFonts w:cstheme="minorHAnsi"/>
          <w:lang w:val="en-GB"/>
        </w:rPr>
        <w:t xml:space="preserve"> such as Regional Action Plans, Intermediate Assessments, Quality Status Reports, Ministerial meetings etc.</w:t>
      </w:r>
      <w:r w:rsidR="00B466D2" w:rsidRPr="00652EEC">
        <w:rPr>
          <w:rFonts w:cstheme="minorHAnsi"/>
          <w:lang w:val="en-GB"/>
        </w:rPr>
        <w:t xml:space="preserve"> are also supported by their own communication plan</w:t>
      </w:r>
      <w:r w:rsidR="002F06C4" w:rsidRPr="00652EEC">
        <w:rPr>
          <w:rFonts w:cstheme="minorHAnsi"/>
          <w:lang w:val="en-GB"/>
        </w:rPr>
        <w:t>s</w:t>
      </w:r>
      <w:r w:rsidRPr="00652EEC">
        <w:rPr>
          <w:rFonts w:cstheme="minorHAnsi"/>
          <w:lang w:val="en-GB"/>
        </w:rPr>
        <w:t>. These documents complement each other and should be read together to give a clear vision of what OSPAR hopes to achieve by 20</w:t>
      </w:r>
      <w:r w:rsidR="002F06C4" w:rsidRPr="00652EEC">
        <w:rPr>
          <w:rFonts w:cstheme="minorHAnsi"/>
          <w:lang w:val="en-GB"/>
        </w:rPr>
        <w:t>30.</w:t>
      </w:r>
    </w:p>
    <w:p w14:paraId="52DF748A" w14:textId="09E07DC3" w:rsidR="00F30B53" w:rsidRPr="009A7AC1" w:rsidRDefault="00E4053B" w:rsidP="009A7AC1">
      <w:pPr>
        <w:jc w:val="both"/>
        <w:rPr>
          <w:rFonts w:eastAsiaTheme="majorEastAsia" w:cstheme="minorHAnsi"/>
          <w:sz w:val="32"/>
          <w:szCs w:val="32"/>
          <w:lang w:val="en-GB"/>
        </w:rPr>
      </w:pPr>
      <w:r w:rsidRPr="009A7AC1">
        <w:rPr>
          <w:rFonts w:eastAsiaTheme="majorEastAsia" w:cstheme="minorHAnsi"/>
          <w:sz w:val="32"/>
          <w:szCs w:val="32"/>
          <w:lang w:val="en-GB"/>
        </w:rPr>
        <w:t>Guiding the strategy 202</w:t>
      </w:r>
      <w:r w:rsidR="002F06C4" w:rsidRPr="009A7AC1">
        <w:rPr>
          <w:rFonts w:eastAsiaTheme="majorEastAsia" w:cstheme="minorHAnsi"/>
          <w:sz w:val="32"/>
          <w:szCs w:val="32"/>
          <w:lang w:val="en-GB"/>
        </w:rPr>
        <w:t>5</w:t>
      </w:r>
      <w:r w:rsidRPr="009A7AC1">
        <w:rPr>
          <w:rFonts w:eastAsiaTheme="majorEastAsia" w:cstheme="minorHAnsi"/>
          <w:sz w:val="32"/>
          <w:szCs w:val="32"/>
          <w:lang w:val="en-GB"/>
        </w:rPr>
        <w:t>-</w:t>
      </w:r>
      <w:r w:rsidR="002F06C4" w:rsidRPr="009A7AC1">
        <w:rPr>
          <w:rFonts w:eastAsiaTheme="majorEastAsia" w:cstheme="minorHAnsi"/>
          <w:sz w:val="32"/>
          <w:szCs w:val="32"/>
          <w:lang w:val="en-GB"/>
        </w:rPr>
        <w:t>30</w:t>
      </w:r>
    </w:p>
    <w:p w14:paraId="73D571BA" w14:textId="46E8D27B" w:rsidR="00DC4CB2" w:rsidRDefault="00DC4CB2" w:rsidP="00652EEC">
      <w:pPr>
        <w:pStyle w:val="ListParagraph"/>
        <w:numPr>
          <w:ilvl w:val="0"/>
          <w:numId w:val="42"/>
        </w:numPr>
        <w:jc w:val="both"/>
        <w:rPr>
          <w:rFonts w:cstheme="minorHAnsi"/>
          <w:lang w:val="en-GB"/>
        </w:rPr>
      </w:pPr>
      <w:r w:rsidRPr="00652EEC">
        <w:rPr>
          <w:rFonts w:cstheme="minorHAnsi"/>
          <w:lang w:val="en-GB"/>
        </w:rPr>
        <w:t xml:space="preserve">OSPAR’s overall communication goals </w:t>
      </w:r>
      <w:r w:rsidR="000720E9" w:rsidRPr="00652EEC">
        <w:rPr>
          <w:rFonts w:cstheme="minorHAnsi"/>
          <w:lang w:val="en-GB"/>
        </w:rPr>
        <w:t xml:space="preserve">for this period </w:t>
      </w:r>
      <w:r w:rsidRPr="00652EEC">
        <w:rPr>
          <w:rFonts w:cstheme="minorHAnsi"/>
          <w:lang w:val="en-GB"/>
        </w:rPr>
        <w:t>are rooted in the founding Convention and the NEAES</w:t>
      </w:r>
      <w:r w:rsidR="00534461" w:rsidRPr="00652EEC">
        <w:rPr>
          <w:rFonts w:cstheme="minorHAnsi"/>
          <w:lang w:val="en-GB"/>
        </w:rPr>
        <w:t xml:space="preserve"> 2030</w:t>
      </w:r>
      <w:r w:rsidRPr="00652EEC">
        <w:rPr>
          <w:rFonts w:cstheme="minorHAnsi"/>
          <w:lang w:val="en-GB"/>
        </w:rPr>
        <w:t xml:space="preserve">. OSPAR will promote its messages by being both proactive and responsive in its communications. It will improve the Commission’s profile by being consistent in communicating key messages, consistent in communications design, easy to reach and clear on who OSPAR is and what it stands for. </w:t>
      </w:r>
    </w:p>
    <w:p w14:paraId="7905AFC9" w14:textId="77777777" w:rsidR="00652EEC" w:rsidRPr="00652EEC" w:rsidRDefault="00652EEC" w:rsidP="00652EEC">
      <w:pPr>
        <w:pStyle w:val="ListParagraph"/>
        <w:ind w:left="360"/>
        <w:jc w:val="both"/>
        <w:rPr>
          <w:rFonts w:cstheme="minorHAnsi"/>
          <w:lang w:val="en-GB"/>
        </w:rPr>
      </w:pPr>
    </w:p>
    <w:p w14:paraId="727FA9B3" w14:textId="6CDF88EE" w:rsidR="004276C5" w:rsidRPr="00652EEC" w:rsidRDefault="00341BCF" w:rsidP="00652EEC">
      <w:pPr>
        <w:pStyle w:val="ListParagraph"/>
        <w:numPr>
          <w:ilvl w:val="0"/>
          <w:numId w:val="42"/>
        </w:numPr>
        <w:jc w:val="both"/>
        <w:rPr>
          <w:rFonts w:cstheme="minorHAnsi"/>
          <w:lang w:val="en-GB"/>
        </w:rPr>
      </w:pPr>
      <w:r w:rsidRPr="00652EEC">
        <w:rPr>
          <w:rFonts w:cstheme="minorHAnsi"/>
          <w:lang w:val="en-GB"/>
        </w:rPr>
        <w:lastRenderedPageBreak/>
        <w:t>OSPAR</w:t>
      </w:r>
      <w:r w:rsidR="00F30B53" w:rsidRPr="00652EEC">
        <w:rPr>
          <w:rFonts w:cstheme="minorHAnsi"/>
          <w:lang w:val="en-GB"/>
        </w:rPr>
        <w:t xml:space="preserve">’s resources – both in terms of staff and funding – for communication activities are limited. </w:t>
      </w:r>
      <w:r w:rsidRPr="00652EEC">
        <w:rPr>
          <w:rFonts w:cstheme="minorHAnsi"/>
          <w:lang w:val="en-GB"/>
        </w:rPr>
        <w:t>OSPAR</w:t>
      </w:r>
      <w:r w:rsidR="00F30B53" w:rsidRPr="00652EEC">
        <w:rPr>
          <w:rFonts w:cstheme="minorHAnsi"/>
          <w:lang w:val="en-GB"/>
        </w:rPr>
        <w:t xml:space="preserve"> will therefore need to rely on multipliers such as national ministries and agencies, academic institutions, NGOs, civil society organi</w:t>
      </w:r>
      <w:r w:rsidR="002A33AE" w:rsidRPr="00652EEC">
        <w:rPr>
          <w:rFonts w:cstheme="minorHAnsi"/>
          <w:lang w:val="en-GB"/>
        </w:rPr>
        <w:t>s</w:t>
      </w:r>
      <w:r w:rsidR="00F30B53" w:rsidRPr="00652EEC">
        <w:rPr>
          <w:rFonts w:cstheme="minorHAnsi"/>
          <w:lang w:val="en-GB"/>
        </w:rPr>
        <w:t>ations, and maritime professionals in their respective countries.</w:t>
      </w:r>
    </w:p>
    <w:p w14:paraId="38C78420" w14:textId="26D31903" w:rsidR="004105F9" w:rsidRPr="002F06C4" w:rsidRDefault="004105F9" w:rsidP="004105F9">
      <w:pPr>
        <w:jc w:val="both"/>
        <w:rPr>
          <w:rFonts w:eastAsiaTheme="majorEastAsia" w:cstheme="minorHAnsi"/>
          <w:sz w:val="32"/>
          <w:szCs w:val="32"/>
          <w:lang w:val="en-GB"/>
        </w:rPr>
      </w:pPr>
      <w:r w:rsidRPr="002F06C4">
        <w:rPr>
          <w:rFonts w:eastAsiaTheme="majorEastAsia" w:cstheme="minorHAnsi"/>
          <w:sz w:val="32"/>
          <w:szCs w:val="32"/>
          <w:lang w:val="en-GB"/>
        </w:rPr>
        <w:t>Vision</w:t>
      </w:r>
    </w:p>
    <w:p w14:paraId="259F4243" w14:textId="716024C1" w:rsidR="00C61039" w:rsidRDefault="002F06C4" w:rsidP="00652EEC">
      <w:pPr>
        <w:pStyle w:val="ListParagraph"/>
        <w:numPr>
          <w:ilvl w:val="0"/>
          <w:numId w:val="42"/>
        </w:numPr>
        <w:jc w:val="both"/>
        <w:rPr>
          <w:rFonts w:cstheme="minorHAnsi"/>
          <w:lang w:eastAsia="de-DE"/>
        </w:rPr>
      </w:pPr>
      <w:r w:rsidRPr="00652EEC">
        <w:rPr>
          <w:rFonts w:cstheme="minorHAnsi"/>
          <w:lang w:eastAsia="de-DE"/>
        </w:rPr>
        <w:t xml:space="preserve">The </w:t>
      </w:r>
      <w:r w:rsidR="000720E9" w:rsidRPr="00652EEC">
        <w:rPr>
          <w:rFonts w:cstheme="minorHAnsi"/>
          <w:lang w:eastAsia="de-DE"/>
        </w:rPr>
        <w:t>communication strategy 2025-2030 will support OSPAR’s</w:t>
      </w:r>
      <w:r w:rsidR="00C91DC2" w:rsidRPr="00652EEC">
        <w:rPr>
          <w:rFonts w:cstheme="minorHAnsi"/>
          <w:lang w:eastAsia="de-DE"/>
        </w:rPr>
        <w:t xml:space="preserve"> vision </w:t>
      </w:r>
      <w:r w:rsidR="000720E9" w:rsidRPr="00652EEC">
        <w:rPr>
          <w:rFonts w:cstheme="minorHAnsi"/>
          <w:lang w:eastAsia="de-DE"/>
        </w:rPr>
        <w:t>of</w:t>
      </w:r>
      <w:r w:rsidR="00C91DC2" w:rsidRPr="00652EEC">
        <w:rPr>
          <w:rFonts w:cstheme="minorHAnsi"/>
          <w:lang w:eastAsia="de-DE"/>
        </w:rPr>
        <w:t xml:space="preserve"> a clean, healthy and biologically diverse North-East Atlantic Ocean, which is productive, used sustainably and resilient to climate change and ocean acidification.</w:t>
      </w:r>
    </w:p>
    <w:p w14:paraId="43FE64CD" w14:textId="77777777" w:rsidR="00255CC5" w:rsidRPr="00652EEC" w:rsidRDefault="00255CC5" w:rsidP="00255CC5">
      <w:pPr>
        <w:pStyle w:val="ListParagraph"/>
        <w:ind w:left="360"/>
        <w:jc w:val="both"/>
        <w:rPr>
          <w:rFonts w:cstheme="minorHAnsi"/>
          <w:lang w:eastAsia="de-DE"/>
        </w:rPr>
      </w:pPr>
    </w:p>
    <w:p w14:paraId="3B613032" w14:textId="3F864C70" w:rsidR="004105F9" w:rsidRPr="002F06C4" w:rsidRDefault="004105F9" w:rsidP="00E574E5">
      <w:pPr>
        <w:jc w:val="both"/>
        <w:rPr>
          <w:rFonts w:eastAsiaTheme="majorEastAsia" w:cstheme="minorHAnsi"/>
          <w:sz w:val="32"/>
          <w:szCs w:val="32"/>
          <w:lang w:val="en-GB"/>
        </w:rPr>
      </w:pPr>
      <w:r w:rsidRPr="002F06C4">
        <w:rPr>
          <w:rFonts w:eastAsiaTheme="majorEastAsia" w:cstheme="minorHAnsi"/>
          <w:sz w:val="32"/>
          <w:szCs w:val="32"/>
          <w:lang w:val="en-GB"/>
        </w:rPr>
        <w:t>Communication Goals</w:t>
      </w:r>
    </w:p>
    <w:p w14:paraId="132D9A05" w14:textId="77777777" w:rsidR="004105F9" w:rsidRPr="00652EEC" w:rsidRDefault="004105F9" w:rsidP="00652EEC">
      <w:pPr>
        <w:pStyle w:val="ListParagraph"/>
        <w:numPr>
          <w:ilvl w:val="0"/>
          <w:numId w:val="42"/>
        </w:numPr>
        <w:spacing w:after="0" w:line="280" w:lineRule="atLeast"/>
        <w:jc w:val="both"/>
        <w:rPr>
          <w:rFonts w:cstheme="minorHAnsi"/>
          <w:lang w:eastAsia="de-DE"/>
        </w:rPr>
      </w:pPr>
      <w:r w:rsidRPr="00652EEC">
        <w:rPr>
          <w:rFonts w:cstheme="minorHAnsi"/>
          <w:lang w:eastAsia="de-DE"/>
        </w:rPr>
        <w:t>The communication goals of OSPAR are to:</w:t>
      </w:r>
    </w:p>
    <w:p w14:paraId="577A6DE9" w14:textId="77777777" w:rsidR="004105F9" w:rsidRPr="002F06C4" w:rsidRDefault="004105F9" w:rsidP="004105F9">
      <w:pPr>
        <w:spacing w:after="0" w:line="280" w:lineRule="atLeast"/>
        <w:jc w:val="both"/>
        <w:rPr>
          <w:rFonts w:cstheme="minorHAnsi"/>
          <w:lang w:eastAsia="de-DE"/>
        </w:rPr>
      </w:pPr>
    </w:p>
    <w:p w14:paraId="0C09F46A" w14:textId="2730E64A" w:rsidR="00534461" w:rsidRPr="002F06C4" w:rsidRDefault="00534461" w:rsidP="00534461">
      <w:pPr>
        <w:pStyle w:val="ListParagraph"/>
        <w:numPr>
          <w:ilvl w:val="0"/>
          <w:numId w:val="35"/>
        </w:numPr>
        <w:spacing w:after="0" w:line="280" w:lineRule="atLeast"/>
        <w:jc w:val="both"/>
        <w:rPr>
          <w:rFonts w:cstheme="minorHAnsi"/>
          <w:lang w:eastAsia="de-DE"/>
        </w:rPr>
      </w:pPr>
      <w:r w:rsidRPr="002F06C4">
        <w:rPr>
          <w:rFonts w:cstheme="minorHAnsi"/>
          <w:lang w:eastAsia="de-DE"/>
        </w:rPr>
        <w:t>Raise awareness of the threats to the marine ecosystems of the North-East Atlantic as a result of human activities</w:t>
      </w:r>
      <w:r w:rsidR="00652EEC">
        <w:rPr>
          <w:rFonts w:cstheme="minorHAnsi"/>
          <w:lang w:eastAsia="de-DE"/>
        </w:rPr>
        <w:t>;</w:t>
      </w:r>
    </w:p>
    <w:p w14:paraId="4FCABCE8" w14:textId="49CDCF1F" w:rsidR="006E7FE0" w:rsidRPr="002F06C4" w:rsidRDefault="006E7FE0" w:rsidP="004105F9">
      <w:pPr>
        <w:pStyle w:val="ListParagraph"/>
        <w:numPr>
          <w:ilvl w:val="0"/>
          <w:numId w:val="35"/>
        </w:numPr>
        <w:spacing w:after="0" w:line="280" w:lineRule="atLeast"/>
        <w:jc w:val="both"/>
        <w:rPr>
          <w:rFonts w:cstheme="minorHAnsi"/>
          <w:lang w:eastAsia="de-DE"/>
        </w:rPr>
      </w:pPr>
      <w:r w:rsidRPr="002F06C4">
        <w:rPr>
          <w:rFonts w:cstheme="minorHAnsi"/>
          <w:lang w:eastAsia="de-DE"/>
        </w:rPr>
        <w:t>Highlight the actions OSPAR is taking to address threats to the marine environment of the North-East Atlantic</w:t>
      </w:r>
      <w:r w:rsidR="00652EEC">
        <w:rPr>
          <w:rFonts w:cstheme="minorHAnsi"/>
          <w:lang w:eastAsia="de-DE"/>
        </w:rPr>
        <w:t>;</w:t>
      </w:r>
    </w:p>
    <w:p w14:paraId="0ED75C8D" w14:textId="778FC1AF" w:rsidR="004105F9" w:rsidRPr="002F06C4" w:rsidRDefault="004105F9" w:rsidP="004105F9">
      <w:pPr>
        <w:pStyle w:val="ListParagraph"/>
        <w:numPr>
          <w:ilvl w:val="0"/>
          <w:numId w:val="35"/>
        </w:numPr>
        <w:spacing w:after="0" w:line="280" w:lineRule="atLeast"/>
        <w:jc w:val="both"/>
        <w:rPr>
          <w:rFonts w:cstheme="minorHAnsi"/>
          <w:lang w:eastAsia="de-DE"/>
        </w:rPr>
      </w:pPr>
      <w:r w:rsidRPr="002F06C4">
        <w:rPr>
          <w:rFonts w:cstheme="minorHAnsi"/>
          <w:lang w:eastAsia="de-DE"/>
        </w:rPr>
        <w:t>Raise the profile of OSPAR and celebrate success and innovation</w:t>
      </w:r>
      <w:r w:rsidR="00652EEC">
        <w:rPr>
          <w:rFonts w:cstheme="minorHAnsi"/>
          <w:lang w:eastAsia="de-DE"/>
        </w:rPr>
        <w:t>;</w:t>
      </w:r>
    </w:p>
    <w:p w14:paraId="7706415F" w14:textId="19FF79C7" w:rsidR="004105F9" w:rsidRPr="002F06C4" w:rsidRDefault="004105F9" w:rsidP="004105F9">
      <w:pPr>
        <w:pStyle w:val="ListParagraph"/>
        <w:numPr>
          <w:ilvl w:val="0"/>
          <w:numId w:val="35"/>
        </w:numPr>
        <w:spacing w:after="0" w:line="280" w:lineRule="atLeast"/>
        <w:jc w:val="both"/>
        <w:rPr>
          <w:rFonts w:cstheme="minorHAnsi"/>
          <w:lang w:eastAsia="de-DE"/>
        </w:rPr>
      </w:pPr>
      <w:r w:rsidRPr="002F06C4">
        <w:rPr>
          <w:rFonts w:cstheme="minorHAnsi"/>
          <w:lang w:eastAsia="de-DE"/>
        </w:rPr>
        <w:t>Facilitate communication with internal and external stakeholders</w:t>
      </w:r>
      <w:r w:rsidR="00652EEC">
        <w:rPr>
          <w:rFonts w:cstheme="minorHAnsi"/>
          <w:lang w:eastAsia="de-DE"/>
        </w:rPr>
        <w:t>;</w:t>
      </w:r>
    </w:p>
    <w:p w14:paraId="0C883983" w14:textId="6E9B4C56" w:rsidR="004105F9" w:rsidRPr="002F06C4" w:rsidRDefault="00652EEC" w:rsidP="004105F9">
      <w:pPr>
        <w:pStyle w:val="ListParagraph"/>
        <w:numPr>
          <w:ilvl w:val="0"/>
          <w:numId w:val="35"/>
        </w:numPr>
        <w:spacing w:after="0" w:line="280" w:lineRule="atLeast"/>
        <w:jc w:val="both"/>
        <w:rPr>
          <w:rFonts w:cstheme="minorHAnsi"/>
          <w:lang w:eastAsia="de-DE"/>
        </w:rPr>
      </w:pPr>
      <w:r>
        <w:rPr>
          <w:rFonts w:cstheme="minorHAnsi"/>
          <w:lang w:eastAsia="de-DE"/>
        </w:rPr>
        <w:t>Highlight</w:t>
      </w:r>
      <w:r w:rsidRPr="002F06C4">
        <w:rPr>
          <w:rFonts w:cstheme="minorHAnsi"/>
          <w:lang w:eastAsia="de-DE"/>
        </w:rPr>
        <w:t xml:space="preserve"> </w:t>
      </w:r>
      <w:r w:rsidR="004105F9" w:rsidRPr="002F06C4">
        <w:rPr>
          <w:rFonts w:cstheme="minorHAnsi"/>
          <w:lang w:eastAsia="de-DE"/>
        </w:rPr>
        <w:t xml:space="preserve">effective coordination </w:t>
      </w:r>
      <w:r>
        <w:rPr>
          <w:rFonts w:cstheme="minorHAnsi"/>
          <w:lang w:eastAsia="de-DE"/>
        </w:rPr>
        <w:t xml:space="preserve">in support of </w:t>
      </w:r>
      <w:r w:rsidR="004105F9" w:rsidRPr="002F06C4">
        <w:rPr>
          <w:rFonts w:cstheme="minorHAnsi"/>
          <w:lang w:eastAsia="de-DE"/>
        </w:rPr>
        <w:t xml:space="preserve"> the EU Marine Strategy Framework Directive</w:t>
      </w:r>
      <w:r>
        <w:rPr>
          <w:rFonts w:cstheme="minorHAnsi"/>
          <w:lang w:eastAsia="de-DE"/>
        </w:rPr>
        <w:t>;</w:t>
      </w:r>
    </w:p>
    <w:p w14:paraId="611308CA" w14:textId="305DED09" w:rsidR="004105F9" w:rsidRPr="002F06C4" w:rsidRDefault="004105F9" w:rsidP="004105F9">
      <w:pPr>
        <w:pStyle w:val="ListParagraph"/>
        <w:numPr>
          <w:ilvl w:val="0"/>
          <w:numId w:val="35"/>
        </w:numPr>
        <w:spacing w:after="0" w:line="280" w:lineRule="atLeast"/>
        <w:jc w:val="both"/>
        <w:rPr>
          <w:rFonts w:cstheme="minorHAnsi"/>
          <w:lang w:eastAsia="de-DE"/>
        </w:rPr>
      </w:pPr>
      <w:r w:rsidRPr="002F06C4">
        <w:rPr>
          <w:rFonts w:cstheme="minorHAnsi"/>
          <w:lang w:eastAsia="de-DE"/>
        </w:rPr>
        <w:t xml:space="preserve">Reinforce the </w:t>
      </w:r>
      <w:r w:rsidR="002B6D30" w:rsidRPr="002F06C4">
        <w:rPr>
          <w:rFonts w:cstheme="minorHAnsi"/>
          <w:lang w:eastAsia="de-DE"/>
        </w:rPr>
        <w:t xml:space="preserve">OSPAR </w:t>
      </w:r>
      <w:r w:rsidRPr="002F06C4">
        <w:rPr>
          <w:rFonts w:cstheme="minorHAnsi"/>
          <w:lang w:eastAsia="de-DE"/>
        </w:rPr>
        <w:t>Commission’s role in influencing global ocean governance</w:t>
      </w:r>
      <w:r w:rsidR="00652EEC">
        <w:rPr>
          <w:rFonts w:cstheme="minorHAnsi"/>
          <w:lang w:eastAsia="de-DE"/>
        </w:rPr>
        <w:t>; and</w:t>
      </w:r>
    </w:p>
    <w:p w14:paraId="3245220C" w14:textId="5D27F45D" w:rsidR="004105F9" w:rsidRPr="002F06C4" w:rsidRDefault="004105F9" w:rsidP="004105F9">
      <w:pPr>
        <w:pStyle w:val="ListParagraph"/>
        <w:numPr>
          <w:ilvl w:val="0"/>
          <w:numId w:val="35"/>
        </w:numPr>
        <w:spacing w:after="0" w:line="280" w:lineRule="atLeast"/>
        <w:jc w:val="both"/>
        <w:rPr>
          <w:rFonts w:cstheme="minorHAnsi"/>
          <w:lang w:eastAsia="de-DE"/>
        </w:rPr>
      </w:pPr>
      <w:r w:rsidRPr="002F06C4">
        <w:rPr>
          <w:rFonts w:cstheme="minorHAnsi"/>
          <w:lang w:eastAsia="de-DE"/>
        </w:rPr>
        <w:t>Promote understanding of the values and special features of the marine ecosystems of the North-East Atlantic</w:t>
      </w:r>
      <w:r w:rsidR="00247746">
        <w:rPr>
          <w:rFonts w:cstheme="minorHAnsi"/>
          <w:lang w:eastAsia="de-DE"/>
        </w:rPr>
        <w:t>.</w:t>
      </w:r>
    </w:p>
    <w:p w14:paraId="3264EFEF" w14:textId="3E385912" w:rsidR="00F30B53" w:rsidRPr="002F06C4" w:rsidRDefault="009A48AB" w:rsidP="00E574E5">
      <w:pPr>
        <w:pStyle w:val="Heading1"/>
        <w:jc w:val="both"/>
        <w:rPr>
          <w:rFonts w:asciiTheme="minorHAnsi" w:hAnsiTheme="minorHAnsi" w:cstheme="minorHAnsi"/>
          <w:color w:val="auto"/>
          <w:lang w:val="en-GB"/>
        </w:rPr>
      </w:pPr>
      <w:r w:rsidRPr="002F06C4">
        <w:rPr>
          <w:rFonts w:asciiTheme="minorHAnsi" w:hAnsiTheme="minorHAnsi" w:cstheme="minorHAnsi"/>
          <w:color w:val="auto"/>
          <w:lang w:val="en-GB"/>
        </w:rPr>
        <w:t>Key Communication Opportunities for OSPAR 202</w:t>
      </w:r>
      <w:r w:rsidR="009A7AC1">
        <w:rPr>
          <w:rFonts w:asciiTheme="minorHAnsi" w:hAnsiTheme="minorHAnsi" w:cstheme="minorHAnsi"/>
          <w:color w:val="auto"/>
          <w:lang w:val="en-GB"/>
        </w:rPr>
        <w:t>5</w:t>
      </w:r>
      <w:r w:rsidRPr="002F06C4">
        <w:rPr>
          <w:rFonts w:asciiTheme="minorHAnsi" w:hAnsiTheme="minorHAnsi" w:cstheme="minorHAnsi"/>
          <w:color w:val="auto"/>
          <w:lang w:val="en-GB"/>
        </w:rPr>
        <w:t>-20</w:t>
      </w:r>
      <w:r w:rsidR="009A7AC1">
        <w:rPr>
          <w:rFonts w:asciiTheme="minorHAnsi" w:hAnsiTheme="minorHAnsi" w:cstheme="minorHAnsi"/>
          <w:color w:val="auto"/>
          <w:lang w:val="en-GB"/>
        </w:rPr>
        <w:t>30</w:t>
      </w:r>
    </w:p>
    <w:p w14:paraId="3C6F0EBC" w14:textId="77777777" w:rsidR="006F4149" w:rsidRPr="002F06C4" w:rsidRDefault="006F4149" w:rsidP="006F4149">
      <w:pPr>
        <w:tabs>
          <w:tab w:val="left" w:pos="1418"/>
        </w:tabs>
        <w:spacing w:after="0"/>
        <w:rPr>
          <w:rFonts w:cstheme="minorHAnsi"/>
          <w:bCs/>
          <w:lang w:eastAsia="de-DE"/>
        </w:rPr>
      </w:pPr>
    </w:p>
    <w:p w14:paraId="5F50F479" w14:textId="77777777" w:rsidR="007E6B52" w:rsidRDefault="009A7AC1" w:rsidP="00652EEC">
      <w:pPr>
        <w:pStyle w:val="ListParagraph"/>
        <w:numPr>
          <w:ilvl w:val="0"/>
          <w:numId w:val="42"/>
        </w:numPr>
        <w:tabs>
          <w:tab w:val="left" w:pos="1418"/>
        </w:tabs>
        <w:spacing w:after="0"/>
        <w:jc w:val="both"/>
        <w:rPr>
          <w:rFonts w:cstheme="minorHAnsi"/>
          <w:bCs/>
          <w:lang w:eastAsia="de-DE"/>
        </w:rPr>
      </w:pPr>
      <w:r w:rsidRPr="00652EEC">
        <w:rPr>
          <w:rFonts w:cstheme="minorHAnsi"/>
          <w:bCs/>
          <w:lang w:eastAsia="de-DE"/>
        </w:rPr>
        <w:t xml:space="preserve">Major activities within OSPAR will be supported by dedicated communication plans to promote their outputs and raise awareness. </w:t>
      </w:r>
      <w:r w:rsidR="006F4149" w:rsidRPr="00652EEC">
        <w:rPr>
          <w:rFonts w:cstheme="minorHAnsi"/>
          <w:bCs/>
          <w:lang w:eastAsia="de-DE"/>
        </w:rPr>
        <w:t xml:space="preserve">This </w:t>
      </w:r>
      <w:r w:rsidRPr="00652EEC">
        <w:rPr>
          <w:rFonts w:cstheme="minorHAnsi"/>
          <w:bCs/>
          <w:lang w:eastAsia="de-DE"/>
        </w:rPr>
        <w:t>list</w:t>
      </w:r>
      <w:r w:rsidR="006F4149" w:rsidRPr="00652EEC">
        <w:rPr>
          <w:rFonts w:cstheme="minorHAnsi"/>
          <w:bCs/>
          <w:lang w:eastAsia="de-DE"/>
        </w:rPr>
        <w:t xml:space="preserve"> is not exhaustive and can be added to as further communication opportunities arise</w:t>
      </w:r>
      <w:r w:rsidR="007E6B52">
        <w:rPr>
          <w:rFonts w:cstheme="minorHAnsi"/>
          <w:bCs/>
          <w:lang w:eastAsia="de-DE"/>
        </w:rPr>
        <w:t>:</w:t>
      </w:r>
    </w:p>
    <w:p w14:paraId="0303AEC5" w14:textId="4A7AAD23" w:rsidR="006F4149" w:rsidRPr="00652EEC" w:rsidRDefault="006F4149" w:rsidP="007E6B52">
      <w:pPr>
        <w:pStyle w:val="ListParagraph"/>
        <w:tabs>
          <w:tab w:val="left" w:pos="1418"/>
        </w:tabs>
        <w:spacing w:after="0"/>
        <w:ind w:left="360"/>
        <w:jc w:val="both"/>
        <w:rPr>
          <w:rFonts w:cstheme="minorHAnsi"/>
          <w:bCs/>
          <w:lang w:eastAsia="de-DE"/>
        </w:rPr>
      </w:pPr>
      <w:r w:rsidRPr="00652EEC">
        <w:rPr>
          <w:rFonts w:cstheme="minorHAnsi"/>
          <w:bCs/>
          <w:lang w:eastAsia="de-DE"/>
        </w:rPr>
        <w:t xml:space="preserve"> </w:t>
      </w:r>
    </w:p>
    <w:p w14:paraId="651A3BAB" w14:textId="214481A8" w:rsidR="007E6B52" w:rsidRDefault="007E6B52" w:rsidP="009A7AC1">
      <w:pPr>
        <w:pStyle w:val="ListParagraph"/>
        <w:numPr>
          <w:ilvl w:val="0"/>
          <w:numId w:val="41"/>
        </w:numPr>
        <w:tabs>
          <w:tab w:val="left" w:pos="1418"/>
        </w:tabs>
        <w:spacing w:after="0"/>
        <w:jc w:val="both"/>
        <w:rPr>
          <w:rFonts w:cstheme="minorHAnsi"/>
          <w:bCs/>
          <w:lang w:eastAsia="de-DE"/>
        </w:rPr>
      </w:pPr>
      <w:r>
        <w:rPr>
          <w:rFonts w:cstheme="minorHAnsi"/>
          <w:bCs/>
          <w:lang w:eastAsia="de-DE"/>
        </w:rPr>
        <w:t>OSPAR Ministerial 2025 outcomes</w:t>
      </w:r>
      <w:r w:rsidR="008A048D">
        <w:rPr>
          <w:rFonts w:cstheme="minorHAnsi"/>
          <w:bCs/>
          <w:lang w:eastAsia="de-DE"/>
        </w:rPr>
        <w:t xml:space="preserve"> and deliverables</w:t>
      </w:r>
    </w:p>
    <w:p w14:paraId="2D61B24A" w14:textId="2687E18D" w:rsidR="008A048D" w:rsidRDefault="008A048D" w:rsidP="009A7AC1">
      <w:pPr>
        <w:pStyle w:val="ListParagraph"/>
        <w:numPr>
          <w:ilvl w:val="0"/>
          <w:numId w:val="41"/>
        </w:numPr>
        <w:tabs>
          <w:tab w:val="left" w:pos="1418"/>
        </w:tabs>
        <w:spacing w:after="0"/>
        <w:jc w:val="both"/>
        <w:rPr>
          <w:rFonts w:cstheme="minorHAnsi"/>
          <w:bCs/>
          <w:lang w:eastAsia="de-DE"/>
        </w:rPr>
      </w:pPr>
      <w:r>
        <w:rPr>
          <w:rFonts w:cstheme="minorHAnsi"/>
          <w:bCs/>
          <w:lang w:eastAsia="de-DE"/>
        </w:rPr>
        <w:t>The OSPAR Science Agenda</w:t>
      </w:r>
    </w:p>
    <w:p w14:paraId="770809F1" w14:textId="3DFE6DBE" w:rsidR="008A048D" w:rsidRDefault="008A048D" w:rsidP="009A7AC1">
      <w:pPr>
        <w:pStyle w:val="ListParagraph"/>
        <w:numPr>
          <w:ilvl w:val="0"/>
          <w:numId w:val="41"/>
        </w:numPr>
        <w:tabs>
          <w:tab w:val="left" w:pos="1418"/>
        </w:tabs>
        <w:spacing w:after="0"/>
        <w:jc w:val="both"/>
        <w:rPr>
          <w:rFonts w:cstheme="minorHAnsi"/>
          <w:bCs/>
          <w:lang w:eastAsia="de-DE"/>
        </w:rPr>
      </w:pPr>
      <w:r>
        <w:rPr>
          <w:rFonts w:cstheme="minorHAnsi"/>
          <w:bCs/>
          <w:lang w:eastAsia="de-DE"/>
        </w:rPr>
        <w:t>The Marine Directors’ meetings</w:t>
      </w:r>
    </w:p>
    <w:p w14:paraId="2C66101C" w14:textId="43DEC245" w:rsidR="008A048D" w:rsidRDefault="008A048D" w:rsidP="009A7AC1">
      <w:pPr>
        <w:pStyle w:val="ListParagraph"/>
        <w:numPr>
          <w:ilvl w:val="0"/>
          <w:numId w:val="41"/>
        </w:numPr>
        <w:tabs>
          <w:tab w:val="left" w:pos="1418"/>
        </w:tabs>
        <w:spacing w:after="0"/>
        <w:jc w:val="both"/>
        <w:rPr>
          <w:rFonts w:cstheme="minorHAnsi"/>
          <w:bCs/>
          <w:lang w:eastAsia="de-DE"/>
        </w:rPr>
      </w:pPr>
      <w:r>
        <w:rPr>
          <w:rFonts w:cstheme="minorHAnsi"/>
          <w:bCs/>
          <w:lang w:eastAsia="de-DE"/>
        </w:rPr>
        <w:t>The BBNJ Agreeement</w:t>
      </w:r>
    </w:p>
    <w:p w14:paraId="626C43C3" w14:textId="7361CC85" w:rsidR="008A048D" w:rsidRDefault="008A048D" w:rsidP="009A7AC1">
      <w:pPr>
        <w:pStyle w:val="ListParagraph"/>
        <w:numPr>
          <w:ilvl w:val="0"/>
          <w:numId w:val="41"/>
        </w:numPr>
        <w:tabs>
          <w:tab w:val="left" w:pos="1418"/>
        </w:tabs>
        <w:spacing w:after="0"/>
        <w:jc w:val="both"/>
        <w:rPr>
          <w:rFonts w:cstheme="minorHAnsi"/>
          <w:bCs/>
          <w:lang w:eastAsia="de-DE"/>
        </w:rPr>
      </w:pPr>
      <w:r>
        <w:rPr>
          <w:rFonts w:cstheme="minorHAnsi"/>
          <w:bCs/>
          <w:lang w:eastAsia="de-DE"/>
        </w:rPr>
        <w:t>OSPAR’s Marine Protected Area network</w:t>
      </w:r>
    </w:p>
    <w:p w14:paraId="5712F1E5" w14:textId="77777777" w:rsidR="009A7AC1" w:rsidRPr="009A7AC1" w:rsidRDefault="009A7AC1" w:rsidP="009A7AC1">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Regional Action Plan on Marine Litter</w:t>
      </w:r>
    </w:p>
    <w:p w14:paraId="0CD6B124" w14:textId="77777777" w:rsidR="009A7AC1" w:rsidRPr="009A7AC1" w:rsidRDefault="009A7AC1" w:rsidP="009A7AC1">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Regional Action Plan on Underwater Noise</w:t>
      </w:r>
    </w:p>
    <w:p w14:paraId="2356687A" w14:textId="77777777" w:rsidR="009A7AC1" w:rsidRPr="009A7AC1" w:rsidRDefault="009A7AC1" w:rsidP="009A7AC1">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Regional Action Plan on Marine Birds</w:t>
      </w:r>
    </w:p>
    <w:p w14:paraId="44F2E537" w14:textId="77777777" w:rsidR="009A7AC1" w:rsidRPr="009A7AC1" w:rsidRDefault="009A7AC1" w:rsidP="009A7AC1">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Regional Action Plan on Benthic Habitats</w:t>
      </w:r>
    </w:p>
    <w:p w14:paraId="237F7603" w14:textId="77777777" w:rsidR="007E6B52" w:rsidRPr="009A7AC1" w:rsidRDefault="007E6B52" w:rsidP="007E6B52">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Intermediate Assessment 202</w:t>
      </w:r>
      <w:r>
        <w:rPr>
          <w:rFonts w:cstheme="minorHAnsi"/>
          <w:bCs/>
          <w:lang w:eastAsia="de-DE"/>
        </w:rPr>
        <w:t>9</w:t>
      </w:r>
    </w:p>
    <w:p w14:paraId="574781EF" w14:textId="68569F81" w:rsidR="00A22EFD" w:rsidRDefault="009A7AC1" w:rsidP="009A7AC1">
      <w:pPr>
        <w:pStyle w:val="ListParagraph"/>
        <w:numPr>
          <w:ilvl w:val="0"/>
          <w:numId w:val="41"/>
        </w:numPr>
        <w:tabs>
          <w:tab w:val="left" w:pos="1418"/>
        </w:tabs>
        <w:spacing w:after="0"/>
        <w:jc w:val="both"/>
        <w:rPr>
          <w:rFonts w:cstheme="minorHAnsi"/>
          <w:bCs/>
          <w:lang w:eastAsia="de-DE"/>
        </w:rPr>
      </w:pPr>
      <w:r w:rsidRPr="009A7AC1">
        <w:rPr>
          <w:rFonts w:cstheme="minorHAnsi"/>
          <w:bCs/>
          <w:lang w:eastAsia="de-DE"/>
        </w:rPr>
        <w:t>OSPAR Ministerial meeting 2030</w:t>
      </w:r>
    </w:p>
    <w:p w14:paraId="6D5084AA" w14:textId="77777777" w:rsidR="00A22EFD" w:rsidRPr="002F06C4" w:rsidRDefault="00A22EFD" w:rsidP="00A22EFD">
      <w:pPr>
        <w:spacing w:after="0" w:line="240" w:lineRule="auto"/>
        <w:jc w:val="both"/>
        <w:rPr>
          <w:rFonts w:cstheme="minorHAnsi"/>
          <w:lang w:val="en-GB"/>
        </w:rPr>
      </w:pPr>
    </w:p>
    <w:p w14:paraId="44FE5B9A" w14:textId="77777777" w:rsidR="00A22EFD" w:rsidRPr="002F06C4" w:rsidRDefault="00A22EFD" w:rsidP="00A22EFD">
      <w:pPr>
        <w:jc w:val="both"/>
        <w:rPr>
          <w:rFonts w:eastAsiaTheme="majorEastAsia" w:cstheme="minorHAnsi"/>
          <w:sz w:val="32"/>
          <w:szCs w:val="32"/>
          <w:lang w:val="en-GB"/>
        </w:rPr>
      </w:pPr>
      <w:r w:rsidRPr="00637845">
        <w:rPr>
          <w:rFonts w:eastAsiaTheme="majorEastAsia" w:cstheme="minorHAnsi"/>
          <w:sz w:val="32"/>
          <w:szCs w:val="32"/>
          <w:lang w:val="en-GB"/>
        </w:rPr>
        <w:t>Main communication messages</w:t>
      </w:r>
    </w:p>
    <w:p w14:paraId="4A4D42B0" w14:textId="0D018CC4" w:rsidR="008A048D" w:rsidRPr="008A048D" w:rsidRDefault="002B6D30" w:rsidP="008A048D">
      <w:pPr>
        <w:pStyle w:val="ListParagraph"/>
        <w:numPr>
          <w:ilvl w:val="0"/>
          <w:numId w:val="42"/>
        </w:numPr>
        <w:rPr>
          <w:rFonts w:cstheme="minorHAnsi"/>
          <w:bCs/>
          <w:lang w:eastAsia="de-DE"/>
        </w:rPr>
      </w:pPr>
      <w:r w:rsidRPr="007E6B52">
        <w:rPr>
          <w:rFonts w:cstheme="minorHAnsi"/>
          <w:bCs/>
          <w:lang w:eastAsia="de-DE"/>
        </w:rPr>
        <w:t xml:space="preserve">The threats to the health of the ocean have never been greater. </w:t>
      </w:r>
      <w:r w:rsidR="007E6B52">
        <w:rPr>
          <w:rFonts w:cstheme="minorHAnsi"/>
          <w:bCs/>
          <w:lang w:eastAsia="de-DE"/>
        </w:rPr>
        <w:t>As recognised in the Vigo Declaration u</w:t>
      </w:r>
      <w:r w:rsidRPr="007E6B52">
        <w:rPr>
          <w:rFonts w:cstheme="minorHAnsi"/>
        </w:rPr>
        <w:t>rgent action is needed to address the loss of biodiversity, pollution and the fundamental and possibly irreversible</w:t>
      </w:r>
      <w:r w:rsidRPr="007E6B52" w:rsidDel="006A355B">
        <w:rPr>
          <w:rFonts w:cstheme="minorHAnsi"/>
        </w:rPr>
        <w:t xml:space="preserve"> changes </w:t>
      </w:r>
      <w:r w:rsidR="004F1444" w:rsidRPr="007E6B52">
        <w:rPr>
          <w:rFonts w:cstheme="minorHAnsi"/>
        </w:rPr>
        <w:t xml:space="preserve">caused by climate change </w:t>
      </w:r>
      <w:r w:rsidRPr="007E6B52" w:rsidDel="006A355B">
        <w:rPr>
          <w:rFonts w:cstheme="minorHAnsi"/>
        </w:rPr>
        <w:t xml:space="preserve">to the ocean. </w:t>
      </w:r>
      <w:r w:rsidR="004F1444" w:rsidRPr="007E6B52">
        <w:rPr>
          <w:rFonts w:cstheme="minorHAnsi"/>
          <w:bCs/>
          <w:lang w:eastAsia="de-DE"/>
        </w:rPr>
        <w:t xml:space="preserve">There has never been a more important time to address these challenges and to help others to do so. </w:t>
      </w:r>
      <w:r w:rsidR="00A22EFD" w:rsidRPr="007E6B52">
        <w:rPr>
          <w:rFonts w:cstheme="minorHAnsi"/>
          <w:bCs/>
          <w:lang w:eastAsia="de-DE"/>
        </w:rPr>
        <w:t xml:space="preserve">OSPAR </w:t>
      </w:r>
      <w:r w:rsidR="004F1444" w:rsidRPr="007E6B52">
        <w:rPr>
          <w:rFonts w:cstheme="minorHAnsi"/>
          <w:bCs/>
          <w:lang w:eastAsia="de-DE"/>
        </w:rPr>
        <w:t xml:space="preserve">needs to lead by example and </w:t>
      </w:r>
      <w:r w:rsidR="004F1444" w:rsidRPr="007E6B52">
        <w:rPr>
          <w:rFonts w:cstheme="minorHAnsi"/>
          <w:bCs/>
          <w:lang w:eastAsia="de-DE"/>
        </w:rPr>
        <w:lastRenderedPageBreak/>
        <w:t xml:space="preserve">demonstrate the benefits of regional cooperation and the ecosystem approach and </w:t>
      </w:r>
      <w:r w:rsidR="00A22EFD" w:rsidRPr="007E6B52">
        <w:rPr>
          <w:rFonts w:cstheme="minorHAnsi"/>
          <w:bCs/>
          <w:lang w:eastAsia="de-DE"/>
        </w:rPr>
        <w:t xml:space="preserve">has developed a range of key messages to </w:t>
      </w:r>
      <w:r w:rsidR="007E6B52">
        <w:rPr>
          <w:rFonts w:cstheme="minorHAnsi"/>
          <w:bCs/>
          <w:lang w:eastAsia="de-DE"/>
        </w:rPr>
        <w:t xml:space="preserve">support </w:t>
      </w:r>
      <w:r w:rsidR="00A22EFD" w:rsidRPr="007E6B52">
        <w:rPr>
          <w:rFonts w:cstheme="minorHAnsi"/>
          <w:bCs/>
          <w:lang w:eastAsia="de-DE"/>
        </w:rPr>
        <w:t xml:space="preserve"> our approach</w:t>
      </w:r>
      <w:r w:rsidR="007E6B52">
        <w:rPr>
          <w:rFonts w:cstheme="minorHAnsi"/>
          <w:bCs/>
          <w:lang w:eastAsia="de-DE"/>
        </w:rPr>
        <w:t>:</w:t>
      </w:r>
    </w:p>
    <w:p w14:paraId="6D0D07DF" w14:textId="424FC1CE" w:rsidR="00A22EFD" w:rsidRPr="007E6B52" w:rsidRDefault="00A22EFD" w:rsidP="007E6B52">
      <w:pPr>
        <w:pStyle w:val="ListParagraph"/>
        <w:ind w:left="360"/>
        <w:rPr>
          <w:rFonts w:cstheme="minorHAnsi"/>
          <w:bCs/>
          <w:lang w:eastAsia="de-DE"/>
        </w:rPr>
      </w:pPr>
      <w:r w:rsidRPr="007E6B52">
        <w:rPr>
          <w:rFonts w:cstheme="minorHAnsi"/>
          <w:bCs/>
          <w:lang w:eastAsia="de-DE"/>
        </w:rPr>
        <w:t xml:space="preserve">  </w:t>
      </w:r>
    </w:p>
    <w:p w14:paraId="27F3E98E" w14:textId="340A51A2" w:rsidR="00A22EFD" w:rsidRDefault="00A22EFD" w:rsidP="00A22EFD">
      <w:pPr>
        <w:pStyle w:val="ListParagraph"/>
        <w:numPr>
          <w:ilvl w:val="0"/>
          <w:numId w:val="33"/>
        </w:numPr>
        <w:spacing w:after="0" w:line="240" w:lineRule="auto"/>
        <w:jc w:val="both"/>
        <w:rPr>
          <w:rFonts w:cstheme="minorHAnsi"/>
          <w:lang w:val="en-GB"/>
        </w:rPr>
      </w:pPr>
      <w:r w:rsidRPr="002F06C4">
        <w:rPr>
          <w:rFonts w:cstheme="minorHAnsi"/>
          <w:b/>
          <w:bCs/>
          <w:lang w:val="en-GB"/>
        </w:rPr>
        <w:t>OSPAR’s has a strong political mandate:</w:t>
      </w:r>
      <w:r w:rsidRPr="002F06C4">
        <w:rPr>
          <w:rFonts w:cstheme="minorHAnsi"/>
          <w:lang w:val="en-GB"/>
        </w:rPr>
        <w:t xml:space="preserve"> At its Ministerial </w:t>
      </w:r>
      <w:r w:rsidRPr="00255CC5">
        <w:rPr>
          <w:rFonts w:cstheme="minorHAnsi"/>
          <w:lang w:val="en-GB"/>
        </w:rPr>
        <w:t>meeting in 202</w:t>
      </w:r>
      <w:r w:rsidR="00637845" w:rsidRPr="00255CC5">
        <w:rPr>
          <w:rFonts w:cstheme="minorHAnsi"/>
          <w:lang w:val="en-GB"/>
        </w:rPr>
        <w:t>5</w:t>
      </w:r>
      <w:r w:rsidRPr="00255CC5">
        <w:rPr>
          <w:rFonts w:cstheme="minorHAnsi"/>
          <w:lang w:val="en-GB"/>
        </w:rPr>
        <w:t xml:space="preserve">, OSPAR Ministers </w:t>
      </w:r>
      <w:r w:rsidR="007E6B52" w:rsidRPr="00255CC5">
        <w:rPr>
          <w:rFonts w:cstheme="minorHAnsi"/>
          <w:lang w:val="en-GB"/>
        </w:rPr>
        <w:t>agreed the Vigo Declaration which reaffirmed their commitment to addressing the triple planetary crisis and to their obligations under the OSPAR Convention</w:t>
      </w:r>
      <w:r w:rsidR="00255CC5">
        <w:rPr>
          <w:rFonts w:cstheme="minorHAnsi"/>
          <w:lang w:val="en-GB"/>
        </w:rPr>
        <w:t>.</w:t>
      </w:r>
    </w:p>
    <w:p w14:paraId="5E6ADE4B" w14:textId="08F2F27F" w:rsidR="008A048D" w:rsidRPr="002F06C4" w:rsidRDefault="008A048D" w:rsidP="00A22EFD">
      <w:pPr>
        <w:pStyle w:val="ListParagraph"/>
        <w:numPr>
          <w:ilvl w:val="0"/>
          <w:numId w:val="33"/>
        </w:numPr>
        <w:spacing w:after="0" w:line="240" w:lineRule="auto"/>
        <w:jc w:val="both"/>
        <w:rPr>
          <w:rFonts w:cstheme="minorHAnsi"/>
          <w:lang w:val="en-GB"/>
        </w:rPr>
      </w:pPr>
      <w:r>
        <w:rPr>
          <w:rFonts w:cstheme="minorHAnsi"/>
          <w:b/>
          <w:bCs/>
          <w:lang w:val="en-GB"/>
        </w:rPr>
        <w:t>OSPAR plays and important role in supporting the implementation of the BBNJ Agreement:</w:t>
      </w:r>
      <w:r>
        <w:rPr>
          <w:rFonts w:cstheme="minorHAnsi"/>
          <w:lang w:val="en-GB"/>
        </w:rPr>
        <w:t xml:space="preserve"> With decades of experience in monitoring, assessing human impacts, developing indicators and identifying and nominating MPAs in BBNJ, OSPAR has competencies vital to the successful implementation of the BBNJ Agreement.</w:t>
      </w:r>
    </w:p>
    <w:p w14:paraId="1FAE1FDC" w14:textId="2DCF0720" w:rsidR="00BE12BE" w:rsidRPr="002F06C4" w:rsidRDefault="00BE12BE" w:rsidP="00BE12BE">
      <w:pPr>
        <w:pStyle w:val="ListParagraph"/>
        <w:numPr>
          <w:ilvl w:val="0"/>
          <w:numId w:val="33"/>
        </w:numPr>
        <w:spacing w:after="0" w:line="240" w:lineRule="auto"/>
        <w:jc w:val="both"/>
        <w:rPr>
          <w:rFonts w:cstheme="minorHAnsi"/>
          <w:lang w:val="en-GB"/>
        </w:rPr>
      </w:pPr>
      <w:r w:rsidRPr="002F06C4">
        <w:rPr>
          <w:rFonts w:cstheme="minorHAnsi"/>
          <w:b/>
          <w:bCs/>
          <w:lang w:val="en-GB"/>
        </w:rPr>
        <w:t xml:space="preserve">Urgent action needed: </w:t>
      </w:r>
      <w:r w:rsidRPr="002F06C4">
        <w:rPr>
          <w:rFonts w:cstheme="minorHAnsi"/>
          <w:lang w:val="en-GB"/>
        </w:rPr>
        <w:t>The NEAES 2030 acknowledges the threats faced by the ocean and sets out a series of ambitious objectives to address current, future and emerging issues</w:t>
      </w:r>
      <w:r w:rsidR="00637845">
        <w:rPr>
          <w:rFonts w:cstheme="minorHAnsi"/>
          <w:lang w:val="en-GB"/>
        </w:rPr>
        <w:t>.</w:t>
      </w:r>
    </w:p>
    <w:p w14:paraId="5353A3A8" w14:textId="4D063ACC" w:rsidR="00A22EFD" w:rsidRPr="002F06C4" w:rsidRDefault="00A22EFD" w:rsidP="00A22EFD">
      <w:pPr>
        <w:pStyle w:val="ListParagraph"/>
        <w:numPr>
          <w:ilvl w:val="0"/>
          <w:numId w:val="33"/>
        </w:numPr>
        <w:spacing w:after="0" w:line="240" w:lineRule="auto"/>
        <w:jc w:val="both"/>
        <w:rPr>
          <w:rFonts w:cstheme="minorHAnsi"/>
          <w:lang w:val="en-GB"/>
        </w:rPr>
      </w:pPr>
      <w:r w:rsidRPr="002F06C4">
        <w:rPr>
          <w:rFonts w:cstheme="minorHAnsi"/>
          <w:b/>
          <w:bCs/>
          <w:lang w:val="en-GB"/>
        </w:rPr>
        <w:t>The NEAES 2030</w:t>
      </w:r>
      <w:r w:rsidR="00637845">
        <w:rPr>
          <w:rFonts w:cstheme="minorHAnsi"/>
          <w:b/>
          <w:bCs/>
          <w:lang w:val="en-GB"/>
        </w:rPr>
        <w:t xml:space="preserve"> is delivering discernible benefits to the North-East Atlantic</w:t>
      </w:r>
      <w:r w:rsidRPr="002F06C4">
        <w:rPr>
          <w:rFonts w:cstheme="minorHAnsi"/>
          <w:b/>
          <w:bCs/>
          <w:lang w:val="en-GB"/>
        </w:rPr>
        <w:t xml:space="preserve">: </w:t>
      </w:r>
      <w:r w:rsidRPr="002F06C4">
        <w:rPr>
          <w:rFonts w:cstheme="minorHAnsi"/>
          <w:lang w:val="en-GB"/>
        </w:rPr>
        <w:t xml:space="preserve">The NEAES remains the </w:t>
      </w:r>
      <w:r w:rsidR="007E6B52">
        <w:rPr>
          <w:rFonts w:cstheme="minorHAnsi"/>
          <w:lang w:val="en-GB"/>
        </w:rPr>
        <w:t>main</w:t>
      </w:r>
      <w:r w:rsidRPr="002F06C4">
        <w:rPr>
          <w:rFonts w:cstheme="minorHAnsi"/>
          <w:lang w:val="en-GB"/>
        </w:rPr>
        <w:t xml:space="preserve"> instrument for achieving OSPAR’s objectives, offering a long-term vision and strategic orientation. The successes of the NEAES </w:t>
      </w:r>
      <w:r w:rsidR="00637845">
        <w:rPr>
          <w:rFonts w:cstheme="minorHAnsi"/>
          <w:lang w:val="en-GB"/>
        </w:rPr>
        <w:t>2030</w:t>
      </w:r>
      <w:r w:rsidRPr="002F06C4">
        <w:rPr>
          <w:rFonts w:cstheme="minorHAnsi"/>
          <w:lang w:val="en-GB"/>
        </w:rPr>
        <w:t xml:space="preserve"> will be celebrated</w:t>
      </w:r>
      <w:r w:rsidR="00DE75C7" w:rsidRPr="002F06C4">
        <w:rPr>
          <w:rFonts w:cstheme="minorHAnsi"/>
          <w:lang w:val="en-GB"/>
        </w:rPr>
        <w:t xml:space="preserve"> and </w:t>
      </w:r>
      <w:r w:rsidR="00637845">
        <w:rPr>
          <w:rFonts w:cstheme="minorHAnsi"/>
          <w:lang w:val="en-GB"/>
        </w:rPr>
        <w:t>outputs will be</w:t>
      </w:r>
      <w:r w:rsidR="00DE75C7" w:rsidRPr="002F06C4">
        <w:rPr>
          <w:rFonts w:cstheme="minorHAnsi"/>
          <w:lang w:val="en-GB"/>
        </w:rPr>
        <w:t xml:space="preserve"> communicated</w:t>
      </w:r>
      <w:r w:rsidR="00637845">
        <w:rPr>
          <w:rFonts w:cstheme="minorHAnsi"/>
          <w:lang w:val="en-GB"/>
        </w:rPr>
        <w:t>.</w:t>
      </w:r>
    </w:p>
    <w:p w14:paraId="175AE5A6" w14:textId="10C53994" w:rsidR="00A22EFD" w:rsidRPr="00255CC5" w:rsidRDefault="00A22EFD" w:rsidP="00255CC5">
      <w:pPr>
        <w:pStyle w:val="ListParagraph"/>
        <w:numPr>
          <w:ilvl w:val="0"/>
          <w:numId w:val="33"/>
        </w:numPr>
        <w:spacing w:after="0" w:line="240" w:lineRule="auto"/>
        <w:jc w:val="both"/>
        <w:rPr>
          <w:rFonts w:cstheme="minorHAnsi"/>
          <w:lang w:val="en-GB"/>
        </w:rPr>
      </w:pPr>
      <w:r w:rsidRPr="002F06C4">
        <w:rPr>
          <w:rFonts w:cstheme="minorHAnsi"/>
          <w:b/>
          <w:bCs/>
          <w:lang w:val="en-GB"/>
        </w:rPr>
        <w:t>OSPAR is science-driven and transparent:</w:t>
      </w:r>
      <w:r w:rsidRPr="002F06C4">
        <w:rPr>
          <w:rFonts w:cstheme="minorHAnsi"/>
          <w:lang w:val="en-GB"/>
        </w:rPr>
        <w:t xml:space="preserve"> OSPAR’s work is based on the latest science available on processes affecting the marine environment, containing a holistic set of science-based actions and measures for a healthy North-East Atlantic. OSPAR </w:t>
      </w:r>
      <w:r w:rsidR="00B14363">
        <w:rPr>
          <w:rFonts w:cstheme="minorHAnsi"/>
          <w:lang w:val="en-GB"/>
        </w:rPr>
        <w:t>will deliver the</w:t>
      </w:r>
      <w:r w:rsidRPr="002F06C4">
        <w:rPr>
          <w:rFonts w:cstheme="minorHAnsi"/>
          <w:lang w:val="en-GB"/>
        </w:rPr>
        <w:t xml:space="preserve"> </w:t>
      </w:r>
      <w:r w:rsidR="007E6B52">
        <w:rPr>
          <w:rFonts w:cstheme="minorHAnsi"/>
          <w:lang w:val="en-GB"/>
        </w:rPr>
        <w:t xml:space="preserve">2029 </w:t>
      </w:r>
      <w:r w:rsidR="00637845">
        <w:rPr>
          <w:rFonts w:cstheme="minorHAnsi"/>
          <w:lang w:val="en-GB"/>
        </w:rPr>
        <w:t>Intermediate Assessment</w:t>
      </w:r>
      <w:r w:rsidRPr="002F06C4">
        <w:rPr>
          <w:rFonts w:cstheme="minorHAnsi"/>
          <w:lang w:val="en-GB"/>
        </w:rPr>
        <w:t xml:space="preserve"> which will provide </w:t>
      </w:r>
      <w:r w:rsidR="00B14363">
        <w:rPr>
          <w:rFonts w:cstheme="minorHAnsi"/>
          <w:lang w:val="en-GB"/>
        </w:rPr>
        <w:t xml:space="preserve">the latest </w:t>
      </w:r>
      <w:r w:rsidR="00255CC5">
        <w:rPr>
          <w:rFonts w:cstheme="minorHAnsi"/>
          <w:lang w:val="en-GB"/>
        </w:rPr>
        <w:t>v</w:t>
      </w:r>
      <w:r w:rsidRPr="002F06C4">
        <w:rPr>
          <w:rFonts w:cstheme="minorHAnsi"/>
          <w:lang w:val="en-GB"/>
        </w:rPr>
        <w:t>iew of the health of the North-East Atlantic and drive future policy</w:t>
      </w:r>
      <w:r w:rsidR="00637845">
        <w:rPr>
          <w:rFonts w:cstheme="minorHAnsi"/>
          <w:lang w:val="en-GB"/>
        </w:rPr>
        <w:t xml:space="preserve"> including the revision of the NEAES 2030.</w:t>
      </w:r>
    </w:p>
    <w:p w14:paraId="1528CD7A" w14:textId="2C2DA417" w:rsidR="00A22EFD" w:rsidRPr="002F06C4" w:rsidRDefault="00593A68" w:rsidP="00A22EFD">
      <w:pPr>
        <w:pStyle w:val="ListParagraph"/>
        <w:numPr>
          <w:ilvl w:val="0"/>
          <w:numId w:val="38"/>
        </w:numPr>
        <w:spacing w:after="0" w:line="240" w:lineRule="auto"/>
        <w:jc w:val="both"/>
        <w:rPr>
          <w:rFonts w:cstheme="minorHAnsi"/>
          <w:bCs/>
          <w:lang w:eastAsia="de-DE"/>
        </w:rPr>
      </w:pPr>
      <w:r>
        <w:rPr>
          <w:rFonts w:cstheme="minorHAnsi"/>
          <w:b/>
          <w:bCs/>
          <w:lang w:val="en-GB"/>
        </w:rPr>
        <w:t xml:space="preserve">OSPAR </w:t>
      </w:r>
      <w:r w:rsidR="004F1444" w:rsidRPr="002F06C4">
        <w:rPr>
          <w:rFonts w:cstheme="minorHAnsi"/>
          <w:b/>
          <w:bCs/>
          <w:lang w:val="en-GB"/>
        </w:rPr>
        <w:t xml:space="preserve">follows </w:t>
      </w:r>
      <w:r>
        <w:rPr>
          <w:rFonts w:cstheme="minorHAnsi"/>
          <w:b/>
          <w:bCs/>
          <w:lang w:val="en-GB"/>
        </w:rPr>
        <w:t>an</w:t>
      </w:r>
      <w:r w:rsidRPr="002F06C4">
        <w:rPr>
          <w:rFonts w:cstheme="minorHAnsi"/>
          <w:b/>
          <w:bCs/>
          <w:lang w:val="en-GB"/>
        </w:rPr>
        <w:t xml:space="preserve"> </w:t>
      </w:r>
      <w:r w:rsidR="00A22EFD" w:rsidRPr="002F06C4">
        <w:rPr>
          <w:rFonts w:cstheme="minorHAnsi"/>
          <w:b/>
          <w:bCs/>
          <w:lang w:val="en-GB"/>
        </w:rPr>
        <w:t>ecosystem</w:t>
      </w:r>
      <w:r>
        <w:rPr>
          <w:rFonts w:cstheme="minorHAnsi"/>
          <w:b/>
          <w:bCs/>
          <w:lang w:val="en-GB"/>
        </w:rPr>
        <w:t>-based</w:t>
      </w:r>
      <w:r w:rsidR="00A22EFD" w:rsidRPr="002F06C4">
        <w:rPr>
          <w:rFonts w:cstheme="minorHAnsi"/>
          <w:b/>
          <w:bCs/>
          <w:lang w:val="en-GB"/>
        </w:rPr>
        <w:t xml:space="preserve"> approach</w:t>
      </w:r>
      <w:r w:rsidR="00637845">
        <w:rPr>
          <w:rFonts w:cstheme="minorHAnsi"/>
          <w:lang w:val="en-GB"/>
        </w:rPr>
        <w:t xml:space="preserve"> </w:t>
      </w:r>
      <w:r>
        <w:rPr>
          <w:rFonts w:cstheme="minorHAnsi"/>
          <w:lang w:val="en-GB"/>
        </w:rPr>
        <w:t xml:space="preserve">that supports sustainable management of the marine environment </w:t>
      </w:r>
      <w:r w:rsidR="00C2538A" w:rsidRPr="002F06C4">
        <w:rPr>
          <w:rFonts w:cstheme="minorHAnsi"/>
          <w:lang w:val="en-GB"/>
        </w:rPr>
        <w:t>tak</w:t>
      </w:r>
      <w:r>
        <w:rPr>
          <w:rFonts w:cstheme="minorHAnsi"/>
          <w:lang w:val="en-GB"/>
        </w:rPr>
        <w:t>ing</w:t>
      </w:r>
      <w:r w:rsidR="00C2538A" w:rsidRPr="002F06C4">
        <w:rPr>
          <w:rFonts w:cstheme="minorHAnsi"/>
          <w:lang w:val="en-GB"/>
        </w:rPr>
        <w:t xml:space="preserve"> account of </w:t>
      </w:r>
      <w:r w:rsidR="00A22EFD" w:rsidRPr="002F06C4">
        <w:rPr>
          <w:rFonts w:cstheme="minorHAnsi"/>
          <w:lang w:val="en-GB"/>
        </w:rPr>
        <w:t xml:space="preserve">the economic and social benefits of a North-East Atlantic in a healthy state, and the cumulative effects that could hamper this. </w:t>
      </w:r>
      <w:r w:rsidR="00A22EFD" w:rsidRPr="002F06C4">
        <w:rPr>
          <w:rFonts w:cstheme="minorHAnsi"/>
          <w:bCs/>
          <w:lang w:eastAsia="de-DE"/>
        </w:rPr>
        <w:t>OSPAR seeks a balance between the protection of the marine environment and the use of it to support livelihoods</w:t>
      </w:r>
      <w:r w:rsidR="00637845">
        <w:rPr>
          <w:rFonts w:cstheme="minorHAnsi"/>
          <w:lang w:val="en-GB"/>
        </w:rPr>
        <w:t>.</w:t>
      </w:r>
    </w:p>
    <w:p w14:paraId="595F6F53" w14:textId="558EA980" w:rsidR="00A22EFD" w:rsidRPr="002F06C4" w:rsidRDefault="00A22EFD" w:rsidP="00A22EFD">
      <w:pPr>
        <w:pStyle w:val="ListParagraph"/>
        <w:numPr>
          <w:ilvl w:val="0"/>
          <w:numId w:val="33"/>
        </w:numPr>
        <w:spacing w:after="0" w:line="240" w:lineRule="auto"/>
        <w:jc w:val="both"/>
        <w:rPr>
          <w:rFonts w:cstheme="minorHAnsi"/>
          <w:lang w:val="en-GB"/>
        </w:rPr>
      </w:pPr>
      <w:r w:rsidRPr="002F06C4">
        <w:rPr>
          <w:rFonts w:cstheme="minorHAnsi"/>
          <w:b/>
          <w:bCs/>
          <w:lang w:val="en-GB"/>
        </w:rPr>
        <w:t>OSPAR is inclusive and stakeholder-driven:</w:t>
      </w:r>
      <w:r w:rsidRPr="002F06C4">
        <w:rPr>
          <w:rFonts w:cstheme="minorHAnsi"/>
          <w:lang w:val="en-GB"/>
        </w:rPr>
        <w:t xml:space="preserve"> </w:t>
      </w:r>
      <w:r w:rsidR="00593A68">
        <w:rPr>
          <w:rFonts w:cstheme="minorHAnsi"/>
          <w:lang w:val="en-GB"/>
        </w:rPr>
        <w:t xml:space="preserve">we will recognise the role OSPAR observers play in supporting delivery of the </w:t>
      </w:r>
      <w:r w:rsidRPr="002F06C4">
        <w:rPr>
          <w:rFonts w:cstheme="minorHAnsi"/>
          <w:lang w:val="en-GB"/>
        </w:rPr>
        <w:t>NEAES 2030</w:t>
      </w:r>
      <w:r w:rsidR="00637845">
        <w:rPr>
          <w:rFonts w:cstheme="minorHAnsi"/>
          <w:lang w:val="en-GB"/>
        </w:rPr>
        <w:t>.</w:t>
      </w:r>
    </w:p>
    <w:p w14:paraId="2921AB07" w14:textId="0DA531A6" w:rsidR="00A22EFD" w:rsidRPr="002F06C4" w:rsidRDefault="00A22EFD" w:rsidP="00702D28">
      <w:pPr>
        <w:pStyle w:val="ListParagraph"/>
        <w:numPr>
          <w:ilvl w:val="0"/>
          <w:numId w:val="33"/>
        </w:numPr>
        <w:spacing w:after="0" w:line="240" w:lineRule="auto"/>
        <w:jc w:val="both"/>
        <w:rPr>
          <w:rFonts w:cstheme="minorHAnsi"/>
          <w:lang w:val="en-GB"/>
        </w:rPr>
      </w:pPr>
      <w:r w:rsidRPr="002F06C4">
        <w:rPr>
          <w:rFonts w:cstheme="minorHAnsi"/>
          <w:b/>
          <w:bCs/>
          <w:lang w:val="en-GB"/>
        </w:rPr>
        <w:t>International targets and objectives:</w:t>
      </w:r>
      <w:r w:rsidRPr="002F06C4">
        <w:rPr>
          <w:rFonts w:cstheme="minorHAnsi"/>
          <w:lang w:val="en-GB"/>
        </w:rPr>
        <w:t xml:space="preserve"> The NEAES 2030 is closely aligned with international and regional ecological objectives such as the UN Sustainable Development Goals, the targets of the Convention on Biological Diversity, </w:t>
      </w:r>
      <w:r w:rsidR="00F27C32">
        <w:rPr>
          <w:rFonts w:cstheme="minorHAnsi"/>
          <w:lang w:val="en-GB"/>
        </w:rPr>
        <w:t xml:space="preserve">the BBNJ Agreement </w:t>
      </w:r>
      <w:r w:rsidR="00C2538A" w:rsidRPr="002F06C4">
        <w:rPr>
          <w:rFonts w:cstheme="minorHAnsi"/>
          <w:lang w:val="en-GB"/>
        </w:rPr>
        <w:t xml:space="preserve">and </w:t>
      </w:r>
      <w:r w:rsidRPr="002F06C4">
        <w:rPr>
          <w:rFonts w:cstheme="minorHAnsi"/>
          <w:lang w:val="en-GB"/>
        </w:rPr>
        <w:t>the MSFD (for Contracting Parties who are also EU member</w:t>
      </w:r>
      <w:r w:rsidR="00F27C32">
        <w:rPr>
          <w:rFonts w:cstheme="minorHAnsi"/>
          <w:lang w:val="en-GB"/>
        </w:rPr>
        <w:t xml:space="preserve"> state</w:t>
      </w:r>
      <w:r w:rsidRPr="002F06C4">
        <w:rPr>
          <w:rFonts w:cstheme="minorHAnsi"/>
          <w:lang w:val="en-GB"/>
        </w:rPr>
        <w:t>s).</w:t>
      </w:r>
      <w:r w:rsidR="00637845">
        <w:rPr>
          <w:rFonts w:cstheme="minorHAnsi"/>
          <w:lang w:val="en-GB"/>
        </w:rPr>
        <w:t xml:space="preserve"> </w:t>
      </w:r>
      <w:r w:rsidRPr="002F06C4">
        <w:rPr>
          <w:rFonts w:cstheme="minorHAnsi"/>
          <w:lang w:val="en-GB"/>
        </w:rPr>
        <w:t xml:space="preserve">This positions OSPAR as </w:t>
      </w:r>
      <w:r w:rsidR="00F27C32">
        <w:rPr>
          <w:rFonts w:cstheme="minorHAnsi"/>
          <w:lang w:val="en-GB"/>
        </w:rPr>
        <w:t xml:space="preserve">an important </w:t>
      </w:r>
      <w:r w:rsidRPr="002F06C4">
        <w:rPr>
          <w:rFonts w:cstheme="minorHAnsi"/>
          <w:lang w:val="en-GB"/>
        </w:rPr>
        <w:t xml:space="preserve">regional platform for the implementation of these </w:t>
      </w:r>
      <w:r w:rsidR="00F27C32">
        <w:rPr>
          <w:rFonts w:cstheme="minorHAnsi"/>
          <w:lang w:val="en-GB"/>
        </w:rPr>
        <w:t xml:space="preserve">global </w:t>
      </w:r>
      <w:r w:rsidRPr="002F06C4">
        <w:rPr>
          <w:rFonts w:cstheme="minorHAnsi"/>
          <w:lang w:val="en-GB"/>
        </w:rPr>
        <w:t>targets and objectives</w:t>
      </w:r>
      <w:r w:rsidR="00702D28" w:rsidRPr="002F06C4">
        <w:rPr>
          <w:rFonts w:cstheme="minorHAnsi"/>
          <w:lang w:val="en-GB"/>
        </w:rPr>
        <w:t>.</w:t>
      </w:r>
      <w:r w:rsidR="00637845">
        <w:rPr>
          <w:rFonts w:cstheme="minorHAnsi"/>
          <w:lang w:val="en-GB"/>
        </w:rPr>
        <w:t xml:space="preserve"> </w:t>
      </w:r>
    </w:p>
    <w:p w14:paraId="3DE41DB5" w14:textId="77777777" w:rsidR="00637845" w:rsidRPr="00637845" w:rsidRDefault="00637845" w:rsidP="00A22EFD">
      <w:pPr>
        <w:jc w:val="both"/>
        <w:rPr>
          <w:rFonts w:eastAsiaTheme="majorEastAsia" w:cstheme="minorHAnsi"/>
          <w:sz w:val="20"/>
          <w:szCs w:val="20"/>
          <w:lang w:val="en-GB"/>
        </w:rPr>
      </w:pPr>
    </w:p>
    <w:p w14:paraId="765D61EE" w14:textId="0382076B" w:rsidR="00A22EFD" w:rsidRPr="002F06C4" w:rsidRDefault="00A22EFD" w:rsidP="00A22EFD">
      <w:pPr>
        <w:jc w:val="both"/>
        <w:rPr>
          <w:rFonts w:eastAsiaTheme="majorEastAsia" w:cstheme="minorHAnsi"/>
          <w:sz w:val="32"/>
          <w:szCs w:val="32"/>
          <w:lang w:val="en-GB"/>
        </w:rPr>
      </w:pPr>
      <w:r w:rsidRPr="002F06C4">
        <w:rPr>
          <w:rFonts w:eastAsiaTheme="majorEastAsia" w:cstheme="minorHAnsi"/>
          <w:sz w:val="32"/>
          <w:szCs w:val="32"/>
          <w:lang w:val="en-GB"/>
        </w:rPr>
        <w:t>St</w:t>
      </w:r>
      <w:r w:rsidR="00202ED4">
        <w:rPr>
          <w:rFonts w:eastAsiaTheme="majorEastAsia" w:cstheme="minorHAnsi"/>
          <w:sz w:val="32"/>
          <w:szCs w:val="32"/>
          <w:lang w:val="en-GB"/>
        </w:rPr>
        <w:t>akeholders</w:t>
      </w:r>
    </w:p>
    <w:p w14:paraId="65337AF6" w14:textId="37B76126" w:rsidR="00A22EFD" w:rsidRPr="00F27C32" w:rsidRDefault="00A22EFD" w:rsidP="00F27C32">
      <w:pPr>
        <w:pStyle w:val="ListParagraph"/>
        <w:numPr>
          <w:ilvl w:val="0"/>
          <w:numId w:val="42"/>
        </w:numPr>
        <w:rPr>
          <w:rFonts w:cstheme="minorHAnsi"/>
          <w:bCs/>
          <w:lang w:eastAsia="de-DE"/>
        </w:rPr>
      </w:pPr>
      <w:r w:rsidRPr="00F27C32">
        <w:rPr>
          <w:rFonts w:cstheme="minorHAnsi"/>
          <w:bCs/>
          <w:lang w:eastAsia="de-DE"/>
        </w:rPr>
        <w:t>As an inter-governmental organisation, OSPAR has a wide variety of stakeholders with differing information needs. By identifying and prioritising these stakeholder groups, OSPAR can focus available resources, whilst simultaneously meeting the needs of as many stakeholders as possible.</w:t>
      </w:r>
    </w:p>
    <w:p w14:paraId="03012409" w14:textId="77777777" w:rsidR="00A22EFD" w:rsidRPr="00F27C32" w:rsidRDefault="00A22EFD" w:rsidP="00F27C32">
      <w:pPr>
        <w:pStyle w:val="ListParagraph"/>
        <w:numPr>
          <w:ilvl w:val="0"/>
          <w:numId w:val="42"/>
        </w:numPr>
        <w:jc w:val="both"/>
        <w:rPr>
          <w:rFonts w:cstheme="minorHAnsi"/>
        </w:rPr>
      </w:pPr>
      <w:r w:rsidRPr="00F27C32">
        <w:rPr>
          <w:rFonts w:cstheme="minorHAnsi"/>
        </w:rPr>
        <w:t>The provision of useful information depends on effective two-way communication. OSPAR must engage in dialogue with its target groups to understand their needs and to give the right information at the right time so it has the most impact. When planning communication activities it is essential to have in mind;</w:t>
      </w:r>
    </w:p>
    <w:p w14:paraId="5DD019A0" w14:textId="77777777" w:rsidR="00A22EFD" w:rsidRPr="002F06C4" w:rsidRDefault="00A22EFD" w:rsidP="00A22EFD">
      <w:pPr>
        <w:pStyle w:val="ListParagraph"/>
        <w:numPr>
          <w:ilvl w:val="0"/>
          <w:numId w:val="37"/>
        </w:numPr>
        <w:spacing w:after="0" w:line="240" w:lineRule="auto"/>
        <w:jc w:val="both"/>
        <w:rPr>
          <w:rFonts w:cstheme="minorHAnsi"/>
        </w:rPr>
      </w:pPr>
      <w:r w:rsidRPr="002F06C4">
        <w:rPr>
          <w:rFonts w:cstheme="minorHAnsi"/>
        </w:rPr>
        <w:t>OSPAR Heads of Delegation and Secretariat</w:t>
      </w:r>
    </w:p>
    <w:p w14:paraId="1373FD5A" w14:textId="77777777" w:rsidR="00A22EFD" w:rsidRPr="002F06C4" w:rsidRDefault="00A22EFD" w:rsidP="00A22EFD">
      <w:pPr>
        <w:pStyle w:val="ListParagraph"/>
        <w:numPr>
          <w:ilvl w:val="0"/>
          <w:numId w:val="37"/>
        </w:numPr>
        <w:spacing w:after="0" w:line="240" w:lineRule="auto"/>
        <w:jc w:val="both"/>
        <w:rPr>
          <w:rFonts w:cstheme="minorHAnsi"/>
        </w:rPr>
      </w:pPr>
      <w:r w:rsidRPr="002F06C4">
        <w:rPr>
          <w:rFonts w:cstheme="minorHAnsi"/>
        </w:rPr>
        <w:t>those people who can intervene and influence on OSPAR’s behalf such as ministers and marine directors from Contracting Parties</w:t>
      </w:r>
    </w:p>
    <w:p w14:paraId="63CB113A" w14:textId="77777777" w:rsidR="00A22EFD" w:rsidRPr="002F06C4" w:rsidRDefault="00A22EFD" w:rsidP="00A22EFD">
      <w:pPr>
        <w:pStyle w:val="ListParagraph"/>
        <w:numPr>
          <w:ilvl w:val="0"/>
          <w:numId w:val="37"/>
        </w:numPr>
        <w:spacing w:after="0" w:line="240" w:lineRule="auto"/>
        <w:jc w:val="both"/>
        <w:rPr>
          <w:rFonts w:cstheme="minorHAnsi"/>
        </w:rPr>
      </w:pPr>
      <w:r w:rsidRPr="002F06C4">
        <w:rPr>
          <w:rFonts w:cstheme="minorHAnsi"/>
        </w:rPr>
        <w:t>those requiring information exchange for meetings, intercessional working and ad hoc working groups</w:t>
      </w:r>
    </w:p>
    <w:p w14:paraId="0060CC5E" w14:textId="77777777" w:rsidR="00A22EFD" w:rsidRPr="002F06C4" w:rsidRDefault="00A22EFD" w:rsidP="00A22EFD">
      <w:pPr>
        <w:pStyle w:val="ListParagraph"/>
        <w:numPr>
          <w:ilvl w:val="0"/>
          <w:numId w:val="37"/>
        </w:numPr>
        <w:spacing w:after="0" w:line="240" w:lineRule="auto"/>
        <w:jc w:val="both"/>
        <w:rPr>
          <w:rFonts w:cstheme="minorHAnsi"/>
        </w:rPr>
      </w:pPr>
      <w:r w:rsidRPr="002F06C4">
        <w:rPr>
          <w:rFonts w:cstheme="minorHAnsi"/>
        </w:rPr>
        <w:t>journalists of all media and various fields</w:t>
      </w:r>
    </w:p>
    <w:p w14:paraId="1C8CF403" w14:textId="77777777" w:rsidR="00A22EFD" w:rsidRPr="002F06C4" w:rsidRDefault="00A22EFD" w:rsidP="00A22EFD">
      <w:pPr>
        <w:pStyle w:val="ListParagraph"/>
        <w:numPr>
          <w:ilvl w:val="0"/>
          <w:numId w:val="36"/>
        </w:numPr>
        <w:spacing w:after="0" w:line="240" w:lineRule="auto"/>
        <w:jc w:val="both"/>
        <w:rPr>
          <w:rFonts w:cstheme="minorHAnsi"/>
        </w:rPr>
      </w:pPr>
      <w:r w:rsidRPr="002F06C4">
        <w:rPr>
          <w:rFonts w:cstheme="minorHAnsi"/>
        </w:rPr>
        <w:t>stakeholders with a vested interest in the North-East Atlantic including other IGOs</w:t>
      </w:r>
    </w:p>
    <w:p w14:paraId="6679E3F7" w14:textId="77777777" w:rsidR="00A22EFD" w:rsidRPr="002F06C4" w:rsidRDefault="00A22EFD" w:rsidP="00A22EFD">
      <w:pPr>
        <w:pStyle w:val="ListParagraph"/>
        <w:numPr>
          <w:ilvl w:val="0"/>
          <w:numId w:val="36"/>
        </w:numPr>
        <w:spacing w:after="0" w:line="240" w:lineRule="auto"/>
        <w:jc w:val="both"/>
        <w:rPr>
          <w:rFonts w:cstheme="minorHAnsi"/>
        </w:rPr>
      </w:pPr>
      <w:r w:rsidRPr="002F06C4">
        <w:rPr>
          <w:rFonts w:cstheme="minorHAnsi"/>
        </w:rPr>
        <w:t>Observer organisations (including inactive observers) that can mobilise quickly and endorse OSPAR messages</w:t>
      </w:r>
    </w:p>
    <w:p w14:paraId="6D2B70E4" w14:textId="77777777" w:rsidR="00A22EFD" w:rsidRPr="002F06C4" w:rsidRDefault="00A22EFD" w:rsidP="00A22EFD">
      <w:pPr>
        <w:pStyle w:val="ListParagraph"/>
        <w:numPr>
          <w:ilvl w:val="0"/>
          <w:numId w:val="36"/>
        </w:numPr>
        <w:spacing w:after="0" w:line="240" w:lineRule="auto"/>
        <w:jc w:val="both"/>
        <w:rPr>
          <w:rFonts w:cstheme="minorHAnsi"/>
        </w:rPr>
      </w:pPr>
      <w:r w:rsidRPr="002F06C4">
        <w:rPr>
          <w:rFonts w:cstheme="minorHAnsi"/>
        </w:rPr>
        <w:t>NGOs who are not presently observers</w:t>
      </w:r>
    </w:p>
    <w:p w14:paraId="3696C5D4" w14:textId="77777777" w:rsidR="00A22EFD" w:rsidRPr="002F06C4" w:rsidRDefault="00A22EFD" w:rsidP="00A22EFD">
      <w:pPr>
        <w:pStyle w:val="ListParagraph"/>
        <w:numPr>
          <w:ilvl w:val="0"/>
          <w:numId w:val="36"/>
        </w:numPr>
        <w:spacing w:after="0" w:line="240" w:lineRule="auto"/>
        <w:jc w:val="both"/>
        <w:rPr>
          <w:rFonts w:cstheme="minorHAnsi"/>
        </w:rPr>
      </w:pPr>
      <w:r w:rsidRPr="002F06C4">
        <w:rPr>
          <w:rFonts w:cstheme="minorHAnsi"/>
        </w:rPr>
        <w:t>Industry who are not presently observers</w:t>
      </w:r>
    </w:p>
    <w:p w14:paraId="7CE60D08" w14:textId="76D335FC" w:rsidR="00465D4D" w:rsidRDefault="00A22EFD" w:rsidP="00E574E5">
      <w:pPr>
        <w:pStyle w:val="ListParagraph"/>
        <w:numPr>
          <w:ilvl w:val="0"/>
          <w:numId w:val="36"/>
        </w:numPr>
        <w:spacing w:after="0" w:line="240" w:lineRule="auto"/>
        <w:jc w:val="both"/>
        <w:rPr>
          <w:rFonts w:cstheme="minorHAnsi"/>
        </w:rPr>
      </w:pPr>
      <w:r w:rsidRPr="002F06C4">
        <w:rPr>
          <w:rFonts w:cstheme="minorHAnsi"/>
        </w:rPr>
        <w:lastRenderedPageBreak/>
        <w:t xml:space="preserve">Users of OSPAR products and information including universities, researchers, interested members of the public etc. </w:t>
      </w:r>
    </w:p>
    <w:p w14:paraId="46B95728" w14:textId="77777777" w:rsidR="000C502F" w:rsidRPr="000C502F" w:rsidRDefault="000C502F" w:rsidP="000C502F">
      <w:pPr>
        <w:pStyle w:val="ListParagraph"/>
        <w:spacing w:after="0" w:line="240" w:lineRule="auto"/>
        <w:jc w:val="both"/>
        <w:rPr>
          <w:rFonts w:cstheme="minorHAnsi"/>
        </w:rPr>
      </w:pPr>
    </w:p>
    <w:p w14:paraId="2CE99B01" w14:textId="77777777" w:rsidR="008A3A26" w:rsidRPr="002F06C4" w:rsidRDefault="008A3A26" w:rsidP="008A3A26">
      <w:pPr>
        <w:jc w:val="both"/>
        <w:rPr>
          <w:rFonts w:eastAsiaTheme="majorEastAsia" w:cstheme="minorHAnsi"/>
          <w:sz w:val="32"/>
          <w:szCs w:val="32"/>
          <w:lang w:val="en-GB"/>
        </w:rPr>
      </w:pPr>
      <w:r w:rsidRPr="002F06C4">
        <w:rPr>
          <w:rFonts w:eastAsiaTheme="majorEastAsia" w:cstheme="minorHAnsi"/>
          <w:sz w:val="32"/>
          <w:szCs w:val="32"/>
          <w:lang w:val="en-GB"/>
        </w:rPr>
        <w:t>Mitigation of risk</w:t>
      </w:r>
    </w:p>
    <w:p w14:paraId="18EC3372" w14:textId="744A13AD" w:rsidR="008A3A26" w:rsidRPr="00F27C32" w:rsidRDefault="008A3A26" w:rsidP="00F27C32">
      <w:pPr>
        <w:pStyle w:val="ListParagraph"/>
        <w:numPr>
          <w:ilvl w:val="0"/>
          <w:numId w:val="42"/>
        </w:numPr>
        <w:jc w:val="both"/>
        <w:rPr>
          <w:rFonts w:cstheme="minorHAnsi"/>
        </w:rPr>
      </w:pPr>
      <w:r w:rsidRPr="00F27C32">
        <w:rPr>
          <w:rFonts w:cstheme="minorHAnsi"/>
        </w:rPr>
        <w:t>Given the political context within which OSPAR operates, communications has the potential to be a high risk activity. To mitigate against these risks it is important that all OSPAR communication activities are</w:t>
      </w:r>
      <w:r w:rsidR="00F27C32">
        <w:rPr>
          <w:rFonts w:cstheme="minorHAnsi"/>
        </w:rPr>
        <w:t>:</w:t>
      </w:r>
    </w:p>
    <w:p w14:paraId="387E4F7A" w14:textId="77777777" w:rsidR="008A3A26" w:rsidRPr="002F06C4" w:rsidRDefault="008A3A26" w:rsidP="008A3A26">
      <w:pPr>
        <w:pStyle w:val="ListParagraph"/>
        <w:numPr>
          <w:ilvl w:val="0"/>
          <w:numId w:val="39"/>
        </w:numPr>
        <w:spacing w:after="0" w:line="240" w:lineRule="auto"/>
        <w:jc w:val="both"/>
        <w:rPr>
          <w:rFonts w:cstheme="minorHAnsi"/>
        </w:rPr>
      </w:pPr>
      <w:r w:rsidRPr="002F06C4">
        <w:rPr>
          <w:rFonts w:cstheme="minorHAnsi"/>
        </w:rPr>
        <w:t>Designed to fulfil an identified objective;</w:t>
      </w:r>
    </w:p>
    <w:p w14:paraId="60BBE036" w14:textId="77777777" w:rsidR="008A3A26" w:rsidRPr="002F06C4" w:rsidRDefault="008A3A26" w:rsidP="008A3A26">
      <w:pPr>
        <w:pStyle w:val="ListParagraph"/>
        <w:numPr>
          <w:ilvl w:val="0"/>
          <w:numId w:val="39"/>
        </w:numPr>
        <w:spacing w:after="0" w:line="240" w:lineRule="auto"/>
        <w:jc w:val="both"/>
        <w:rPr>
          <w:rFonts w:cstheme="minorHAnsi"/>
        </w:rPr>
      </w:pPr>
      <w:r w:rsidRPr="002F06C4">
        <w:rPr>
          <w:rFonts w:cstheme="minorHAnsi"/>
        </w:rPr>
        <w:t>Aimed at a defined target group;</w:t>
      </w:r>
    </w:p>
    <w:p w14:paraId="22955488" w14:textId="77777777" w:rsidR="008A3A26" w:rsidRPr="002F06C4" w:rsidRDefault="008A3A26" w:rsidP="008A3A26">
      <w:pPr>
        <w:pStyle w:val="ListParagraph"/>
        <w:numPr>
          <w:ilvl w:val="0"/>
          <w:numId w:val="39"/>
        </w:numPr>
        <w:spacing w:after="0" w:line="240" w:lineRule="auto"/>
        <w:jc w:val="both"/>
        <w:rPr>
          <w:rFonts w:cstheme="minorHAnsi"/>
        </w:rPr>
      </w:pPr>
      <w:r w:rsidRPr="002F06C4">
        <w:rPr>
          <w:rFonts w:cstheme="minorHAnsi"/>
        </w:rPr>
        <w:t>Evaluated, reflected upon and learnt from;</w:t>
      </w:r>
    </w:p>
    <w:p w14:paraId="55D8A1DF" w14:textId="77777777" w:rsidR="008A3A26" w:rsidRPr="002F06C4" w:rsidRDefault="008A3A26" w:rsidP="008A3A26">
      <w:pPr>
        <w:pStyle w:val="ListParagraph"/>
        <w:numPr>
          <w:ilvl w:val="0"/>
          <w:numId w:val="39"/>
        </w:numPr>
        <w:spacing w:after="0" w:line="240" w:lineRule="auto"/>
        <w:jc w:val="both"/>
        <w:rPr>
          <w:rFonts w:cstheme="minorHAnsi"/>
        </w:rPr>
      </w:pPr>
      <w:r w:rsidRPr="002F06C4">
        <w:rPr>
          <w:rFonts w:cstheme="minorHAnsi"/>
        </w:rPr>
        <w:t>Clear and supported by fact;</w:t>
      </w:r>
    </w:p>
    <w:p w14:paraId="72C6D840" w14:textId="77777777" w:rsidR="008A3A26" w:rsidRPr="002F06C4" w:rsidRDefault="008A3A26" w:rsidP="008A3A26">
      <w:pPr>
        <w:pStyle w:val="ListParagraph"/>
        <w:numPr>
          <w:ilvl w:val="0"/>
          <w:numId w:val="39"/>
        </w:numPr>
        <w:spacing w:after="0" w:line="240" w:lineRule="auto"/>
        <w:jc w:val="both"/>
        <w:rPr>
          <w:rFonts w:cstheme="minorHAnsi"/>
        </w:rPr>
      </w:pPr>
      <w:r w:rsidRPr="002F06C4">
        <w:rPr>
          <w:rFonts w:cstheme="minorHAnsi"/>
        </w:rPr>
        <w:t>Consistent with agreed OSPAR conclusions;</w:t>
      </w:r>
    </w:p>
    <w:p w14:paraId="1D6956D3" w14:textId="11E67BB3" w:rsidR="00A17784" w:rsidRDefault="008A3A26" w:rsidP="0054255F">
      <w:pPr>
        <w:pStyle w:val="ListParagraph"/>
        <w:numPr>
          <w:ilvl w:val="0"/>
          <w:numId w:val="39"/>
        </w:numPr>
        <w:spacing w:after="0" w:line="240" w:lineRule="auto"/>
        <w:jc w:val="both"/>
        <w:rPr>
          <w:rFonts w:cstheme="minorHAnsi"/>
        </w:rPr>
      </w:pPr>
      <w:r w:rsidRPr="002F06C4">
        <w:rPr>
          <w:rFonts w:cstheme="minorHAnsi"/>
        </w:rPr>
        <w:t>Where possible, planned and agreed in advance.</w:t>
      </w:r>
    </w:p>
    <w:p w14:paraId="3779BC35" w14:textId="77777777" w:rsidR="0052218F" w:rsidRDefault="0052218F" w:rsidP="0052218F">
      <w:pPr>
        <w:spacing w:after="0" w:line="240" w:lineRule="auto"/>
        <w:jc w:val="both"/>
        <w:rPr>
          <w:rFonts w:cstheme="minorHAnsi"/>
        </w:rPr>
      </w:pPr>
    </w:p>
    <w:p w14:paraId="70C2A280" w14:textId="77777777" w:rsidR="0052218F" w:rsidRDefault="0052218F" w:rsidP="0052218F">
      <w:pPr>
        <w:spacing w:after="0" w:line="240" w:lineRule="auto"/>
        <w:jc w:val="both"/>
        <w:rPr>
          <w:rFonts w:cstheme="minorHAnsi"/>
        </w:rPr>
      </w:pPr>
    </w:p>
    <w:p w14:paraId="53B902EA" w14:textId="77777777" w:rsidR="0052218F" w:rsidRDefault="0052218F" w:rsidP="0052218F">
      <w:pPr>
        <w:spacing w:after="0" w:line="240" w:lineRule="auto"/>
        <w:jc w:val="both"/>
        <w:rPr>
          <w:rFonts w:cstheme="minorHAnsi"/>
        </w:rPr>
      </w:pPr>
    </w:p>
    <w:p w14:paraId="6AA61823" w14:textId="77777777" w:rsidR="0052218F" w:rsidRPr="0052218F" w:rsidRDefault="0052218F" w:rsidP="0052218F">
      <w:pPr>
        <w:spacing w:after="0" w:line="240" w:lineRule="auto"/>
        <w:jc w:val="both"/>
        <w:rPr>
          <w:rFonts w:cstheme="minorHAnsi"/>
        </w:rPr>
      </w:pPr>
    </w:p>
    <w:p w14:paraId="57A85A66" w14:textId="77777777" w:rsidR="00A531DD" w:rsidRPr="00A531DD" w:rsidRDefault="00A531DD" w:rsidP="00A531DD">
      <w:pPr>
        <w:pStyle w:val="ListParagraph"/>
        <w:spacing w:after="0" w:line="240" w:lineRule="auto"/>
        <w:jc w:val="both"/>
        <w:rPr>
          <w:rFonts w:cstheme="minorHAnsi"/>
        </w:rPr>
      </w:pPr>
    </w:p>
    <w:p w14:paraId="700E74C8" w14:textId="77777777" w:rsidR="00A17784" w:rsidRPr="00A531DD" w:rsidRDefault="00A17784" w:rsidP="00A531DD">
      <w:pPr>
        <w:jc w:val="both"/>
        <w:rPr>
          <w:rFonts w:eastAsiaTheme="majorEastAsia" w:cstheme="minorHAnsi"/>
          <w:sz w:val="32"/>
          <w:szCs w:val="32"/>
          <w:lang w:val="en-GB"/>
        </w:rPr>
      </w:pPr>
      <w:r w:rsidRPr="00A531DD">
        <w:rPr>
          <w:rFonts w:eastAsiaTheme="majorEastAsia" w:cstheme="minorHAnsi"/>
          <w:sz w:val="32"/>
          <w:szCs w:val="32"/>
          <w:lang w:val="en-GB"/>
        </w:rPr>
        <w:t>Actions and Tasks</w:t>
      </w:r>
    </w:p>
    <w:p w14:paraId="424B4244" w14:textId="109760A8" w:rsidR="000C502F" w:rsidRDefault="00A17784" w:rsidP="00F27C32">
      <w:pPr>
        <w:pStyle w:val="ListParagraph"/>
        <w:numPr>
          <w:ilvl w:val="0"/>
          <w:numId w:val="42"/>
        </w:numPr>
        <w:spacing w:line="278" w:lineRule="auto"/>
        <w:jc w:val="both"/>
        <w:rPr>
          <w:rFonts w:cstheme="minorHAnsi"/>
          <w:lang w:val="en-GB"/>
        </w:rPr>
      </w:pPr>
      <w:r w:rsidRPr="00F27C32">
        <w:rPr>
          <w:rFonts w:cstheme="minorHAnsi"/>
        </w:rPr>
        <w:t>Aligning with the Strategy of the OSPAR Commission for the Protection of the Marine Environment of the North-East Atlantic 2030 (NEAES 2030</w:t>
      </w:r>
      <w:r w:rsidRPr="002F06C4">
        <w:rPr>
          <w:rStyle w:val="FootnoteReference"/>
          <w:rFonts w:cstheme="minorHAnsi"/>
        </w:rPr>
        <w:footnoteReference w:id="1"/>
      </w:r>
      <w:r w:rsidRPr="00F27C32">
        <w:rPr>
          <w:rFonts w:cstheme="minorHAnsi"/>
        </w:rPr>
        <w:t xml:space="preserve">), this OSPAR </w:t>
      </w:r>
      <w:r w:rsidR="000C502F" w:rsidRPr="00F27C32">
        <w:rPr>
          <w:rFonts w:cstheme="minorHAnsi"/>
        </w:rPr>
        <w:t>Communications Strategy</w:t>
      </w:r>
      <w:r w:rsidRPr="00F27C32">
        <w:rPr>
          <w:rFonts w:cstheme="minorHAnsi"/>
        </w:rPr>
        <w:t xml:space="preserve"> to 2030 includes new actions, alongside the continuation and evolution of others, reflecting the updated position of OSPAR </w:t>
      </w:r>
      <w:r w:rsidR="000C502F" w:rsidRPr="00F27C32">
        <w:rPr>
          <w:rFonts w:cstheme="minorHAnsi"/>
        </w:rPr>
        <w:t>communications.  The table below sets out the main communication activites forseen in the period to 2030</w:t>
      </w:r>
      <w:r w:rsidR="000C502F" w:rsidRPr="00F27C32">
        <w:rPr>
          <w:rFonts w:cstheme="minorHAnsi"/>
          <w:lang w:val="en-GB"/>
        </w:rPr>
        <w:t>.</w:t>
      </w:r>
    </w:p>
    <w:p w14:paraId="7E8CBC07" w14:textId="77777777" w:rsidR="00F27C32" w:rsidRPr="00F27C32" w:rsidRDefault="00F27C32" w:rsidP="00F27C32">
      <w:pPr>
        <w:pStyle w:val="ListParagraph"/>
        <w:spacing w:line="278" w:lineRule="auto"/>
        <w:ind w:left="360"/>
        <w:jc w:val="both"/>
        <w:rPr>
          <w:rFonts w:cstheme="minorHAnsi"/>
          <w:lang w:val="en-GB"/>
        </w:rPr>
      </w:pPr>
    </w:p>
    <w:p w14:paraId="0A899EC1" w14:textId="0CE0D7F7" w:rsidR="005B6195" w:rsidRPr="00F27C32" w:rsidRDefault="005B6195" w:rsidP="00F27C32">
      <w:pPr>
        <w:pStyle w:val="ListParagraph"/>
        <w:numPr>
          <w:ilvl w:val="0"/>
          <w:numId w:val="42"/>
        </w:numPr>
        <w:spacing w:line="278" w:lineRule="auto"/>
        <w:jc w:val="both"/>
        <w:rPr>
          <w:rFonts w:cstheme="minorHAnsi"/>
        </w:rPr>
      </w:pPr>
      <w:r w:rsidRPr="00F27C32">
        <w:rPr>
          <w:rFonts w:cstheme="minorHAnsi"/>
          <w:lang w:val="en-GB"/>
        </w:rPr>
        <w:t xml:space="preserve">These actions and tasks will support the </w:t>
      </w:r>
      <w:r w:rsidR="0052218F" w:rsidRPr="00F27C32">
        <w:rPr>
          <w:rFonts w:cstheme="minorHAnsi"/>
          <w:lang w:val="en-GB"/>
        </w:rPr>
        <w:t xml:space="preserve">Key Communication Opportunities for OSPAR 2025-2030 </w:t>
      </w:r>
      <w:r w:rsidRPr="00F27C32">
        <w:rPr>
          <w:rFonts w:cstheme="minorHAnsi"/>
          <w:lang w:val="en-GB"/>
        </w:rPr>
        <w:t>listed above in addition to r</w:t>
      </w:r>
      <w:r w:rsidR="0052218F" w:rsidRPr="00F27C32">
        <w:rPr>
          <w:rFonts w:cstheme="minorHAnsi"/>
          <w:lang w:val="en-GB"/>
        </w:rPr>
        <w:t>outine</w:t>
      </w:r>
      <w:r w:rsidRPr="00F27C32">
        <w:rPr>
          <w:rFonts w:cstheme="minorHAnsi"/>
          <w:lang w:val="en-GB"/>
        </w:rPr>
        <w:t xml:space="preserve"> communication activities</w:t>
      </w:r>
      <w:r w:rsidR="0052218F" w:rsidRPr="00F27C32">
        <w:rPr>
          <w:rFonts w:cstheme="minorHAnsi"/>
          <w:lang w:val="en-GB"/>
        </w:rPr>
        <w:t xml:space="preserve"> to support the regular work of OSPAR</w:t>
      </w:r>
      <w:r w:rsidRPr="00F27C32">
        <w:rPr>
          <w:rFonts w:cstheme="minorHAnsi"/>
          <w:lang w:val="en-GB"/>
        </w:rPr>
        <w:t>.</w:t>
      </w:r>
    </w:p>
    <w:p w14:paraId="7E9427C4" w14:textId="5EB2A095" w:rsidR="000C502F" w:rsidRPr="000C502F" w:rsidRDefault="000C502F" w:rsidP="000C502F">
      <w:pPr>
        <w:spacing w:line="278" w:lineRule="auto"/>
        <w:jc w:val="both"/>
        <w:rPr>
          <w:rFonts w:cstheme="minorHAnsi"/>
          <w:lang w:val="en-GB"/>
        </w:rPr>
        <w:sectPr w:rsidR="000C502F" w:rsidRPr="000C502F" w:rsidSect="00502762">
          <w:headerReference w:type="even" r:id="rId12"/>
          <w:headerReference w:type="default" r:id="rId13"/>
          <w:footerReference w:type="even" r:id="rId14"/>
          <w:footerReference w:type="default" r:id="rId15"/>
          <w:headerReference w:type="first" r:id="rId16"/>
          <w:footerReference w:type="first" r:id="rId17"/>
          <w:pgSz w:w="11907" w:h="16839" w:code="9"/>
          <w:pgMar w:top="1134" w:right="1134" w:bottom="1134" w:left="1134" w:header="567" w:footer="567" w:gutter="0"/>
          <w:cols w:space="708"/>
          <w:titlePg/>
          <w:docGrid w:linePitch="360"/>
        </w:sectPr>
      </w:pPr>
    </w:p>
    <w:p w14:paraId="14C6889C" w14:textId="77777777" w:rsidR="00A17784" w:rsidRPr="002F06C4" w:rsidRDefault="00A17784" w:rsidP="00A17784">
      <w:pPr>
        <w:pStyle w:val="Heading2"/>
        <w:spacing w:after="240"/>
        <w:rPr>
          <w:rFonts w:asciiTheme="minorHAnsi" w:hAnsiTheme="minorHAnsi" w:cstheme="minorHAnsi"/>
          <w:u w:val="single"/>
        </w:rPr>
      </w:pPr>
      <w:r w:rsidRPr="002F06C4">
        <w:rPr>
          <w:rFonts w:asciiTheme="minorHAnsi" w:hAnsiTheme="minorHAnsi" w:cstheme="minorHAnsi"/>
          <w:u w:val="single"/>
        </w:rPr>
        <w:lastRenderedPageBreak/>
        <w:t>Action/Task List – OSPAR Data and Information Management Strategy to 2030:</w:t>
      </w:r>
    </w:p>
    <w:tbl>
      <w:tblPr>
        <w:tblStyle w:val="GridTable3"/>
        <w:tblW w:w="5000" w:type="pct"/>
        <w:jc w:val="center"/>
        <w:tblLook w:val="04A0" w:firstRow="1" w:lastRow="0" w:firstColumn="1" w:lastColumn="0" w:noHBand="0" w:noVBand="1"/>
      </w:tblPr>
      <w:tblGrid>
        <w:gridCol w:w="953"/>
        <w:gridCol w:w="4943"/>
        <w:gridCol w:w="1760"/>
        <w:gridCol w:w="2693"/>
        <w:gridCol w:w="4223"/>
      </w:tblGrid>
      <w:tr w:rsidR="00A17784" w:rsidRPr="002F06C4" w14:paraId="0A274B9B" w14:textId="77777777" w:rsidTr="008D653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7" w:type="pct"/>
            <w:tcBorders>
              <w:bottom w:val="single" w:sz="4" w:space="0" w:color="595959" w:themeColor="text1" w:themeTint="A6"/>
              <w:right w:val="single" w:sz="4" w:space="0" w:color="auto"/>
            </w:tcBorders>
            <w:noWrap/>
          </w:tcPr>
          <w:p w14:paraId="1F738CA2" w14:textId="77777777" w:rsidR="00A17784" w:rsidRPr="002F06C4" w:rsidRDefault="00A17784" w:rsidP="008D6536">
            <w:pPr>
              <w:rPr>
                <w:rFonts w:asciiTheme="minorHAnsi" w:eastAsiaTheme="minorEastAsia" w:hAnsiTheme="minorHAnsi" w:cstheme="minorHAnsi"/>
                <w:i w:val="0"/>
                <w:iCs w:val="0"/>
              </w:rPr>
            </w:pPr>
          </w:p>
        </w:tc>
        <w:tc>
          <w:tcPr>
            <w:tcW w:w="1696" w:type="pct"/>
            <w:tcBorders>
              <w:left w:val="single" w:sz="4" w:space="0" w:color="auto"/>
              <w:bottom w:val="single" w:sz="4" w:space="0" w:color="595959" w:themeColor="text1" w:themeTint="A6"/>
              <w:right w:val="single" w:sz="4" w:space="0" w:color="auto"/>
            </w:tcBorders>
          </w:tcPr>
          <w:p w14:paraId="2EE6F307" w14:textId="77777777" w:rsidR="00A17784" w:rsidRPr="002F06C4" w:rsidRDefault="00A17784" w:rsidP="008D653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Action/Task List</w:t>
            </w:r>
          </w:p>
        </w:tc>
        <w:tc>
          <w:tcPr>
            <w:tcW w:w="604" w:type="pct"/>
            <w:tcBorders>
              <w:left w:val="single" w:sz="4" w:space="0" w:color="auto"/>
              <w:bottom w:val="single" w:sz="4" w:space="0" w:color="595959" w:themeColor="text1" w:themeTint="A6"/>
              <w:right w:val="single" w:sz="4" w:space="0" w:color="auto"/>
            </w:tcBorders>
          </w:tcPr>
          <w:p w14:paraId="6D0614A7" w14:textId="77777777" w:rsidR="00A17784" w:rsidRPr="002F06C4" w:rsidRDefault="00A17784" w:rsidP="008D653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Timing</w:t>
            </w:r>
          </w:p>
        </w:tc>
        <w:tc>
          <w:tcPr>
            <w:tcW w:w="924" w:type="pct"/>
            <w:tcBorders>
              <w:left w:val="single" w:sz="4" w:space="0" w:color="auto"/>
              <w:bottom w:val="single" w:sz="4" w:space="0" w:color="595959" w:themeColor="text1" w:themeTint="A6"/>
              <w:right w:val="single" w:sz="4" w:space="0" w:color="auto"/>
            </w:tcBorders>
          </w:tcPr>
          <w:p w14:paraId="1D5344F4" w14:textId="77777777" w:rsidR="00A17784" w:rsidRPr="002F06C4" w:rsidRDefault="00A17784" w:rsidP="008D653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By Whom?</w:t>
            </w:r>
          </w:p>
        </w:tc>
        <w:tc>
          <w:tcPr>
            <w:tcW w:w="1449" w:type="pct"/>
            <w:tcBorders>
              <w:left w:val="single" w:sz="4" w:space="0" w:color="auto"/>
              <w:bottom w:val="single" w:sz="4" w:space="0" w:color="595959" w:themeColor="text1" w:themeTint="A6"/>
            </w:tcBorders>
          </w:tcPr>
          <w:p w14:paraId="1E8908E7" w14:textId="77777777" w:rsidR="00A17784" w:rsidRPr="002F06C4" w:rsidRDefault="00A17784" w:rsidP="008D653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Resourcing Requirement</w:t>
            </w:r>
          </w:p>
        </w:tc>
      </w:tr>
      <w:tr w:rsidR="00A17784" w:rsidRPr="002F06C4" w14:paraId="597763D8"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right w:val="single" w:sz="4" w:space="0" w:color="595959" w:themeColor="text1" w:themeTint="A6"/>
            </w:tcBorders>
            <w:shd w:val="clear" w:color="auto" w:fill="CCCCCC"/>
            <w:noWrap/>
          </w:tcPr>
          <w:p w14:paraId="208C29F0" w14:textId="77777777" w:rsidR="00A17784" w:rsidRPr="002F06C4" w:rsidRDefault="00A17784" w:rsidP="008D6536">
            <w:pPr>
              <w:jc w:val="left"/>
              <w:rPr>
                <w:rFonts w:asciiTheme="minorHAnsi" w:eastAsiaTheme="minorEastAsia" w:hAnsiTheme="minorHAnsi" w:cstheme="minorHAnsi"/>
                <w:b/>
                <w:bCs/>
                <w:i w:val="0"/>
                <w:iCs w:val="0"/>
              </w:rPr>
            </w:pPr>
            <w:r w:rsidRPr="002F06C4">
              <w:rPr>
                <w:rFonts w:asciiTheme="minorHAnsi" w:eastAsiaTheme="minorEastAsia" w:hAnsiTheme="minorHAnsi" w:cstheme="minorHAnsi"/>
                <w:b/>
                <w:bCs/>
                <w:i w:val="0"/>
                <w:iCs w:val="0"/>
              </w:rPr>
              <w:t>Action 1</w:t>
            </w:r>
          </w:p>
        </w:tc>
        <w:tc>
          <w:tcPr>
            <w:tcW w:w="4673" w:type="pct"/>
            <w:gridSpan w:val="4"/>
            <w:tcBorders>
              <w:top w:val="single" w:sz="4" w:space="0" w:color="595959" w:themeColor="text1" w:themeTint="A6"/>
              <w:left w:val="single" w:sz="4" w:space="0" w:color="595959" w:themeColor="text1" w:themeTint="A6"/>
            </w:tcBorders>
          </w:tcPr>
          <w:p w14:paraId="3C31B19B" w14:textId="45198BB4" w:rsidR="00A17784" w:rsidRPr="002F06C4" w:rsidRDefault="000C502F"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rPr>
            </w:pPr>
            <w:r>
              <w:rPr>
                <w:rFonts w:asciiTheme="minorHAnsi" w:eastAsiaTheme="minorEastAsia" w:hAnsiTheme="minorHAnsi" w:cstheme="minorHAnsi"/>
                <w:b/>
                <w:bCs/>
              </w:rPr>
              <w:t>Website</w:t>
            </w:r>
            <w:r w:rsidR="00A12DC6">
              <w:rPr>
                <w:rFonts w:asciiTheme="minorHAnsi" w:eastAsiaTheme="minorEastAsia" w:hAnsiTheme="minorHAnsi" w:cstheme="minorHAnsi"/>
                <w:b/>
                <w:bCs/>
              </w:rPr>
              <w:t xml:space="preserve"> (www.ospar.org)</w:t>
            </w:r>
          </w:p>
        </w:tc>
      </w:tr>
      <w:tr w:rsidR="00A17784" w:rsidRPr="002F06C4" w14:paraId="77136A84"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noWrap/>
          </w:tcPr>
          <w:p w14:paraId="543E3BD2"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1a</w:t>
            </w:r>
          </w:p>
        </w:tc>
        <w:tc>
          <w:tcPr>
            <w:tcW w:w="1696" w:type="pct"/>
          </w:tcPr>
          <w:p w14:paraId="7289C5C5" w14:textId="74B23F9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Requesting and providing regular</w:t>
            </w:r>
            <w:r w:rsidR="005B6195">
              <w:rPr>
                <w:rFonts w:asciiTheme="minorHAnsi" w:eastAsiaTheme="minorEastAsia" w:hAnsiTheme="minorHAnsi" w:cstheme="minorHAnsi"/>
              </w:rPr>
              <w:t>ly updated content from</w:t>
            </w:r>
            <w:r w:rsidRPr="002F06C4">
              <w:rPr>
                <w:rFonts w:asciiTheme="minorHAnsi" w:eastAsiaTheme="minorEastAsia" w:hAnsiTheme="minorHAnsi" w:cstheme="minorHAnsi"/>
              </w:rPr>
              <w:t xml:space="preserve"> OSPAR groups</w:t>
            </w:r>
          </w:p>
        </w:tc>
        <w:tc>
          <w:tcPr>
            <w:tcW w:w="604" w:type="pct"/>
          </w:tcPr>
          <w:p w14:paraId="2A7518A5" w14:textId="5BABD3A9"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tcPr>
          <w:p w14:paraId="693F3201" w14:textId="7777777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 &gt; OSPAR groups</w:t>
            </w:r>
          </w:p>
        </w:tc>
        <w:tc>
          <w:tcPr>
            <w:tcW w:w="1449" w:type="pct"/>
          </w:tcPr>
          <w:p w14:paraId="386E35D1" w14:textId="7777777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2F06C4" w:rsidRPr="002F06C4" w14:paraId="5A7D62C0" w14:textId="77777777" w:rsidTr="008D6536">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3EEA30C1"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1b</w:t>
            </w:r>
          </w:p>
        </w:tc>
        <w:tc>
          <w:tcPr>
            <w:tcW w:w="1696" w:type="pct"/>
            <w:shd w:val="clear" w:color="auto" w:fill="auto"/>
          </w:tcPr>
          <w:p w14:paraId="395D3E0C" w14:textId="57B5962F" w:rsidR="00A17784" w:rsidRPr="002F06C4" w:rsidRDefault="005B6195"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Maintain and improve the OSPAR meeting portal</w:t>
            </w:r>
          </w:p>
        </w:tc>
        <w:tc>
          <w:tcPr>
            <w:tcW w:w="604" w:type="pct"/>
            <w:shd w:val="clear" w:color="auto" w:fill="auto"/>
          </w:tcPr>
          <w:p w14:paraId="49221558" w14:textId="7A3F59E6"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3B99B9A5" w14:textId="165AC93B"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 xml:space="preserve">Secretariat </w:t>
            </w:r>
          </w:p>
        </w:tc>
        <w:tc>
          <w:tcPr>
            <w:tcW w:w="1449" w:type="pct"/>
            <w:shd w:val="clear" w:color="auto" w:fill="auto"/>
          </w:tcPr>
          <w:p w14:paraId="1373BF45" w14:textId="77777777"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A17784" w:rsidRPr="002F06C4" w14:paraId="5C9E9494" w14:textId="77777777" w:rsidTr="008D6536">
        <w:trPr>
          <w:trHeight w:val="527"/>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174251CB"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1c</w:t>
            </w:r>
          </w:p>
        </w:tc>
        <w:tc>
          <w:tcPr>
            <w:tcW w:w="1696" w:type="pct"/>
            <w:shd w:val="clear" w:color="auto" w:fill="auto"/>
          </w:tcPr>
          <w:p w14:paraId="66489DC1" w14:textId="118FA8FE" w:rsidR="00A17784" w:rsidRPr="002F06C4" w:rsidRDefault="005B6195"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 xml:space="preserve">Integration between </w:t>
            </w:r>
            <w:r w:rsidR="00A12DC6">
              <w:rPr>
                <w:rFonts w:asciiTheme="minorHAnsi" w:eastAsiaTheme="minorEastAsia" w:hAnsiTheme="minorHAnsi" w:cstheme="minorHAnsi"/>
              </w:rPr>
              <w:t xml:space="preserve">the </w:t>
            </w:r>
            <w:r>
              <w:rPr>
                <w:rFonts w:asciiTheme="minorHAnsi" w:eastAsiaTheme="minorEastAsia" w:hAnsiTheme="minorHAnsi" w:cstheme="minorHAnsi"/>
              </w:rPr>
              <w:t>OSPAR website OAP and ODIMS</w:t>
            </w:r>
          </w:p>
        </w:tc>
        <w:tc>
          <w:tcPr>
            <w:tcW w:w="604" w:type="pct"/>
          </w:tcPr>
          <w:p w14:paraId="0AD8DA1F" w14:textId="6B68BD52"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tcPr>
          <w:p w14:paraId="3C34850B" w14:textId="7777777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tcPr>
          <w:p w14:paraId="45E0D029" w14:textId="7777777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2F06C4" w:rsidRPr="002F06C4" w14:paraId="03492487" w14:textId="77777777" w:rsidTr="008D6536">
        <w:trPr>
          <w:cnfStyle w:val="000000100000" w:firstRow="0" w:lastRow="0" w:firstColumn="0" w:lastColumn="0" w:oddVBand="0" w:evenVBand="0" w:oddHBand="1" w:evenHBand="0" w:firstRowFirstColumn="0" w:firstRowLastColumn="0" w:lastRowFirstColumn="0" w:lastRowLastColumn="0"/>
          <w:trHeight w:val="527"/>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4AB6C9E2"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1d</w:t>
            </w:r>
          </w:p>
        </w:tc>
        <w:tc>
          <w:tcPr>
            <w:tcW w:w="1696" w:type="pct"/>
            <w:shd w:val="clear" w:color="auto" w:fill="auto"/>
          </w:tcPr>
          <w:p w14:paraId="616BADF4" w14:textId="4624CB05" w:rsidR="00A17784" w:rsidRPr="002F06C4" w:rsidRDefault="005B6195"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 xml:space="preserve">Investigate Creative Cloud licensing </w:t>
            </w:r>
          </w:p>
        </w:tc>
        <w:tc>
          <w:tcPr>
            <w:tcW w:w="604" w:type="pct"/>
            <w:shd w:val="clear" w:color="auto" w:fill="auto"/>
          </w:tcPr>
          <w:p w14:paraId="7AFD5516" w14:textId="499144F1" w:rsidR="00A17784" w:rsidRPr="002F06C4" w:rsidRDefault="005E1F0D"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2025-2026</w:t>
            </w:r>
          </w:p>
        </w:tc>
        <w:tc>
          <w:tcPr>
            <w:tcW w:w="924" w:type="pct"/>
            <w:shd w:val="clear" w:color="auto" w:fill="auto"/>
          </w:tcPr>
          <w:p w14:paraId="63B618F6" w14:textId="5092B19C"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 xml:space="preserve">Secretariat </w:t>
            </w:r>
          </w:p>
        </w:tc>
        <w:tc>
          <w:tcPr>
            <w:tcW w:w="1449" w:type="pct"/>
            <w:shd w:val="clear" w:color="auto" w:fill="auto"/>
          </w:tcPr>
          <w:p w14:paraId="5BE88BD4" w14:textId="77777777"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A17784" w:rsidRPr="002F06C4" w14:paraId="0AF6E1EE"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tcBorders>
            <w:shd w:val="clear" w:color="auto" w:fill="CCCCCC"/>
            <w:noWrap/>
          </w:tcPr>
          <w:p w14:paraId="280B00B9" w14:textId="77777777" w:rsidR="00A17784" w:rsidRPr="002F06C4" w:rsidRDefault="00A17784" w:rsidP="008D6536">
            <w:pPr>
              <w:rPr>
                <w:rFonts w:asciiTheme="minorHAnsi" w:eastAsiaTheme="minorEastAsia" w:hAnsiTheme="minorHAnsi" w:cstheme="minorHAnsi"/>
                <w:b/>
                <w:bCs/>
                <w:i w:val="0"/>
                <w:iCs w:val="0"/>
              </w:rPr>
            </w:pPr>
            <w:r w:rsidRPr="002F06C4">
              <w:rPr>
                <w:rFonts w:asciiTheme="minorHAnsi" w:eastAsiaTheme="minorEastAsia" w:hAnsiTheme="minorHAnsi" w:cstheme="minorHAnsi"/>
                <w:b/>
                <w:bCs/>
                <w:i w:val="0"/>
                <w:iCs w:val="0"/>
              </w:rPr>
              <w:t>Action 2</w:t>
            </w:r>
          </w:p>
        </w:tc>
        <w:tc>
          <w:tcPr>
            <w:tcW w:w="4673" w:type="pct"/>
            <w:gridSpan w:val="4"/>
            <w:tcBorders>
              <w:top w:val="single" w:sz="4" w:space="0" w:color="595959" w:themeColor="text1" w:themeTint="A6"/>
              <w:bottom w:val="single" w:sz="4" w:space="0" w:color="595959" w:themeColor="text1" w:themeTint="A6"/>
            </w:tcBorders>
            <w:shd w:val="clear" w:color="auto" w:fill="CCCCCC"/>
          </w:tcPr>
          <w:p w14:paraId="49277D18" w14:textId="1EADC3AC" w:rsidR="00A17784" w:rsidRPr="002F06C4" w:rsidRDefault="000C502F"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sidRPr="000C502F">
              <w:rPr>
                <w:rFonts w:asciiTheme="minorHAnsi" w:eastAsiaTheme="minorEastAsia" w:hAnsiTheme="minorHAnsi" w:cstheme="minorHAnsi"/>
                <w:b/>
                <w:bCs/>
              </w:rPr>
              <w:t>Visual identity and communication toolbox</w:t>
            </w:r>
          </w:p>
        </w:tc>
      </w:tr>
      <w:tr w:rsidR="00A17784" w:rsidRPr="002F06C4" w14:paraId="33817657"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noWrap/>
          </w:tcPr>
          <w:p w14:paraId="3C4623A1"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2a</w:t>
            </w:r>
          </w:p>
        </w:tc>
        <w:tc>
          <w:tcPr>
            <w:tcW w:w="1696" w:type="pct"/>
            <w:tcBorders>
              <w:top w:val="single" w:sz="4" w:space="0" w:color="595959" w:themeColor="text1" w:themeTint="A6"/>
            </w:tcBorders>
            <w:shd w:val="clear" w:color="auto" w:fill="auto"/>
          </w:tcPr>
          <w:p w14:paraId="69D1ABDB" w14:textId="61DED109" w:rsidR="00A17784" w:rsidRPr="002F06C4" w:rsidRDefault="00A12DC6"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Develop OSPAR branding and visual identity package</w:t>
            </w:r>
            <w:r w:rsidR="00A17784" w:rsidRPr="002F06C4">
              <w:rPr>
                <w:rFonts w:asciiTheme="minorHAnsi" w:eastAsiaTheme="minorEastAsia" w:hAnsiTheme="minorHAnsi" w:cstheme="minorHAnsi"/>
              </w:rPr>
              <w:t xml:space="preserve"> </w:t>
            </w:r>
          </w:p>
        </w:tc>
        <w:tc>
          <w:tcPr>
            <w:tcW w:w="604" w:type="pct"/>
            <w:tcBorders>
              <w:top w:val="single" w:sz="4" w:space="0" w:color="595959" w:themeColor="text1" w:themeTint="A6"/>
            </w:tcBorders>
            <w:shd w:val="clear" w:color="auto" w:fill="auto"/>
          </w:tcPr>
          <w:p w14:paraId="2BBADEA1" w14:textId="6D85AC51"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202</w:t>
            </w:r>
            <w:r w:rsidR="0034748F">
              <w:rPr>
                <w:rFonts w:asciiTheme="minorHAnsi" w:eastAsiaTheme="minorEastAsia" w:hAnsiTheme="minorHAnsi" w:cstheme="minorHAnsi"/>
              </w:rPr>
              <w:t>5-2026</w:t>
            </w:r>
          </w:p>
        </w:tc>
        <w:tc>
          <w:tcPr>
            <w:tcW w:w="924" w:type="pct"/>
            <w:tcBorders>
              <w:top w:val="single" w:sz="4" w:space="0" w:color="595959" w:themeColor="text1" w:themeTint="A6"/>
            </w:tcBorders>
            <w:shd w:val="clear" w:color="auto" w:fill="auto"/>
          </w:tcPr>
          <w:p w14:paraId="3AFB99CF" w14:textId="77777777"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tcBorders>
              <w:top w:val="single" w:sz="4" w:space="0" w:color="595959" w:themeColor="text1" w:themeTint="A6"/>
            </w:tcBorders>
            <w:shd w:val="clear" w:color="auto" w:fill="auto"/>
          </w:tcPr>
          <w:p w14:paraId="61487370" w14:textId="77777777" w:rsidR="00A17784" w:rsidRPr="002F06C4" w:rsidRDefault="00A17784"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2F06C4" w:rsidRPr="002F06C4" w14:paraId="77392094"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08A5BB9B" w14:textId="77777777" w:rsidR="00A17784" w:rsidRPr="002F06C4" w:rsidRDefault="00A17784" w:rsidP="008D6536">
            <w:pPr>
              <w:rPr>
                <w:rFonts w:asciiTheme="minorHAnsi" w:eastAsiaTheme="minorEastAsia" w:hAnsiTheme="minorHAnsi" w:cstheme="minorHAnsi"/>
              </w:rPr>
            </w:pPr>
            <w:r w:rsidRPr="002F06C4">
              <w:rPr>
                <w:rFonts w:asciiTheme="minorHAnsi" w:eastAsiaTheme="minorEastAsia" w:hAnsiTheme="minorHAnsi" w:cstheme="minorHAnsi"/>
              </w:rPr>
              <w:t>Task 2b</w:t>
            </w:r>
          </w:p>
        </w:tc>
        <w:tc>
          <w:tcPr>
            <w:tcW w:w="1696" w:type="pct"/>
            <w:shd w:val="clear" w:color="auto" w:fill="auto"/>
          </w:tcPr>
          <w:p w14:paraId="591ACE2C" w14:textId="118286F0" w:rsidR="00A17784" w:rsidRPr="002F06C4" w:rsidRDefault="00A12DC6"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Ensure OSPAR visual identity is consistent across all OSPAR products.</w:t>
            </w:r>
          </w:p>
        </w:tc>
        <w:tc>
          <w:tcPr>
            <w:tcW w:w="604" w:type="pct"/>
            <w:shd w:val="clear" w:color="auto" w:fill="auto"/>
          </w:tcPr>
          <w:p w14:paraId="746455E8" w14:textId="2DC5D558" w:rsidR="00A17784" w:rsidRPr="002F06C4" w:rsidRDefault="00C12CE6"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w:t>
            </w:r>
            <w:r>
              <w:rPr>
                <w:rFonts w:asciiTheme="minorHAnsi" w:eastAsiaTheme="minorEastAsia" w:hAnsiTheme="minorHAnsi" w:cstheme="minorHAnsi"/>
              </w:rPr>
              <w:t xml:space="preserve"> </w:t>
            </w:r>
            <w:r w:rsidRPr="002F06C4">
              <w:rPr>
                <w:rFonts w:asciiTheme="minorHAnsi" w:eastAsiaTheme="minorEastAsia" w:hAnsiTheme="minorHAnsi" w:cstheme="minorHAnsi"/>
              </w:rPr>
              <w:t>going</w:t>
            </w:r>
          </w:p>
        </w:tc>
        <w:tc>
          <w:tcPr>
            <w:tcW w:w="924" w:type="pct"/>
            <w:shd w:val="clear" w:color="auto" w:fill="auto"/>
          </w:tcPr>
          <w:p w14:paraId="4840A303" w14:textId="10C28232" w:rsidR="00A17784" w:rsidRPr="002F06C4" w:rsidRDefault="0034748F"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72BA7C22" w14:textId="77777777" w:rsidR="00A17784" w:rsidRPr="002F06C4" w:rsidRDefault="00A1778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A17784" w:rsidRPr="002F06C4" w14:paraId="01130CD0"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tcBorders>
            <w:shd w:val="clear" w:color="auto" w:fill="CCCCCC"/>
            <w:noWrap/>
          </w:tcPr>
          <w:p w14:paraId="4EB2EF14" w14:textId="77777777" w:rsidR="00A17784" w:rsidRPr="00DF1E85" w:rsidRDefault="00A17784" w:rsidP="008D6536">
            <w:pPr>
              <w:rPr>
                <w:rFonts w:asciiTheme="minorHAnsi" w:eastAsiaTheme="minorEastAsia" w:hAnsiTheme="minorHAnsi" w:cstheme="minorHAnsi"/>
                <w:b/>
                <w:bCs/>
                <w:i w:val="0"/>
                <w:iCs w:val="0"/>
              </w:rPr>
            </w:pPr>
            <w:r w:rsidRPr="00DF1E85">
              <w:rPr>
                <w:rFonts w:asciiTheme="minorHAnsi" w:eastAsiaTheme="minorEastAsia" w:hAnsiTheme="minorHAnsi" w:cstheme="minorHAnsi"/>
                <w:b/>
                <w:bCs/>
                <w:i w:val="0"/>
                <w:iCs w:val="0"/>
              </w:rPr>
              <w:t>Action 3</w:t>
            </w:r>
          </w:p>
        </w:tc>
        <w:tc>
          <w:tcPr>
            <w:tcW w:w="4673" w:type="pct"/>
            <w:gridSpan w:val="4"/>
            <w:shd w:val="clear" w:color="auto" w:fill="CCCCCC"/>
          </w:tcPr>
          <w:p w14:paraId="418AB373" w14:textId="46A2EE05" w:rsidR="00A17784" w:rsidRPr="00DF1E85" w:rsidRDefault="00AC6F4A" w:rsidP="008D653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rPr>
            </w:pPr>
            <w:r>
              <w:rPr>
                <w:rFonts w:asciiTheme="minorHAnsi" w:eastAsiaTheme="minorEastAsia" w:hAnsiTheme="minorHAnsi" w:cstheme="minorHAnsi"/>
                <w:b/>
                <w:bCs/>
              </w:rPr>
              <w:t xml:space="preserve">Published </w:t>
            </w:r>
            <w:r w:rsidR="00DF1E85" w:rsidRPr="00DF1E85">
              <w:rPr>
                <w:rFonts w:asciiTheme="minorHAnsi" w:eastAsiaTheme="minorEastAsia" w:hAnsiTheme="minorHAnsi" w:cstheme="minorHAnsi"/>
                <w:b/>
                <w:bCs/>
              </w:rPr>
              <w:t>communication material</w:t>
            </w:r>
            <w:r>
              <w:rPr>
                <w:rFonts w:asciiTheme="minorHAnsi" w:eastAsiaTheme="minorEastAsia" w:hAnsiTheme="minorHAnsi" w:cstheme="minorHAnsi"/>
                <w:b/>
                <w:bCs/>
              </w:rPr>
              <w:t>s</w:t>
            </w:r>
          </w:p>
        </w:tc>
      </w:tr>
      <w:tr w:rsidR="005E1F0D" w:rsidRPr="002F06C4" w14:paraId="1A88C21C"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shd w:val="clear" w:color="auto" w:fill="auto"/>
            <w:noWrap/>
          </w:tcPr>
          <w:p w14:paraId="52DF265B"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3a</w:t>
            </w:r>
          </w:p>
        </w:tc>
        <w:tc>
          <w:tcPr>
            <w:tcW w:w="1696" w:type="pct"/>
            <w:shd w:val="clear" w:color="auto" w:fill="auto"/>
          </w:tcPr>
          <w:p w14:paraId="55CF6400" w14:textId="20F9CF0E" w:rsidR="005E1F0D" w:rsidRPr="00DF1E85"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Produce fact sheets to support the work of OSPAR groups and raise awareness.</w:t>
            </w:r>
          </w:p>
        </w:tc>
        <w:tc>
          <w:tcPr>
            <w:tcW w:w="604" w:type="pct"/>
            <w:shd w:val="clear" w:color="auto" w:fill="auto"/>
          </w:tcPr>
          <w:p w14:paraId="103C2B5F" w14:textId="0FFE4D2F"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6F58870B" w14:textId="738909F4"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 &gt; OSPAR groups</w:t>
            </w:r>
          </w:p>
        </w:tc>
        <w:tc>
          <w:tcPr>
            <w:tcW w:w="1449" w:type="pct"/>
            <w:shd w:val="clear" w:color="auto" w:fill="auto"/>
          </w:tcPr>
          <w:p w14:paraId="32419F4B" w14:textId="77777777"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5E1F0D" w:rsidRPr="002F06C4" w14:paraId="719D8EFF"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shd w:val="clear" w:color="auto" w:fill="auto"/>
            <w:noWrap/>
          </w:tcPr>
          <w:p w14:paraId="0B8B790D"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3b</w:t>
            </w:r>
          </w:p>
        </w:tc>
        <w:tc>
          <w:tcPr>
            <w:tcW w:w="1696" w:type="pct"/>
            <w:shd w:val="clear" w:color="auto" w:fill="auto"/>
          </w:tcPr>
          <w:p w14:paraId="00AFA924" w14:textId="51B74B09" w:rsidR="005E1F0D" w:rsidRPr="00DF1E85"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Support OSPAR groups in producing publications. Ensure that these are proofread, designed and formatted in a timely manner.</w:t>
            </w:r>
            <w:r w:rsidRPr="00DF1E85">
              <w:rPr>
                <w:rFonts w:asciiTheme="minorHAnsi" w:eastAsiaTheme="minorEastAsia" w:hAnsiTheme="minorHAnsi" w:cstheme="minorHAnsi"/>
              </w:rPr>
              <w:t xml:space="preserve"> </w:t>
            </w:r>
          </w:p>
        </w:tc>
        <w:tc>
          <w:tcPr>
            <w:tcW w:w="604" w:type="pct"/>
            <w:shd w:val="clear" w:color="auto" w:fill="auto"/>
          </w:tcPr>
          <w:p w14:paraId="6DF86D24" w14:textId="20E883AE"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6E7FFE94" w14:textId="4A30E5F7"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 &gt; OSPAR groups</w:t>
            </w:r>
          </w:p>
        </w:tc>
        <w:tc>
          <w:tcPr>
            <w:tcW w:w="1449" w:type="pct"/>
            <w:shd w:val="clear" w:color="auto" w:fill="auto"/>
          </w:tcPr>
          <w:p w14:paraId="3F566CED" w14:textId="77777777"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5E1F0D" w:rsidRPr="002F06C4" w14:paraId="59275A00"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shd w:val="clear" w:color="auto" w:fill="auto"/>
            <w:noWrap/>
          </w:tcPr>
          <w:p w14:paraId="4483B0BE"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3c</w:t>
            </w:r>
          </w:p>
        </w:tc>
        <w:tc>
          <w:tcPr>
            <w:tcW w:w="1696" w:type="pct"/>
            <w:shd w:val="clear" w:color="auto" w:fill="auto"/>
          </w:tcPr>
          <w:p w14:paraId="0B203647" w14:textId="1BD223A4" w:rsidR="005E1F0D" w:rsidRPr="00DF1E85"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Produce brochures to support major initiatives. In house where time allows or with the support of an outside designer if necessary.</w:t>
            </w:r>
          </w:p>
        </w:tc>
        <w:tc>
          <w:tcPr>
            <w:tcW w:w="604" w:type="pct"/>
            <w:shd w:val="clear" w:color="auto" w:fill="auto"/>
          </w:tcPr>
          <w:p w14:paraId="6DCEFFAE" w14:textId="45AF2093"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3933B7C3" w14:textId="51A6EDF0"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101D8FEE" w14:textId="275A9C4D" w:rsidR="005E1F0D" w:rsidRPr="002F06C4" w:rsidRDefault="00255CC5"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55CC5">
              <w:rPr>
                <w:rFonts w:asciiTheme="minorHAnsi" w:eastAsiaTheme="minorEastAsia" w:hAnsiTheme="minorHAnsi" w:cstheme="minorHAnsi"/>
                <w:lang w:val="fi-FI"/>
              </w:rPr>
              <w:t>Potential resource requirement</w:t>
            </w:r>
          </w:p>
        </w:tc>
      </w:tr>
      <w:tr w:rsidR="005E1F0D" w:rsidRPr="002F06C4" w14:paraId="4BEBC272"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bottom w:val="single" w:sz="4" w:space="0" w:color="595959" w:themeColor="text1" w:themeTint="A6"/>
            </w:tcBorders>
            <w:shd w:val="clear" w:color="auto" w:fill="auto"/>
            <w:noWrap/>
          </w:tcPr>
          <w:p w14:paraId="55B4A936"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3d</w:t>
            </w:r>
          </w:p>
        </w:tc>
        <w:tc>
          <w:tcPr>
            <w:tcW w:w="1696" w:type="pct"/>
            <w:shd w:val="clear" w:color="auto" w:fill="auto"/>
          </w:tcPr>
          <w:p w14:paraId="0ECC5616" w14:textId="73BA1399" w:rsidR="005E1F0D" w:rsidRPr="00DF1E85"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Produce briefing notes to support major initiatives. In house where time allows or with the support of an outside designer if necessary.</w:t>
            </w:r>
          </w:p>
        </w:tc>
        <w:tc>
          <w:tcPr>
            <w:tcW w:w="604" w:type="pct"/>
            <w:shd w:val="clear" w:color="auto" w:fill="auto"/>
          </w:tcPr>
          <w:p w14:paraId="500F38D2" w14:textId="05D1F2FE"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7303BE48" w14:textId="68BEAA5B"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71A7C2DE" w14:textId="5DD7668A" w:rsidR="005E1F0D" w:rsidRPr="002F06C4" w:rsidRDefault="00255CC5"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55CC5">
              <w:rPr>
                <w:rFonts w:asciiTheme="minorHAnsi" w:eastAsiaTheme="minorEastAsia" w:hAnsiTheme="minorHAnsi" w:cstheme="minorHAnsi"/>
                <w:lang w:val="fi-FI"/>
              </w:rPr>
              <w:t>Potential resource requirement</w:t>
            </w:r>
          </w:p>
        </w:tc>
      </w:tr>
      <w:tr w:rsidR="00A17784" w:rsidRPr="002F06C4" w14:paraId="1125B97C"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tcBorders>
            <w:shd w:val="clear" w:color="auto" w:fill="CCCCCC"/>
            <w:noWrap/>
          </w:tcPr>
          <w:p w14:paraId="2E8F7CBC" w14:textId="77777777" w:rsidR="00A17784" w:rsidRPr="002F06C4" w:rsidRDefault="00A17784" w:rsidP="008D6536">
            <w:pPr>
              <w:rPr>
                <w:rFonts w:asciiTheme="minorHAnsi" w:eastAsiaTheme="minorEastAsia" w:hAnsiTheme="minorHAnsi" w:cstheme="minorHAnsi"/>
                <w:b/>
                <w:bCs/>
                <w:i w:val="0"/>
                <w:iCs w:val="0"/>
              </w:rPr>
            </w:pPr>
            <w:r w:rsidRPr="002F06C4">
              <w:rPr>
                <w:rFonts w:asciiTheme="minorHAnsi" w:eastAsiaTheme="minorEastAsia" w:hAnsiTheme="minorHAnsi" w:cstheme="minorHAnsi"/>
                <w:b/>
                <w:bCs/>
                <w:i w:val="0"/>
                <w:iCs w:val="0"/>
              </w:rPr>
              <w:t>Action 4</w:t>
            </w:r>
          </w:p>
        </w:tc>
        <w:tc>
          <w:tcPr>
            <w:tcW w:w="4673" w:type="pct"/>
            <w:gridSpan w:val="4"/>
            <w:shd w:val="clear" w:color="auto" w:fill="CCCCCC"/>
          </w:tcPr>
          <w:p w14:paraId="51B112A9" w14:textId="24383DCB" w:rsidR="00A17784" w:rsidRPr="00456D3A" w:rsidRDefault="0052218F"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highlight w:val="yellow"/>
              </w:rPr>
            </w:pPr>
            <w:r w:rsidRPr="0052218F">
              <w:rPr>
                <w:rFonts w:asciiTheme="minorHAnsi" w:eastAsiaTheme="minorEastAsia" w:hAnsiTheme="minorHAnsi" w:cstheme="minorHAnsi"/>
                <w:b/>
                <w:bCs/>
              </w:rPr>
              <w:t>Design-led communications - Videos, infographics and design-led communications</w:t>
            </w:r>
          </w:p>
        </w:tc>
      </w:tr>
      <w:tr w:rsidR="005E1F0D" w:rsidRPr="002F06C4" w14:paraId="5D8FEBD5"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noWrap/>
          </w:tcPr>
          <w:p w14:paraId="6F498696"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4a</w:t>
            </w:r>
          </w:p>
        </w:tc>
        <w:tc>
          <w:tcPr>
            <w:tcW w:w="1696" w:type="pct"/>
            <w:shd w:val="clear" w:color="auto" w:fill="auto"/>
          </w:tcPr>
          <w:p w14:paraId="72BD1FB3" w14:textId="7CBB450D" w:rsidR="005E1F0D" w:rsidRPr="00AC6F4A"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Produce v</w:t>
            </w:r>
            <w:r w:rsidRPr="00AC6F4A">
              <w:rPr>
                <w:rFonts w:asciiTheme="minorHAnsi" w:eastAsiaTheme="minorEastAsia" w:hAnsiTheme="minorHAnsi" w:cstheme="minorHAnsi"/>
              </w:rPr>
              <w:t>ideos</w:t>
            </w:r>
            <w:r>
              <w:rPr>
                <w:rFonts w:asciiTheme="minorHAnsi" w:eastAsiaTheme="minorEastAsia" w:hAnsiTheme="minorHAnsi" w:cstheme="minorHAnsi"/>
              </w:rPr>
              <w:t xml:space="preserve"> in support of major initiatives.</w:t>
            </w:r>
          </w:p>
        </w:tc>
        <w:tc>
          <w:tcPr>
            <w:tcW w:w="604" w:type="pct"/>
            <w:shd w:val="clear" w:color="auto" w:fill="auto"/>
          </w:tcPr>
          <w:p w14:paraId="5C7615EE" w14:textId="308272B7"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393427B3" w14:textId="77777777"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20E3C882" w14:textId="4328E849" w:rsidR="005E1F0D" w:rsidRPr="002F06C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Resource requirement expected</w:t>
            </w:r>
          </w:p>
        </w:tc>
      </w:tr>
      <w:tr w:rsidR="005E1F0D" w:rsidRPr="002F06C4" w14:paraId="40FD3B95"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75572497"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4b</w:t>
            </w:r>
          </w:p>
        </w:tc>
        <w:tc>
          <w:tcPr>
            <w:tcW w:w="1696" w:type="pct"/>
            <w:shd w:val="clear" w:color="auto" w:fill="auto"/>
          </w:tcPr>
          <w:p w14:paraId="2B23A95F" w14:textId="650E9D74" w:rsidR="005E1F0D" w:rsidRPr="00AC6F4A"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Produce i</w:t>
            </w:r>
            <w:r w:rsidRPr="00AC6F4A">
              <w:rPr>
                <w:rFonts w:asciiTheme="minorHAnsi" w:eastAsiaTheme="minorEastAsia" w:hAnsiTheme="minorHAnsi" w:cstheme="minorHAnsi"/>
              </w:rPr>
              <w:t>nfographics</w:t>
            </w:r>
            <w:r>
              <w:rPr>
                <w:rFonts w:asciiTheme="minorHAnsi" w:eastAsiaTheme="minorEastAsia" w:hAnsiTheme="minorHAnsi" w:cstheme="minorHAnsi"/>
              </w:rPr>
              <w:t xml:space="preserve"> to facilitate communication of OSPAR workstreams.</w:t>
            </w:r>
          </w:p>
        </w:tc>
        <w:tc>
          <w:tcPr>
            <w:tcW w:w="604" w:type="pct"/>
            <w:shd w:val="clear" w:color="auto" w:fill="auto"/>
          </w:tcPr>
          <w:p w14:paraId="12256660" w14:textId="61DFD78F"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3FD52194" w14:textId="0B3D030D"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 &gt; OSPAR groups</w:t>
            </w:r>
          </w:p>
        </w:tc>
        <w:tc>
          <w:tcPr>
            <w:tcW w:w="1449" w:type="pct"/>
            <w:shd w:val="clear" w:color="auto" w:fill="auto"/>
          </w:tcPr>
          <w:p w14:paraId="6E760726" w14:textId="3B3FCA3D" w:rsidR="005E1F0D" w:rsidRPr="002F06C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AC6F4A" w:rsidRPr="002F06C4" w14:paraId="6D9F5A81"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4DE3A9DB" w14:textId="77777777" w:rsidR="00AC6F4A" w:rsidRPr="002F06C4" w:rsidRDefault="00AC6F4A" w:rsidP="00AC6F4A">
            <w:pPr>
              <w:rPr>
                <w:rFonts w:asciiTheme="minorHAnsi" w:eastAsiaTheme="minorEastAsia" w:hAnsiTheme="minorHAnsi" w:cstheme="minorHAnsi"/>
              </w:rPr>
            </w:pPr>
            <w:r w:rsidRPr="002F06C4">
              <w:rPr>
                <w:rFonts w:asciiTheme="minorHAnsi" w:eastAsiaTheme="minorEastAsia" w:hAnsiTheme="minorHAnsi" w:cstheme="minorHAnsi"/>
              </w:rPr>
              <w:t>Task 4c</w:t>
            </w:r>
          </w:p>
        </w:tc>
        <w:tc>
          <w:tcPr>
            <w:tcW w:w="1696" w:type="pct"/>
            <w:shd w:val="clear" w:color="auto" w:fill="auto"/>
          </w:tcPr>
          <w:p w14:paraId="31F81186" w14:textId="3230029D" w:rsidR="00AC6F4A" w:rsidRPr="00AC6F4A" w:rsidRDefault="00AC6F4A" w:rsidP="00AC6F4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Design s</w:t>
            </w:r>
            <w:r w:rsidRPr="00AC6F4A">
              <w:rPr>
                <w:rFonts w:asciiTheme="minorHAnsi" w:eastAsiaTheme="minorEastAsia" w:hAnsiTheme="minorHAnsi" w:cstheme="minorHAnsi"/>
              </w:rPr>
              <w:t xml:space="preserve">ocial media </w:t>
            </w:r>
            <w:r>
              <w:rPr>
                <w:rFonts w:asciiTheme="minorHAnsi" w:eastAsiaTheme="minorEastAsia" w:hAnsiTheme="minorHAnsi" w:cstheme="minorHAnsi"/>
              </w:rPr>
              <w:t>communications to disseminate the work of OSPAR.</w:t>
            </w:r>
          </w:p>
        </w:tc>
        <w:tc>
          <w:tcPr>
            <w:tcW w:w="604" w:type="pct"/>
            <w:shd w:val="clear" w:color="auto" w:fill="auto"/>
          </w:tcPr>
          <w:p w14:paraId="14C508CA" w14:textId="635D7A8A" w:rsidR="00AC6F4A" w:rsidRPr="002F06C4" w:rsidRDefault="00AC6F4A" w:rsidP="00AC6F4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65EEEF51" w14:textId="18EB2B01" w:rsidR="00AC6F4A" w:rsidRPr="002F06C4" w:rsidRDefault="00AC6F4A" w:rsidP="00AC6F4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1A5FF0A3" w14:textId="095D2D05" w:rsidR="00AC6F4A" w:rsidRPr="002F06C4" w:rsidRDefault="00AC6F4A" w:rsidP="00AC6F4A">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A17784" w:rsidRPr="002F06C4" w14:paraId="27C7AC49"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tcBorders>
            <w:shd w:val="clear" w:color="auto" w:fill="CCCCCC"/>
            <w:noWrap/>
          </w:tcPr>
          <w:p w14:paraId="39A4BE34" w14:textId="77777777" w:rsidR="00A17784" w:rsidRPr="002F06C4" w:rsidRDefault="00A17784" w:rsidP="008D6536">
            <w:pPr>
              <w:rPr>
                <w:rFonts w:asciiTheme="minorHAnsi" w:eastAsiaTheme="minorEastAsia" w:hAnsiTheme="minorHAnsi" w:cstheme="minorHAnsi"/>
                <w:b/>
                <w:bCs/>
                <w:i w:val="0"/>
                <w:iCs w:val="0"/>
              </w:rPr>
            </w:pPr>
            <w:r w:rsidRPr="002F06C4">
              <w:rPr>
                <w:rFonts w:asciiTheme="minorHAnsi" w:eastAsiaTheme="minorEastAsia" w:hAnsiTheme="minorHAnsi" w:cstheme="minorHAnsi"/>
                <w:b/>
                <w:bCs/>
                <w:i w:val="0"/>
                <w:iCs w:val="0"/>
              </w:rPr>
              <w:t>Action 5</w:t>
            </w:r>
          </w:p>
        </w:tc>
        <w:tc>
          <w:tcPr>
            <w:tcW w:w="4673" w:type="pct"/>
            <w:gridSpan w:val="4"/>
            <w:shd w:val="clear" w:color="auto" w:fill="CCCCCC"/>
          </w:tcPr>
          <w:p w14:paraId="0021B274" w14:textId="593A0534" w:rsidR="00A17784" w:rsidRPr="00B35494" w:rsidRDefault="00B3549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sidRPr="00B35494">
              <w:rPr>
                <w:rFonts w:asciiTheme="minorHAnsi" w:eastAsiaTheme="minorEastAsia" w:hAnsiTheme="minorHAnsi" w:cstheme="minorHAnsi"/>
                <w:b/>
                <w:bCs/>
              </w:rPr>
              <w:t>Other communication tools</w:t>
            </w:r>
          </w:p>
        </w:tc>
      </w:tr>
      <w:tr w:rsidR="005E1F0D" w:rsidRPr="002F06C4" w14:paraId="195FD175"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noWrap/>
          </w:tcPr>
          <w:p w14:paraId="32294370"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Task 5a</w:t>
            </w:r>
          </w:p>
        </w:tc>
        <w:tc>
          <w:tcPr>
            <w:tcW w:w="1696" w:type="pct"/>
            <w:shd w:val="clear" w:color="auto" w:fill="auto"/>
          </w:tcPr>
          <w:p w14:paraId="740CFC85" w14:textId="294CFC44" w:rsidR="005E1F0D" w:rsidRPr="00B35494" w:rsidRDefault="00D47B5F"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Regular e</w:t>
            </w:r>
            <w:r w:rsidR="005E1F0D">
              <w:rPr>
                <w:rFonts w:asciiTheme="minorHAnsi" w:eastAsiaTheme="minorEastAsia" w:hAnsiTheme="minorHAnsi" w:cstheme="minorHAnsi"/>
              </w:rPr>
              <w:t>-newsletter</w:t>
            </w:r>
            <w:r>
              <w:rPr>
                <w:rFonts w:asciiTheme="minorHAnsi" w:eastAsiaTheme="minorEastAsia" w:hAnsiTheme="minorHAnsi" w:cstheme="minorHAnsi"/>
              </w:rPr>
              <w:t xml:space="preserve"> designed and sent to communicate the ongoing work of OSPAR</w:t>
            </w:r>
          </w:p>
        </w:tc>
        <w:tc>
          <w:tcPr>
            <w:tcW w:w="604" w:type="pct"/>
            <w:shd w:val="clear" w:color="auto" w:fill="auto"/>
          </w:tcPr>
          <w:p w14:paraId="31407C8B" w14:textId="06CB0ECE"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11F6AEA6" w14:textId="319A1A6C"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p>
        </w:tc>
        <w:tc>
          <w:tcPr>
            <w:tcW w:w="1449" w:type="pct"/>
            <w:shd w:val="clear" w:color="auto" w:fill="auto"/>
          </w:tcPr>
          <w:p w14:paraId="3F96DB17" w14:textId="5F67AD7D"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5E1F0D" w:rsidRPr="002F06C4" w14:paraId="40B87C0D"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bottom w:val="single" w:sz="4" w:space="0" w:color="595959" w:themeColor="text1" w:themeTint="A6"/>
            </w:tcBorders>
            <w:noWrap/>
          </w:tcPr>
          <w:p w14:paraId="0BF32FA7" w14:textId="7777777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lastRenderedPageBreak/>
              <w:t>Task 5b</w:t>
            </w:r>
          </w:p>
        </w:tc>
        <w:tc>
          <w:tcPr>
            <w:tcW w:w="1696" w:type="pct"/>
            <w:shd w:val="clear" w:color="auto" w:fill="auto"/>
          </w:tcPr>
          <w:p w14:paraId="0B77CB59" w14:textId="491D4ACE" w:rsidR="005E1F0D" w:rsidRPr="00B35494" w:rsidRDefault="00D47B5F"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Coordinate p</w:t>
            </w:r>
            <w:r w:rsidR="005E1F0D">
              <w:rPr>
                <w:rFonts w:asciiTheme="minorHAnsi" w:eastAsiaTheme="minorEastAsia" w:hAnsiTheme="minorHAnsi" w:cstheme="minorHAnsi"/>
              </w:rPr>
              <w:t>ress release</w:t>
            </w:r>
            <w:r>
              <w:rPr>
                <w:rFonts w:asciiTheme="minorHAnsi" w:eastAsiaTheme="minorEastAsia" w:hAnsiTheme="minorHAnsi" w:cstheme="minorHAnsi"/>
              </w:rPr>
              <w:t>s in support of major initiatives</w:t>
            </w:r>
          </w:p>
        </w:tc>
        <w:tc>
          <w:tcPr>
            <w:tcW w:w="604" w:type="pct"/>
            <w:shd w:val="clear" w:color="auto" w:fill="auto"/>
          </w:tcPr>
          <w:p w14:paraId="0DC0D938" w14:textId="251FF6EC"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3A5A028D" w14:textId="5AF6CD81"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Secretariat</w:t>
            </w:r>
            <w:r>
              <w:rPr>
                <w:rFonts w:asciiTheme="minorHAnsi" w:eastAsiaTheme="minorEastAsia" w:hAnsiTheme="minorHAnsi" w:cstheme="minorHAnsi"/>
              </w:rPr>
              <w:t xml:space="preserve"> &gt; Chair of OSPAR</w:t>
            </w:r>
          </w:p>
        </w:tc>
        <w:tc>
          <w:tcPr>
            <w:tcW w:w="1449" w:type="pct"/>
            <w:shd w:val="clear" w:color="auto" w:fill="auto"/>
          </w:tcPr>
          <w:p w14:paraId="2A20A075" w14:textId="49799A01"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Not anticipated outside regular expenditure</w:t>
            </w:r>
          </w:p>
        </w:tc>
      </w:tr>
      <w:tr w:rsidR="00D47B5F" w:rsidRPr="002F06C4" w14:paraId="01E6B99F"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bottom w:val="single" w:sz="4" w:space="0" w:color="595959" w:themeColor="text1" w:themeTint="A6"/>
            </w:tcBorders>
            <w:noWrap/>
          </w:tcPr>
          <w:p w14:paraId="5980550F" w14:textId="4AF58B8A" w:rsidR="00D47B5F" w:rsidRPr="002F06C4" w:rsidRDefault="00796424" w:rsidP="00D47B5F">
            <w:pPr>
              <w:rPr>
                <w:rFonts w:eastAsiaTheme="minorEastAsia" w:cstheme="minorHAnsi"/>
              </w:rPr>
            </w:pPr>
            <w:r>
              <w:rPr>
                <w:rFonts w:eastAsiaTheme="minorEastAsia" w:cstheme="minorHAnsi"/>
              </w:rPr>
              <w:t>Task 5c</w:t>
            </w:r>
          </w:p>
        </w:tc>
        <w:tc>
          <w:tcPr>
            <w:tcW w:w="1696" w:type="pct"/>
            <w:shd w:val="clear" w:color="auto" w:fill="auto"/>
          </w:tcPr>
          <w:p w14:paraId="2B4C132B" w14:textId="44E16E09" w:rsidR="00D47B5F" w:rsidRPr="00B35494" w:rsidRDefault="00D47B5F" w:rsidP="00D47B5F">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Pr>
                <w:rFonts w:asciiTheme="minorHAnsi" w:eastAsiaTheme="minorEastAsia" w:hAnsiTheme="minorHAnsi" w:cstheme="minorHAnsi"/>
              </w:rPr>
              <w:t>Source and publish regular n</w:t>
            </w:r>
            <w:r w:rsidRPr="00D47B5F">
              <w:rPr>
                <w:rFonts w:asciiTheme="minorHAnsi" w:eastAsiaTheme="minorEastAsia" w:hAnsiTheme="minorHAnsi" w:cstheme="minorHAnsi"/>
              </w:rPr>
              <w:t>ew articles</w:t>
            </w:r>
            <w:r>
              <w:rPr>
                <w:rFonts w:asciiTheme="minorHAnsi" w:eastAsiaTheme="minorEastAsia" w:hAnsiTheme="minorHAnsi" w:cstheme="minorHAnsi"/>
              </w:rPr>
              <w:t xml:space="preserve"> on the OSPAR website.</w:t>
            </w:r>
          </w:p>
        </w:tc>
        <w:tc>
          <w:tcPr>
            <w:tcW w:w="604" w:type="pct"/>
            <w:shd w:val="clear" w:color="auto" w:fill="auto"/>
          </w:tcPr>
          <w:p w14:paraId="20880F9F" w14:textId="20C841F7" w:rsidR="00D47B5F" w:rsidRPr="00B35494" w:rsidRDefault="00D47B5F" w:rsidP="00D47B5F">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2F06C4">
              <w:rPr>
                <w:rFonts w:asciiTheme="minorHAnsi" w:eastAsiaTheme="minorEastAsia" w:hAnsiTheme="minorHAnsi" w:cstheme="minorHAnsi"/>
              </w:rPr>
              <w:t>Ongoing</w:t>
            </w:r>
          </w:p>
        </w:tc>
        <w:tc>
          <w:tcPr>
            <w:tcW w:w="924" w:type="pct"/>
            <w:shd w:val="clear" w:color="auto" w:fill="auto"/>
          </w:tcPr>
          <w:p w14:paraId="1ECC06AE" w14:textId="5E9DAC68" w:rsidR="00D47B5F" w:rsidRPr="00B35494" w:rsidRDefault="00D47B5F" w:rsidP="00D47B5F">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2F06C4">
              <w:rPr>
                <w:rFonts w:asciiTheme="minorHAnsi" w:eastAsiaTheme="minorEastAsia" w:hAnsiTheme="minorHAnsi" w:cstheme="minorHAnsi"/>
              </w:rPr>
              <w:t>Secretariat</w:t>
            </w:r>
            <w:r>
              <w:rPr>
                <w:rFonts w:asciiTheme="minorHAnsi" w:eastAsiaTheme="minorEastAsia" w:hAnsiTheme="minorHAnsi" w:cstheme="minorHAnsi"/>
              </w:rPr>
              <w:t xml:space="preserve"> &gt; OSPAR groups</w:t>
            </w:r>
          </w:p>
        </w:tc>
        <w:tc>
          <w:tcPr>
            <w:tcW w:w="1449" w:type="pct"/>
            <w:shd w:val="clear" w:color="auto" w:fill="auto"/>
          </w:tcPr>
          <w:p w14:paraId="1428F25E" w14:textId="19E9B686" w:rsidR="00D47B5F" w:rsidRPr="00B35494" w:rsidRDefault="00D47B5F" w:rsidP="00D47B5F">
            <w:pPr>
              <w:cnfStyle w:val="000000100000" w:firstRow="0" w:lastRow="0" w:firstColumn="0" w:lastColumn="0" w:oddVBand="0" w:evenVBand="0" w:oddHBand="1" w:evenHBand="0" w:firstRowFirstColumn="0" w:firstRowLastColumn="0" w:lastRowFirstColumn="0" w:lastRowLastColumn="0"/>
              <w:rPr>
                <w:rFonts w:eastAsiaTheme="minorEastAsia" w:cstheme="minorHAnsi"/>
              </w:rPr>
            </w:pPr>
            <w:r w:rsidRPr="002F06C4">
              <w:rPr>
                <w:rFonts w:asciiTheme="minorHAnsi" w:eastAsiaTheme="minorEastAsia" w:hAnsiTheme="minorHAnsi" w:cstheme="minorHAnsi"/>
              </w:rPr>
              <w:t>Not anticipated outside regular expenditure</w:t>
            </w:r>
          </w:p>
        </w:tc>
      </w:tr>
      <w:tr w:rsidR="00A17784" w:rsidRPr="002F06C4" w14:paraId="5CB7BD67"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bottom w:val="single" w:sz="4" w:space="0" w:color="595959" w:themeColor="text1" w:themeTint="A6"/>
            </w:tcBorders>
            <w:shd w:val="clear" w:color="auto" w:fill="CCCCCC"/>
            <w:noWrap/>
          </w:tcPr>
          <w:p w14:paraId="5E2827AB" w14:textId="3437463E" w:rsidR="00A17784" w:rsidRPr="002F06C4" w:rsidRDefault="00A17784" w:rsidP="008D6536">
            <w:pPr>
              <w:rPr>
                <w:rFonts w:asciiTheme="minorHAnsi" w:eastAsiaTheme="minorEastAsia" w:hAnsiTheme="minorHAnsi" w:cstheme="minorHAnsi"/>
                <w:b/>
                <w:bCs/>
                <w:i w:val="0"/>
                <w:iCs w:val="0"/>
              </w:rPr>
            </w:pPr>
            <w:r w:rsidRPr="002F06C4">
              <w:rPr>
                <w:rFonts w:asciiTheme="minorHAnsi" w:eastAsiaTheme="minorEastAsia" w:hAnsiTheme="minorHAnsi" w:cstheme="minorHAnsi"/>
                <w:b/>
                <w:bCs/>
                <w:i w:val="0"/>
                <w:iCs w:val="0"/>
              </w:rPr>
              <w:t xml:space="preserve">Action </w:t>
            </w:r>
            <w:r w:rsidR="00B35494">
              <w:rPr>
                <w:rFonts w:asciiTheme="minorHAnsi" w:eastAsiaTheme="minorEastAsia" w:hAnsiTheme="minorHAnsi" w:cstheme="minorHAnsi"/>
                <w:b/>
                <w:bCs/>
                <w:i w:val="0"/>
                <w:iCs w:val="0"/>
              </w:rPr>
              <w:t>6</w:t>
            </w:r>
          </w:p>
        </w:tc>
        <w:tc>
          <w:tcPr>
            <w:tcW w:w="4673" w:type="pct"/>
            <w:gridSpan w:val="4"/>
            <w:shd w:val="clear" w:color="auto" w:fill="CCCCCC"/>
          </w:tcPr>
          <w:p w14:paraId="4586BAC4" w14:textId="61854D70" w:rsidR="00A17784" w:rsidRPr="00B35494" w:rsidRDefault="00B35494" w:rsidP="008D6536">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rPr>
            </w:pPr>
            <w:r w:rsidRPr="00B35494">
              <w:rPr>
                <w:rFonts w:asciiTheme="minorHAnsi" w:eastAsiaTheme="minorEastAsia" w:hAnsiTheme="minorHAnsi" w:cstheme="minorHAnsi"/>
                <w:b/>
                <w:bCs/>
              </w:rPr>
              <w:t>Event planning</w:t>
            </w:r>
          </w:p>
        </w:tc>
      </w:tr>
      <w:tr w:rsidR="005E1F0D" w:rsidRPr="002F06C4" w14:paraId="4EB53035" w14:textId="77777777" w:rsidTr="008D65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 w:type="pct"/>
            <w:tcBorders>
              <w:top w:val="single" w:sz="4" w:space="0" w:color="595959" w:themeColor="text1" w:themeTint="A6"/>
            </w:tcBorders>
            <w:noWrap/>
          </w:tcPr>
          <w:p w14:paraId="0FEA0E35" w14:textId="4B0009DE"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 xml:space="preserve">Task </w:t>
            </w:r>
            <w:r>
              <w:rPr>
                <w:rFonts w:asciiTheme="minorHAnsi" w:eastAsiaTheme="minorEastAsia" w:hAnsiTheme="minorHAnsi" w:cstheme="minorHAnsi"/>
              </w:rPr>
              <w:t>6</w:t>
            </w:r>
            <w:r w:rsidRPr="002F06C4">
              <w:rPr>
                <w:rFonts w:asciiTheme="minorHAnsi" w:eastAsiaTheme="minorEastAsia" w:hAnsiTheme="minorHAnsi" w:cstheme="minorHAnsi"/>
              </w:rPr>
              <w:t>a</w:t>
            </w:r>
          </w:p>
        </w:tc>
        <w:tc>
          <w:tcPr>
            <w:tcW w:w="1696" w:type="pct"/>
            <w:shd w:val="clear" w:color="auto" w:fill="auto"/>
          </w:tcPr>
          <w:p w14:paraId="212FCF69" w14:textId="6084F3B9"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Sourcing venues</w:t>
            </w:r>
            <w:r w:rsidRPr="00B35494">
              <w:rPr>
                <w:rFonts w:asciiTheme="minorHAnsi" w:eastAsiaTheme="minorEastAsia" w:hAnsiTheme="minorHAnsi" w:cstheme="minorHAnsi"/>
              </w:rPr>
              <w:t xml:space="preserve"> </w:t>
            </w:r>
            <w:r w:rsidR="00731F7C">
              <w:rPr>
                <w:rFonts w:asciiTheme="minorHAnsi" w:eastAsiaTheme="minorEastAsia" w:hAnsiTheme="minorHAnsi" w:cstheme="minorHAnsi"/>
              </w:rPr>
              <w:t>for occasional events such as side events</w:t>
            </w:r>
          </w:p>
        </w:tc>
        <w:tc>
          <w:tcPr>
            <w:tcW w:w="604" w:type="pct"/>
            <w:shd w:val="clear" w:color="auto" w:fill="auto"/>
          </w:tcPr>
          <w:p w14:paraId="4234C5E9" w14:textId="3A6FF127"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7D996285" w14:textId="77777777"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B35494">
              <w:rPr>
                <w:rFonts w:asciiTheme="minorHAnsi" w:eastAsiaTheme="minorEastAsia" w:hAnsiTheme="minorHAnsi" w:cstheme="minorHAnsi"/>
              </w:rPr>
              <w:t>Secretariat</w:t>
            </w:r>
          </w:p>
        </w:tc>
        <w:tc>
          <w:tcPr>
            <w:tcW w:w="1449" w:type="pct"/>
            <w:shd w:val="clear" w:color="auto" w:fill="auto"/>
          </w:tcPr>
          <w:p w14:paraId="00657138" w14:textId="77777777" w:rsidR="005E1F0D" w:rsidRPr="00B35494" w:rsidRDefault="005E1F0D" w:rsidP="005E1F0D">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r w:rsidRPr="00B35494">
              <w:rPr>
                <w:rFonts w:asciiTheme="minorHAnsi" w:eastAsiaTheme="minorEastAsia" w:hAnsiTheme="minorHAnsi" w:cstheme="minorHAnsi"/>
              </w:rPr>
              <w:t>Resource requirement expected</w:t>
            </w:r>
          </w:p>
        </w:tc>
      </w:tr>
      <w:tr w:rsidR="005E1F0D" w:rsidRPr="002F06C4" w14:paraId="0F7BDF15" w14:textId="77777777" w:rsidTr="008D6536">
        <w:trPr>
          <w:jc w:val="center"/>
        </w:trPr>
        <w:tc>
          <w:tcPr>
            <w:cnfStyle w:val="001000000000" w:firstRow="0" w:lastRow="0" w:firstColumn="1" w:lastColumn="0" w:oddVBand="0" w:evenVBand="0" w:oddHBand="0" w:evenHBand="0" w:firstRowFirstColumn="0" w:firstRowLastColumn="0" w:lastRowFirstColumn="0" w:lastRowLastColumn="0"/>
            <w:tcW w:w="327" w:type="pct"/>
            <w:noWrap/>
          </w:tcPr>
          <w:p w14:paraId="18074A4F" w14:textId="74F1F937" w:rsidR="005E1F0D" w:rsidRPr="002F06C4" w:rsidRDefault="005E1F0D" w:rsidP="005E1F0D">
            <w:pPr>
              <w:rPr>
                <w:rFonts w:asciiTheme="minorHAnsi" w:eastAsiaTheme="minorEastAsia" w:hAnsiTheme="minorHAnsi" w:cstheme="minorHAnsi"/>
              </w:rPr>
            </w:pPr>
            <w:r w:rsidRPr="002F06C4">
              <w:rPr>
                <w:rFonts w:asciiTheme="minorHAnsi" w:eastAsiaTheme="minorEastAsia" w:hAnsiTheme="minorHAnsi" w:cstheme="minorHAnsi"/>
              </w:rPr>
              <w:t xml:space="preserve">Task </w:t>
            </w:r>
            <w:r>
              <w:rPr>
                <w:rFonts w:asciiTheme="minorHAnsi" w:eastAsiaTheme="minorEastAsia" w:hAnsiTheme="minorHAnsi" w:cstheme="minorHAnsi"/>
              </w:rPr>
              <w:t>6</w:t>
            </w:r>
            <w:r w:rsidRPr="002F06C4">
              <w:rPr>
                <w:rFonts w:asciiTheme="minorHAnsi" w:eastAsiaTheme="minorEastAsia" w:hAnsiTheme="minorHAnsi" w:cstheme="minorHAnsi"/>
              </w:rPr>
              <w:t>b</w:t>
            </w:r>
          </w:p>
        </w:tc>
        <w:tc>
          <w:tcPr>
            <w:tcW w:w="1696" w:type="pct"/>
            <w:shd w:val="clear" w:color="auto" w:fill="auto"/>
          </w:tcPr>
          <w:p w14:paraId="6ABA6D85" w14:textId="639170C1" w:rsidR="005E1F0D" w:rsidRPr="00B35494" w:rsidRDefault="00731F7C"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Pr>
                <w:rFonts w:asciiTheme="minorHAnsi" w:eastAsiaTheme="minorEastAsia" w:hAnsiTheme="minorHAnsi" w:cstheme="minorHAnsi"/>
              </w:rPr>
              <w:t>Support the p</w:t>
            </w:r>
            <w:r w:rsidR="005E1F0D">
              <w:rPr>
                <w:rFonts w:asciiTheme="minorHAnsi" w:eastAsiaTheme="minorEastAsia" w:hAnsiTheme="minorHAnsi" w:cstheme="minorHAnsi"/>
              </w:rPr>
              <w:t>lanning and logistics</w:t>
            </w:r>
            <w:r>
              <w:rPr>
                <w:rFonts w:asciiTheme="minorHAnsi" w:eastAsiaTheme="minorEastAsia" w:hAnsiTheme="minorHAnsi" w:cstheme="minorHAnsi"/>
              </w:rPr>
              <w:t xml:space="preserve"> of major events</w:t>
            </w:r>
          </w:p>
        </w:tc>
        <w:tc>
          <w:tcPr>
            <w:tcW w:w="604" w:type="pct"/>
            <w:shd w:val="clear" w:color="auto" w:fill="auto"/>
          </w:tcPr>
          <w:p w14:paraId="0D0889B2" w14:textId="0D4B9EF2"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F06C4">
              <w:rPr>
                <w:rFonts w:asciiTheme="minorHAnsi" w:eastAsiaTheme="minorEastAsia" w:hAnsiTheme="minorHAnsi" w:cstheme="minorHAnsi"/>
              </w:rPr>
              <w:t>Ongoing</w:t>
            </w:r>
          </w:p>
        </w:tc>
        <w:tc>
          <w:tcPr>
            <w:tcW w:w="924" w:type="pct"/>
            <w:shd w:val="clear" w:color="auto" w:fill="auto"/>
          </w:tcPr>
          <w:p w14:paraId="1B97273E" w14:textId="38E70438"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B35494">
              <w:rPr>
                <w:rFonts w:asciiTheme="minorHAnsi" w:eastAsiaTheme="minorEastAsia" w:hAnsiTheme="minorHAnsi" w:cstheme="minorHAnsi"/>
              </w:rPr>
              <w:t xml:space="preserve">Secretariat </w:t>
            </w:r>
          </w:p>
        </w:tc>
        <w:tc>
          <w:tcPr>
            <w:tcW w:w="1449" w:type="pct"/>
            <w:shd w:val="clear" w:color="auto" w:fill="auto"/>
          </w:tcPr>
          <w:p w14:paraId="10C92422" w14:textId="77777777" w:rsidR="005E1F0D" w:rsidRPr="00B35494" w:rsidRDefault="005E1F0D" w:rsidP="005E1F0D">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B35494">
              <w:rPr>
                <w:rFonts w:asciiTheme="minorHAnsi" w:eastAsiaTheme="minorEastAsia" w:hAnsiTheme="minorHAnsi" w:cstheme="minorHAnsi"/>
              </w:rPr>
              <w:t>Not anticipated outside regular expenditure</w:t>
            </w:r>
          </w:p>
        </w:tc>
      </w:tr>
    </w:tbl>
    <w:p w14:paraId="4440F160" w14:textId="77777777" w:rsidR="00A17784" w:rsidRPr="002F06C4" w:rsidRDefault="00A17784" w:rsidP="00A17784">
      <w:pPr>
        <w:spacing w:before="240"/>
        <w:jc w:val="both"/>
        <w:rPr>
          <w:rFonts w:cstheme="minorHAnsi"/>
        </w:rPr>
      </w:pPr>
    </w:p>
    <w:p w14:paraId="12DC3BBF" w14:textId="05382290" w:rsidR="00571433" w:rsidRPr="002F06C4" w:rsidRDefault="00571433" w:rsidP="0054255F">
      <w:pPr>
        <w:jc w:val="both"/>
        <w:rPr>
          <w:rFonts w:eastAsiaTheme="majorEastAsia" w:cstheme="minorHAnsi"/>
          <w:sz w:val="32"/>
          <w:szCs w:val="32"/>
          <w:lang w:val="en-GB"/>
        </w:rPr>
      </w:pPr>
    </w:p>
    <w:sectPr w:rsidR="00571433" w:rsidRPr="002F06C4" w:rsidSect="00A17784">
      <w:footerReference w:type="default" r:id="rId18"/>
      <w:pgSz w:w="16840" w:h="11907" w:orient="landscape" w:code="9"/>
      <w:pgMar w:top="1134" w:right="1134" w:bottom="1134" w:left="1134" w:header="567" w:footer="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22ED" w14:textId="77777777" w:rsidR="0072590B" w:rsidRDefault="0072590B" w:rsidP="00BE59C9">
      <w:pPr>
        <w:spacing w:after="0" w:line="240" w:lineRule="auto"/>
      </w:pPr>
      <w:r>
        <w:separator/>
      </w:r>
    </w:p>
  </w:endnote>
  <w:endnote w:type="continuationSeparator" w:id="0">
    <w:p w14:paraId="3D57E888" w14:textId="77777777" w:rsidR="0072590B" w:rsidRDefault="0072590B" w:rsidP="00BE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08B2" w14:textId="77777777" w:rsidR="00DD50CB" w:rsidRDefault="00DD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4170"/>
      <w:docPartObj>
        <w:docPartGallery w:val="Page Numbers (Bottom of Page)"/>
        <w:docPartUnique/>
      </w:docPartObj>
    </w:sdtPr>
    <w:sdtEndPr/>
    <w:sdtContent>
      <w:sdt>
        <w:sdtPr>
          <w:id w:val="-1671171555"/>
          <w:docPartObj>
            <w:docPartGallery w:val="Page Numbers (Top of Page)"/>
            <w:docPartUnique/>
          </w:docPartObj>
        </w:sdtPr>
        <w:sdtEndPr/>
        <w:sdtContent>
          <w:p w14:paraId="6100B137" w14:textId="77777777" w:rsidR="006B5DB3" w:rsidRDefault="006B5DB3" w:rsidP="006B5DB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14:paraId="37FD3A85" w14:textId="2790AD33" w:rsidR="00EF6443" w:rsidRPr="006B5DB3" w:rsidRDefault="006B5DB3" w:rsidP="006B5DB3">
            <w:pPr>
              <w:pStyle w:val="Footer"/>
              <w:pBdr>
                <w:top w:val="single" w:sz="4" w:space="1" w:color="auto"/>
              </w:pBdr>
              <w:jc w:val="right"/>
              <w:rPr>
                <w:b/>
                <w:bCs/>
                <w:sz w:val="24"/>
                <w:szCs w:val="24"/>
              </w:rPr>
            </w:pPr>
            <w:r w:rsidRPr="00433D09">
              <w:rPr>
                <w:rFonts w:cstheme="minorHAnsi"/>
                <w:sz w:val="20"/>
                <w:lang w:val="en-GB"/>
              </w:rPr>
              <w:t>OSPAR Commission</w:t>
            </w:r>
            <w:r w:rsidRPr="00433D09">
              <w:rPr>
                <w:rFonts w:cstheme="minorHAnsi"/>
                <w:sz w:val="20"/>
                <w:lang w:val="en-GB"/>
              </w:rPr>
              <w:tab/>
              <w:t>Draft Summary Record – OSPAR 2025</w:t>
            </w:r>
            <w:r w:rsidRPr="00433D09">
              <w:rPr>
                <w:rFonts w:cstheme="minorHAnsi"/>
                <w:sz w:val="20"/>
                <w:lang w:val="en-GB"/>
              </w:rPr>
              <w:tab/>
              <w:t xml:space="preserve">OSPAR 25/14/01, Annex </w:t>
            </w:r>
            <w:r w:rsidR="00991E11">
              <w:rPr>
                <w:rFonts w:cstheme="minorHAnsi"/>
                <w:sz w:val="20"/>
                <w:lang w:val="en-GB"/>
              </w:rPr>
              <w:t>13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974809"/>
      <w:docPartObj>
        <w:docPartGallery w:val="Page Numbers (Bottom of Page)"/>
        <w:docPartUnique/>
      </w:docPartObj>
    </w:sdtPr>
    <w:sdtEndPr/>
    <w:sdtContent>
      <w:sdt>
        <w:sdtPr>
          <w:id w:val="1884598217"/>
          <w:docPartObj>
            <w:docPartGallery w:val="Page Numbers (Top of Page)"/>
            <w:docPartUnique/>
          </w:docPartObj>
        </w:sdtPr>
        <w:sdtEndPr/>
        <w:sdtContent>
          <w:p w14:paraId="04D28D0B" w14:textId="797F1CBB" w:rsidR="00F160D7" w:rsidRDefault="002A33AE">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022C088" w14:textId="2F3A8631" w:rsidR="006B5DB3" w:rsidRDefault="006B5DB3" w:rsidP="006B5DB3">
            <w:pPr>
              <w:pStyle w:val="Footer"/>
              <w:pBdr>
                <w:top w:val="single" w:sz="4" w:space="1" w:color="auto"/>
              </w:pBdr>
              <w:jc w:val="right"/>
              <w:rPr>
                <w:b/>
                <w:bCs/>
                <w:sz w:val="24"/>
                <w:szCs w:val="24"/>
              </w:rPr>
            </w:pPr>
            <w:r w:rsidRPr="00433D09">
              <w:rPr>
                <w:rFonts w:cstheme="minorHAnsi"/>
                <w:sz w:val="20"/>
                <w:lang w:val="en-GB"/>
              </w:rPr>
              <w:t>OSPAR Commission</w:t>
            </w:r>
            <w:r w:rsidRPr="00433D09">
              <w:rPr>
                <w:rFonts w:cstheme="minorHAnsi"/>
                <w:sz w:val="20"/>
                <w:lang w:val="en-GB"/>
              </w:rPr>
              <w:tab/>
              <w:t>Summary Record – OSPAR 2025</w:t>
            </w:r>
            <w:r w:rsidRPr="00433D09">
              <w:rPr>
                <w:rFonts w:cstheme="minorHAnsi"/>
                <w:sz w:val="20"/>
                <w:lang w:val="en-GB"/>
              </w:rPr>
              <w:tab/>
              <w:t xml:space="preserve">OSPAR 25/14/01, Annex </w:t>
            </w:r>
            <w:r w:rsidR="00991E11">
              <w:rPr>
                <w:rFonts w:cstheme="minorHAnsi"/>
                <w:sz w:val="20"/>
                <w:lang w:val="en-GB"/>
              </w:rPr>
              <w:t>13</w:t>
            </w:r>
          </w:p>
          <w:p w14:paraId="0C4F7D96" w14:textId="7812F509" w:rsidR="002A33AE" w:rsidRDefault="00DD50CB">
            <w:pPr>
              <w:pStyle w:val="Footer"/>
              <w:jc w:val="right"/>
            </w:pPr>
          </w:p>
        </w:sdtContent>
      </w:sdt>
    </w:sdtContent>
  </w:sdt>
  <w:p w14:paraId="37FD3A94" w14:textId="571ABF53" w:rsidR="00EF6443" w:rsidRPr="00CB674C" w:rsidRDefault="00EF6443">
    <w:pPr>
      <w:pStyle w:val="Footer"/>
      <w:rPr>
        <w:rFonts w:ascii="Arial" w:hAnsi="Arial" w:cs="Arial"/>
        <w:sz w:val="4"/>
        <w:szCs w:val="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714027"/>
      <w:docPartObj>
        <w:docPartGallery w:val="Page Numbers (Bottom of Page)"/>
        <w:docPartUnique/>
      </w:docPartObj>
    </w:sdtPr>
    <w:sdtEndPr/>
    <w:sdtContent>
      <w:sdt>
        <w:sdtPr>
          <w:id w:val="-944461191"/>
          <w:docPartObj>
            <w:docPartGallery w:val="Page Numbers (Top of Page)"/>
            <w:docPartUnique/>
          </w:docPartObj>
        </w:sdtPr>
        <w:sdtEndPr/>
        <w:sdtContent>
          <w:p w14:paraId="28AB6B4C" w14:textId="77777777" w:rsidR="006B5DB3" w:rsidRDefault="006B5DB3" w:rsidP="006B5DB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p w14:paraId="533FFC14" w14:textId="4754D855" w:rsidR="006B5DB3" w:rsidRDefault="006B5DB3" w:rsidP="006B5DB3">
            <w:pPr>
              <w:pStyle w:val="Footer"/>
              <w:pBdr>
                <w:top w:val="single" w:sz="4" w:space="1" w:color="auto"/>
              </w:pBdr>
              <w:tabs>
                <w:tab w:val="clear" w:pos="4986"/>
                <w:tab w:val="clear" w:pos="9972"/>
                <w:tab w:val="center" w:pos="7088"/>
                <w:tab w:val="right" w:pos="14572"/>
              </w:tabs>
              <w:rPr>
                <w:b/>
                <w:bCs/>
                <w:sz w:val="24"/>
                <w:szCs w:val="24"/>
              </w:rPr>
            </w:pPr>
            <w:r w:rsidRPr="00433D09">
              <w:rPr>
                <w:rFonts w:cstheme="minorHAnsi"/>
                <w:sz w:val="20"/>
                <w:lang w:val="en-GB"/>
              </w:rPr>
              <w:t>OSPAR Commission</w:t>
            </w:r>
            <w:r w:rsidRPr="00433D09">
              <w:rPr>
                <w:rFonts w:cstheme="minorHAnsi"/>
                <w:sz w:val="20"/>
                <w:lang w:val="en-GB"/>
              </w:rPr>
              <w:tab/>
              <w:t>Draft Summary Record – OSPAR 2025</w:t>
            </w:r>
            <w:r w:rsidRPr="00433D09">
              <w:rPr>
                <w:rFonts w:cstheme="minorHAnsi"/>
                <w:sz w:val="20"/>
                <w:lang w:val="en-GB"/>
              </w:rPr>
              <w:tab/>
              <w:t xml:space="preserve">OSPAR 25/14/01, Annex </w:t>
            </w:r>
            <w:r w:rsidR="00991E11">
              <w:rPr>
                <w:rFonts w:cstheme="minorHAnsi"/>
                <w:sz w:val="20"/>
                <w:lang w:val="en-GB"/>
              </w:rPr>
              <w:t>13</w:t>
            </w:r>
          </w:p>
          <w:p w14:paraId="58B67151" w14:textId="77777777" w:rsidR="006B5DB3" w:rsidRDefault="00DD50CB" w:rsidP="006B5DB3">
            <w:pPr>
              <w:pStyle w:val="Footer"/>
              <w:jc w:val="right"/>
            </w:pPr>
          </w:p>
        </w:sdtContent>
      </w:sdt>
    </w:sdtContent>
  </w:sdt>
  <w:p w14:paraId="7A504BDA" w14:textId="57440B24" w:rsidR="00247746" w:rsidRPr="00BF0A94" w:rsidRDefault="00247746" w:rsidP="00D27671">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9A5A" w14:textId="77777777" w:rsidR="0072590B" w:rsidRDefault="0072590B" w:rsidP="00BE59C9">
      <w:pPr>
        <w:spacing w:after="0" w:line="240" w:lineRule="auto"/>
      </w:pPr>
      <w:r>
        <w:separator/>
      </w:r>
    </w:p>
  </w:footnote>
  <w:footnote w:type="continuationSeparator" w:id="0">
    <w:p w14:paraId="7517318C" w14:textId="77777777" w:rsidR="0072590B" w:rsidRDefault="0072590B" w:rsidP="00BE59C9">
      <w:pPr>
        <w:spacing w:after="0" w:line="240" w:lineRule="auto"/>
      </w:pPr>
      <w:r>
        <w:continuationSeparator/>
      </w:r>
    </w:p>
  </w:footnote>
  <w:footnote w:id="1">
    <w:p w14:paraId="287935FB" w14:textId="77777777" w:rsidR="00A17784" w:rsidRPr="004850E8" w:rsidRDefault="00A17784" w:rsidP="00A17784">
      <w:pPr>
        <w:pStyle w:val="FootnoteText"/>
        <w:rPr>
          <w:rFonts w:asciiTheme="majorHAnsi" w:hAnsiTheme="majorHAnsi" w:cstheme="majorHAnsi"/>
        </w:rPr>
      </w:pPr>
      <w:r w:rsidRPr="004850E8">
        <w:rPr>
          <w:rStyle w:val="FootnoteReference"/>
          <w:rFonts w:asciiTheme="majorHAnsi" w:hAnsiTheme="majorHAnsi" w:cstheme="majorHAnsi"/>
        </w:rPr>
        <w:footnoteRef/>
      </w:r>
      <w:r w:rsidRPr="004850E8">
        <w:rPr>
          <w:rFonts w:asciiTheme="majorHAnsi" w:hAnsiTheme="majorHAnsi" w:cstheme="majorHAnsi"/>
        </w:rPr>
        <w:t xml:space="preserve"> </w:t>
      </w:r>
      <w:hyperlink r:id="rId1" w:history="1">
        <w:r w:rsidRPr="004850E8">
          <w:rPr>
            <w:rStyle w:val="Hyperlink"/>
            <w:rFonts w:asciiTheme="majorHAnsi" w:hAnsiTheme="majorHAnsi" w:cstheme="majorHAnsi"/>
          </w:rPr>
          <w:t>https://www.ospar.org/documents?v=46337</w:t>
        </w:r>
      </w:hyperlink>
      <w:r w:rsidRPr="004850E8">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AF5B" w14:textId="77777777" w:rsidR="00DD50CB" w:rsidRDefault="00DD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99A" w14:textId="77777777" w:rsidR="00DD50CB" w:rsidRDefault="00DD5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E27B" w14:textId="77777777" w:rsidR="00DD50CB" w:rsidRDefault="00DD5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C71"/>
    <w:multiLevelType w:val="multilevel"/>
    <w:tmpl w:val="895E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6579"/>
    <w:multiLevelType w:val="hybridMultilevel"/>
    <w:tmpl w:val="42FC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1D2A"/>
    <w:multiLevelType w:val="hybridMultilevel"/>
    <w:tmpl w:val="2DDCB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43AD0"/>
    <w:multiLevelType w:val="hybridMultilevel"/>
    <w:tmpl w:val="179408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DD40FA"/>
    <w:multiLevelType w:val="hybridMultilevel"/>
    <w:tmpl w:val="D4F2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C6802"/>
    <w:multiLevelType w:val="hybridMultilevel"/>
    <w:tmpl w:val="CE3666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33B4D"/>
    <w:multiLevelType w:val="hybridMultilevel"/>
    <w:tmpl w:val="6180D06C"/>
    <w:lvl w:ilvl="0" w:tplc="B6989C0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82A17"/>
    <w:multiLevelType w:val="hybridMultilevel"/>
    <w:tmpl w:val="772E7EEE"/>
    <w:lvl w:ilvl="0" w:tplc="01F0A882">
      <w:start w:val="1"/>
      <w:numFmt w:val="decimal"/>
      <w:lvlText w:val="%1."/>
      <w:lvlJc w:val="left"/>
      <w:pPr>
        <w:tabs>
          <w:tab w:val="num" w:pos="454"/>
        </w:tabs>
        <w:ind w:left="567" w:hanging="207"/>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216972"/>
    <w:multiLevelType w:val="hybridMultilevel"/>
    <w:tmpl w:val="528A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23272"/>
    <w:multiLevelType w:val="hybridMultilevel"/>
    <w:tmpl w:val="04D8285C"/>
    <w:lvl w:ilvl="0" w:tplc="2D66216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1A3520"/>
    <w:multiLevelType w:val="hybridMultilevel"/>
    <w:tmpl w:val="79C2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35EA"/>
    <w:multiLevelType w:val="hybridMultilevel"/>
    <w:tmpl w:val="14C8AF1A"/>
    <w:lvl w:ilvl="0" w:tplc="0BE24D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52924"/>
    <w:multiLevelType w:val="hybridMultilevel"/>
    <w:tmpl w:val="23F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8689C"/>
    <w:multiLevelType w:val="hybridMultilevel"/>
    <w:tmpl w:val="0C2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B2E64"/>
    <w:multiLevelType w:val="hybridMultilevel"/>
    <w:tmpl w:val="C8D0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942C9"/>
    <w:multiLevelType w:val="hybridMultilevel"/>
    <w:tmpl w:val="1096B1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7791F"/>
    <w:multiLevelType w:val="hybridMultilevel"/>
    <w:tmpl w:val="F07A0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43CA1"/>
    <w:multiLevelType w:val="hybridMultilevel"/>
    <w:tmpl w:val="59D6DC74"/>
    <w:lvl w:ilvl="0" w:tplc="3B36E53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C7D64"/>
    <w:multiLevelType w:val="hybridMultilevel"/>
    <w:tmpl w:val="94DA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C3B58"/>
    <w:multiLevelType w:val="hybridMultilevel"/>
    <w:tmpl w:val="C116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45F87"/>
    <w:multiLevelType w:val="hybridMultilevel"/>
    <w:tmpl w:val="1E4A8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F377B"/>
    <w:multiLevelType w:val="hybridMultilevel"/>
    <w:tmpl w:val="567E73C6"/>
    <w:lvl w:ilvl="0" w:tplc="10C826A4">
      <w:start w:val="1"/>
      <w:numFmt w:val="bullet"/>
      <w:lvlText w:val="•"/>
      <w:lvlJc w:val="left"/>
      <w:pPr>
        <w:tabs>
          <w:tab w:val="num" w:pos="720"/>
        </w:tabs>
        <w:ind w:left="720" w:hanging="360"/>
      </w:pPr>
      <w:rPr>
        <w:rFonts w:ascii="Arial" w:hAnsi="Arial" w:hint="default"/>
      </w:rPr>
    </w:lvl>
    <w:lvl w:ilvl="1" w:tplc="AAB0BFEA">
      <w:start w:val="1"/>
      <w:numFmt w:val="bullet"/>
      <w:lvlText w:val="•"/>
      <w:lvlJc w:val="left"/>
      <w:pPr>
        <w:tabs>
          <w:tab w:val="num" w:pos="1440"/>
        </w:tabs>
        <w:ind w:left="1440" w:hanging="360"/>
      </w:pPr>
      <w:rPr>
        <w:rFonts w:ascii="Arial" w:hAnsi="Arial" w:hint="default"/>
      </w:rPr>
    </w:lvl>
    <w:lvl w:ilvl="2" w:tplc="17C65E90" w:tentative="1">
      <w:start w:val="1"/>
      <w:numFmt w:val="bullet"/>
      <w:lvlText w:val="•"/>
      <w:lvlJc w:val="left"/>
      <w:pPr>
        <w:tabs>
          <w:tab w:val="num" w:pos="2160"/>
        </w:tabs>
        <w:ind w:left="2160" w:hanging="360"/>
      </w:pPr>
      <w:rPr>
        <w:rFonts w:ascii="Arial" w:hAnsi="Arial" w:hint="default"/>
      </w:rPr>
    </w:lvl>
    <w:lvl w:ilvl="3" w:tplc="5514765E" w:tentative="1">
      <w:start w:val="1"/>
      <w:numFmt w:val="bullet"/>
      <w:lvlText w:val="•"/>
      <w:lvlJc w:val="left"/>
      <w:pPr>
        <w:tabs>
          <w:tab w:val="num" w:pos="2880"/>
        </w:tabs>
        <w:ind w:left="2880" w:hanging="360"/>
      </w:pPr>
      <w:rPr>
        <w:rFonts w:ascii="Arial" w:hAnsi="Arial" w:hint="default"/>
      </w:rPr>
    </w:lvl>
    <w:lvl w:ilvl="4" w:tplc="773EE016" w:tentative="1">
      <w:start w:val="1"/>
      <w:numFmt w:val="bullet"/>
      <w:lvlText w:val="•"/>
      <w:lvlJc w:val="left"/>
      <w:pPr>
        <w:tabs>
          <w:tab w:val="num" w:pos="3600"/>
        </w:tabs>
        <w:ind w:left="3600" w:hanging="360"/>
      </w:pPr>
      <w:rPr>
        <w:rFonts w:ascii="Arial" w:hAnsi="Arial" w:hint="default"/>
      </w:rPr>
    </w:lvl>
    <w:lvl w:ilvl="5" w:tplc="70B070FE" w:tentative="1">
      <w:start w:val="1"/>
      <w:numFmt w:val="bullet"/>
      <w:lvlText w:val="•"/>
      <w:lvlJc w:val="left"/>
      <w:pPr>
        <w:tabs>
          <w:tab w:val="num" w:pos="4320"/>
        </w:tabs>
        <w:ind w:left="4320" w:hanging="360"/>
      </w:pPr>
      <w:rPr>
        <w:rFonts w:ascii="Arial" w:hAnsi="Arial" w:hint="default"/>
      </w:rPr>
    </w:lvl>
    <w:lvl w:ilvl="6" w:tplc="589838EA" w:tentative="1">
      <w:start w:val="1"/>
      <w:numFmt w:val="bullet"/>
      <w:lvlText w:val="•"/>
      <w:lvlJc w:val="left"/>
      <w:pPr>
        <w:tabs>
          <w:tab w:val="num" w:pos="5040"/>
        </w:tabs>
        <w:ind w:left="5040" w:hanging="360"/>
      </w:pPr>
      <w:rPr>
        <w:rFonts w:ascii="Arial" w:hAnsi="Arial" w:hint="default"/>
      </w:rPr>
    </w:lvl>
    <w:lvl w:ilvl="7" w:tplc="C5C81A64" w:tentative="1">
      <w:start w:val="1"/>
      <w:numFmt w:val="bullet"/>
      <w:lvlText w:val="•"/>
      <w:lvlJc w:val="left"/>
      <w:pPr>
        <w:tabs>
          <w:tab w:val="num" w:pos="5760"/>
        </w:tabs>
        <w:ind w:left="5760" w:hanging="360"/>
      </w:pPr>
      <w:rPr>
        <w:rFonts w:ascii="Arial" w:hAnsi="Arial" w:hint="default"/>
      </w:rPr>
    </w:lvl>
    <w:lvl w:ilvl="8" w:tplc="B94E84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6B2EE5"/>
    <w:multiLevelType w:val="hybridMultilevel"/>
    <w:tmpl w:val="E026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66FED"/>
    <w:multiLevelType w:val="hybridMultilevel"/>
    <w:tmpl w:val="2DD6D1C2"/>
    <w:lvl w:ilvl="0" w:tplc="3B36E53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C40D4"/>
    <w:multiLevelType w:val="hybridMultilevel"/>
    <w:tmpl w:val="6F302184"/>
    <w:lvl w:ilvl="0" w:tplc="67046912">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21F85"/>
    <w:multiLevelType w:val="hybridMultilevel"/>
    <w:tmpl w:val="DEA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92247"/>
    <w:multiLevelType w:val="hybridMultilevel"/>
    <w:tmpl w:val="8E86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060B8"/>
    <w:multiLevelType w:val="hybridMultilevel"/>
    <w:tmpl w:val="6464C7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0661BAB"/>
    <w:multiLevelType w:val="hybridMultilevel"/>
    <w:tmpl w:val="309E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D5C92"/>
    <w:multiLevelType w:val="hybridMultilevel"/>
    <w:tmpl w:val="2A1A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30456"/>
    <w:multiLevelType w:val="hybridMultilevel"/>
    <w:tmpl w:val="EC3A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103A1"/>
    <w:multiLevelType w:val="hybridMultilevel"/>
    <w:tmpl w:val="D3FC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F73B2"/>
    <w:multiLevelType w:val="hybridMultilevel"/>
    <w:tmpl w:val="A80E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14378"/>
    <w:multiLevelType w:val="hybridMultilevel"/>
    <w:tmpl w:val="3A88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915DD"/>
    <w:multiLevelType w:val="hybridMultilevel"/>
    <w:tmpl w:val="9EAA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B71D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83E61DF"/>
    <w:multiLevelType w:val="hybridMultilevel"/>
    <w:tmpl w:val="DFD69B02"/>
    <w:lvl w:ilvl="0" w:tplc="C15CA2CC">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D7913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670DDB"/>
    <w:multiLevelType w:val="hybridMultilevel"/>
    <w:tmpl w:val="9C6C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C507E"/>
    <w:multiLevelType w:val="hybridMultilevel"/>
    <w:tmpl w:val="F008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10B57"/>
    <w:multiLevelType w:val="hybridMultilevel"/>
    <w:tmpl w:val="794A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C321C"/>
    <w:multiLevelType w:val="hybridMultilevel"/>
    <w:tmpl w:val="45DE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05A8A"/>
    <w:multiLevelType w:val="hybridMultilevel"/>
    <w:tmpl w:val="67F0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C6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DA14DF"/>
    <w:multiLevelType w:val="hybridMultilevel"/>
    <w:tmpl w:val="DD9E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403997"/>
    <w:multiLevelType w:val="hybridMultilevel"/>
    <w:tmpl w:val="362A66B2"/>
    <w:lvl w:ilvl="0" w:tplc="C3729BA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E820C6A"/>
    <w:multiLevelType w:val="hybridMultilevel"/>
    <w:tmpl w:val="DEC609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105706"/>
    <w:multiLevelType w:val="hybridMultilevel"/>
    <w:tmpl w:val="F372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620858">
    <w:abstractNumId w:val="45"/>
  </w:num>
  <w:num w:numId="2" w16cid:durableId="1370647427">
    <w:abstractNumId w:val="11"/>
  </w:num>
  <w:num w:numId="3" w16cid:durableId="1646160382">
    <w:abstractNumId w:val="6"/>
  </w:num>
  <w:num w:numId="4" w16cid:durableId="854345720">
    <w:abstractNumId w:val="24"/>
  </w:num>
  <w:num w:numId="5" w16cid:durableId="671688735">
    <w:abstractNumId w:val="15"/>
  </w:num>
  <w:num w:numId="6" w16cid:durableId="1632634088">
    <w:abstractNumId w:val="21"/>
  </w:num>
  <w:num w:numId="7" w16cid:durableId="113527732">
    <w:abstractNumId w:val="23"/>
  </w:num>
  <w:num w:numId="8" w16cid:durableId="1150975024">
    <w:abstractNumId w:val="17"/>
  </w:num>
  <w:num w:numId="9" w16cid:durableId="1318027166">
    <w:abstractNumId w:val="9"/>
  </w:num>
  <w:num w:numId="10" w16cid:durableId="1062828293">
    <w:abstractNumId w:val="36"/>
  </w:num>
  <w:num w:numId="11" w16cid:durableId="1244798958">
    <w:abstractNumId w:val="42"/>
  </w:num>
  <w:num w:numId="12" w16cid:durableId="354581604">
    <w:abstractNumId w:val="19"/>
  </w:num>
  <w:num w:numId="13" w16cid:durableId="853886147">
    <w:abstractNumId w:val="1"/>
  </w:num>
  <w:num w:numId="14" w16cid:durableId="6292987">
    <w:abstractNumId w:val="31"/>
  </w:num>
  <w:num w:numId="15" w16cid:durableId="1750615529">
    <w:abstractNumId w:val="4"/>
  </w:num>
  <w:num w:numId="16" w16cid:durableId="619994378">
    <w:abstractNumId w:val="39"/>
  </w:num>
  <w:num w:numId="17" w16cid:durableId="1992326189">
    <w:abstractNumId w:val="34"/>
  </w:num>
  <w:num w:numId="18" w16cid:durableId="1761103587">
    <w:abstractNumId w:val="37"/>
  </w:num>
  <w:num w:numId="19" w16cid:durableId="451216092">
    <w:abstractNumId w:val="35"/>
  </w:num>
  <w:num w:numId="20" w16cid:durableId="1491940272">
    <w:abstractNumId w:val="43"/>
  </w:num>
  <w:num w:numId="21" w16cid:durableId="2085906979">
    <w:abstractNumId w:val="27"/>
  </w:num>
  <w:num w:numId="22" w16cid:durableId="1086417358">
    <w:abstractNumId w:val="38"/>
  </w:num>
  <w:num w:numId="23" w16cid:durableId="1120339955">
    <w:abstractNumId w:val="20"/>
  </w:num>
  <w:num w:numId="24" w16cid:durableId="1902209180">
    <w:abstractNumId w:val="26"/>
  </w:num>
  <w:num w:numId="25" w16cid:durableId="1326124752">
    <w:abstractNumId w:val="25"/>
  </w:num>
  <w:num w:numId="26" w16cid:durableId="1771584024">
    <w:abstractNumId w:val="30"/>
  </w:num>
  <w:num w:numId="27" w16cid:durableId="830220637">
    <w:abstractNumId w:val="41"/>
  </w:num>
  <w:num w:numId="28" w16cid:durableId="1754014090">
    <w:abstractNumId w:val="8"/>
  </w:num>
  <w:num w:numId="29" w16cid:durableId="1314681906">
    <w:abstractNumId w:val="16"/>
  </w:num>
  <w:num w:numId="30" w16cid:durableId="1954750409">
    <w:abstractNumId w:val="18"/>
  </w:num>
  <w:num w:numId="31" w16cid:durableId="552158595">
    <w:abstractNumId w:val="13"/>
  </w:num>
  <w:num w:numId="32" w16cid:durableId="2075470778">
    <w:abstractNumId w:val="32"/>
  </w:num>
  <w:num w:numId="33" w16cid:durableId="1577397296">
    <w:abstractNumId w:val="33"/>
  </w:num>
  <w:num w:numId="34" w16cid:durableId="2017033954">
    <w:abstractNumId w:val="44"/>
  </w:num>
  <w:num w:numId="35" w16cid:durableId="137646196">
    <w:abstractNumId w:val="47"/>
  </w:num>
  <w:num w:numId="36" w16cid:durableId="106707228">
    <w:abstractNumId w:val="22"/>
  </w:num>
  <w:num w:numId="37" w16cid:durableId="832794075">
    <w:abstractNumId w:val="12"/>
  </w:num>
  <w:num w:numId="38" w16cid:durableId="2096972250">
    <w:abstractNumId w:val="10"/>
  </w:num>
  <w:num w:numId="39" w16cid:durableId="244729106">
    <w:abstractNumId w:val="29"/>
  </w:num>
  <w:num w:numId="40" w16cid:durableId="1677031912">
    <w:abstractNumId w:val="7"/>
  </w:num>
  <w:num w:numId="41" w16cid:durableId="991834014">
    <w:abstractNumId w:val="40"/>
  </w:num>
  <w:num w:numId="42" w16cid:durableId="147330779">
    <w:abstractNumId w:val="2"/>
  </w:num>
  <w:num w:numId="43" w16cid:durableId="1498958532">
    <w:abstractNumId w:val="46"/>
  </w:num>
  <w:num w:numId="44" w16cid:durableId="2138452042">
    <w:abstractNumId w:val="28"/>
  </w:num>
  <w:num w:numId="45" w16cid:durableId="2038389962">
    <w:abstractNumId w:val="3"/>
  </w:num>
  <w:num w:numId="46" w16cid:durableId="384064936">
    <w:abstractNumId w:val="14"/>
  </w:num>
  <w:num w:numId="47" w16cid:durableId="1389449648">
    <w:abstractNumId w:val="5"/>
  </w:num>
  <w:num w:numId="48" w16cid:durableId="65858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2D"/>
    <w:rsid w:val="00001711"/>
    <w:rsid w:val="0000611A"/>
    <w:rsid w:val="00050795"/>
    <w:rsid w:val="000512A2"/>
    <w:rsid w:val="0005196C"/>
    <w:rsid w:val="00057EB4"/>
    <w:rsid w:val="000656DC"/>
    <w:rsid w:val="000720E9"/>
    <w:rsid w:val="000A1BFF"/>
    <w:rsid w:val="000B480E"/>
    <w:rsid w:val="000C4C84"/>
    <w:rsid w:val="000C502F"/>
    <w:rsid w:val="000C55FE"/>
    <w:rsid w:val="000C74E3"/>
    <w:rsid w:val="000D218B"/>
    <w:rsid w:val="000E2A73"/>
    <w:rsid w:val="000E5453"/>
    <w:rsid w:val="000E5DAA"/>
    <w:rsid w:val="000F6467"/>
    <w:rsid w:val="000F7C99"/>
    <w:rsid w:val="00126DDE"/>
    <w:rsid w:val="0013481F"/>
    <w:rsid w:val="001637A6"/>
    <w:rsid w:val="0017755A"/>
    <w:rsid w:val="00181C9C"/>
    <w:rsid w:val="001851AA"/>
    <w:rsid w:val="00185C51"/>
    <w:rsid w:val="00191C6A"/>
    <w:rsid w:val="001D0F2D"/>
    <w:rsid w:val="001D1F01"/>
    <w:rsid w:val="001F5AFF"/>
    <w:rsid w:val="0020037E"/>
    <w:rsid w:val="00202ED4"/>
    <w:rsid w:val="0020601B"/>
    <w:rsid w:val="00211A0F"/>
    <w:rsid w:val="00217692"/>
    <w:rsid w:val="00224CDB"/>
    <w:rsid w:val="002260BF"/>
    <w:rsid w:val="002460BA"/>
    <w:rsid w:val="00247746"/>
    <w:rsid w:val="00251010"/>
    <w:rsid w:val="00255CC5"/>
    <w:rsid w:val="00266D1E"/>
    <w:rsid w:val="0027180C"/>
    <w:rsid w:val="00277840"/>
    <w:rsid w:val="00292B84"/>
    <w:rsid w:val="002958BC"/>
    <w:rsid w:val="002A33AE"/>
    <w:rsid w:val="002B41FB"/>
    <w:rsid w:val="002B6835"/>
    <w:rsid w:val="002B6D30"/>
    <w:rsid w:val="002B7696"/>
    <w:rsid w:val="002B76E3"/>
    <w:rsid w:val="002C0713"/>
    <w:rsid w:val="002C7FF4"/>
    <w:rsid w:val="002E42E1"/>
    <w:rsid w:val="002F06C4"/>
    <w:rsid w:val="00310956"/>
    <w:rsid w:val="00321D39"/>
    <w:rsid w:val="003220DB"/>
    <w:rsid w:val="00322DB3"/>
    <w:rsid w:val="00341BCF"/>
    <w:rsid w:val="003422B4"/>
    <w:rsid w:val="0034748F"/>
    <w:rsid w:val="003554F8"/>
    <w:rsid w:val="00362E6C"/>
    <w:rsid w:val="0036413D"/>
    <w:rsid w:val="0036439F"/>
    <w:rsid w:val="00370B8C"/>
    <w:rsid w:val="00373A5C"/>
    <w:rsid w:val="003821D7"/>
    <w:rsid w:val="003D2F54"/>
    <w:rsid w:val="003D45A5"/>
    <w:rsid w:val="003D4E8B"/>
    <w:rsid w:val="003D52FD"/>
    <w:rsid w:val="003F165B"/>
    <w:rsid w:val="003F2991"/>
    <w:rsid w:val="003F7278"/>
    <w:rsid w:val="004105F9"/>
    <w:rsid w:val="00416665"/>
    <w:rsid w:val="004206C6"/>
    <w:rsid w:val="004276C5"/>
    <w:rsid w:val="00427FC7"/>
    <w:rsid w:val="00434B86"/>
    <w:rsid w:val="00440B86"/>
    <w:rsid w:val="00447CFC"/>
    <w:rsid w:val="00456D3A"/>
    <w:rsid w:val="004579B6"/>
    <w:rsid w:val="00465D4D"/>
    <w:rsid w:val="00477EF2"/>
    <w:rsid w:val="004829A7"/>
    <w:rsid w:val="00487F87"/>
    <w:rsid w:val="004C0296"/>
    <w:rsid w:val="004D19E6"/>
    <w:rsid w:val="004D7625"/>
    <w:rsid w:val="004E6A7C"/>
    <w:rsid w:val="004F1444"/>
    <w:rsid w:val="004F6F8A"/>
    <w:rsid w:val="004F7F11"/>
    <w:rsid w:val="005026C0"/>
    <w:rsid w:val="00502762"/>
    <w:rsid w:val="0050340A"/>
    <w:rsid w:val="00511A6F"/>
    <w:rsid w:val="00515700"/>
    <w:rsid w:val="0052218F"/>
    <w:rsid w:val="0052464F"/>
    <w:rsid w:val="00534461"/>
    <w:rsid w:val="005353C2"/>
    <w:rsid w:val="00537F38"/>
    <w:rsid w:val="0054255F"/>
    <w:rsid w:val="00555543"/>
    <w:rsid w:val="0055711B"/>
    <w:rsid w:val="005608AB"/>
    <w:rsid w:val="00561A10"/>
    <w:rsid w:val="00571433"/>
    <w:rsid w:val="005848EE"/>
    <w:rsid w:val="00592965"/>
    <w:rsid w:val="0059336E"/>
    <w:rsid w:val="00593A68"/>
    <w:rsid w:val="005A06F5"/>
    <w:rsid w:val="005B3F10"/>
    <w:rsid w:val="005B442E"/>
    <w:rsid w:val="005B6195"/>
    <w:rsid w:val="005C5526"/>
    <w:rsid w:val="005D011E"/>
    <w:rsid w:val="005D1C06"/>
    <w:rsid w:val="005D791A"/>
    <w:rsid w:val="005E1D77"/>
    <w:rsid w:val="005E1F0D"/>
    <w:rsid w:val="005E4EC6"/>
    <w:rsid w:val="005F0F8C"/>
    <w:rsid w:val="005F10EC"/>
    <w:rsid w:val="005F3077"/>
    <w:rsid w:val="00601159"/>
    <w:rsid w:val="006041B7"/>
    <w:rsid w:val="00610A6B"/>
    <w:rsid w:val="00625BA4"/>
    <w:rsid w:val="00637845"/>
    <w:rsid w:val="0064774E"/>
    <w:rsid w:val="00652D15"/>
    <w:rsid w:val="00652EEC"/>
    <w:rsid w:val="00664E59"/>
    <w:rsid w:val="00666A7F"/>
    <w:rsid w:val="00673198"/>
    <w:rsid w:val="00695274"/>
    <w:rsid w:val="006A677D"/>
    <w:rsid w:val="006B39FB"/>
    <w:rsid w:val="006B46D9"/>
    <w:rsid w:val="006B478D"/>
    <w:rsid w:val="006B5DB3"/>
    <w:rsid w:val="006D4F8D"/>
    <w:rsid w:val="006D6F89"/>
    <w:rsid w:val="006E7FE0"/>
    <w:rsid w:val="006F05F0"/>
    <w:rsid w:val="006F4149"/>
    <w:rsid w:val="006F7298"/>
    <w:rsid w:val="007002D0"/>
    <w:rsid w:val="007013AE"/>
    <w:rsid w:val="00702D28"/>
    <w:rsid w:val="00717FE9"/>
    <w:rsid w:val="00721106"/>
    <w:rsid w:val="00724944"/>
    <w:rsid w:val="00724ED4"/>
    <w:rsid w:val="0072590B"/>
    <w:rsid w:val="00726651"/>
    <w:rsid w:val="00726CD7"/>
    <w:rsid w:val="00731F7C"/>
    <w:rsid w:val="00744FB0"/>
    <w:rsid w:val="00755BFC"/>
    <w:rsid w:val="00762BBB"/>
    <w:rsid w:val="00771F2D"/>
    <w:rsid w:val="00774D73"/>
    <w:rsid w:val="0079137A"/>
    <w:rsid w:val="00794905"/>
    <w:rsid w:val="00796424"/>
    <w:rsid w:val="007A0F43"/>
    <w:rsid w:val="007B31CE"/>
    <w:rsid w:val="007C4F10"/>
    <w:rsid w:val="007D6162"/>
    <w:rsid w:val="007D7A83"/>
    <w:rsid w:val="007E6B52"/>
    <w:rsid w:val="00801238"/>
    <w:rsid w:val="00801A86"/>
    <w:rsid w:val="00802850"/>
    <w:rsid w:val="00802A88"/>
    <w:rsid w:val="00812FC0"/>
    <w:rsid w:val="00816BF9"/>
    <w:rsid w:val="0084003A"/>
    <w:rsid w:val="0084387D"/>
    <w:rsid w:val="00853CC2"/>
    <w:rsid w:val="008579E2"/>
    <w:rsid w:val="0086336A"/>
    <w:rsid w:val="0088215C"/>
    <w:rsid w:val="0089166F"/>
    <w:rsid w:val="008A048D"/>
    <w:rsid w:val="008A3A26"/>
    <w:rsid w:val="008B7613"/>
    <w:rsid w:val="008B7A2B"/>
    <w:rsid w:val="008C5EE5"/>
    <w:rsid w:val="008F00BB"/>
    <w:rsid w:val="00901BFC"/>
    <w:rsid w:val="00902B83"/>
    <w:rsid w:val="00903E46"/>
    <w:rsid w:val="00925A2F"/>
    <w:rsid w:val="009378BB"/>
    <w:rsid w:val="00940DC1"/>
    <w:rsid w:val="00942E59"/>
    <w:rsid w:val="00942EDA"/>
    <w:rsid w:val="00945610"/>
    <w:rsid w:val="0094761B"/>
    <w:rsid w:val="00954231"/>
    <w:rsid w:val="009550EE"/>
    <w:rsid w:val="009560FC"/>
    <w:rsid w:val="00983E0F"/>
    <w:rsid w:val="00987608"/>
    <w:rsid w:val="00991E11"/>
    <w:rsid w:val="009A09F6"/>
    <w:rsid w:val="009A48AB"/>
    <w:rsid w:val="009A6DFF"/>
    <w:rsid w:val="009A7AC1"/>
    <w:rsid w:val="009B5B46"/>
    <w:rsid w:val="009C3B03"/>
    <w:rsid w:val="009D719A"/>
    <w:rsid w:val="00A0168B"/>
    <w:rsid w:val="00A02CEA"/>
    <w:rsid w:val="00A02D19"/>
    <w:rsid w:val="00A030C3"/>
    <w:rsid w:val="00A12DC6"/>
    <w:rsid w:val="00A13EEA"/>
    <w:rsid w:val="00A17784"/>
    <w:rsid w:val="00A214DE"/>
    <w:rsid w:val="00A22EFD"/>
    <w:rsid w:val="00A24941"/>
    <w:rsid w:val="00A372CC"/>
    <w:rsid w:val="00A4437F"/>
    <w:rsid w:val="00A44969"/>
    <w:rsid w:val="00A531DD"/>
    <w:rsid w:val="00A5439E"/>
    <w:rsid w:val="00A5732D"/>
    <w:rsid w:val="00A6470A"/>
    <w:rsid w:val="00A767B1"/>
    <w:rsid w:val="00A81A11"/>
    <w:rsid w:val="00A92DC1"/>
    <w:rsid w:val="00AA1E40"/>
    <w:rsid w:val="00AC1C42"/>
    <w:rsid w:val="00AC2039"/>
    <w:rsid w:val="00AC555E"/>
    <w:rsid w:val="00AC6F4A"/>
    <w:rsid w:val="00AD52D6"/>
    <w:rsid w:val="00AF3BB9"/>
    <w:rsid w:val="00AF5A69"/>
    <w:rsid w:val="00B13EE9"/>
    <w:rsid w:val="00B14363"/>
    <w:rsid w:val="00B14DB9"/>
    <w:rsid w:val="00B2131C"/>
    <w:rsid w:val="00B35494"/>
    <w:rsid w:val="00B40A71"/>
    <w:rsid w:val="00B466D2"/>
    <w:rsid w:val="00B60674"/>
    <w:rsid w:val="00B617E7"/>
    <w:rsid w:val="00B64C50"/>
    <w:rsid w:val="00B70439"/>
    <w:rsid w:val="00B73B51"/>
    <w:rsid w:val="00B83BF7"/>
    <w:rsid w:val="00B86567"/>
    <w:rsid w:val="00B920A9"/>
    <w:rsid w:val="00B95A5D"/>
    <w:rsid w:val="00B961F0"/>
    <w:rsid w:val="00BB10A7"/>
    <w:rsid w:val="00BB6951"/>
    <w:rsid w:val="00BD5945"/>
    <w:rsid w:val="00BE12BE"/>
    <w:rsid w:val="00BE59C9"/>
    <w:rsid w:val="00BE6EBF"/>
    <w:rsid w:val="00BF0A96"/>
    <w:rsid w:val="00C12CE6"/>
    <w:rsid w:val="00C20BA9"/>
    <w:rsid w:val="00C244A5"/>
    <w:rsid w:val="00C2538A"/>
    <w:rsid w:val="00C2770A"/>
    <w:rsid w:val="00C41DA9"/>
    <w:rsid w:val="00C424F4"/>
    <w:rsid w:val="00C61039"/>
    <w:rsid w:val="00C91DC2"/>
    <w:rsid w:val="00C929A5"/>
    <w:rsid w:val="00C937BF"/>
    <w:rsid w:val="00C96495"/>
    <w:rsid w:val="00CA0056"/>
    <w:rsid w:val="00CA3DA9"/>
    <w:rsid w:val="00CB674C"/>
    <w:rsid w:val="00CC5881"/>
    <w:rsid w:val="00CD6D88"/>
    <w:rsid w:val="00CF0C8B"/>
    <w:rsid w:val="00D20FF9"/>
    <w:rsid w:val="00D30A18"/>
    <w:rsid w:val="00D34233"/>
    <w:rsid w:val="00D351E6"/>
    <w:rsid w:val="00D36D82"/>
    <w:rsid w:val="00D36E9A"/>
    <w:rsid w:val="00D47B5F"/>
    <w:rsid w:val="00D50187"/>
    <w:rsid w:val="00D6219C"/>
    <w:rsid w:val="00D711AC"/>
    <w:rsid w:val="00D84D72"/>
    <w:rsid w:val="00D90FB0"/>
    <w:rsid w:val="00DA2428"/>
    <w:rsid w:val="00DB00DB"/>
    <w:rsid w:val="00DB6602"/>
    <w:rsid w:val="00DC35F1"/>
    <w:rsid w:val="00DC4CB2"/>
    <w:rsid w:val="00DD50CB"/>
    <w:rsid w:val="00DE75C7"/>
    <w:rsid w:val="00DF1768"/>
    <w:rsid w:val="00DF1E85"/>
    <w:rsid w:val="00DF768B"/>
    <w:rsid w:val="00E06E32"/>
    <w:rsid w:val="00E1672B"/>
    <w:rsid w:val="00E247A9"/>
    <w:rsid w:val="00E262AD"/>
    <w:rsid w:val="00E278B2"/>
    <w:rsid w:val="00E3633E"/>
    <w:rsid w:val="00E374CA"/>
    <w:rsid w:val="00E4053B"/>
    <w:rsid w:val="00E41140"/>
    <w:rsid w:val="00E46884"/>
    <w:rsid w:val="00E574E5"/>
    <w:rsid w:val="00E67323"/>
    <w:rsid w:val="00E864A8"/>
    <w:rsid w:val="00EA24CE"/>
    <w:rsid w:val="00EC0FB8"/>
    <w:rsid w:val="00EE2CCF"/>
    <w:rsid w:val="00EF6443"/>
    <w:rsid w:val="00F10A73"/>
    <w:rsid w:val="00F160D7"/>
    <w:rsid w:val="00F25422"/>
    <w:rsid w:val="00F27C32"/>
    <w:rsid w:val="00F304D5"/>
    <w:rsid w:val="00F30B53"/>
    <w:rsid w:val="00F359E9"/>
    <w:rsid w:val="00F3619C"/>
    <w:rsid w:val="00F36EBF"/>
    <w:rsid w:val="00F91C35"/>
    <w:rsid w:val="00FA378C"/>
    <w:rsid w:val="00FA7274"/>
    <w:rsid w:val="00FE32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FD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11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0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6467"/>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Header">
    <w:name w:val="header"/>
    <w:basedOn w:val="Normal"/>
    <w:link w:val="HeaderChar"/>
    <w:unhideWhenUsed/>
    <w:rsid w:val="00BE59C9"/>
    <w:pPr>
      <w:tabs>
        <w:tab w:val="center" w:pos="4986"/>
        <w:tab w:val="right" w:pos="9972"/>
      </w:tabs>
      <w:spacing w:after="0" w:line="240" w:lineRule="auto"/>
    </w:pPr>
  </w:style>
  <w:style w:type="character" w:customStyle="1" w:styleId="HeaderChar">
    <w:name w:val="Header Char"/>
    <w:basedOn w:val="DefaultParagraphFont"/>
    <w:link w:val="Header"/>
    <w:uiPriority w:val="99"/>
    <w:rsid w:val="00BE59C9"/>
  </w:style>
  <w:style w:type="paragraph" w:styleId="Footer">
    <w:name w:val="footer"/>
    <w:aliases w:val="Footer1"/>
    <w:basedOn w:val="Normal"/>
    <w:link w:val="FooterChar"/>
    <w:uiPriority w:val="99"/>
    <w:unhideWhenUsed/>
    <w:rsid w:val="00BE59C9"/>
    <w:pPr>
      <w:tabs>
        <w:tab w:val="center" w:pos="4986"/>
        <w:tab w:val="right" w:pos="9972"/>
      </w:tabs>
      <w:spacing w:after="0" w:line="240" w:lineRule="auto"/>
    </w:pPr>
  </w:style>
  <w:style w:type="character" w:customStyle="1" w:styleId="FooterChar">
    <w:name w:val="Footer Char"/>
    <w:aliases w:val="Footer1 Char"/>
    <w:basedOn w:val="DefaultParagraphFont"/>
    <w:link w:val="Footer"/>
    <w:uiPriority w:val="99"/>
    <w:rsid w:val="00BE59C9"/>
  </w:style>
  <w:style w:type="paragraph" w:styleId="BalloonText">
    <w:name w:val="Balloon Text"/>
    <w:basedOn w:val="Normal"/>
    <w:link w:val="BalloonTextChar"/>
    <w:uiPriority w:val="99"/>
    <w:semiHidden/>
    <w:unhideWhenUsed/>
    <w:rsid w:val="0021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0F"/>
    <w:rPr>
      <w:rFonts w:ascii="Segoe UI" w:hAnsi="Segoe UI" w:cs="Segoe UI"/>
      <w:sz w:val="18"/>
      <w:szCs w:val="18"/>
    </w:rPr>
  </w:style>
  <w:style w:type="character" w:styleId="PlaceholderText">
    <w:name w:val="Placeholder Text"/>
    <w:basedOn w:val="DefaultParagraphFont"/>
    <w:uiPriority w:val="99"/>
    <w:semiHidden/>
    <w:rsid w:val="0036439F"/>
    <w:rPr>
      <w:color w:val="808080"/>
    </w:rPr>
  </w:style>
  <w:style w:type="paragraph" w:styleId="Caption">
    <w:name w:val="caption"/>
    <w:basedOn w:val="Normal"/>
    <w:next w:val="Normal"/>
    <w:uiPriority w:val="35"/>
    <w:unhideWhenUsed/>
    <w:qFormat/>
    <w:rsid w:val="007013A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321D39"/>
    <w:rPr>
      <w:sz w:val="16"/>
      <w:szCs w:val="16"/>
    </w:rPr>
  </w:style>
  <w:style w:type="paragraph" w:styleId="CommentText">
    <w:name w:val="annotation text"/>
    <w:basedOn w:val="Normal"/>
    <w:link w:val="CommentTextChar"/>
    <w:uiPriority w:val="99"/>
    <w:unhideWhenUsed/>
    <w:rsid w:val="00321D39"/>
    <w:pPr>
      <w:spacing w:line="240" w:lineRule="auto"/>
    </w:pPr>
    <w:rPr>
      <w:sz w:val="20"/>
      <w:szCs w:val="20"/>
    </w:rPr>
  </w:style>
  <w:style w:type="character" w:customStyle="1" w:styleId="CommentTextChar">
    <w:name w:val="Comment Text Char"/>
    <w:basedOn w:val="DefaultParagraphFont"/>
    <w:link w:val="CommentText"/>
    <w:uiPriority w:val="99"/>
    <w:rsid w:val="00321D39"/>
    <w:rPr>
      <w:sz w:val="20"/>
      <w:szCs w:val="20"/>
    </w:rPr>
  </w:style>
  <w:style w:type="paragraph" w:styleId="CommentSubject">
    <w:name w:val="annotation subject"/>
    <w:basedOn w:val="CommentText"/>
    <w:next w:val="CommentText"/>
    <w:link w:val="CommentSubjectChar"/>
    <w:uiPriority w:val="99"/>
    <w:semiHidden/>
    <w:unhideWhenUsed/>
    <w:rsid w:val="00321D39"/>
    <w:rPr>
      <w:b/>
      <w:bCs/>
    </w:rPr>
  </w:style>
  <w:style w:type="character" w:customStyle="1" w:styleId="CommentSubjectChar">
    <w:name w:val="Comment Subject Char"/>
    <w:basedOn w:val="CommentTextChar"/>
    <w:link w:val="CommentSubject"/>
    <w:uiPriority w:val="99"/>
    <w:semiHidden/>
    <w:rsid w:val="00321D39"/>
    <w:rPr>
      <w:b/>
      <w:bCs/>
      <w:sz w:val="20"/>
      <w:szCs w:val="20"/>
    </w:rPr>
  </w:style>
  <w:style w:type="paragraph" w:styleId="ListParagraph">
    <w:name w:val="List Paragraph"/>
    <w:aliases w:val="Heading 2_sj,List Paragraph1,Listenabsatz1,_Bullet,Parágrafo da Lista,Normal bullet 2,Bullet list,Dot pt,Liststycke,No Spacing1,List Paragraph Char Char Char,Indicator Text,Numbered Para 1,Bullet 1,Bullet Points,MAIN CONTENT,Listeavsnitt"/>
    <w:basedOn w:val="Normal"/>
    <w:link w:val="ListParagraphChar"/>
    <w:uiPriority w:val="34"/>
    <w:qFormat/>
    <w:rsid w:val="000D218B"/>
    <w:pPr>
      <w:ind w:left="720"/>
      <w:contextualSpacing/>
    </w:pPr>
  </w:style>
  <w:style w:type="paragraph" w:customStyle="1" w:styleId="Backround">
    <w:name w:val="Backround"/>
    <w:basedOn w:val="Normal"/>
    <w:rsid w:val="00C96495"/>
    <w:pPr>
      <w:spacing w:after="0" w:line="240" w:lineRule="auto"/>
    </w:pPr>
    <w:rPr>
      <w:rFonts w:ascii="Arial" w:eastAsia="Times New Roman" w:hAnsi="Arial" w:cs="Times New Roman"/>
      <w:szCs w:val="24"/>
      <w:lang w:val="en-GB"/>
    </w:rPr>
  </w:style>
  <w:style w:type="character" w:customStyle="1" w:styleId="Heading1Char">
    <w:name w:val="Heading 1 Char"/>
    <w:basedOn w:val="DefaultParagraphFont"/>
    <w:link w:val="Heading1"/>
    <w:uiPriority w:val="9"/>
    <w:rsid w:val="006011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115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D7625"/>
    <w:rPr>
      <w:color w:val="0563C1"/>
      <w:u w:val="single"/>
    </w:rPr>
  </w:style>
  <w:style w:type="character" w:customStyle="1" w:styleId="normaltextrun">
    <w:name w:val="normaltextrun"/>
    <w:basedOn w:val="DefaultParagraphFont"/>
    <w:rsid w:val="00555543"/>
  </w:style>
  <w:style w:type="character" w:customStyle="1" w:styleId="eop">
    <w:name w:val="eop"/>
    <w:basedOn w:val="DefaultParagraphFont"/>
    <w:rsid w:val="00555543"/>
  </w:style>
  <w:style w:type="character" w:customStyle="1" w:styleId="spellingerror">
    <w:name w:val="spellingerror"/>
    <w:basedOn w:val="DefaultParagraphFont"/>
    <w:rsid w:val="00555543"/>
  </w:style>
  <w:style w:type="paragraph" w:customStyle="1" w:styleId="paragraph">
    <w:name w:val="paragraph"/>
    <w:basedOn w:val="Normal"/>
    <w:rsid w:val="005555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dvancedproofingissue">
    <w:name w:val="advancedproofingissue"/>
    <w:basedOn w:val="DefaultParagraphFont"/>
    <w:rsid w:val="00555543"/>
  </w:style>
  <w:style w:type="character" w:customStyle="1" w:styleId="contextualspellingandgrammarerror">
    <w:name w:val="contextualspellingandgrammarerror"/>
    <w:basedOn w:val="DefaultParagraphFont"/>
    <w:rsid w:val="00555543"/>
  </w:style>
  <w:style w:type="paragraph" w:styleId="NormalWeb">
    <w:name w:val="Normal (Web)"/>
    <w:basedOn w:val="Normal"/>
    <w:uiPriority w:val="99"/>
    <w:semiHidden/>
    <w:unhideWhenUsed/>
    <w:rsid w:val="005555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555543"/>
    <w:rPr>
      <w:color w:val="954F72" w:themeColor="followedHyperlink"/>
      <w:u w:val="single"/>
    </w:rPr>
  </w:style>
  <w:style w:type="character" w:styleId="UnresolvedMention">
    <w:name w:val="Unresolved Mention"/>
    <w:basedOn w:val="DefaultParagraphFont"/>
    <w:uiPriority w:val="99"/>
    <w:semiHidden/>
    <w:unhideWhenUsed/>
    <w:rsid w:val="00555543"/>
    <w:rPr>
      <w:color w:val="605E5C"/>
      <w:shd w:val="clear" w:color="auto" w:fill="E1DFDD"/>
    </w:rPr>
  </w:style>
  <w:style w:type="character" w:customStyle="1" w:styleId="apple-converted-space">
    <w:name w:val="apple-converted-space"/>
    <w:basedOn w:val="DefaultParagraphFont"/>
    <w:rsid w:val="00555543"/>
  </w:style>
  <w:style w:type="paragraph" w:styleId="TOCHeading">
    <w:name w:val="TOC Heading"/>
    <w:basedOn w:val="Heading1"/>
    <w:next w:val="Normal"/>
    <w:uiPriority w:val="39"/>
    <w:unhideWhenUsed/>
    <w:qFormat/>
    <w:rsid w:val="0055554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555543"/>
    <w:pPr>
      <w:spacing w:before="120" w:after="0" w:line="240" w:lineRule="auto"/>
    </w:pPr>
    <w:rPr>
      <w:rFonts w:cstheme="minorHAnsi"/>
      <w:b/>
      <w:bCs/>
      <w:i/>
      <w:iCs/>
      <w:sz w:val="24"/>
      <w:szCs w:val="24"/>
      <w:lang w:val="en-GB"/>
    </w:rPr>
  </w:style>
  <w:style w:type="paragraph" w:styleId="TOC2">
    <w:name w:val="toc 2"/>
    <w:basedOn w:val="Normal"/>
    <w:next w:val="Normal"/>
    <w:autoRedefine/>
    <w:uiPriority w:val="39"/>
    <w:unhideWhenUsed/>
    <w:rsid w:val="00555543"/>
    <w:pPr>
      <w:spacing w:before="120" w:after="0" w:line="240" w:lineRule="auto"/>
      <w:ind w:left="240"/>
    </w:pPr>
    <w:rPr>
      <w:rFonts w:cstheme="minorHAnsi"/>
      <w:b/>
      <w:bCs/>
      <w:lang w:val="en-GB"/>
    </w:rPr>
  </w:style>
  <w:style w:type="paragraph" w:styleId="TOC3">
    <w:name w:val="toc 3"/>
    <w:basedOn w:val="Normal"/>
    <w:next w:val="Normal"/>
    <w:autoRedefine/>
    <w:uiPriority w:val="39"/>
    <w:semiHidden/>
    <w:unhideWhenUsed/>
    <w:rsid w:val="00555543"/>
    <w:pPr>
      <w:spacing w:after="0" w:line="240" w:lineRule="auto"/>
      <w:ind w:left="480"/>
    </w:pPr>
    <w:rPr>
      <w:rFonts w:cstheme="minorHAnsi"/>
      <w:sz w:val="20"/>
      <w:szCs w:val="20"/>
      <w:lang w:val="en-GB"/>
    </w:rPr>
  </w:style>
  <w:style w:type="paragraph" w:styleId="TOC4">
    <w:name w:val="toc 4"/>
    <w:basedOn w:val="Normal"/>
    <w:next w:val="Normal"/>
    <w:autoRedefine/>
    <w:uiPriority w:val="39"/>
    <w:semiHidden/>
    <w:unhideWhenUsed/>
    <w:rsid w:val="00555543"/>
    <w:pPr>
      <w:spacing w:after="0" w:line="240" w:lineRule="auto"/>
      <w:ind w:left="720"/>
    </w:pPr>
    <w:rPr>
      <w:rFonts w:cstheme="minorHAnsi"/>
      <w:sz w:val="20"/>
      <w:szCs w:val="20"/>
      <w:lang w:val="en-GB"/>
    </w:rPr>
  </w:style>
  <w:style w:type="paragraph" w:styleId="TOC5">
    <w:name w:val="toc 5"/>
    <w:basedOn w:val="Normal"/>
    <w:next w:val="Normal"/>
    <w:autoRedefine/>
    <w:uiPriority w:val="39"/>
    <w:semiHidden/>
    <w:unhideWhenUsed/>
    <w:rsid w:val="00555543"/>
    <w:pPr>
      <w:spacing w:after="0" w:line="240" w:lineRule="auto"/>
      <w:ind w:left="960"/>
    </w:pPr>
    <w:rPr>
      <w:rFonts w:cstheme="minorHAnsi"/>
      <w:sz w:val="20"/>
      <w:szCs w:val="20"/>
      <w:lang w:val="en-GB"/>
    </w:rPr>
  </w:style>
  <w:style w:type="paragraph" w:styleId="TOC6">
    <w:name w:val="toc 6"/>
    <w:basedOn w:val="Normal"/>
    <w:next w:val="Normal"/>
    <w:autoRedefine/>
    <w:uiPriority w:val="39"/>
    <w:semiHidden/>
    <w:unhideWhenUsed/>
    <w:rsid w:val="00555543"/>
    <w:pPr>
      <w:spacing w:after="0" w:line="240" w:lineRule="auto"/>
      <w:ind w:left="1200"/>
    </w:pPr>
    <w:rPr>
      <w:rFonts w:cstheme="minorHAnsi"/>
      <w:sz w:val="20"/>
      <w:szCs w:val="20"/>
      <w:lang w:val="en-GB"/>
    </w:rPr>
  </w:style>
  <w:style w:type="paragraph" w:styleId="TOC7">
    <w:name w:val="toc 7"/>
    <w:basedOn w:val="Normal"/>
    <w:next w:val="Normal"/>
    <w:autoRedefine/>
    <w:uiPriority w:val="39"/>
    <w:semiHidden/>
    <w:unhideWhenUsed/>
    <w:rsid w:val="00555543"/>
    <w:pPr>
      <w:spacing w:after="0" w:line="240" w:lineRule="auto"/>
      <w:ind w:left="1440"/>
    </w:pPr>
    <w:rPr>
      <w:rFonts w:cstheme="minorHAnsi"/>
      <w:sz w:val="20"/>
      <w:szCs w:val="20"/>
      <w:lang w:val="en-GB"/>
    </w:rPr>
  </w:style>
  <w:style w:type="paragraph" w:styleId="TOC8">
    <w:name w:val="toc 8"/>
    <w:basedOn w:val="Normal"/>
    <w:next w:val="Normal"/>
    <w:autoRedefine/>
    <w:uiPriority w:val="39"/>
    <w:semiHidden/>
    <w:unhideWhenUsed/>
    <w:rsid w:val="00555543"/>
    <w:pPr>
      <w:spacing w:after="0" w:line="240" w:lineRule="auto"/>
      <w:ind w:left="1680"/>
    </w:pPr>
    <w:rPr>
      <w:rFonts w:cstheme="minorHAnsi"/>
      <w:sz w:val="20"/>
      <w:szCs w:val="20"/>
      <w:lang w:val="en-GB"/>
    </w:rPr>
  </w:style>
  <w:style w:type="paragraph" w:styleId="TOC9">
    <w:name w:val="toc 9"/>
    <w:basedOn w:val="Normal"/>
    <w:next w:val="Normal"/>
    <w:autoRedefine/>
    <w:uiPriority w:val="39"/>
    <w:semiHidden/>
    <w:unhideWhenUsed/>
    <w:rsid w:val="00555543"/>
    <w:pPr>
      <w:spacing w:after="0" w:line="240" w:lineRule="auto"/>
      <w:ind w:left="1920"/>
    </w:pPr>
    <w:rPr>
      <w:rFonts w:cstheme="minorHAnsi"/>
      <w:sz w:val="20"/>
      <w:szCs w:val="20"/>
      <w:lang w:val="en-GB"/>
    </w:rPr>
  </w:style>
  <w:style w:type="paragraph" w:styleId="FootnoteText">
    <w:name w:val="footnote text"/>
    <w:basedOn w:val="Normal"/>
    <w:link w:val="FootnoteTextChar"/>
    <w:semiHidden/>
    <w:rsid w:val="002B6D30"/>
    <w:pPr>
      <w:spacing w:after="0" w:line="240" w:lineRule="auto"/>
      <w:jc w:val="both"/>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semiHidden/>
    <w:rsid w:val="002B6D30"/>
    <w:rPr>
      <w:rFonts w:ascii="Calibri" w:eastAsia="Times New Roman" w:hAnsi="Calibri" w:cs="Times New Roman"/>
      <w:sz w:val="20"/>
      <w:szCs w:val="20"/>
      <w:lang w:val="en-GB" w:eastAsia="en-GB"/>
    </w:rPr>
  </w:style>
  <w:style w:type="character" w:styleId="FootnoteReference">
    <w:name w:val="footnote reference"/>
    <w:aliases w:val="stylish"/>
    <w:rsid w:val="002B6D30"/>
    <w:rPr>
      <w:vertAlign w:val="superscript"/>
    </w:rPr>
  </w:style>
  <w:style w:type="table" w:styleId="GridTable3">
    <w:name w:val="Grid Table 3"/>
    <w:basedOn w:val="TableNormal"/>
    <w:uiPriority w:val="48"/>
    <w:rsid w:val="00A17784"/>
    <w:pPr>
      <w:spacing w:after="0" w:line="240" w:lineRule="auto"/>
    </w:pPr>
    <w:rPr>
      <w:rFonts w:ascii="Times New Roman" w:eastAsia="Times New Roman" w:hAnsi="Times New Roman" w:cs="Times New Roman"/>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itle">
    <w:name w:val="Title"/>
    <w:link w:val="TitleChar"/>
    <w:qFormat/>
    <w:rsid w:val="00A17784"/>
    <w:pPr>
      <w:spacing w:after="0" w:line="480" w:lineRule="atLeast"/>
      <w:outlineLvl w:val="0"/>
    </w:pPr>
    <w:rPr>
      <w:rFonts w:ascii="Arial" w:eastAsia="Times New Roman" w:hAnsi="Arial" w:cs="Times New Roman"/>
      <w:noProof/>
      <w:color w:val="16288E"/>
      <w:kern w:val="28"/>
      <w:sz w:val="48"/>
      <w:szCs w:val="20"/>
      <w:lang w:val="en-GB" w:eastAsia="en-GB"/>
    </w:rPr>
  </w:style>
  <w:style w:type="character" w:customStyle="1" w:styleId="TitleChar">
    <w:name w:val="Title Char"/>
    <w:basedOn w:val="DefaultParagraphFont"/>
    <w:link w:val="Title"/>
    <w:rsid w:val="00A17784"/>
    <w:rPr>
      <w:rFonts w:ascii="Arial" w:eastAsia="Times New Roman" w:hAnsi="Arial" w:cs="Times New Roman"/>
      <w:noProof/>
      <w:color w:val="16288E"/>
      <w:kern w:val="28"/>
      <w:sz w:val="48"/>
      <w:szCs w:val="20"/>
      <w:lang w:val="en-GB" w:eastAsia="en-GB"/>
    </w:rPr>
  </w:style>
  <w:style w:type="paragraph" w:styleId="Revision">
    <w:name w:val="Revision"/>
    <w:hidden/>
    <w:uiPriority w:val="99"/>
    <w:semiHidden/>
    <w:rsid w:val="00652EEC"/>
    <w:pPr>
      <w:spacing w:after="0" w:line="240" w:lineRule="auto"/>
    </w:pPr>
  </w:style>
  <w:style w:type="character" w:customStyle="1" w:styleId="ListParagraphChar">
    <w:name w:val="List Paragraph Char"/>
    <w:aliases w:val="Heading 2_sj Char,List Paragraph1 Char,Listenabsatz1 Char,_Bullet Char,Parágrafo da Lista Char,Normal bullet 2 Char,Bullet list Char,Dot pt Char,Liststycke Char,No Spacing1 Char,List Paragraph Char Char Char Char,Indicator Text Char"/>
    <w:basedOn w:val="DefaultParagraphFont"/>
    <w:link w:val="ListParagraph"/>
    <w:uiPriority w:val="34"/>
    <w:qFormat/>
    <w:rsid w:val="008A048D"/>
  </w:style>
  <w:style w:type="character" w:customStyle="1" w:styleId="Heading3Char">
    <w:name w:val="Heading 3 Char"/>
    <w:basedOn w:val="DefaultParagraphFont"/>
    <w:link w:val="Heading3"/>
    <w:uiPriority w:val="9"/>
    <w:semiHidden/>
    <w:rsid w:val="008A048D"/>
    <w:rPr>
      <w:rFonts w:asciiTheme="majorHAnsi" w:eastAsiaTheme="majorEastAsia" w:hAnsiTheme="majorHAnsi" w:cstheme="majorBidi"/>
      <w:color w:val="1F4D78" w:themeColor="accent1" w:themeShade="7F"/>
      <w:sz w:val="24"/>
      <w:szCs w:val="24"/>
    </w:rPr>
  </w:style>
  <w:style w:type="paragraph" w:customStyle="1" w:styleId="Docheader">
    <w:name w:val="Doc header"/>
    <w:basedOn w:val="Normal"/>
    <w:rsid w:val="00991E11"/>
    <w:pPr>
      <w:tabs>
        <w:tab w:val="left" w:pos="567"/>
      </w:tabs>
      <w:spacing w:after="0" w:line="280" w:lineRule="exact"/>
    </w:pPr>
    <w:rPr>
      <w:rFonts w:ascii="Calibri" w:eastAsia="Times New Roman" w:hAnsi="Calibri"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719">
      <w:bodyDiv w:val="1"/>
      <w:marLeft w:val="0"/>
      <w:marRight w:val="0"/>
      <w:marTop w:val="0"/>
      <w:marBottom w:val="0"/>
      <w:divBdr>
        <w:top w:val="none" w:sz="0" w:space="0" w:color="auto"/>
        <w:left w:val="none" w:sz="0" w:space="0" w:color="auto"/>
        <w:bottom w:val="none" w:sz="0" w:space="0" w:color="auto"/>
        <w:right w:val="none" w:sz="0" w:space="0" w:color="auto"/>
      </w:divBdr>
      <w:divsChild>
        <w:div w:id="1202280703">
          <w:marLeft w:val="0"/>
          <w:marRight w:val="0"/>
          <w:marTop w:val="0"/>
          <w:marBottom w:val="0"/>
          <w:divBdr>
            <w:top w:val="none" w:sz="0" w:space="0" w:color="auto"/>
            <w:left w:val="none" w:sz="0" w:space="0" w:color="auto"/>
            <w:bottom w:val="none" w:sz="0" w:space="0" w:color="auto"/>
            <w:right w:val="none" w:sz="0" w:space="0" w:color="auto"/>
          </w:divBdr>
        </w:div>
        <w:div w:id="1239906069">
          <w:marLeft w:val="0"/>
          <w:marRight w:val="0"/>
          <w:marTop w:val="0"/>
          <w:marBottom w:val="0"/>
          <w:divBdr>
            <w:top w:val="none" w:sz="0" w:space="0" w:color="auto"/>
            <w:left w:val="none" w:sz="0" w:space="0" w:color="auto"/>
            <w:bottom w:val="none" w:sz="0" w:space="0" w:color="auto"/>
            <w:right w:val="none" w:sz="0" w:space="0" w:color="auto"/>
          </w:divBdr>
        </w:div>
        <w:div w:id="241913038">
          <w:marLeft w:val="0"/>
          <w:marRight w:val="0"/>
          <w:marTop w:val="0"/>
          <w:marBottom w:val="0"/>
          <w:divBdr>
            <w:top w:val="none" w:sz="0" w:space="0" w:color="auto"/>
            <w:left w:val="none" w:sz="0" w:space="0" w:color="auto"/>
            <w:bottom w:val="none" w:sz="0" w:space="0" w:color="auto"/>
            <w:right w:val="none" w:sz="0" w:space="0" w:color="auto"/>
          </w:divBdr>
        </w:div>
        <w:div w:id="553392030">
          <w:marLeft w:val="0"/>
          <w:marRight w:val="0"/>
          <w:marTop w:val="0"/>
          <w:marBottom w:val="0"/>
          <w:divBdr>
            <w:top w:val="none" w:sz="0" w:space="0" w:color="auto"/>
            <w:left w:val="none" w:sz="0" w:space="0" w:color="auto"/>
            <w:bottom w:val="none" w:sz="0" w:space="0" w:color="auto"/>
            <w:right w:val="none" w:sz="0" w:space="0" w:color="auto"/>
          </w:divBdr>
        </w:div>
        <w:div w:id="311259482">
          <w:marLeft w:val="0"/>
          <w:marRight w:val="0"/>
          <w:marTop w:val="0"/>
          <w:marBottom w:val="0"/>
          <w:divBdr>
            <w:top w:val="none" w:sz="0" w:space="0" w:color="auto"/>
            <w:left w:val="none" w:sz="0" w:space="0" w:color="auto"/>
            <w:bottom w:val="none" w:sz="0" w:space="0" w:color="auto"/>
            <w:right w:val="none" w:sz="0" w:space="0" w:color="auto"/>
          </w:divBdr>
        </w:div>
        <w:div w:id="1070494882">
          <w:marLeft w:val="0"/>
          <w:marRight w:val="0"/>
          <w:marTop w:val="0"/>
          <w:marBottom w:val="0"/>
          <w:divBdr>
            <w:top w:val="none" w:sz="0" w:space="0" w:color="auto"/>
            <w:left w:val="none" w:sz="0" w:space="0" w:color="auto"/>
            <w:bottom w:val="none" w:sz="0" w:space="0" w:color="auto"/>
            <w:right w:val="none" w:sz="0" w:space="0" w:color="auto"/>
          </w:divBdr>
        </w:div>
        <w:div w:id="549808637">
          <w:marLeft w:val="0"/>
          <w:marRight w:val="0"/>
          <w:marTop w:val="0"/>
          <w:marBottom w:val="0"/>
          <w:divBdr>
            <w:top w:val="none" w:sz="0" w:space="0" w:color="auto"/>
            <w:left w:val="none" w:sz="0" w:space="0" w:color="auto"/>
            <w:bottom w:val="none" w:sz="0" w:space="0" w:color="auto"/>
            <w:right w:val="none" w:sz="0" w:space="0" w:color="auto"/>
          </w:divBdr>
        </w:div>
        <w:div w:id="691959263">
          <w:marLeft w:val="0"/>
          <w:marRight w:val="0"/>
          <w:marTop w:val="0"/>
          <w:marBottom w:val="0"/>
          <w:divBdr>
            <w:top w:val="none" w:sz="0" w:space="0" w:color="auto"/>
            <w:left w:val="none" w:sz="0" w:space="0" w:color="auto"/>
            <w:bottom w:val="none" w:sz="0" w:space="0" w:color="auto"/>
            <w:right w:val="none" w:sz="0" w:space="0" w:color="auto"/>
          </w:divBdr>
        </w:div>
        <w:div w:id="358548371">
          <w:marLeft w:val="0"/>
          <w:marRight w:val="0"/>
          <w:marTop w:val="0"/>
          <w:marBottom w:val="0"/>
          <w:divBdr>
            <w:top w:val="none" w:sz="0" w:space="0" w:color="auto"/>
            <w:left w:val="none" w:sz="0" w:space="0" w:color="auto"/>
            <w:bottom w:val="none" w:sz="0" w:space="0" w:color="auto"/>
            <w:right w:val="none" w:sz="0" w:space="0" w:color="auto"/>
          </w:divBdr>
        </w:div>
        <w:div w:id="752582548">
          <w:marLeft w:val="0"/>
          <w:marRight w:val="0"/>
          <w:marTop w:val="0"/>
          <w:marBottom w:val="0"/>
          <w:divBdr>
            <w:top w:val="none" w:sz="0" w:space="0" w:color="auto"/>
            <w:left w:val="none" w:sz="0" w:space="0" w:color="auto"/>
            <w:bottom w:val="none" w:sz="0" w:space="0" w:color="auto"/>
            <w:right w:val="none" w:sz="0" w:space="0" w:color="auto"/>
          </w:divBdr>
        </w:div>
      </w:divsChild>
    </w:div>
    <w:div w:id="60715285">
      <w:bodyDiv w:val="1"/>
      <w:marLeft w:val="0"/>
      <w:marRight w:val="0"/>
      <w:marTop w:val="0"/>
      <w:marBottom w:val="0"/>
      <w:divBdr>
        <w:top w:val="none" w:sz="0" w:space="0" w:color="auto"/>
        <w:left w:val="none" w:sz="0" w:space="0" w:color="auto"/>
        <w:bottom w:val="none" w:sz="0" w:space="0" w:color="auto"/>
        <w:right w:val="none" w:sz="0" w:space="0" w:color="auto"/>
      </w:divBdr>
    </w:div>
    <w:div w:id="66851085">
      <w:bodyDiv w:val="1"/>
      <w:marLeft w:val="0"/>
      <w:marRight w:val="0"/>
      <w:marTop w:val="0"/>
      <w:marBottom w:val="0"/>
      <w:divBdr>
        <w:top w:val="none" w:sz="0" w:space="0" w:color="auto"/>
        <w:left w:val="none" w:sz="0" w:space="0" w:color="auto"/>
        <w:bottom w:val="none" w:sz="0" w:space="0" w:color="auto"/>
        <w:right w:val="none" w:sz="0" w:space="0" w:color="auto"/>
      </w:divBdr>
      <w:divsChild>
        <w:div w:id="76905586">
          <w:marLeft w:val="0"/>
          <w:marRight w:val="0"/>
          <w:marTop w:val="0"/>
          <w:marBottom w:val="0"/>
          <w:divBdr>
            <w:top w:val="none" w:sz="0" w:space="0" w:color="auto"/>
            <w:left w:val="none" w:sz="0" w:space="0" w:color="auto"/>
            <w:bottom w:val="none" w:sz="0" w:space="0" w:color="auto"/>
            <w:right w:val="none" w:sz="0" w:space="0" w:color="auto"/>
          </w:divBdr>
        </w:div>
        <w:div w:id="1247692782">
          <w:marLeft w:val="0"/>
          <w:marRight w:val="0"/>
          <w:marTop w:val="0"/>
          <w:marBottom w:val="0"/>
          <w:divBdr>
            <w:top w:val="none" w:sz="0" w:space="0" w:color="auto"/>
            <w:left w:val="none" w:sz="0" w:space="0" w:color="auto"/>
            <w:bottom w:val="none" w:sz="0" w:space="0" w:color="auto"/>
            <w:right w:val="none" w:sz="0" w:space="0" w:color="auto"/>
          </w:divBdr>
        </w:div>
      </w:divsChild>
    </w:div>
    <w:div w:id="177544899">
      <w:bodyDiv w:val="1"/>
      <w:marLeft w:val="0"/>
      <w:marRight w:val="0"/>
      <w:marTop w:val="0"/>
      <w:marBottom w:val="0"/>
      <w:divBdr>
        <w:top w:val="none" w:sz="0" w:space="0" w:color="auto"/>
        <w:left w:val="none" w:sz="0" w:space="0" w:color="auto"/>
        <w:bottom w:val="none" w:sz="0" w:space="0" w:color="auto"/>
        <w:right w:val="none" w:sz="0" w:space="0" w:color="auto"/>
      </w:divBdr>
      <w:divsChild>
        <w:div w:id="2147310804">
          <w:marLeft w:val="0"/>
          <w:marRight w:val="0"/>
          <w:marTop w:val="0"/>
          <w:marBottom w:val="0"/>
          <w:divBdr>
            <w:top w:val="none" w:sz="0" w:space="0" w:color="auto"/>
            <w:left w:val="none" w:sz="0" w:space="0" w:color="auto"/>
            <w:bottom w:val="none" w:sz="0" w:space="0" w:color="auto"/>
            <w:right w:val="none" w:sz="0" w:space="0" w:color="auto"/>
          </w:divBdr>
        </w:div>
        <w:div w:id="1148322947">
          <w:marLeft w:val="0"/>
          <w:marRight w:val="0"/>
          <w:marTop w:val="0"/>
          <w:marBottom w:val="0"/>
          <w:divBdr>
            <w:top w:val="none" w:sz="0" w:space="0" w:color="auto"/>
            <w:left w:val="none" w:sz="0" w:space="0" w:color="auto"/>
            <w:bottom w:val="none" w:sz="0" w:space="0" w:color="auto"/>
            <w:right w:val="none" w:sz="0" w:space="0" w:color="auto"/>
          </w:divBdr>
        </w:div>
        <w:div w:id="550848594">
          <w:marLeft w:val="0"/>
          <w:marRight w:val="0"/>
          <w:marTop w:val="0"/>
          <w:marBottom w:val="0"/>
          <w:divBdr>
            <w:top w:val="none" w:sz="0" w:space="0" w:color="auto"/>
            <w:left w:val="none" w:sz="0" w:space="0" w:color="auto"/>
            <w:bottom w:val="none" w:sz="0" w:space="0" w:color="auto"/>
            <w:right w:val="none" w:sz="0" w:space="0" w:color="auto"/>
          </w:divBdr>
        </w:div>
      </w:divsChild>
    </w:div>
    <w:div w:id="319843987">
      <w:bodyDiv w:val="1"/>
      <w:marLeft w:val="0"/>
      <w:marRight w:val="0"/>
      <w:marTop w:val="0"/>
      <w:marBottom w:val="0"/>
      <w:divBdr>
        <w:top w:val="none" w:sz="0" w:space="0" w:color="auto"/>
        <w:left w:val="none" w:sz="0" w:space="0" w:color="auto"/>
        <w:bottom w:val="none" w:sz="0" w:space="0" w:color="auto"/>
        <w:right w:val="none" w:sz="0" w:space="0" w:color="auto"/>
      </w:divBdr>
    </w:div>
    <w:div w:id="335152920">
      <w:bodyDiv w:val="1"/>
      <w:marLeft w:val="0"/>
      <w:marRight w:val="0"/>
      <w:marTop w:val="0"/>
      <w:marBottom w:val="0"/>
      <w:divBdr>
        <w:top w:val="none" w:sz="0" w:space="0" w:color="auto"/>
        <w:left w:val="none" w:sz="0" w:space="0" w:color="auto"/>
        <w:bottom w:val="none" w:sz="0" w:space="0" w:color="auto"/>
        <w:right w:val="none" w:sz="0" w:space="0" w:color="auto"/>
      </w:divBdr>
      <w:divsChild>
        <w:div w:id="25062614">
          <w:marLeft w:val="0"/>
          <w:marRight w:val="0"/>
          <w:marTop w:val="0"/>
          <w:marBottom w:val="0"/>
          <w:divBdr>
            <w:top w:val="none" w:sz="0" w:space="0" w:color="auto"/>
            <w:left w:val="none" w:sz="0" w:space="0" w:color="auto"/>
            <w:bottom w:val="none" w:sz="0" w:space="0" w:color="auto"/>
            <w:right w:val="none" w:sz="0" w:space="0" w:color="auto"/>
          </w:divBdr>
        </w:div>
        <w:div w:id="84541619">
          <w:marLeft w:val="0"/>
          <w:marRight w:val="0"/>
          <w:marTop w:val="0"/>
          <w:marBottom w:val="0"/>
          <w:divBdr>
            <w:top w:val="none" w:sz="0" w:space="0" w:color="auto"/>
            <w:left w:val="none" w:sz="0" w:space="0" w:color="auto"/>
            <w:bottom w:val="none" w:sz="0" w:space="0" w:color="auto"/>
            <w:right w:val="none" w:sz="0" w:space="0" w:color="auto"/>
          </w:divBdr>
        </w:div>
        <w:div w:id="1712028157">
          <w:marLeft w:val="0"/>
          <w:marRight w:val="0"/>
          <w:marTop w:val="0"/>
          <w:marBottom w:val="0"/>
          <w:divBdr>
            <w:top w:val="none" w:sz="0" w:space="0" w:color="auto"/>
            <w:left w:val="none" w:sz="0" w:space="0" w:color="auto"/>
            <w:bottom w:val="none" w:sz="0" w:space="0" w:color="auto"/>
            <w:right w:val="none" w:sz="0" w:space="0" w:color="auto"/>
          </w:divBdr>
        </w:div>
      </w:divsChild>
    </w:div>
    <w:div w:id="424153261">
      <w:bodyDiv w:val="1"/>
      <w:marLeft w:val="0"/>
      <w:marRight w:val="0"/>
      <w:marTop w:val="0"/>
      <w:marBottom w:val="0"/>
      <w:divBdr>
        <w:top w:val="none" w:sz="0" w:space="0" w:color="auto"/>
        <w:left w:val="none" w:sz="0" w:space="0" w:color="auto"/>
        <w:bottom w:val="none" w:sz="0" w:space="0" w:color="auto"/>
        <w:right w:val="none" w:sz="0" w:space="0" w:color="auto"/>
      </w:divBdr>
      <w:divsChild>
        <w:div w:id="1258634405">
          <w:marLeft w:val="0"/>
          <w:marRight w:val="0"/>
          <w:marTop w:val="0"/>
          <w:marBottom w:val="0"/>
          <w:divBdr>
            <w:top w:val="none" w:sz="0" w:space="0" w:color="auto"/>
            <w:left w:val="none" w:sz="0" w:space="0" w:color="auto"/>
            <w:bottom w:val="none" w:sz="0" w:space="0" w:color="auto"/>
            <w:right w:val="none" w:sz="0" w:space="0" w:color="auto"/>
          </w:divBdr>
        </w:div>
        <w:div w:id="680012373">
          <w:marLeft w:val="0"/>
          <w:marRight w:val="0"/>
          <w:marTop w:val="0"/>
          <w:marBottom w:val="0"/>
          <w:divBdr>
            <w:top w:val="none" w:sz="0" w:space="0" w:color="auto"/>
            <w:left w:val="none" w:sz="0" w:space="0" w:color="auto"/>
            <w:bottom w:val="none" w:sz="0" w:space="0" w:color="auto"/>
            <w:right w:val="none" w:sz="0" w:space="0" w:color="auto"/>
          </w:divBdr>
        </w:div>
        <w:div w:id="185876696">
          <w:marLeft w:val="0"/>
          <w:marRight w:val="0"/>
          <w:marTop w:val="0"/>
          <w:marBottom w:val="0"/>
          <w:divBdr>
            <w:top w:val="none" w:sz="0" w:space="0" w:color="auto"/>
            <w:left w:val="none" w:sz="0" w:space="0" w:color="auto"/>
            <w:bottom w:val="none" w:sz="0" w:space="0" w:color="auto"/>
            <w:right w:val="none" w:sz="0" w:space="0" w:color="auto"/>
          </w:divBdr>
        </w:div>
        <w:div w:id="767889029">
          <w:marLeft w:val="0"/>
          <w:marRight w:val="0"/>
          <w:marTop w:val="0"/>
          <w:marBottom w:val="0"/>
          <w:divBdr>
            <w:top w:val="none" w:sz="0" w:space="0" w:color="auto"/>
            <w:left w:val="none" w:sz="0" w:space="0" w:color="auto"/>
            <w:bottom w:val="none" w:sz="0" w:space="0" w:color="auto"/>
            <w:right w:val="none" w:sz="0" w:space="0" w:color="auto"/>
          </w:divBdr>
        </w:div>
      </w:divsChild>
    </w:div>
    <w:div w:id="438451457">
      <w:bodyDiv w:val="1"/>
      <w:marLeft w:val="0"/>
      <w:marRight w:val="0"/>
      <w:marTop w:val="0"/>
      <w:marBottom w:val="0"/>
      <w:divBdr>
        <w:top w:val="none" w:sz="0" w:space="0" w:color="auto"/>
        <w:left w:val="none" w:sz="0" w:space="0" w:color="auto"/>
        <w:bottom w:val="none" w:sz="0" w:space="0" w:color="auto"/>
        <w:right w:val="none" w:sz="0" w:space="0" w:color="auto"/>
      </w:divBdr>
      <w:divsChild>
        <w:div w:id="1238200572">
          <w:marLeft w:val="0"/>
          <w:marRight w:val="0"/>
          <w:marTop w:val="0"/>
          <w:marBottom w:val="0"/>
          <w:divBdr>
            <w:top w:val="none" w:sz="0" w:space="0" w:color="auto"/>
            <w:left w:val="none" w:sz="0" w:space="0" w:color="auto"/>
            <w:bottom w:val="none" w:sz="0" w:space="0" w:color="auto"/>
            <w:right w:val="none" w:sz="0" w:space="0" w:color="auto"/>
          </w:divBdr>
        </w:div>
        <w:div w:id="624315258">
          <w:marLeft w:val="0"/>
          <w:marRight w:val="0"/>
          <w:marTop w:val="0"/>
          <w:marBottom w:val="0"/>
          <w:divBdr>
            <w:top w:val="none" w:sz="0" w:space="0" w:color="auto"/>
            <w:left w:val="none" w:sz="0" w:space="0" w:color="auto"/>
            <w:bottom w:val="none" w:sz="0" w:space="0" w:color="auto"/>
            <w:right w:val="none" w:sz="0" w:space="0" w:color="auto"/>
          </w:divBdr>
        </w:div>
      </w:divsChild>
    </w:div>
    <w:div w:id="451443075">
      <w:bodyDiv w:val="1"/>
      <w:marLeft w:val="0"/>
      <w:marRight w:val="0"/>
      <w:marTop w:val="0"/>
      <w:marBottom w:val="0"/>
      <w:divBdr>
        <w:top w:val="none" w:sz="0" w:space="0" w:color="auto"/>
        <w:left w:val="none" w:sz="0" w:space="0" w:color="auto"/>
        <w:bottom w:val="none" w:sz="0" w:space="0" w:color="auto"/>
        <w:right w:val="none" w:sz="0" w:space="0" w:color="auto"/>
      </w:divBdr>
    </w:div>
    <w:div w:id="470173910">
      <w:bodyDiv w:val="1"/>
      <w:marLeft w:val="0"/>
      <w:marRight w:val="0"/>
      <w:marTop w:val="0"/>
      <w:marBottom w:val="0"/>
      <w:divBdr>
        <w:top w:val="none" w:sz="0" w:space="0" w:color="auto"/>
        <w:left w:val="none" w:sz="0" w:space="0" w:color="auto"/>
        <w:bottom w:val="none" w:sz="0" w:space="0" w:color="auto"/>
        <w:right w:val="none" w:sz="0" w:space="0" w:color="auto"/>
      </w:divBdr>
    </w:div>
    <w:div w:id="470831468">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487746089">
          <w:marLeft w:val="0"/>
          <w:marRight w:val="0"/>
          <w:marTop w:val="0"/>
          <w:marBottom w:val="0"/>
          <w:divBdr>
            <w:top w:val="none" w:sz="0" w:space="0" w:color="auto"/>
            <w:left w:val="none" w:sz="0" w:space="0" w:color="auto"/>
            <w:bottom w:val="none" w:sz="0" w:space="0" w:color="auto"/>
            <w:right w:val="none" w:sz="0" w:space="0" w:color="auto"/>
          </w:divBdr>
        </w:div>
        <w:div w:id="752897685">
          <w:marLeft w:val="0"/>
          <w:marRight w:val="0"/>
          <w:marTop w:val="0"/>
          <w:marBottom w:val="0"/>
          <w:divBdr>
            <w:top w:val="none" w:sz="0" w:space="0" w:color="auto"/>
            <w:left w:val="none" w:sz="0" w:space="0" w:color="auto"/>
            <w:bottom w:val="none" w:sz="0" w:space="0" w:color="auto"/>
            <w:right w:val="none" w:sz="0" w:space="0" w:color="auto"/>
          </w:divBdr>
        </w:div>
        <w:div w:id="1334917276">
          <w:marLeft w:val="0"/>
          <w:marRight w:val="0"/>
          <w:marTop w:val="0"/>
          <w:marBottom w:val="0"/>
          <w:divBdr>
            <w:top w:val="none" w:sz="0" w:space="0" w:color="auto"/>
            <w:left w:val="none" w:sz="0" w:space="0" w:color="auto"/>
            <w:bottom w:val="none" w:sz="0" w:space="0" w:color="auto"/>
            <w:right w:val="none" w:sz="0" w:space="0" w:color="auto"/>
          </w:divBdr>
        </w:div>
        <w:div w:id="1267541416">
          <w:marLeft w:val="0"/>
          <w:marRight w:val="0"/>
          <w:marTop w:val="0"/>
          <w:marBottom w:val="0"/>
          <w:divBdr>
            <w:top w:val="none" w:sz="0" w:space="0" w:color="auto"/>
            <w:left w:val="none" w:sz="0" w:space="0" w:color="auto"/>
            <w:bottom w:val="none" w:sz="0" w:space="0" w:color="auto"/>
            <w:right w:val="none" w:sz="0" w:space="0" w:color="auto"/>
          </w:divBdr>
        </w:div>
        <w:div w:id="950087357">
          <w:marLeft w:val="0"/>
          <w:marRight w:val="0"/>
          <w:marTop w:val="0"/>
          <w:marBottom w:val="0"/>
          <w:divBdr>
            <w:top w:val="none" w:sz="0" w:space="0" w:color="auto"/>
            <w:left w:val="none" w:sz="0" w:space="0" w:color="auto"/>
            <w:bottom w:val="none" w:sz="0" w:space="0" w:color="auto"/>
            <w:right w:val="none" w:sz="0" w:space="0" w:color="auto"/>
          </w:divBdr>
        </w:div>
      </w:divsChild>
    </w:div>
    <w:div w:id="557937052">
      <w:bodyDiv w:val="1"/>
      <w:marLeft w:val="0"/>
      <w:marRight w:val="0"/>
      <w:marTop w:val="0"/>
      <w:marBottom w:val="0"/>
      <w:divBdr>
        <w:top w:val="none" w:sz="0" w:space="0" w:color="auto"/>
        <w:left w:val="none" w:sz="0" w:space="0" w:color="auto"/>
        <w:bottom w:val="none" w:sz="0" w:space="0" w:color="auto"/>
        <w:right w:val="none" w:sz="0" w:space="0" w:color="auto"/>
      </w:divBdr>
      <w:divsChild>
        <w:div w:id="1374498882">
          <w:marLeft w:val="0"/>
          <w:marRight w:val="0"/>
          <w:marTop w:val="0"/>
          <w:marBottom w:val="0"/>
          <w:divBdr>
            <w:top w:val="none" w:sz="0" w:space="0" w:color="auto"/>
            <w:left w:val="none" w:sz="0" w:space="0" w:color="auto"/>
            <w:bottom w:val="none" w:sz="0" w:space="0" w:color="auto"/>
            <w:right w:val="none" w:sz="0" w:space="0" w:color="auto"/>
          </w:divBdr>
        </w:div>
        <w:div w:id="1944993294">
          <w:marLeft w:val="0"/>
          <w:marRight w:val="0"/>
          <w:marTop w:val="0"/>
          <w:marBottom w:val="0"/>
          <w:divBdr>
            <w:top w:val="none" w:sz="0" w:space="0" w:color="auto"/>
            <w:left w:val="none" w:sz="0" w:space="0" w:color="auto"/>
            <w:bottom w:val="none" w:sz="0" w:space="0" w:color="auto"/>
            <w:right w:val="none" w:sz="0" w:space="0" w:color="auto"/>
          </w:divBdr>
        </w:div>
        <w:div w:id="901211601">
          <w:marLeft w:val="0"/>
          <w:marRight w:val="0"/>
          <w:marTop w:val="0"/>
          <w:marBottom w:val="0"/>
          <w:divBdr>
            <w:top w:val="none" w:sz="0" w:space="0" w:color="auto"/>
            <w:left w:val="none" w:sz="0" w:space="0" w:color="auto"/>
            <w:bottom w:val="none" w:sz="0" w:space="0" w:color="auto"/>
            <w:right w:val="none" w:sz="0" w:space="0" w:color="auto"/>
          </w:divBdr>
        </w:div>
        <w:div w:id="742263348">
          <w:marLeft w:val="0"/>
          <w:marRight w:val="0"/>
          <w:marTop w:val="0"/>
          <w:marBottom w:val="0"/>
          <w:divBdr>
            <w:top w:val="none" w:sz="0" w:space="0" w:color="auto"/>
            <w:left w:val="none" w:sz="0" w:space="0" w:color="auto"/>
            <w:bottom w:val="none" w:sz="0" w:space="0" w:color="auto"/>
            <w:right w:val="none" w:sz="0" w:space="0" w:color="auto"/>
          </w:divBdr>
        </w:div>
        <w:div w:id="1926762007">
          <w:marLeft w:val="0"/>
          <w:marRight w:val="0"/>
          <w:marTop w:val="0"/>
          <w:marBottom w:val="0"/>
          <w:divBdr>
            <w:top w:val="none" w:sz="0" w:space="0" w:color="auto"/>
            <w:left w:val="none" w:sz="0" w:space="0" w:color="auto"/>
            <w:bottom w:val="none" w:sz="0" w:space="0" w:color="auto"/>
            <w:right w:val="none" w:sz="0" w:space="0" w:color="auto"/>
          </w:divBdr>
        </w:div>
        <w:div w:id="303318453">
          <w:marLeft w:val="0"/>
          <w:marRight w:val="0"/>
          <w:marTop w:val="0"/>
          <w:marBottom w:val="0"/>
          <w:divBdr>
            <w:top w:val="none" w:sz="0" w:space="0" w:color="auto"/>
            <w:left w:val="none" w:sz="0" w:space="0" w:color="auto"/>
            <w:bottom w:val="none" w:sz="0" w:space="0" w:color="auto"/>
            <w:right w:val="none" w:sz="0" w:space="0" w:color="auto"/>
          </w:divBdr>
        </w:div>
        <w:div w:id="1352754914">
          <w:marLeft w:val="0"/>
          <w:marRight w:val="0"/>
          <w:marTop w:val="0"/>
          <w:marBottom w:val="0"/>
          <w:divBdr>
            <w:top w:val="none" w:sz="0" w:space="0" w:color="auto"/>
            <w:left w:val="none" w:sz="0" w:space="0" w:color="auto"/>
            <w:bottom w:val="none" w:sz="0" w:space="0" w:color="auto"/>
            <w:right w:val="none" w:sz="0" w:space="0" w:color="auto"/>
          </w:divBdr>
        </w:div>
        <w:div w:id="138305450">
          <w:marLeft w:val="0"/>
          <w:marRight w:val="0"/>
          <w:marTop w:val="0"/>
          <w:marBottom w:val="0"/>
          <w:divBdr>
            <w:top w:val="none" w:sz="0" w:space="0" w:color="auto"/>
            <w:left w:val="none" w:sz="0" w:space="0" w:color="auto"/>
            <w:bottom w:val="none" w:sz="0" w:space="0" w:color="auto"/>
            <w:right w:val="none" w:sz="0" w:space="0" w:color="auto"/>
          </w:divBdr>
        </w:div>
      </w:divsChild>
    </w:div>
    <w:div w:id="562763467">
      <w:bodyDiv w:val="1"/>
      <w:marLeft w:val="0"/>
      <w:marRight w:val="0"/>
      <w:marTop w:val="0"/>
      <w:marBottom w:val="0"/>
      <w:divBdr>
        <w:top w:val="none" w:sz="0" w:space="0" w:color="auto"/>
        <w:left w:val="none" w:sz="0" w:space="0" w:color="auto"/>
        <w:bottom w:val="none" w:sz="0" w:space="0" w:color="auto"/>
        <w:right w:val="none" w:sz="0" w:space="0" w:color="auto"/>
      </w:divBdr>
      <w:divsChild>
        <w:div w:id="948393468">
          <w:marLeft w:val="0"/>
          <w:marRight w:val="0"/>
          <w:marTop w:val="0"/>
          <w:marBottom w:val="0"/>
          <w:divBdr>
            <w:top w:val="none" w:sz="0" w:space="0" w:color="auto"/>
            <w:left w:val="none" w:sz="0" w:space="0" w:color="auto"/>
            <w:bottom w:val="none" w:sz="0" w:space="0" w:color="auto"/>
            <w:right w:val="none" w:sz="0" w:space="0" w:color="auto"/>
          </w:divBdr>
        </w:div>
        <w:div w:id="1397705981">
          <w:marLeft w:val="0"/>
          <w:marRight w:val="0"/>
          <w:marTop w:val="0"/>
          <w:marBottom w:val="0"/>
          <w:divBdr>
            <w:top w:val="none" w:sz="0" w:space="0" w:color="auto"/>
            <w:left w:val="none" w:sz="0" w:space="0" w:color="auto"/>
            <w:bottom w:val="none" w:sz="0" w:space="0" w:color="auto"/>
            <w:right w:val="none" w:sz="0" w:space="0" w:color="auto"/>
          </w:divBdr>
        </w:div>
      </w:divsChild>
    </w:div>
    <w:div w:id="576671109">
      <w:bodyDiv w:val="1"/>
      <w:marLeft w:val="0"/>
      <w:marRight w:val="0"/>
      <w:marTop w:val="0"/>
      <w:marBottom w:val="0"/>
      <w:divBdr>
        <w:top w:val="none" w:sz="0" w:space="0" w:color="auto"/>
        <w:left w:val="none" w:sz="0" w:space="0" w:color="auto"/>
        <w:bottom w:val="none" w:sz="0" w:space="0" w:color="auto"/>
        <w:right w:val="none" w:sz="0" w:space="0" w:color="auto"/>
      </w:divBdr>
      <w:divsChild>
        <w:div w:id="386532469">
          <w:marLeft w:val="0"/>
          <w:marRight w:val="0"/>
          <w:marTop w:val="0"/>
          <w:marBottom w:val="0"/>
          <w:divBdr>
            <w:top w:val="none" w:sz="0" w:space="0" w:color="auto"/>
            <w:left w:val="none" w:sz="0" w:space="0" w:color="auto"/>
            <w:bottom w:val="none" w:sz="0" w:space="0" w:color="auto"/>
            <w:right w:val="none" w:sz="0" w:space="0" w:color="auto"/>
          </w:divBdr>
        </w:div>
        <w:div w:id="2036614690">
          <w:marLeft w:val="0"/>
          <w:marRight w:val="0"/>
          <w:marTop w:val="0"/>
          <w:marBottom w:val="0"/>
          <w:divBdr>
            <w:top w:val="none" w:sz="0" w:space="0" w:color="auto"/>
            <w:left w:val="none" w:sz="0" w:space="0" w:color="auto"/>
            <w:bottom w:val="none" w:sz="0" w:space="0" w:color="auto"/>
            <w:right w:val="none" w:sz="0" w:space="0" w:color="auto"/>
          </w:divBdr>
        </w:div>
      </w:divsChild>
    </w:div>
    <w:div w:id="602491087">
      <w:bodyDiv w:val="1"/>
      <w:marLeft w:val="0"/>
      <w:marRight w:val="0"/>
      <w:marTop w:val="0"/>
      <w:marBottom w:val="0"/>
      <w:divBdr>
        <w:top w:val="none" w:sz="0" w:space="0" w:color="auto"/>
        <w:left w:val="none" w:sz="0" w:space="0" w:color="auto"/>
        <w:bottom w:val="none" w:sz="0" w:space="0" w:color="auto"/>
        <w:right w:val="none" w:sz="0" w:space="0" w:color="auto"/>
      </w:divBdr>
      <w:divsChild>
        <w:div w:id="735713069">
          <w:marLeft w:val="0"/>
          <w:marRight w:val="0"/>
          <w:marTop w:val="0"/>
          <w:marBottom w:val="0"/>
          <w:divBdr>
            <w:top w:val="none" w:sz="0" w:space="0" w:color="auto"/>
            <w:left w:val="none" w:sz="0" w:space="0" w:color="auto"/>
            <w:bottom w:val="none" w:sz="0" w:space="0" w:color="auto"/>
            <w:right w:val="none" w:sz="0" w:space="0" w:color="auto"/>
          </w:divBdr>
          <w:divsChild>
            <w:div w:id="1437559863">
              <w:marLeft w:val="0"/>
              <w:marRight w:val="0"/>
              <w:marTop w:val="0"/>
              <w:marBottom w:val="0"/>
              <w:divBdr>
                <w:top w:val="none" w:sz="0" w:space="0" w:color="auto"/>
                <w:left w:val="none" w:sz="0" w:space="0" w:color="auto"/>
                <w:bottom w:val="none" w:sz="0" w:space="0" w:color="auto"/>
                <w:right w:val="none" w:sz="0" w:space="0" w:color="auto"/>
              </w:divBdr>
            </w:div>
          </w:divsChild>
        </w:div>
        <w:div w:id="1534926976">
          <w:marLeft w:val="0"/>
          <w:marRight w:val="0"/>
          <w:marTop w:val="0"/>
          <w:marBottom w:val="0"/>
          <w:divBdr>
            <w:top w:val="none" w:sz="0" w:space="0" w:color="auto"/>
            <w:left w:val="none" w:sz="0" w:space="0" w:color="auto"/>
            <w:bottom w:val="none" w:sz="0" w:space="0" w:color="auto"/>
            <w:right w:val="none" w:sz="0" w:space="0" w:color="auto"/>
          </w:divBdr>
          <w:divsChild>
            <w:div w:id="381944516">
              <w:marLeft w:val="0"/>
              <w:marRight w:val="0"/>
              <w:marTop w:val="0"/>
              <w:marBottom w:val="0"/>
              <w:divBdr>
                <w:top w:val="none" w:sz="0" w:space="0" w:color="auto"/>
                <w:left w:val="none" w:sz="0" w:space="0" w:color="auto"/>
                <w:bottom w:val="none" w:sz="0" w:space="0" w:color="auto"/>
                <w:right w:val="none" w:sz="0" w:space="0" w:color="auto"/>
              </w:divBdr>
            </w:div>
            <w:div w:id="339554129">
              <w:marLeft w:val="0"/>
              <w:marRight w:val="0"/>
              <w:marTop w:val="0"/>
              <w:marBottom w:val="0"/>
              <w:divBdr>
                <w:top w:val="none" w:sz="0" w:space="0" w:color="auto"/>
                <w:left w:val="none" w:sz="0" w:space="0" w:color="auto"/>
                <w:bottom w:val="none" w:sz="0" w:space="0" w:color="auto"/>
                <w:right w:val="none" w:sz="0" w:space="0" w:color="auto"/>
              </w:divBdr>
            </w:div>
          </w:divsChild>
        </w:div>
        <w:div w:id="1024483890">
          <w:marLeft w:val="0"/>
          <w:marRight w:val="0"/>
          <w:marTop w:val="0"/>
          <w:marBottom w:val="0"/>
          <w:divBdr>
            <w:top w:val="none" w:sz="0" w:space="0" w:color="auto"/>
            <w:left w:val="none" w:sz="0" w:space="0" w:color="auto"/>
            <w:bottom w:val="none" w:sz="0" w:space="0" w:color="auto"/>
            <w:right w:val="none" w:sz="0" w:space="0" w:color="auto"/>
          </w:divBdr>
          <w:divsChild>
            <w:div w:id="1758360789">
              <w:marLeft w:val="0"/>
              <w:marRight w:val="0"/>
              <w:marTop w:val="0"/>
              <w:marBottom w:val="0"/>
              <w:divBdr>
                <w:top w:val="none" w:sz="0" w:space="0" w:color="auto"/>
                <w:left w:val="none" w:sz="0" w:space="0" w:color="auto"/>
                <w:bottom w:val="none" w:sz="0" w:space="0" w:color="auto"/>
                <w:right w:val="none" w:sz="0" w:space="0" w:color="auto"/>
              </w:divBdr>
            </w:div>
          </w:divsChild>
        </w:div>
        <w:div w:id="1563372910">
          <w:marLeft w:val="0"/>
          <w:marRight w:val="0"/>
          <w:marTop w:val="0"/>
          <w:marBottom w:val="0"/>
          <w:divBdr>
            <w:top w:val="none" w:sz="0" w:space="0" w:color="auto"/>
            <w:left w:val="none" w:sz="0" w:space="0" w:color="auto"/>
            <w:bottom w:val="none" w:sz="0" w:space="0" w:color="auto"/>
            <w:right w:val="none" w:sz="0" w:space="0" w:color="auto"/>
          </w:divBdr>
          <w:divsChild>
            <w:div w:id="1072240444">
              <w:marLeft w:val="0"/>
              <w:marRight w:val="0"/>
              <w:marTop w:val="0"/>
              <w:marBottom w:val="0"/>
              <w:divBdr>
                <w:top w:val="none" w:sz="0" w:space="0" w:color="auto"/>
                <w:left w:val="none" w:sz="0" w:space="0" w:color="auto"/>
                <w:bottom w:val="none" w:sz="0" w:space="0" w:color="auto"/>
                <w:right w:val="none" w:sz="0" w:space="0" w:color="auto"/>
              </w:divBdr>
            </w:div>
          </w:divsChild>
        </w:div>
        <w:div w:id="712734348">
          <w:marLeft w:val="0"/>
          <w:marRight w:val="0"/>
          <w:marTop w:val="0"/>
          <w:marBottom w:val="0"/>
          <w:divBdr>
            <w:top w:val="none" w:sz="0" w:space="0" w:color="auto"/>
            <w:left w:val="none" w:sz="0" w:space="0" w:color="auto"/>
            <w:bottom w:val="none" w:sz="0" w:space="0" w:color="auto"/>
            <w:right w:val="none" w:sz="0" w:space="0" w:color="auto"/>
          </w:divBdr>
          <w:divsChild>
            <w:div w:id="1981878260">
              <w:marLeft w:val="0"/>
              <w:marRight w:val="0"/>
              <w:marTop w:val="0"/>
              <w:marBottom w:val="0"/>
              <w:divBdr>
                <w:top w:val="none" w:sz="0" w:space="0" w:color="auto"/>
                <w:left w:val="none" w:sz="0" w:space="0" w:color="auto"/>
                <w:bottom w:val="none" w:sz="0" w:space="0" w:color="auto"/>
                <w:right w:val="none" w:sz="0" w:space="0" w:color="auto"/>
              </w:divBdr>
            </w:div>
            <w:div w:id="462357026">
              <w:marLeft w:val="0"/>
              <w:marRight w:val="0"/>
              <w:marTop w:val="0"/>
              <w:marBottom w:val="0"/>
              <w:divBdr>
                <w:top w:val="none" w:sz="0" w:space="0" w:color="auto"/>
                <w:left w:val="none" w:sz="0" w:space="0" w:color="auto"/>
                <w:bottom w:val="none" w:sz="0" w:space="0" w:color="auto"/>
                <w:right w:val="none" w:sz="0" w:space="0" w:color="auto"/>
              </w:divBdr>
            </w:div>
            <w:div w:id="1491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01889">
      <w:bodyDiv w:val="1"/>
      <w:marLeft w:val="0"/>
      <w:marRight w:val="0"/>
      <w:marTop w:val="0"/>
      <w:marBottom w:val="0"/>
      <w:divBdr>
        <w:top w:val="none" w:sz="0" w:space="0" w:color="auto"/>
        <w:left w:val="none" w:sz="0" w:space="0" w:color="auto"/>
        <w:bottom w:val="none" w:sz="0" w:space="0" w:color="auto"/>
        <w:right w:val="none" w:sz="0" w:space="0" w:color="auto"/>
      </w:divBdr>
      <w:divsChild>
        <w:div w:id="646280816">
          <w:marLeft w:val="0"/>
          <w:marRight w:val="0"/>
          <w:marTop w:val="0"/>
          <w:marBottom w:val="0"/>
          <w:divBdr>
            <w:top w:val="none" w:sz="0" w:space="0" w:color="auto"/>
            <w:left w:val="none" w:sz="0" w:space="0" w:color="auto"/>
            <w:bottom w:val="none" w:sz="0" w:space="0" w:color="auto"/>
            <w:right w:val="none" w:sz="0" w:space="0" w:color="auto"/>
          </w:divBdr>
        </w:div>
        <w:div w:id="1151366633">
          <w:marLeft w:val="0"/>
          <w:marRight w:val="0"/>
          <w:marTop w:val="0"/>
          <w:marBottom w:val="0"/>
          <w:divBdr>
            <w:top w:val="none" w:sz="0" w:space="0" w:color="auto"/>
            <w:left w:val="none" w:sz="0" w:space="0" w:color="auto"/>
            <w:bottom w:val="none" w:sz="0" w:space="0" w:color="auto"/>
            <w:right w:val="none" w:sz="0" w:space="0" w:color="auto"/>
          </w:divBdr>
        </w:div>
        <w:div w:id="89590716">
          <w:marLeft w:val="0"/>
          <w:marRight w:val="0"/>
          <w:marTop w:val="0"/>
          <w:marBottom w:val="0"/>
          <w:divBdr>
            <w:top w:val="none" w:sz="0" w:space="0" w:color="auto"/>
            <w:left w:val="none" w:sz="0" w:space="0" w:color="auto"/>
            <w:bottom w:val="none" w:sz="0" w:space="0" w:color="auto"/>
            <w:right w:val="none" w:sz="0" w:space="0" w:color="auto"/>
          </w:divBdr>
        </w:div>
      </w:divsChild>
    </w:div>
    <w:div w:id="805856252">
      <w:bodyDiv w:val="1"/>
      <w:marLeft w:val="0"/>
      <w:marRight w:val="0"/>
      <w:marTop w:val="0"/>
      <w:marBottom w:val="0"/>
      <w:divBdr>
        <w:top w:val="none" w:sz="0" w:space="0" w:color="auto"/>
        <w:left w:val="none" w:sz="0" w:space="0" w:color="auto"/>
        <w:bottom w:val="none" w:sz="0" w:space="0" w:color="auto"/>
        <w:right w:val="none" w:sz="0" w:space="0" w:color="auto"/>
      </w:divBdr>
    </w:div>
    <w:div w:id="860508399">
      <w:bodyDiv w:val="1"/>
      <w:marLeft w:val="0"/>
      <w:marRight w:val="0"/>
      <w:marTop w:val="0"/>
      <w:marBottom w:val="0"/>
      <w:divBdr>
        <w:top w:val="none" w:sz="0" w:space="0" w:color="auto"/>
        <w:left w:val="none" w:sz="0" w:space="0" w:color="auto"/>
        <w:bottom w:val="none" w:sz="0" w:space="0" w:color="auto"/>
        <w:right w:val="none" w:sz="0" w:space="0" w:color="auto"/>
      </w:divBdr>
      <w:divsChild>
        <w:div w:id="378212714">
          <w:marLeft w:val="0"/>
          <w:marRight w:val="0"/>
          <w:marTop w:val="0"/>
          <w:marBottom w:val="0"/>
          <w:divBdr>
            <w:top w:val="none" w:sz="0" w:space="0" w:color="auto"/>
            <w:left w:val="none" w:sz="0" w:space="0" w:color="auto"/>
            <w:bottom w:val="none" w:sz="0" w:space="0" w:color="auto"/>
            <w:right w:val="none" w:sz="0" w:space="0" w:color="auto"/>
          </w:divBdr>
        </w:div>
        <w:div w:id="529801135">
          <w:marLeft w:val="0"/>
          <w:marRight w:val="0"/>
          <w:marTop w:val="0"/>
          <w:marBottom w:val="0"/>
          <w:divBdr>
            <w:top w:val="none" w:sz="0" w:space="0" w:color="auto"/>
            <w:left w:val="none" w:sz="0" w:space="0" w:color="auto"/>
            <w:bottom w:val="none" w:sz="0" w:space="0" w:color="auto"/>
            <w:right w:val="none" w:sz="0" w:space="0" w:color="auto"/>
          </w:divBdr>
        </w:div>
        <w:div w:id="149828046">
          <w:marLeft w:val="0"/>
          <w:marRight w:val="0"/>
          <w:marTop w:val="0"/>
          <w:marBottom w:val="0"/>
          <w:divBdr>
            <w:top w:val="none" w:sz="0" w:space="0" w:color="auto"/>
            <w:left w:val="none" w:sz="0" w:space="0" w:color="auto"/>
            <w:bottom w:val="none" w:sz="0" w:space="0" w:color="auto"/>
            <w:right w:val="none" w:sz="0" w:space="0" w:color="auto"/>
          </w:divBdr>
        </w:div>
      </w:divsChild>
    </w:div>
    <w:div w:id="887689549">
      <w:bodyDiv w:val="1"/>
      <w:marLeft w:val="0"/>
      <w:marRight w:val="0"/>
      <w:marTop w:val="0"/>
      <w:marBottom w:val="0"/>
      <w:divBdr>
        <w:top w:val="none" w:sz="0" w:space="0" w:color="auto"/>
        <w:left w:val="none" w:sz="0" w:space="0" w:color="auto"/>
        <w:bottom w:val="none" w:sz="0" w:space="0" w:color="auto"/>
        <w:right w:val="none" w:sz="0" w:space="0" w:color="auto"/>
      </w:divBdr>
      <w:divsChild>
        <w:div w:id="97146592">
          <w:marLeft w:val="0"/>
          <w:marRight w:val="0"/>
          <w:marTop w:val="0"/>
          <w:marBottom w:val="0"/>
          <w:divBdr>
            <w:top w:val="none" w:sz="0" w:space="0" w:color="auto"/>
            <w:left w:val="none" w:sz="0" w:space="0" w:color="auto"/>
            <w:bottom w:val="none" w:sz="0" w:space="0" w:color="auto"/>
            <w:right w:val="none" w:sz="0" w:space="0" w:color="auto"/>
          </w:divBdr>
        </w:div>
        <w:div w:id="2069380994">
          <w:marLeft w:val="0"/>
          <w:marRight w:val="0"/>
          <w:marTop w:val="0"/>
          <w:marBottom w:val="0"/>
          <w:divBdr>
            <w:top w:val="none" w:sz="0" w:space="0" w:color="auto"/>
            <w:left w:val="none" w:sz="0" w:space="0" w:color="auto"/>
            <w:bottom w:val="none" w:sz="0" w:space="0" w:color="auto"/>
            <w:right w:val="none" w:sz="0" w:space="0" w:color="auto"/>
          </w:divBdr>
        </w:div>
        <w:div w:id="2003001216">
          <w:marLeft w:val="0"/>
          <w:marRight w:val="0"/>
          <w:marTop w:val="0"/>
          <w:marBottom w:val="0"/>
          <w:divBdr>
            <w:top w:val="none" w:sz="0" w:space="0" w:color="auto"/>
            <w:left w:val="none" w:sz="0" w:space="0" w:color="auto"/>
            <w:bottom w:val="none" w:sz="0" w:space="0" w:color="auto"/>
            <w:right w:val="none" w:sz="0" w:space="0" w:color="auto"/>
          </w:divBdr>
        </w:div>
        <w:div w:id="1399011120">
          <w:marLeft w:val="0"/>
          <w:marRight w:val="0"/>
          <w:marTop w:val="0"/>
          <w:marBottom w:val="0"/>
          <w:divBdr>
            <w:top w:val="none" w:sz="0" w:space="0" w:color="auto"/>
            <w:left w:val="none" w:sz="0" w:space="0" w:color="auto"/>
            <w:bottom w:val="none" w:sz="0" w:space="0" w:color="auto"/>
            <w:right w:val="none" w:sz="0" w:space="0" w:color="auto"/>
          </w:divBdr>
        </w:div>
        <w:div w:id="1018240637">
          <w:marLeft w:val="0"/>
          <w:marRight w:val="0"/>
          <w:marTop w:val="0"/>
          <w:marBottom w:val="0"/>
          <w:divBdr>
            <w:top w:val="none" w:sz="0" w:space="0" w:color="auto"/>
            <w:left w:val="none" w:sz="0" w:space="0" w:color="auto"/>
            <w:bottom w:val="none" w:sz="0" w:space="0" w:color="auto"/>
            <w:right w:val="none" w:sz="0" w:space="0" w:color="auto"/>
          </w:divBdr>
        </w:div>
      </w:divsChild>
    </w:div>
    <w:div w:id="1004940008">
      <w:bodyDiv w:val="1"/>
      <w:marLeft w:val="0"/>
      <w:marRight w:val="0"/>
      <w:marTop w:val="0"/>
      <w:marBottom w:val="0"/>
      <w:divBdr>
        <w:top w:val="none" w:sz="0" w:space="0" w:color="auto"/>
        <w:left w:val="none" w:sz="0" w:space="0" w:color="auto"/>
        <w:bottom w:val="none" w:sz="0" w:space="0" w:color="auto"/>
        <w:right w:val="none" w:sz="0" w:space="0" w:color="auto"/>
      </w:divBdr>
    </w:div>
    <w:div w:id="1033261692">
      <w:bodyDiv w:val="1"/>
      <w:marLeft w:val="0"/>
      <w:marRight w:val="0"/>
      <w:marTop w:val="0"/>
      <w:marBottom w:val="0"/>
      <w:divBdr>
        <w:top w:val="none" w:sz="0" w:space="0" w:color="auto"/>
        <w:left w:val="none" w:sz="0" w:space="0" w:color="auto"/>
        <w:bottom w:val="none" w:sz="0" w:space="0" w:color="auto"/>
        <w:right w:val="none" w:sz="0" w:space="0" w:color="auto"/>
      </w:divBdr>
      <w:divsChild>
        <w:div w:id="360056294">
          <w:marLeft w:val="0"/>
          <w:marRight w:val="0"/>
          <w:marTop w:val="0"/>
          <w:marBottom w:val="0"/>
          <w:divBdr>
            <w:top w:val="none" w:sz="0" w:space="0" w:color="auto"/>
            <w:left w:val="none" w:sz="0" w:space="0" w:color="auto"/>
            <w:bottom w:val="none" w:sz="0" w:space="0" w:color="auto"/>
            <w:right w:val="none" w:sz="0" w:space="0" w:color="auto"/>
          </w:divBdr>
        </w:div>
        <w:div w:id="1130367288">
          <w:marLeft w:val="0"/>
          <w:marRight w:val="0"/>
          <w:marTop w:val="0"/>
          <w:marBottom w:val="0"/>
          <w:divBdr>
            <w:top w:val="none" w:sz="0" w:space="0" w:color="auto"/>
            <w:left w:val="none" w:sz="0" w:space="0" w:color="auto"/>
            <w:bottom w:val="none" w:sz="0" w:space="0" w:color="auto"/>
            <w:right w:val="none" w:sz="0" w:space="0" w:color="auto"/>
          </w:divBdr>
        </w:div>
      </w:divsChild>
    </w:div>
    <w:div w:id="1038821705">
      <w:bodyDiv w:val="1"/>
      <w:marLeft w:val="0"/>
      <w:marRight w:val="0"/>
      <w:marTop w:val="0"/>
      <w:marBottom w:val="0"/>
      <w:divBdr>
        <w:top w:val="none" w:sz="0" w:space="0" w:color="auto"/>
        <w:left w:val="none" w:sz="0" w:space="0" w:color="auto"/>
        <w:bottom w:val="none" w:sz="0" w:space="0" w:color="auto"/>
        <w:right w:val="none" w:sz="0" w:space="0" w:color="auto"/>
      </w:divBdr>
    </w:div>
    <w:div w:id="1052845905">
      <w:bodyDiv w:val="1"/>
      <w:marLeft w:val="0"/>
      <w:marRight w:val="0"/>
      <w:marTop w:val="0"/>
      <w:marBottom w:val="0"/>
      <w:divBdr>
        <w:top w:val="none" w:sz="0" w:space="0" w:color="auto"/>
        <w:left w:val="none" w:sz="0" w:space="0" w:color="auto"/>
        <w:bottom w:val="none" w:sz="0" w:space="0" w:color="auto"/>
        <w:right w:val="none" w:sz="0" w:space="0" w:color="auto"/>
      </w:divBdr>
      <w:divsChild>
        <w:div w:id="1810589351">
          <w:marLeft w:val="0"/>
          <w:marRight w:val="0"/>
          <w:marTop w:val="0"/>
          <w:marBottom w:val="0"/>
          <w:divBdr>
            <w:top w:val="none" w:sz="0" w:space="0" w:color="auto"/>
            <w:left w:val="none" w:sz="0" w:space="0" w:color="auto"/>
            <w:bottom w:val="none" w:sz="0" w:space="0" w:color="auto"/>
            <w:right w:val="none" w:sz="0" w:space="0" w:color="auto"/>
          </w:divBdr>
        </w:div>
        <w:div w:id="976226766">
          <w:marLeft w:val="0"/>
          <w:marRight w:val="0"/>
          <w:marTop w:val="0"/>
          <w:marBottom w:val="0"/>
          <w:divBdr>
            <w:top w:val="none" w:sz="0" w:space="0" w:color="auto"/>
            <w:left w:val="none" w:sz="0" w:space="0" w:color="auto"/>
            <w:bottom w:val="none" w:sz="0" w:space="0" w:color="auto"/>
            <w:right w:val="none" w:sz="0" w:space="0" w:color="auto"/>
          </w:divBdr>
        </w:div>
      </w:divsChild>
    </w:div>
    <w:div w:id="1084297395">
      <w:bodyDiv w:val="1"/>
      <w:marLeft w:val="0"/>
      <w:marRight w:val="0"/>
      <w:marTop w:val="0"/>
      <w:marBottom w:val="0"/>
      <w:divBdr>
        <w:top w:val="none" w:sz="0" w:space="0" w:color="auto"/>
        <w:left w:val="none" w:sz="0" w:space="0" w:color="auto"/>
        <w:bottom w:val="none" w:sz="0" w:space="0" w:color="auto"/>
        <w:right w:val="none" w:sz="0" w:space="0" w:color="auto"/>
      </w:divBdr>
    </w:div>
    <w:div w:id="1106654318">
      <w:bodyDiv w:val="1"/>
      <w:marLeft w:val="0"/>
      <w:marRight w:val="0"/>
      <w:marTop w:val="0"/>
      <w:marBottom w:val="0"/>
      <w:divBdr>
        <w:top w:val="none" w:sz="0" w:space="0" w:color="auto"/>
        <w:left w:val="none" w:sz="0" w:space="0" w:color="auto"/>
        <w:bottom w:val="none" w:sz="0" w:space="0" w:color="auto"/>
        <w:right w:val="none" w:sz="0" w:space="0" w:color="auto"/>
      </w:divBdr>
      <w:divsChild>
        <w:div w:id="294217529">
          <w:marLeft w:val="0"/>
          <w:marRight w:val="0"/>
          <w:marTop w:val="0"/>
          <w:marBottom w:val="0"/>
          <w:divBdr>
            <w:top w:val="none" w:sz="0" w:space="0" w:color="auto"/>
            <w:left w:val="none" w:sz="0" w:space="0" w:color="auto"/>
            <w:bottom w:val="none" w:sz="0" w:space="0" w:color="auto"/>
            <w:right w:val="none" w:sz="0" w:space="0" w:color="auto"/>
          </w:divBdr>
        </w:div>
        <w:div w:id="624190853">
          <w:marLeft w:val="0"/>
          <w:marRight w:val="0"/>
          <w:marTop w:val="0"/>
          <w:marBottom w:val="0"/>
          <w:divBdr>
            <w:top w:val="none" w:sz="0" w:space="0" w:color="auto"/>
            <w:left w:val="none" w:sz="0" w:space="0" w:color="auto"/>
            <w:bottom w:val="none" w:sz="0" w:space="0" w:color="auto"/>
            <w:right w:val="none" w:sz="0" w:space="0" w:color="auto"/>
          </w:divBdr>
        </w:div>
        <w:div w:id="1202791651">
          <w:marLeft w:val="0"/>
          <w:marRight w:val="0"/>
          <w:marTop w:val="0"/>
          <w:marBottom w:val="0"/>
          <w:divBdr>
            <w:top w:val="none" w:sz="0" w:space="0" w:color="auto"/>
            <w:left w:val="none" w:sz="0" w:space="0" w:color="auto"/>
            <w:bottom w:val="none" w:sz="0" w:space="0" w:color="auto"/>
            <w:right w:val="none" w:sz="0" w:space="0" w:color="auto"/>
          </w:divBdr>
        </w:div>
        <w:div w:id="670790553">
          <w:marLeft w:val="0"/>
          <w:marRight w:val="0"/>
          <w:marTop w:val="0"/>
          <w:marBottom w:val="0"/>
          <w:divBdr>
            <w:top w:val="none" w:sz="0" w:space="0" w:color="auto"/>
            <w:left w:val="none" w:sz="0" w:space="0" w:color="auto"/>
            <w:bottom w:val="none" w:sz="0" w:space="0" w:color="auto"/>
            <w:right w:val="none" w:sz="0" w:space="0" w:color="auto"/>
          </w:divBdr>
        </w:div>
        <w:div w:id="1651859933">
          <w:marLeft w:val="0"/>
          <w:marRight w:val="0"/>
          <w:marTop w:val="0"/>
          <w:marBottom w:val="0"/>
          <w:divBdr>
            <w:top w:val="none" w:sz="0" w:space="0" w:color="auto"/>
            <w:left w:val="none" w:sz="0" w:space="0" w:color="auto"/>
            <w:bottom w:val="none" w:sz="0" w:space="0" w:color="auto"/>
            <w:right w:val="none" w:sz="0" w:space="0" w:color="auto"/>
          </w:divBdr>
        </w:div>
        <w:div w:id="1926187354">
          <w:marLeft w:val="0"/>
          <w:marRight w:val="0"/>
          <w:marTop w:val="0"/>
          <w:marBottom w:val="0"/>
          <w:divBdr>
            <w:top w:val="none" w:sz="0" w:space="0" w:color="auto"/>
            <w:left w:val="none" w:sz="0" w:space="0" w:color="auto"/>
            <w:bottom w:val="none" w:sz="0" w:space="0" w:color="auto"/>
            <w:right w:val="none" w:sz="0" w:space="0" w:color="auto"/>
          </w:divBdr>
        </w:div>
        <w:div w:id="464662753">
          <w:marLeft w:val="0"/>
          <w:marRight w:val="0"/>
          <w:marTop w:val="0"/>
          <w:marBottom w:val="0"/>
          <w:divBdr>
            <w:top w:val="none" w:sz="0" w:space="0" w:color="auto"/>
            <w:left w:val="none" w:sz="0" w:space="0" w:color="auto"/>
            <w:bottom w:val="none" w:sz="0" w:space="0" w:color="auto"/>
            <w:right w:val="none" w:sz="0" w:space="0" w:color="auto"/>
          </w:divBdr>
        </w:div>
      </w:divsChild>
    </w:div>
    <w:div w:id="1201557145">
      <w:bodyDiv w:val="1"/>
      <w:marLeft w:val="0"/>
      <w:marRight w:val="0"/>
      <w:marTop w:val="0"/>
      <w:marBottom w:val="0"/>
      <w:divBdr>
        <w:top w:val="none" w:sz="0" w:space="0" w:color="auto"/>
        <w:left w:val="none" w:sz="0" w:space="0" w:color="auto"/>
        <w:bottom w:val="none" w:sz="0" w:space="0" w:color="auto"/>
        <w:right w:val="none" w:sz="0" w:space="0" w:color="auto"/>
      </w:divBdr>
    </w:div>
    <w:div w:id="1298729345">
      <w:bodyDiv w:val="1"/>
      <w:marLeft w:val="0"/>
      <w:marRight w:val="0"/>
      <w:marTop w:val="0"/>
      <w:marBottom w:val="0"/>
      <w:divBdr>
        <w:top w:val="none" w:sz="0" w:space="0" w:color="auto"/>
        <w:left w:val="none" w:sz="0" w:space="0" w:color="auto"/>
        <w:bottom w:val="none" w:sz="0" w:space="0" w:color="auto"/>
        <w:right w:val="none" w:sz="0" w:space="0" w:color="auto"/>
      </w:divBdr>
      <w:divsChild>
        <w:div w:id="239217120">
          <w:marLeft w:val="0"/>
          <w:marRight w:val="0"/>
          <w:marTop w:val="0"/>
          <w:marBottom w:val="0"/>
          <w:divBdr>
            <w:top w:val="none" w:sz="0" w:space="0" w:color="auto"/>
            <w:left w:val="none" w:sz="0" w:space="0" w:color="auto"/>
            <w:bottom w:val="none" w:sz="0" w:space="0" w:color="auto"/>
            <w:right w:val="none" w:sz="0" w:space="0" w:color="auto"/>
          </w:divBdr>
        </w:div>
        <w:div w:id="143402056">
          <w:marLeft w:val="0"/>
          <w:marRight w:val="0"/>
          <w:marTop w:val="0"/>
          <w:marBottom w:val="0"/>
          <w:divBdr>
            <w:top w:val="none" w:sz="0" w:space="0" w:color="auto"/>
            <w:left w:val="none" w:sz="0" w:space="0" w:color="auto"/>
            <w:bottom w:val="none" w:sz="0" w:space="0" w:color="auto"/>
            <w:right w:val="none" w:sz="0" w:space="0" w:color="auto"/>
          </w:divBdr>
        </w:div>
        <w:div w:id="1920098571">
          <w:marLeft w:val="0"/>
          <w:marRight w:val="0"/>
          <w:marTop w:val="0"/>
          <w:marBottom w:val="0"/>
          <w:divBdr>
            <w:top w:val="none" w:sz="0" w:space="0" w:color="auto"/>
            <w:left w:val="none" w:sz="0" w:space="0" w:color="auto"/>
            <w:bottom w:val="none" w:sz="0" w:space="0" w:color="auto"/>
            <w:right w:val="none" w:sz="0" w:space="0" w:color="auto"/>
          </w:divBdr>
        </w:div>
        <w:div w:id="376123310">
          <w:marLeft w:val="0"/>
          <w:marRight w:val="0"/>
          <w:marTop w:val="0"/>
          <w:marBottom w:val="0"/>
          <w:divBdr>
            <w:top w:val="none" w:sz="0" w:space="0" w:color="auto"/>
            <w:left w:val="none" w:sz="0" w:space="0" w:color="auto"/>
            <w:bottom w:val="none" w:sz="0" w:space="0" w:color="auto"/>
            <w:right w:val="none" w:sz="0" w:space="0" w:color="auto"/>
          </w:divBdr>
        </w:div>
        <w:div w:id="778991703">
          <w:marLeft w:val="0"/>
          <w:marRight w:val="0"/>
          <w:marTop w:val="0"/>
          <w:marBottom w:val="0"/>
          <w:divBdr>
            <w:top w:val="none" w:sz="0" w:space="0" w:color="auto"/>
            <w:left w:val="none" w:sz="0" w:space="0" w:color="auto"/>
            <w:bottom w:val="none" w:sz="0" w:space="0" w:color="auto"/>
            <w:right w:val="none" w:sz="0" w:space="0" w:color="auto"/>
          </w:divBdr>
        </w:div>
      </w:divsChild>
    </w:div>
    <w:div w:id="1311863921">
      <w:bodyDiv w:val="1"/>
      <w:marLeft w:val="0"/>
      <w:marRight w:val="0"/>
      <w:marTop w:val="0"/>
      <w:marBottom w:val="0"/>
      <w:divBdr>
        <w:top w:val="none" w:sz="0" w:space="0" w:color="auto"/>
        <w:left w:val="none" w:sz="0" w:space="0" w:color="auto"/>
        <w:bottom w:val="none" w:sz="0" w:space="0" w:color="auto"/>
        <w:right w:val="none" w:sz="0" w:space="0" w:color="auto"/>
      </w:divBdr>
      <w:divsChild>
        <w:div w:id="139883944">
          <w:marLeft w:val="0"/>
          <w:marRight w:val="0"/>
          <w:marTop w:val="0"/>
          <w:marBottom w:val="0"/>
          <w:divBdr>
            <w:top w:val="none" w:sz="0" w:space="0" w:color="auto"/>
            <w:left w:val="none" w:sz="0" w:space="0" w:color="auto"/>
            <w:bottom w:val="none" w:sz="0" w:space="0" w:color="auto"/>
            <w:right w:val="none" w:sz="0" w:space="0" w:color="auto"/>
          </w:divBdr>
        </w:div>
        <w:div w:id="1294747503">
          <w:marLeft w:val="0"/>
          <w:marRight w:val="0"/>
          <w:marTop w:val="0"/>
          <w:marBottom w:val="0"/>
          <w:divBdr>
            <w:top w:val="none" w:sz="0" w:space="0" w:color="auto"/>
            <w:left w:val="none" w:sz="0" w:space="0" w:color="auto"/>
            <w:bottom w:val="none" w:sz="0" w:space="0" w:color="auto"/>
            <w:right w:val="none" w:sz="0" w:space="0" w:color="auto"/>
          </w:divBdr>
        </w:div>
        <w:div w:id="149103283">
          <w:marLeft w:val="0"/>
          <w:marRight w:val="0"/>
          <w:marTop w:val="0"/>
          <w:marBottom w:val="0"/>
          <w:divBdr>
            <w:top w:val="none" w:sz="0" w:space="0" w:color="auto"/>
            <w:left w:val="none" w:sz="0" w:space="0" w:color="auto"/>
            <w:bottom w:val="none" w:sz="0" w:space="0" w:color="auto"/>
            <w:right w:val="none" w:sz="0" w:space="0" w:color="auto"/>
          </w:divBdr>
        </w:div>
      </w:divsChild>
    </w:div>
    <w:div w:id="1416784030">
      <w:bodyDiv w:val="1"/>
      <w:marLeft w:val="0"/>
      <w:marRight w:val="0"/>
      <w:marTop w:val="0"/>
      <w:marBottom w:val="0"/>
      <w:divBdr>
        <w:top w:val="none" w:sz="0" w:space="0" w:color="auto"/>
        <w:left w:val="none" w:sz="0" w:space="0" w:color="auto"/>
        <w:bottom w:val="none" w:sz="0" w:space="0" w:color="auto"/>
        <w:right w:val="none" w:sz="0" w:space="0" w:color="auto"/>
      </w:divBdr>
      <w:divsChild>
        <w:div w:id="1357540972">
          <w:marLeft w:val="0"/>
          <w:marRight w:val="0"/>
          <w:marTop w:val="0"/>
          <w:marBottom w:val="0"/>
          <w:divBdr>
            <w:top w:val="none" w:sz="0" w:space="0" w:color="auto"/>
            <w:left w:val="none" w:sz="0" w:space="0" w:color="auto"/>
            <w:bottom w:val="none" w:sz="0" w:space="0" w:color="auto"/>
            <w:right w:val="none" w:sz="0" w:space="0" w:color="auto"/>
          </w:divBdr>
        </w:div>
        <w:div w:id="1489977006">
          <w:marLeft w:val="0"/>
          <w:marRight w:val="0"/>
          <w:marTop w:val="0"/>
          <w:marBottom w:val="0"/>
          <w:divBdr>
            <w:top w:val="none" w:sz="0" w:space="0" w:color="auto"/>
            <w:left w:val="none" w:sz="0" w:space="0" w:color="auto"/>
            <w:bottom w:val="none" w:sz="0" w:space="0" w:color="auto"/>
            <w:right w:val="none" w:sz="0" w:space="0" w:color="auto"/>
          </w:divBdr>
        </w:div>
        <w:div w:id="1172988550">
          <w:marLeft w:val="0"/>
          <w:marRight w:val="0"/>
          <w:marTop w:val="0"/>
          <w:marBottom w:val="0"/>
          <w:divBdr>
            <w:top w:val="none" w:sz="0" w:space="0" w:color="auto"/>
            <w:left w:val="none" w:sz="0" w:space="0" w:color="auto"/>
            <w:bottom w:val="none" w:sz="0" w:space="0" w:color="auto"/>
            <w:right w:val="none" w:sz="0" w:space="0" w:color="auto"/>
          </w:divBdr>
        </w:div>
      </w:divsChild>
    </w:div>
    <w:div w:id="1558978286">
      <w:bodyDiv w:val="1"/>
      <w:marLeft w:val="0"/>
      <w:marRight w:val="0"/>
      <w:marTop w:val="0"/>
      <w:marBottom w:val="0"/>
      <w:divBdr>
        <w:top w:val="none" w:sz="0" w:space="0" w:color="auto"/>
        <w:left w:val="none" w:sz="0" w:space="0" w:color="auto"/>
        <w:bottom w:val="none" w:sz="0" w:space="0" w:color="auto"/>
        <w:right w:val="none" w:sz="0" w:space="0" w:color="auto"/>
      </w:divBdr>
    </w:div>
    <w:div w:id="1562910309">
      <w:bodyDiv w:val="1"/>
      <w:marLeft w:val="0"/>
      <w:marRight w:val="0"/>
      <w:marTop w:val="0"/>
      <w:marBottom w:val="0"/>
      <w:divBdr>
        <w:top w:val="none" w:sz="0" w:space="0" w:color="auto"/>
        <w:left w:val="none" w:sz="0" w:space="0" w:color="auto"/>
        <w:bottom w:val="none" w:sz="0" w:space="0" w:color="auto"/>
        <w:right w:val="none" w:sz="0" w:space="0" w:color="auto"/>
      </w:divBdr>
    </w:div>
    <w:div w:id="1564099451">
      <w:bodyDiv w:val="1"/>
      <w:marLeft w:val="0"/>
      <w:marRight w:val="0"/>
      <w:marTop w:val="0"/>
      <w:marBottom w:val="0"/>
      <w:divBdr>
        <w:top w:val="none" w:sz="0" w:space="0" w:color="auto"/>
        <w:left w:val="none" w:sz="0" w:space="0" w:color="auto"/>
        <w:bottom w:val="none" w:sz="0" w:space="0" w:color="auto"/>
        <w:right w:val="none" w:sz="0" w:space="0" w:color="auto"/>
      </w:divBdr>
    </w:div>
    <w:div w:id="1565986522">
      <w:bodyDiv w:val="1"/>
      <w:marLeft w:val="0"/>
      <w:marRight w:val="0"/>
      <w:marTop w:val="0"/>
      <w:marBottom w:val="0"/>
      <w:divBdr>
        <w:top w:val="none" w:sz="0" w:space="0" w:color="auto"/>
        <w:left w:val="none" w:sz="0" w:space="0" w:color="auto"/>
        <w:bottom w:val="none" w:sz="0" w:space="0" w:color="auto"/>
        <w:right w:val="none" w:sz="0" w:space="0" w:color="auto"/>
      </w:divBdr>
      <w:divsChild>
        <w:div w:id="724718061">
          <w:marLeft w:val="0"/>
          <w:marRight w:val="0"/>
          <w:marTop w:val="0"/>
          <w:marBottom w:val="0"/>
          <w:divBdr>
            <w:top w:val="none" w:sz="0" w:space="0" w:color="auto"/>
            <w:left w:val="none" w:sz="0" w:space="0" w:color="auto"/>
            <w:bottom w:val="none" w:sz="0" w:space="0" w:color="auto"/>
            <w:right w:val="none" w:sz="0" w:space="0" w:color="auto"/>
          </w:divBdr>
        </w:div>
        <w:div w:id="322702102">
          <w:marLeft w:val="0"/>
          <w:marRight w:val="0"/>
          <w:marTop w:val="0"/>
          <w:marBottom w:val="0"/>
          <w:divBdr>
            <w:top w:val="none" w:sz="0" w:space="0" w:color="auto"/>
            <w:left w:val="none" w:sz="0" w:space="0" w:color="auto"/>
            <w:bottom w:val="none" w:sz="0" w:space="0" w:color="auto"/>
            <w:right w:val="none" w:sz="0" w:space="0" w:color="auto"/>
          </w:divBdr>
        </w:div>
        <w:div w:id="1246500667">
          <w:marLeft w:val="0"/>
          <w:marRight w:val="0"/>
          <w:marTop w:val="0"/>
          <w:marBottom w:val="0"/>
          <w:divBdr>
            <w:top w:val="none" w:sz="0" w:space="0" w:color="auto"/>
            <w:left w:val="none" w:sz="0" w:space="0" w:color="auto"/>
            <w:bottom w:val="none" w:sz="0" w:space="0" w:color="auto"/>
            <w:right w:val="none" w:sz="0" w:space="0" w:color="auto"/>
          </w:divBdr>
        </w:div>
        <w:div w:id="1156723528">
          <w:marLeft w:val="0"/>
          <w:marRight w:val="0"/>
          <w:marTop w:val="0"/>
          <w:marBottom w:val="0"/>
          <w:divBdr>
            <w:top w:val="none" w:sz="0" w:space="0" w:color="auto"/>
            <w:left w:val="none" w:sz="0" w:space="0" w:color="auto"/>
            <w:bottom w:val="none" w:sz="0" w:space="0" w:color="auto"/>
            <w:right w:val="none" w:sz="0" w:space="0" w:color="auto"/>
          </w:divBdr>
        </w:div>
        <w:div w:id="1692878782">
          <w:marLeft w:val="0"/>
          <w:marRight w:val="0"/>
          <w:marTop w:val="0"/>
          <w:marBottom w:val="0"/>
          <w:divBdr>
            <w:top w:val="none" w:sz="0" w:space="0" w:color="auto"/>
            <w:left w:val="none" w:sz="0" w:space="0" w:color="auto"/>
            <w:bottom w:val="none" w:sz="0" w:space="0" w:color="auto"/>
            <w:right w:val="none" w:sz="0" w:space="0" w:color="auto"/>
          </w:divBdr>
        </w:div>
      </w:divsChild>
    </w:div>
    <w:div w:id="1671103460">
      <w:bodyDiv w:val="1"/>
      <w:marLeft w:val="0"/>
      <w:marRight w:val="0"/>
      <w:marTop w:val="0"/>
      <w:marBottom w:val="0"/>
      <w:divBdr>
        <w:top w:val="none" w:sz="0" w:space="0" w:color="auto"/>
        <w:left w:val="none" w:sz="0" w:space="0" w:color="auto"/>
        <w:bottom w:val="none" w:sz="0" w:space="0" w:color="auto"/>
        <w:right w:val="none" w:sz="0" w:space="0" w:color="auto"/>
      </w:divBdr>
    </w:div>
    <w:div w:id="1671323489">
      <w:bodyDiv w:val="1"/>
      <w:marLeft w:val="0"/>
      <w:marRight w:val="0"/>
      <w:marTop w:val="0"/>
      <w:marBottom w:val="0"/>
      <w:divBdr>
        <w:top w:val="none" w:sz="0" w:space="0" w:color="auto"/>
        <w:left w:val="none" w:sz="0" w:space="0" w:color="auto"/>
        <w:bottom w:val="none" w:sz="0" w:space="0" w:color="auto"/>
        <w:right w:val="none" w:sz="0" w:space="0" w:color="auto"/>
      </w:divBdr>
    </w:div>
    <w:div w:id="1694526349">
      <w:bodyDiv w:val="1"/>
      <w:marLeft w:val="0"/>
      <w:marRight w:val="0"/>
      <w:marTop w:val="0"/>
      <w:marBottom w:val="0"/>
      <w:divBdr>
        <w:top w:val="none" w:sz="0" w:space="0" w:color="auto"/>
        <w:left w:val="none" w:sz="0" w:space="0" w:color="auto"/>
        <w:bottom w:val="none" w:sz="0" w:space="0" w:color="auto"/>
        <w:right w:val="none" w:sz="0" w:space="0" w:color="auto"/>
      </w:divBdr>
      <w:divsChild>
        <w:div w:id="2147238747">
          <w:marLeft w:val="0"/>
          <w:marRight w:val="0"/>
          <w:marTop w:val="0"/>
          <w:marBottom w:val="0"/>
          <w:divBdr>
            <w:top w:val="none" w:sz="0" w:space="0" w:color="auto"/>
            <w:left w:val="none" w:sz="0" w:space="0" w:color="auto"/>
            <w:bottom w:val="none" w:sz="0" w:space="0" w:color="auto"/>
            <w:right w:val="none" w:sz="0" w:space="0" w:color="auto"/>
          </w:divBdr>
        </w:div>
        <w:div w:id="284506826">
          <w:marLeft w:val="0"/>
          <w:marRight w:val="0"/>
          <w:marTop w:val="0"/>
          <w:marBottom w:val="0"/>
          <w:divBdr>
            <w:top w:val="none" w:sz="0" w:space="0" w:color="auto"/>
            <w:left w:val="none" w:sz="0" w:space="0" w:color="auto"/>
            <w:bottom w:val="none" w:sz="0" w:space="0" w:color="auto"/>
            <w:right w:val="none" w:sz="0" w:space="0" w:color="auto"/>
          </w:divBdr>
        </w:div>
        <w:div w:id="1908950947">
          <w:marLeft w:val="0"/>
          <w:marRight w:val="0"/>
          <w:marTop w:val="0"/>
          <w:marBottom w:val="0"/>
          <w:divBdr>
            <w:top w:val="none" w:sz="0" w:space="0" w:color="auto"/>
            <w:left w:val="none" w:sz="0" w:space="0" w:color="auto"/>
            <w:bottom w:val="none" w:sz="0" w:space="0" w:color="auto"/>
            <w:right w:val="none" w:sz="0" w:space="0" w:color="auto"/>
          </w:divBdr>
        </w:div>
        <w:div w:id="1141193516">
          <w:marLeft w:val="0"/>
          <w:marRight w:val="0"/>
          <w:marTop w:val="0"/>
          <w:marBottom w:val="0"/>
          <w:divBdr>
            <w:top w:val="none" w:sz="0" w:space="0" w:color="auto"/>
            <w:left w:val="none" w:sz="0" w:space="0" w:color="auto"/>
            <w:bottom w:val="none" w:sz="0" w:space="0" w:color="auto"/>
            <w:right w:val="none" w:sz="0" w:space="0" w:color="auto"/>
          </w:divBdr>
        </w:div>
        <w:div w:id="686368807">
          <w:marLeft w:val="0"/>
          <w:marRight w:val="0"/>
          <w:marTop w:val="0"/>
          <w:marBottom w:val="0"/>
          <w:divBdr>
            <w:top w:val="none" w:sz="0" w:space="0" w:color="auto"/>
            <w:left w:val="none" w:sz="0" w:space="0" w:color="auto"/>
            <w:bottom w:val="none" w:sz="0" w:space="0" w:color="auto"/>
            <w:right w:val="none" w:sz="0" w:space="0" w:color="auto"/>
          </w:divBdr>
        </w:div>
      </w:divsChild>
    </w:div>
    <w:div w:id="1731925300">
      <w:bodyDiv w:val="1"/>
      <w:marLeft w:val="0"/>
      <w:marRight w:val="0"/>
      <w:marTop w:val="0"/>
      <w:marBottom w:val="0"/>
      <w:divBdr>
        <w:top w:val="none" w:sz="0" w:space="0" w:color="auto"/>
        <w:left w:val="none" w:sz="0" w:space="0" w:color="auto"/>
        <w:bottom w:val="none" w:sz="0" w:space="0" w:color="auto"/>
        <w:right w:val="none" w:sz="0" w:space="0" w:color="auto"/>
      </w:divBdr>
    </w:div>
    <w:div w:id="1741633205">
      <w:bodyDiv w:val="1"/>
      <w:marLeft w:val="0"/>
      <w:marRight w:val="0"/>
      <w:marTop w:val="0"/>
      <w:marBottom w:val="0"/>
      <w:divBdr>
        <w:top w:val="none" w:sz="0" w:space="0" w:color="auto"/>
        <w:left w:val="none" w:sz="0" w:space="0" w:color="auto"/>
        <w:bottom w:val="none" w:sz="0" w:space="0" w:color="auto"/>
        <w:right w:val="none" w:sz="0" w:space="0" w:color="auto"/>
      </w:divBdr>
    </w:div>
    <w:div w:id="1762138781">
      <w:bodyDiv w:val="1"/>
      <w:marLeft w:val="0"/>
      <w:marRight w:val="0"/>
      <w:marTop w:val="0"/>
      <w:marBottom w:val="0"/>
      <w:divBdr>
        <w:top w:val="none" w:sz="0" w:space="0" w:color="auto"/>
        <w:left w:val="none" w:sz="0" w:space="0" w:color="auto"/>
        <w:bottom w:val="none" w:sz="0" w:space="0" w:color="auto"/>
        <w:right w:val="none" w:sz="0" w:space="0" w:color="auto"/>
      </w:divBdr>
      <w:divsChild>
        <w:div w:id="1631204589">
          <w:marLeft w:val="0"/>
          <w:marRight w:val="0"/>
          <w:marTop w:val="0"/>
          <w:marBottom w:val="0"/>
          <w:divBdr>
            <w:top w:val="none" w:sz="0" w:space="0" w:color="auto"/>
            <w:left w:val="none" w:sz="0" w:space="0" w:color="auto"/>
            <w:bottom w:val="none" w:sz="0" w:space="0" w:color="auto"/>
            <w:right w:val="none" w:sz="0" w:space="0" w:color="auto"/>
          </w:divBdr>
        </w:div>
        <w:div w:id="1942569961">
          <w:marLeft w:val="0"/>
          <w:marRight w:val="0"/>
          <w:marTop w:val="0"/>
          <w:marBottom w:val="0"/>
          <w:divBdr>
            <w:top w:val="none" w:sz="0" w:space="0" w:color="auto"/>
            <w:left w:val="none" w:sz="0" w:space="0" w:color="auto"/>
            <w:bottom w:val="none" w:sz="0" w:space="0" w:color="auto"/>
            <w:right w:val="none" w:sz="0" w:space="0" w:color="auto"/>
          </w:divBdr>
        </w:div>
        <w:div w:id="1761215061">
          <w:marLeft w:val="0"/>
          <w:marRight w:val="0"/>
          <w:marTop w:val="0"/>
          <w:marBottom w:val="0"/>
          <w:divBdr>
            <w:top w:val="none" w:sz="0" w:space="0" w:color="auto"/>
            <w:left w:val="none" w:sz="0" w:space="0" w:color="auto"/>
            <w:bottom w:val="none" w:sz="0" w:space="0" w:color="auto"/>
            <w:right w:val="none" w:sz="0" w:space="0" w:color="auto"/>
          </w:divBdr>
        </w:div>
        <w:div w:id="1974097178">
          <w:marLeft w:val="0"/>
          <w:marRight w:val="0"/>
          <w:marTop w:val="0"/>
          <w:marBottom w:val="0"/>
          <w:divBdr>
            <w:top w:val="none" w:sz="0" w:space="0" w:color="auto"/>
            <w:left w:val="none" w:sz="0" w:space="0" w:color="auto"/>
            <w:bottom w:val="none" w:sz="0" w:space="0" w:color="auto"/>
            <w:right w:val="none" w:sz="0" w:space="0" w:color="auto"/>
          </w:divBdr>
        </w:div>
        <w:div w:id="1518154321">
          <w:marLeft w:val="0"/>
          <w:marRight w:val="0"/>
          <w:marTop w:val="0"/>
          <w:marBottom w:val="0"/>
          <w:divBdr>
            <w:top w:val="none" w:sz="0" w:space="0" w:color="auto"/>
            <w:left w:val="none" w:sz="0" w:space="0" w:color="auto"/>
            <w:bottom w:val="none" w:sz="0" w:space="0" w:color="auto"/>
            <w:right w:val="none" w:sz="0" w:space="0" w:color="auto"/>
          </w:divBdr>
        </w:div>
        <w:div w:id="1859192318">
          <w:marLeft w:val="0"/>
          <w:marRight w:val="0"/>
          <w:marTop w:val="0"/>
          <w:marBottom w:val="0"/>
          <w:divBdr>
            <w:top w:val="none" w:sz="0" w:space="0" w:color="auto"/>
            <w:left w:val="none" w:sz="0" w:space="0" w:color="auto"/>
            <w:bottom w:val="none" w:sz="0" w:space="0" w:color="auto"/>
            <w:right w:val="none" w:sz="0" w:space="0" w:color="auto"/>
          </w:divBdr>
        </w:div>
      </w:divsChild>
    </w:div>
    <w:div w:id="1834564237">
      <w:bodyDiv w:val="1"/>
      <w:marLeft w:val="0"/>
      <w:marRight w:val="0"/>
      <w:marTop w:val="0"/>
      <w:marBottom w:val="0"/>
      <w:divBdr>
        <w:top w:val="none" w:sz="0" w:space="0" w:color="auto"/>
        <w:left w:val="none" w:sz="0" w:space="0" w:color="auto"/>
        <w:bottom w:val="none" w:sz="0" w:space="0" w:color="auto"/>
        <w:right w:val="none" w:sz="0" w:space="0" w:color="auto"/>
      </w:divBdr>
    </w:div>
    <w:div w:id="2084790005">
      <w:bodyDiv w:val="1"/>
      <w:marLeft w:val="0"/>
      <w:marRight w:val="0"/>
      <w:marTop w:val="0"/>
      <w:marBottom w:val="0"/>
      <w:divBdr>
        <w:top w:val="none" w:sz="0" w:space="0" w:color="auto"/>
        <w:left w:val="none" w:sz="0" w:space="0" w:color="auto"/>
        <w:bottom w:val="none" w:sz="0" w:space="0" w:color="auto"/>
        <w:right w:val="none" w:sz="0" w:space="0" w:color="auto"/>
      </w:divBdr>
    </w:div>
    <w:div w:id="2140803078">
      <w:bodyDiv w:val="1"/>
      <w:marLeft w:val="0"/>
      <w:marRight w:val="0"/>
      <w:marTop w:val="0"/>
      <w:marBottom w:val="0"/>
      <w:divBdr>
        <w:top w:val="none" w:sz="0" w:space="0" w:color="auto"/>
        <w:left w:val="none" w:sz="0" w:space="0" w:color="auto"/>
        <w:bottom w:val="none" w:sz="0" w:space="0" w:color="auto"/>
        <w:right w:val="none" w:sz="0" w:space="0" w:color="auto"/>
      </w:divBdr>
      <w:divsChild>
        <w:div w:id="477309664">
          <w:marLeft w:val="0"/>
          <w:marRight w:val="0"/>
          <w:marTop w:val="0"/>
          <w:marBottom w:val="0"/>
          <w:divBdr>
            <w:top w:val="none" w:sz="0" w:space="0" w:color="auto"/>
            <w:left w:val="none" w:sz="0" w:space="0" w:color="auto"/>
            <w:bottom w:val="none" w:sz="0" w:space="0" w:color="auto"/>
            <w:right w:val="none" w:sz="0" w:space="0" w:color="auto"/>
          </w:divBdr>
        </w:div>
        <w:div w:id="1970471851">
          <w:marLeft w:val="0"/>
          <w:marRight w:val="0"/>
          <w:marTop w:val="0"/>
          <w:marBottom w:val="0"/>
          <w:divBdr>
            <w:top w:val="none" w:sz="0" w:space="0" w:color="auto"/>
            <w:left w:val="none" w:sz="0" w:space="0" w:color="auto"/>
            <w:bottom w:val="none" w:sz="0" w:space="0" w:color="auto"/>
            <w:right w:val="none" w:sz="0" w:space="0" w:color="auto"/>
          </w:divBdr>
        </w:div>
        <w:div w:id="1170022000">
          <w:marLeft w:val="0"/>
          <w:marRight w:val="0"/>
          <w:marTop w:val="0"/>
          <w:marBottom w:val="0"/>
          <w:divBdr>
            <w:top w:val="none" w:sz="0" w:space="0" w:color="auto"/>
            <w:left w:val="none" w:sz="0" w:space="0" w:color="auto"/>
            <w:bottom w:val="none" w:sz="0" w:space="0" w:color="auto"/>
            <w:right w:val="none" w:sz="0" w:space="0" w:color="auto"/>
          </w:divBdr>
        </w:div>
        <w:div w:id="1255473547">
          <w:marLeft w:val="0"/>
          <w:marRight w:val="0"/>
          <w:marTop w:val="0"/>
          <w:marBottom w:val="0"/>
          <w:divBdr>
            <w:top w:val="none" w:sz="0" w:space="0" w:color="auto"/>
            <w:left w:val="none" w:sz="0" w:space="0" w:color="auto"/>
            <w:bottom w:val="none" w:sz="0" w:space="0" w:color="auto"/>
            <w:right w:val="none" w:sz="0" w:space="0" w:color="auto"/>
          </w:divBdr>
        </w:div>
        <w:div w:id="1254818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par.org/documents?v=46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EE8557F9551C49A0F5893E196C1B89" ma:contentTypeVersion="0" ma:contentTypeDescription="Create a new document." ma:contentTypeScope="" ma:versionID="0670c394fa03b11f57449790443f82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281EB-C833-48D7-8CAD-175A55B3E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6AADA-3F86-4E85-97C4-D99DF6804B0C}">
  <ds:schemaRefs>
    <ds:schemaRef ds:uri="http://schemas.openxmlformats.org/officeDocument/2006/bibliography"/>
  </ds:schemaRefs>
</ds:datastoreItem>
</file>

<file path=customXml/itemProps3.xml><?xml version="1.0" encoding="utf-8"?>
<ds:datastoreItem xmlns:ds="http://schemas.openxmlformats.org/officeDocument/2006/customXml" ds:itemID="{99EA79F9-E39C-4DAA-970B-4C86B4325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0DB775-35F0-4F4C-931B-A9FFAD557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2025-06-25T10:57:00Z</dcterms:created>
  <dcterms:modified xsi:type="dcterms:W3CDTF">2025-06-30T08:31:00Z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0x010100B3EE8557F9551C49A0F5893E196C1B89</vt:lpwstr>
  </property>
</Properties>
</file>