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4" w:type="dxa"/>
        <w:tblCellMar>
          <w:top w:w="85" w:type="dxa"/>
          <w:left w:w="0" w:type="dxa"/>
          <w:bottom w:w="85" w:type="dxa"/>
          <w:right w:w="0" w:type="dxa"/>
        </w:tblCellMar>
        <w:tblLook w:val="01E0" w:firstRow="1" w:lastRow="1" w:firstColumn="1" w:lastColumn="1" w:noHBand="0" w:noVBand="0"/>
      </w:tblPr>
      <w:tblGrid>
        <w:gridCol w:w="4049"/>
        <w:gridCol w:w="5675"/>
      </w:tblGrid>
      <w:tr w:rsidR="007B4FB9" w:rsidRPr="00E77608" w14:paraId="6B00CABF" w14:textId="77777777" w:rsidTr="0077697A">
        <w:trPr>
          <w:trHeight w:val="284"/>
        </w:trPr>
        <w:tc>
          <w:tcPr>
            <w:tcW w:w="4049" w:type="dxa"/>
          </w:tcPr>
          <w:p w14:paraId="475CDE80" w14:textId="77777777" w:rsidR="007B4FB9" w:rsidRPr="00E77608" w:rsidRDefault="007B4FB9" w:rsidP="0077697A">
            <w:pPr>
              <w:tabs>
                <w:tab w:val="clear" w:pos="720"/>
                <w:tab w:val="clear" w:pos="1440"/>
                <w:tab w:val="clear" w:pos="2160"/>
                <w:tab w:val="clear" w:pos="2880"/>
                <w:tab w:val="clear" w:pos="4680"/>
                <w:tab w:val="clear" w:pos="5400"/>
                <w:tab w:val="clear" w:pos="9000"/>
              </w:tabs>
              <w:spacing w:line="280" w:lineRule="atLeast"/>
              <w:jc w:val="left"/>
              <w:outlineLvl w:val="0"/>
              <w:rPr>
                <w:kern w:val="28"/>
                <w:sz w:val="26"/>
                <w:szCs w:val="26"/>
                <w:lang w:eastAsia="en-GB"/>
              </w:rPr>
            </w:pPr>
          </w:p>
        </w:tc>
        <w:tc>
          <w:tcPr>
            <w:tcW w:w="5675" w:type="dxa"/>
          </w:tcPr>
          <w:p w14:paraId="50D0B36F" w14:textId="77777777" w:rsidR="007B4FB9" w:rsidRPr="00E77608" w:rsidRDefault="007B4FB9" w:rsidP="0077697A">
            <w:pPr>
              <w:tabs>
                <w:tab w:val="clear" w:pos="720"/>
                <w:tab w:val="clear" w:pos="1440"/>
                <w:tab w:val="clear" w:pos="2160"/>
                <w:tab w:val="clear" w:pos="2880"/>
                <w:tab w:val="clear" w:pos="4680"/>
                <w:tab w:val="clear" w:pos="5400"/>
                <w:tab w:val="clear" w:pos="9000"/>
              </w:tabs>
              <w:spacing w:line="280" w:lineRule="atLeast"/>
              <w:jc w:val="right"/>
              <w:outlineLvl w:val="0"/>
              <w:rPr>
                <w:kern w:val="28"/>
                <w:sz w:val="26"/>
                <w:szCs w:val="26"/>
                <w:lang w:eastAsia="en-GB"/>
              </w:rPr>
            </w:pPr>
            <w:bookmarkStart w:id="0" w:name="_Toc410812275"/>
            <w:r w:rsidRPr="00E77608">
              <w:rPr>
                <w:kern w:val="28"/>
                <w:sz w:val="26"/>
                <w:szCs w:val="26"/>
                <w:lang w:eastAsia="en-GB"/>
              </w:rPr>
              <w:t xml:space="preserve">ICG-MAQ </w:t>
            </w:r>
            <w:bookmarkEnd w:id="0"/>
          </w:p>
          <w:p w14:paraId="7180887B" w14:textId="77777777" w:rsidR="007B4FB9" w:rsidRPr="00E77608" w:rsidRDefault="007B4FB9" w:rsidP="0077697A">
            <w:pPr>
              <w:tabs>
                <w:tab w:val="clear" w:pos="720"/>
                <w:tab w:val="clear" w:pos="1440"/>
                <w:tab w:val="clear" w:pos="2160"/>
                <w:tab w:val="clear" w:pos="2880"/>
                <w:tab w:val="clear" w:pos="4680"/>
                <w:tab w:val="clear" w:pos="5400"/>
                <w:tab w:val="clear" w:pos="9000"/>
              </w:tabs>
              <w:spacing w:line="280" w:lineRule="atLeast"/>
              <w:jc w:val="right"/>
              <w:outlineLvl w:val="0"/>
              <w:rPr>
                <w:kern w:val="28"/>
                <w:sz w:val="26"/>
                <w:szCs w:val="26"/>
                <w:lang w:eastAsia="en-GB"/>
              </w:rPr>
            </w:pPr>
            <w:bookmarkStart w:id="1" w:name="_Toc410812276"/>
            <w:r w:rsidRPr="00E77608">
              <w:rPr>
                <w:kern w:val="28"/>
                <w:sz w:val="26"/>
                <w:szCs w:val="26"/>
                <w:lang w:eastAsia="en-GB"/>
              </w:rPr>
              <w:t>English only</w:t>
            </w:r>
            <w:bookmarkEnd w:id="1"/>
          </w:p>
        </w:tc>
      </w:tr>
      <w:tr w:rsidR="007B4FB9" w:rsidRPr="000E2F33" w14:paraId="71F3B9C2" w14:textId="77777777" w:rsidTr="0077697A">
        <w:trPr>
          <w:trHeight w:val="284"/>
        </w:trPr>
        <w:tc>
          <w:tcPr>
            <w:tcW w:w="9724" w:type="dxa"/>
            <w:gridSpan w:val="2"/>
          </w:tcPr>
          <w:p w14:paraId="186EE92A" w14:textId="77777777" w:rsidR="007B4FB9" w:rsidRPr="000E2F33" w:rsidRDefault="007B4FB9" w:rsidP="0077697A">
            <w:pPr>
              <w:tabs>
                <w:tab w:val="clear" w:pos="720"/>
                <w:tab w:val="clear" w:pos="1440"/>
                <w:tab w:val="clear" w:pos="2160"/>
                <w:tab w:val="clear" w:pos="2880"/>
                <w:tab w:val="clear" w:pos="4680"/>
                <w:tab w:val="clear" w:pos="5400"/>
                <w:tab w:val="clear" w:pos="9000"/>
                <w:tab w:val="left" w:pos="567"/>
              </w:tabs>
              <w:spacing w:line="240" w:lineRule="auto"/>
              <w:jc w:val="left"/>
              <w:rPr>
                <w:i/>
                <w:sz w:val="26"/>
                <w:szCs w:val="26"/>
              </w:rPr>
            </w:pPr>
            <w:r w:rsidRPr="000E2F33">
              <w:rPr>
                <w:sz w:val="26"/>
                <w:szCs w:val="26"/>
              </w:rPr>
              <w:t>OSPAR Convention for the Protection of the Marine Environment of the North-East Atlantic</w:t>
            </w:r>
          </w:p>
        </w:tc>
      </w:tr>
    </w:tbl>
    <w:p w14:paraId="2E2A4EF3" w14:textId="77777777" w:rsidR="007B4FB9" w:rsidRPr="000E2F33" w:rsidRDefault="00C27698" w:rsidP="007B4FB9">
      <w:pPr>
        <w:pStyle w:val="Title"/>
        <w:spacing w:before="240"/>
      </w:pPr>
      <w:r>
        <w:t xml:space="preserve">Guidance for </w:t>
      </w:r>
      <w:r w:rsidR="003A2472">
        <w:t xml:space="preserve">the application of OSPAR reporting units </w:t>
      </w:r>
      <w:r w:rsidR="007B4FB9" w:rsidRPr="00256A6F">
        <w:t xml:space="preserve">for </w:t>
      </w:r>
      <w:r w:rsidR="003A2472">
        <w:t>the IA2017</w:t>
      </w:r>
    </w:p>
    <w:p w14:paraId="28238357" w14:textId="7EC1B79C" w:rsidR="007B4FB9" w:rsidRDefault="00891E2B" w:rsidP="00490172">
      <w:pPr>
        <w:pStyle w:val="Heading1"/>
      </w:pPr>
      <w:r>
        <w:t>What are the reporting units for?</w:t>
      </w:r>
    </w:p>
    <w:p w14:paraId="25F1B1BD" w14:textId="443C747B" w:rsidR="003670E8" w:rsidRDefault="00891E2B" w:rsidP="003670E8">
      <w:r w:rsidRPr="006202AF">
        <w:rPr>
          <w:b/>
        </w:rPr>
        <w:t>Reporting units</w:t>
      </w:r>
      <w:r>
        <w:t xml:space="preserve"> are used to spatially </w:t>
      </w:r>
      <w:r w:rsidR="006202AF">
        <w:t xml:space="preserve">define an </w:t>
      </w:r>
      <w:r>
        <w:t xml:space="preserve">area for the purpose of presenting the results calculated from an assessment. The assessment itself is to be </w:t>
      </w:r>
      <w:r w:rsidR="00505EFF">
        <w:t>conducted</w:t>
      </w:r>
      <w:r>
        <w:t xml:space="preserve"> using a defined methodology (</w:t>
      </w:r>
      <w:r w:rsidR="00505EFF">
        <w:t xml:space="preserve">e.g. </w:t>
      </w:r>
      <w:r>
        <w:t>CEMP, JAMP</w:t>
      </w:r>
      <w:r w:rsidR="00505EFF">
        <w:t xml:space="preserve"> guidelines</w:t>
      </w:r>
      <w:r>
        <w:t>)</w:t>
      </w:r>
      <w:r w:rsidR="00BA4B56">
        <w:t>,</w:t>
      </w:r>
      <w:r w:rsidR="00505EFF">
        <w:t xml:space="preserve"> </w:t>
      </w:r>
      <w:r w:rsidR="006B2197" w:rsidRPr="00382287">
        <w:t xml:space="preserve">at the scale </w:t>
      </w:r>
      <w:r w:rsidR="006B2197">
        <w:t xml:space="preserve">that is scientifically and ecologically </w:t>
      </w:r>
      <w:r w:rsidR="006B2197" w:rsidRPr="00382287">
        <w:t xml:space="preserve">appropriate to </w:t>
      </w:r>
      <w:r w:rsidR="00490172">
        <w:t>detecting the signal of the indicator</w:t>
      </w:r>
      <w:r w:rsidR="00490172" w:rsidRPr="00382287">
        <w:t xml:space="preserve"> </w:t>
      </w:r>
      <w:r w:rsidR="006B2197" w:rsidRPr="00382287">
        <w:t>or theme</w:t>
      </w:r>
      <w:r w:rsidR="00505EFF">
        <w:t xml:space="preserve">. </w:t>
      </w:r>
      <w:r w:rsidR="003670E8" w:rsidRPr="0079240D">
        <w:t xml:space="preserve">Every </w:t>
      </w:r>
      <w:r w:rsidR="003670E8">
        <w:t>common</w:t>
      </w:r>
      <w:r w:rsidR="003670E8" w:rsidRPr="0079240D">
        <w:t xml:space="preserve"> indicator </w:t>
      </w:r>
      <w:r w:rsidR="003670E8">
        <w:t xml:space="preserve">assessment </w:t>
      </w:r>
      <w:r w:rsidR="003670E8" w:rsidRPr="0079240D">
        <w:t>should present the key-message</w:t>
      </w:r>
      <w:r w:rsidR="003670E8">
        <w:t xml:space="preserve"> for the entire area that has been assessed</w:t>
      </w:r>
      <w:r w:rsidR="003670E8" w:rsidRPr="0079240D">
        <w:t>.</w:t>
      </w:r>
      <w:r w:rsidR="003670E8">
        <w:t xml:space="preserve"> </w:t>
      </w:r>
      <w:r w:rsidR="003670E8" w:rsidRPr="0079240D">
        <w:t>In the background information of the indicator, several maps</w:t>
      </w:r>
      <w:r w:rsidR="003670E8">
        <w:t>/charts/tables/figures</w:t>
      </w:r>
      <w:r w:rsidR="003670E8" w:rsidRPr="0079240D">
        <w:t xml:space="preserve"> can be presented e.g. if the indicator uses several different species then each species can be presented on a separate map.</w:t>
      </w:r>
    </w:p>
    <w:p w14:paraId="56A2DEAF" w14:textId="1CB63B83" w:rsidR="007750C4" w:rsidRDefault="006B2197" w:rsidP="00891E2B">
      <w:r>
        <w:t>Subsequently, experts</w:t>
      </w:r>
      <w:r w:rsidRPr="00382287">
        <w:t xml:space="preserve"> </w:t>
      </w:r>
      <w:r>
        <w:t>should</w:t>
      </w:r>
      <w:r w:rsidRPr="00382287">
        <w:t xml:space="preserve"> identify the smallest applicable </w:t>
      </w:r>
      <w:r>
        <w:t>unit(s)</w:t>
      </w:r>
      <w:r w:rsidRPr="00382287">
        <w:t xml:space="preserve"> at which the results of the assessment can be reported.</w:t>
      </w:r>
      <w:r>
        <w:t xml:space="preserve"> The unique </w:t>
      </w:r>
      <w:r w:rsidR="006727E9">
        <w:t>ID</w:t>
      </w:r>
      <w:r>
        <w:t xml:space="preserve"> for </w:t>
      </w:r>
      <w:r w:rsidR="00BB194D">
        <w:t>the relevant reporting unit(s) must</w:t>
      </w:r>
      <w:r>
        <w:t xml:space="preserve"> then</w:t>
      </w:r>
      <w:r w:rsidR="00BB194D">
        <w:t xml:space="preserve"> be</w:t>
      </w:r>
      <w:r>
        <w:t xml:space="preserve"> listed in the assessment sheet</w:t>
      </w:r>
      <w:r w:rsidR="00BC2417">
        <w:t>.</w:t>
      </w:r>
    </w:p>
    <w:p w14:paraId="1E6A8C75" w14:textId="713E867E" w:rsidR="00F9158B" w:rsidRDefault="00BB194D" w:rsidP="00F9158B">
      <w:r>
        <w:t>There are five Levels of reporting units, Levels 0–4</w:t>
      </w:r>
      <w:r w:rsidR="00F9158B">
        <w:t xml:space="preserve"> illustrated in </w:t>
      </w:r>
      <w:r>
        <w:t>Figure 1</w:t>
      </w:r>
      <w:r w:rsidR="00F9158B">
        <w:t>.</w:t>
      </w:r>
      <w:r w:rsidR="00F9158B" w:rsidRPr="00F9158B">
        <w:t xml:space="preserve"> </w:t>
      </w:r>
    </w:p>
    <w:p w14:paraId="72892FC0" w14:textId="789B19ED" w:rsidR="00F9158B" w:rsidRPr="00603F83" w:rsidRDefault="00F9158B" w:rsidP="00F9158B">
      <w:r>
        <w:t>Reporting units at Level 2 enable selection of MSFD (sub</w:t>
      </w:r>
      <w:proofErr w:type="gramStart"/>
      <w:r>
        <w:t>)regions</w:t>
      </w:r>
      <w:proofErr w:type="gramEnd"/>
      <w:r>
        <w:t>. The MSFD North-East Atlantic Ocean region is divided into four subregions; the Greater North Sea (including Kattegat &amp; English Channel), the Celtic Seas, the Bay of Biscay &amp; Iberian Coast, and the Atlantic Ocean including Macaronesia</w:t>
      </w:r>
      <w:r>
        <w:rPr>
          <w:rStyle w:val="FootnoteReference"/>
        </w:rPr>
        <w:footnoteReference w:id="1"/>
      </w:r>
      <w:r>
        <w:t>. MSFD Art.4 further provides for subdivision of each region or subregion, providing an important tool for delivery of an ecosystem-based approach below the scale of (sub</w:t>
      </w:r>
      <w:proofErr w:type="gramStart"/>
      <w:r>
        <w:t>)region</w:t>
      </w:r>
      <w:proofErr w:type="gramEnd"/>
      <w:r>
        <w:t xml:space="preserve">. </w:t>
      </w:r>
    </w:p>
    <w:p w14:paraId="3F9E8EF8" w14:textId="3AD0B1D6" w:rsidR="00BB194D" w:rsidRDefault="00F9158B" w:rsidP="00891E2B">
      <w:r>
        <w:t>T</w:t>
      </w:r>
      <w:r w:rsidRPr="00C83706">
        <w:t xml:space="preserve">he </w:t>
      </w:r>
      <w:r>
        <w:t>MSFD</w:t>
      </w:r>
      <w:r w:rsidRPr="00C83706">
        <w:t xml:space="preserve"> </w:t>
      </w:r>
      <w:r>
        <w:t xml:space="preserve">states </w:t>
      </w:r>
      <w:r w:rsidRPr="00C83706">
        <w:t>that GES must be deter</w:t>
      </w:r>
      <w:r>
        <w:t>mined at a (sub</w:t>
      </w:r>
      <w:proofErr w:type="gramStart"/>
      <w:r>
        <w:t>)regional</w:t>
      </w:r>
      <w:proofErr w:type="gramEnd"/>
      <w:r>
        <w:t xml:space="preserve"> scale</w:t>
      </w:r>
      <w:r>
        <w:rPr>
          <w:rStyle w:val="FootnoteReference"/>
        </w:rPr>
        <w:footnoteReference w:id="2"/>
      </w:r>
      <w:r w:rsidRPr="00C83706">
        <w:t xml:space="preserve">. However, this does not imply that GES must be assessed at this scale, where ecosystem characteristics, links to pressures and their management, and the practicalities of implementation (e.g. administrative boundaries) can lead to a variety of scales to be used for assessments. </w:t>
      </w:r>
      <w:r>
        <w:t>The</w:t>
      </w:r>
      <w:r w:rsidRPr="00C83706">
        <w:t xml:space="preserve"> assessments can show that some areas are in GES whilst other areas are not. </w:t>
      </w:r>
    </w:p>
    <w:p w14:paraId="213D3926" w14:textId="130DE005" w:rsidR="00F9158B" w:rsidRPr="00490172" w:rsidRDefault="00F9158B" w:rsidP="00490172">
      <w:pPr>
        <w:pStyle w:val="Heading1"/>
      </w:pPr>
      <w:r w:rsidRPr="00490172">
        <w:t>How to apply the reporting units</w:t>
      </w:r>
    </w:p>
    <w:p w14:paraId="44C63C99" w14:textId="77777777" w:rsidR="00F9158B" w:rsidRDefault="00F9158B" w:rsidP="00F9158B">
      <w:r>
        <w:t xml:space="preserve">The method for selecting suitable reporting units to represent the results of assessments requires knowledge of the underlying data and how a reporting unit can best represent the results derived from the assessment. For example, for point data where a sample station applies only to the local area, Level 4 regions would be applicable as this contains the smallest reporting unit. For data where the area of application is very wide, Level 0 would be suitable. This will present the results from the assessment at an OSPAR-wide scale. </w:t>
      </w:r>
    </w:p>
    <w:p w14:paraId="734323F9" w14:textId="374A630F" w:rsidR="00F9158B" w:rsidRDefault="00F9158B" w:rsidP="00891E2B">
      <w:r>
        <w:t>If areas need to be excluded from a representation, then Level 3 or 4 should be selected so that, for example, the coastal zone can be excluded.</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72"/>
        <w:gridCol w:w="4770"/>
      </w:tblGrid>
      <w:tr w:rsidR="00306F02" w14:paraId="4E0DA8A2" w14:textId="77777777" w:rsidTr="00BB194D">
        <w:tc>
          <w:tcPr>
            <w:tcW w:w="4621" w:type="dxa"/>
            <w:tcBorders>
              <w:top w:val="single" w:sz="4" w:space="0" w:color="auto"/>
              <w:left w:val="single" w:sz="4" w:space="0" w:color="auto"/>
              <w:bottom w:val="single" w:sz="4" w:space="0" w:color="auto"/>
              <w:right w:val="single" w:sz="4" w:space="0" w:color="auto"/>
            </w:tcBorders>
            <w:vAlign w:val="bottom"/>
          </w:tcPr>
          <w:p w14:paraId="6B2B2726" w14:textId="1097C711" w:rsidR="00306F02" w:rsidRDefault="00A45B50" w:rsidP="00BB194D">
            <w:pPr>
              <w:pStyle w:val="ListParagraph"/>
              <w:ind w:left="0"/>
              <w:jc w:val="center"/>
            </w:pPr>
            <w:r>
              <w:rPr>
                <w:noProof/>
              </w:rPr>
              <w:lastRenderedPageBreak/>
              <w:drawing>
                <wp:inline distT="0" distB="0" distL="0" distR="0" wp14:anchorId="3C0B9AA3" wp14:editId="536EAAB7">
                  <wp:extent cx="2720654" cy="2266122"/>
                  <wp:effectExtent l="0" t="0" r="381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7335" cy="2271687"/>
                          </a:xfrm>
                          <a:prstGeom prst="rect">
                            <a:avLst/>
                          </a:prstGeom>
                          <a:noFill/>
                          <a:ln>
                            <a:noFill/>
                          </a:ln>
                        </pic:spPr>
                      </pic:pic>
                    </a:graphicData>
                  </a:graphic>
                </wp:inline>
              </w:drawing>
            </w:r>
          </w:p>
        </w:tc>
        <w:tc>
          <w:tcPr>
            <w:tcW w:w="4621" w:type="dxa"/>
            <w:tcBorders>
              <w:top w:val="single" w:sz="4" w:space="0" w:color="auto"/>
              <w:left w:val="single" w:sz="4" w:space="0" w:color="auto"/>
              <w:bottom w:val="single" w:sz="4" w:space="0" w:color="auto"/>
              <w:right w:val="single" w:sz="4" w:space="0" w:color="auto"/>
            </w:tcBorders>
            <w:vAlign w:val="center"/>
          </w:tcPr>
          <w:p w14:paraId="7189C9BF" w14:textId="3E177DD4" w:rsidR="00306F02" w:rsidRDefault="00A45B50" w:rsidP="00BB194D">
            <w:pPr>
              <w:tabs>
                <w:tab w:val="clear" w:pos="2160"/>
              </w:tabs>
              <w:jc w:val="right"/>
            </w:pPr>
            <w:r>
              <w:rPr>
                <w:noProof/>
              </w:rPr>
              <w:drawing>
                <wp:anchor distT="0" distB="0" distL="114300" distR="114300" simplePos="0" relativeHeight="251664384" behindDoc="0" locked="0" layoutInCell="1" allowOverlap="1" wp14:anchorId="27D84638" wp14:editId="11FD406C">
                  <wp:simplePos x="0" y="0"/>
                  <wp:positionH relativeFrom="column">
                    <wp:posOffset>428625</wp:posOffset>
                  </wp:positionH>
                  <wp:positionV relativeFrom="paragraph">
                    <wp:posOffset>-28575</wp:posOffset>
                  </wp:positionV>
                  <wp:extent cx="1939290" cy="2263775"/>
                  <wp:effectExtent l="0" t="0" r="381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290" cy="22637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6769B" w:rsidRPr="00766751" w14:paraId="5EFA07A4" w14:textId="77777777" w:rsidTr="00BB194D">
        <w:tc>
          <w:tcPr>
            <w:tcW w:w="4621" w:type="dxa"/>
            <w:tcBorders>
              <w:top w:val="single" w:sz="4" w:space="0" w:color="auto"/>
              <w:bottom w:val="single" w:sz="4" w:space="0" w:color="auto"/>
              <w:right w:val="nil"/>
            </w:tcBorders>
            <w:tcMar>
              <w:right w:w="0" w:type="dxa"/>
            </w:tcMar>
          </w:tcPr>
          <w:p w14:paraId="11CAC049" w14:textId="5DE38002" w:rsidR="0026769B" w:rsidRPr="00766751" w:rsidRDefault="0026769B" w:rsidP="00BB194D">
            <w:pPr>
              <w:pStyle w:val="ListParagraph"/>
              <w:ind w:left="0"/>
              <w:jc w:val="right"/>
              <w:rPr>
                <w:sz w:val="22"/>
              </w:rPr>
            </w:pPr>
            <w:r w:rsidRPr="00766751">
              <w:rPr>
                <w:sz w:val="22"/>
              </w:rPr>
              <w:t xml:space="preserve">(a) </w:t>
            </w:r>
          </w:p>
        </w:tc>
        <w:tc>
          <w:tcPr>
            <w:tcW w:w="4621" w:type="dxa"/>
            <w:tcBorders>
              <w:top w:val="single" w:sz="4" w:space="0" w:color="auto"/>
              <w:left w:val="nil"/>
              <w:bottom w:val="single" w:sz="4" w:space="0" w:color="auto"/>
            </w:tcBorders>
            <w:tcMar>
              <w:right w:w="0" w:type="dxa"/>
            </w:tcMar>
          </w:tcPr>
          <w:p w14:paraId="2A3F71B5" w14:textId="7BB2A2BE" w:rsidR="0026769B" w:rsidRPr="00766751" w:rsidRDefault="0026769B" w:rsidP="00BB194D">
            <w:pPr>
              <w:jc w:val="right"/>
              <w:rPr>
                <w:sz w:val="22"/>
                <w:szCs w:val="22"/>
              </w:rPr>
            </w:pPr>
            <w:r w:rsidRPr="00766751">
              <w:rPr>
                <w:sz w:val="22"/>
                <w:szCs w:val="22"/>
              </w:rPr>
              <w:t xml:space="preserve">(b) </w:t>
            </w:r>
          </w:p>
        </w:tc>
      </w:tr>
      <w:tr w:rsidR="00306F02" w:rsidRPr="00766751" w14:paraId="761C963C" w14:textId="77777777" w:rsidTr="0026769B">
        <w:tc>
          <w:tcPr>
            <w:tcW w:w="4621" w:type="dxa"/>
            <w:tcBorders>
              <w:top w:val="single" w:sz="4" w:space="0" w:color="auto"/>
              <w:left w:val="single" w:sz="4" w:space="0" w:color="auto"/>
              <w:bottom w:val="single" w:sz="4" w:space="0" w:color="auto"/>
              <w:right w:val="single" w:sz="4" w:space="0" w:color="auto"/>
            </w:tcBorders>
          </w:tcPr>
          <w:p w14:paraId="464A2D1B" w14:textId="7734A77B" w:rsidR="00306F02" w:rsidRPr="00766751" w:rsidRDefault="00A45B50" w:rsidP="00891E2B">
            <w:pPr>
              <w:rPr>
                <w:sz w:val="22"/>
                <w:szCs w:val="22"/>
              </w:rPr>
            </w:pPr>
            <w:r>
              <w:rPr>
                <w:noProof/>
              </w:rPr>
              <w:drawing>
                <wp:inline distT="0" distB="0" distL="0" distR="0" wp14:anchorId="5F4C60BA" wp14:editId="6F3317FA">
                  <wp:extent cx="2244599" cy="2264400"/>
                  <wp:effectExtent l="0" t="0" r="381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9108" t="6552" b="3674"/>
                          <a:stretch>
                            <a:fillRect/>
                          </a:stretch>
                        </pic:blipFill>
                        <pic:spPr bwMode="auto">
                          <a:xfrm>
                            <a:off x="0" y="0"/>
                            <a:ext cx="2244599" cy="2264400"/>
                          </a:xfrm>
                          <a:prstGeom prst="rect">
                            <a:avLst/>
                          </a:prstGeom>
                          <a:noFill/>
                          <a:ln>
                            <a:noFill/>
                          </a:ln>
                        </pic:spPr>
                      </pic:pic>
                    </a:graphicData>
                  </a:graphic>
                </wp:inline>
              </w:drawing>
            </w:r>
          </w:p>
        </w:tc>
        <w:tc>
          <w:tcPr>
            <w:tcW w:w="4621" w:type="dxa"/>
            <w:tcBorders>
              <w:top w:val="single" w:sz="4" w:space="0" w:color="auto"/>
              <w:left w:val="single" w:sz="4" w:space="0" w:color="auto"/>
              <w:bottom w:val="single" w:sz="4" w:space="0" w:color="auto"/>
              <w:right w:val="single" w:sz="4" w:space="0" w:color="auto"/>
            </w:tcBorders>
          </w:tcPr>
          <w:p w14:paraId="26B12D1E" w14:textId="2B641B23" w:rsidR="00306F02" w:rsidRPr="00766751" w:rsidRDefault="00A45B50" w:rsidP="00891E2B">
            <w:pPr>
              <w:rPr>
                <w:sz w:val="22"/>
                <w:szCs w:val="22"/>
              </w:rPr>
            </w:pPr>
            <w:r>
              <w:rPr>
                <w:noProof/>
              </w:rPr>
              <w:drawing>
                <wp:inline distT="0" distB="0" distL="0" distR="0" wp14:anchorId="140AD9FD" wp14:editId="3E357969">
                  <wp:extent cx="2909228" cy="2264400"/>
                  <wp:effectExtent l="0" t="0" r="571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8841" t="17183"/>
                          <a:stretch>
                            <a:fillRect/>
                          </a:stretch>
                        </pic:blipFill>
                        <pic:spPr bwMode="auto">
                          <a:xfrm>
                            <a:off x="0" y="0"/>
                            <a:ext cx="2909228" cy="2264400"/>
                          </a:xfrm>
                          <a:prstGeom prst="rect">
                            <a:avLst/>
                          </a:prstGeom>
                          <a:noFill/>
                          <a:ln>
                            <a:noFill/>
                          </a:ln>
                        </pic:spPr>
                      </pic:pic>
                    </a:graphicData>
                  </a:graphic>
                </wp:inline>
              </w:drawing>
            </w:r>
          </w:p>
        </w:tc>
      </w:tr>
      <w:tr w:rsidR="0026769B" w:rsidRPr="00766751" w14:paraId="0968FC22" w14:textId="77777777" w:rsidTr="00BB194D">
        <w:tc>
          <w:tcPr>
            <w:tcW w:w="4621" w:type="dxa"/>
            <w:tcBorders>
              <w:top w:val="single" w:sz="4" w:space="0" w:color="auto"/>
              <w:bottom w:val="single" w:sz="4" w:space="0" w:color="auto"/>
              <w:right w:val="nil"/>
            </w:tcBorders>
            <w:tcMar>
              <w:right w:w="0" w:type="dxa"/>
            </w:tcMar>
          </w:tcPr>
          <w:p w14:paraId="18EE6B66" w14:textId="7E6EABE5" w:rsidR="0026769B" w:rsidRPr="00766751" w:rsidRDefault="0026769B" w:rsidP="00BB194D">
            <w:pPr>
              <w:pStyle w:val="ListParagraph"/>
              <w:ind w:left="0"/>
              <w:jc w:val="right"/>
              <w:rPr>
                <w:sz w:val="22"/>
              </w:rPr>
            </w:pPr>
            <w:r w:rsidRPr="00766751">
              <w:rPr>
                <w:sz w:val="22"/>
              </w:rPr>
              <w:t>(c)</w:t>
            </w:r>
          </w:p>
        </w:tc>
        <w:tc>
          <w:tcPr>
            <w:tcW w:w="4621" w:type="dxa"/>
            <w:tcBorders>
              <w:top w:val="single" w:sz="4" w:space="0" w:color="auto"/>
              <w:left w:val="nil"/>
              <w:bottom w:val="nil"/>
            </w:tcBorders>
            <w:tcMar>
              <w:right w:w="0" w:type="dxa"/>
            </w:tcMar>
          </w:tcPr>
          <w:p w14:paraId="0D9ADEFB" w14:textId="328DA138" w:rsidR="0026769B" w:rsidRPr="00766751" w:rsidRDefault="00BB194D" w:rsidP="00BB194D">
            <w:pPr>
              <w:jc w:val="right"/>
              <w:rPr>
                <w:sz w:val="22"/>
                <w:szCs w:val="22"/>
              </w:rPr>
            </w:pPr>
            <w:r w:rsidRPr="00766751">
              <w:rPr>
                <w:sz w:val="22"/>
                <w:szCs w:val="22"/>
              </w:rPr>
              <w:t>(d)</w:t>
            </w:r>
          </w:p>
        </w:tc>
      </w:tr>
      <w:tr w:rsidR="00306F02" w:rsidRPr="00766751" w14:paraId="2FFB41C0" w14:textId="77777777" w:rsidTr="0026769B">
        <w:tc>
          <w:tcPr>
            <w:tcW w:w="4621" w:type="dxa"/>
            <w:tcBorders>
              <w:top w:val="single" w:sz="4" w:space="0" w:color="auto"/>
              <w:left w:val="single" w:sz="4" w:space="0" w:color="auto"/>
              <w:bottom w:val="single" w:sz="4" w:space="0" w:color="auto"/>
            </w:tcBorders>
          </w:tcPr>
          <w:p w14:paraId="41BC80CB" w14:textId="795F5ACA" w:rsidR="00306F02" w:rsidRPr="00766751" w:rsidRDefault="00A45B50" w:rsidP="00891E2B">
            <w:pPr>
              <w:rPr>
                <w:sz w:val="22"/>
                <w:szCs w:val="22"/>
              </w:rPr>
            </w:pPr>
            <w:r>
              <w:rPr>
                <w:noProof/>
              </w:rPr>
              <w:drawing>
                <wp:inline distT="0" distB="0" distL="0" distR="0" wp14:anchorId="3B822755" wp14:editId="2E49938A">
                  <wp:extent cx="2175126" cy="2264400"/>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5126" cy="2264400"/>
                          </a:xfrm>
                          <a:prstGeom prst="rect">
                            <a:avLst/>
                          </a:prstGeom>
                          <a:noFill/>
                          <a:ln>
                            <a:noFill/>
                          </a:ln>
                        </pic:spPr>
                      </pic:pic>
                    </a:graphicData>
                  </a:graphic>
                </wp:inline>
              </w:drawing>
            </w:r>
          </w:p>
        </w:tc>
        <w:tc>
          <w:tcPr>
            <w:tcW w:w="4621" w:type="dxa"/>
            <w:tcBorders>
              <w:top w:val="nil"/>
              <w:bottom w:val="nil"/>
            </w:tcBorders>
          </w:tcPr>
          <w:p w14:paraId="77A5D578" w14:textId="77777777" w:rsidR="00306F02" w:rsidRPr="00766751" w:rsidRDefault="00306F02" w:rsidP="00891E2B">
            <w:pPr>
              <w:rPr>
                <w:sz w:val="22"/>
                <w:szCs w:val="22"/>
              </w:rPr>
            </w:pPr>
          </w:p>
        </w:tc>
      </w:tr>
      <w:tr w:rsidR="00BB194D" w:rsidRPr="00766751" w14:paraId="134C9C09" w14:textId="77777777" w:rsidTr="00BB194D">
        <w:tc>
          <w:tcPr>
            <w:tcW w:w="4621" w:type="dxa"/>
            <w:tcBorders>
              <w:top w:val="single" w:sz="4" w:space="0" w:color="auto"/>
              <w:left w:val="nil"/>
              <w:bottom w:val="nil"/>
              <w:right w:val="nil"/>
            </w:tcBorders>
            <w:tcMar>
              <w:right w:w="0" w:type="dxa"/>
            </w:tcMar>
          </w:tcPr>
          <w:p w14:paraId="05C6C16F" w14:textId="5601FB70" w:rsidR="00BB194D" w:rsidRPr="00766751" w:rsidRDefault="00BB194D" w:rsidP="00BB194D">
            <w:pPr>
              <w:jc w:val="right"/>
              <w:rPr>
                <w:noProof/>
                <w:sz w:val="22"/>
                <w:szCs w:val="22"/>
              </w:rPr>
            </w:pPr>
            <w:r w:rsidRPr="00766751">
              <w:rPr>
                <w:noProof/>
                <w:sz w:val="22"/>
                <w:szCs w:val="22"/>
              </w:rPr>
              <w:t>(e)</w:t>
            </w:r>
          </w:p>
        </w:tc>
        <w:tc>
          <w:tcPr>
            <w:tcW w:w="4621" w:type="dxa"/>
            <w:tcBorders>
              <w:top w:val="nil"/>
              <w:left w:val="nil"/>
              <w:bottom w:val="nil"/>
            </w:tcBorders>
          </w:tcPr>
          <w:p w14:paraId="34F76E3B" w14:textId="77777777" w:rsidR="00BB194D" w:rsidRPr="00766751" w:rsidRDefault="00BB194D" w:rsidP="00891E2B">
            <w:pPr>
              <w:rPr>
                <w:sz w:val="22"/>
                <w:szCs w:val="22"/>
              </w:rPr>
            </w:pPr>
          </w:p>
        </w:tc>
      </w:tr>
      <w:tr w:rsidR="00BB194D" w:rsidRPr="00BB194D" w14:paraId="0C1C5264" w14:textId="77777777" w:rsidTr="00BB194D">
        <w:tc>
          <w:tcPr>
            <w:tcW w:w="9242" w:type="dxa"/>
            <w:gridSpan w:val="2"/>
            <w:tcBorders>
              <w:top w:val="nil"/>
              <w:bottom w:val="nil"/>
            </w:tcBorders>
          </w:tcPr>
          <w:p w14:paraId="4C9BB284" w14:textId="7B1557EE" w:rsidR="00BB194D" w:rsidRPr="00766751" w:rsidRDefault="00BB194D" w:rsidP="00BB194D">
            <w:pPr>
              <w:rPr>
                <w:i/>
                <w:sz w:val="22"/>
                <w:szCs w:val="22"/>
              </w:rPr>
            </w:pPr>
            <w:r w:rsidRPr="00766751">
              <w:rPr>
                <w:i/>
                <w:sz w:val="22"/>
                <w:szCs w:val="22"/>
              </w:rPr>
              <w:t>Figure 1: OSPAR Reporting Units; (a) Level 0 – OSPAR area, (b) Level 1 – OSPAR regions, (c) Level 2 – Subset of OSPAR regions, (d) Level 3 – Zone of coastal influence, and (e) Level 4 – WFD regions/amalgam of WFD regions</w:t>
            </w:r>
          </w:p>
        </w:tc>
      </w:tr>
    </w:tbl>
    <w:p w14:paraId="11DE91B8" w14:textId="7B559973" w:rsidR="00F555C9" w:rsidRDefault="00F555C9" w:rsidP="00490172">
      <w:pPr>
        <w:pStyle w:val="Heading1"/>
      </w:pPr>
      <w:r w:rsidRPr="005924F4">
        <w:lastRenderedPageBreak/>
        <w:t>Naming structure of reporting units</w:t>
      </w:r>
    </w:p>
    <w:p w14:paraId="4AAF2ED6" w14:textId="38005D1E" w:rsidR="00F555C9" w:rsidRDefault="00113F3D" w:rsidP="00E72C1B">
      <w:r>
        <w:t xml:space="preserve">Following the spatial structure, OSPAR Reporting Units </w:t>
      </w:r>
      <w:r w:rsidR="00E72C1B">
        <w:t>have a unique identifi</w:t>
      </w:r>
      <w:r w:rsidR="00553EA7">
        <w:t>er</w:t>
      </w:r>
      <w:r w:rsidR="00E72C1B">
        <w:t xml:space="preserve"> (ID), using a nested approach. A unit ID begins with the corresponding L</w:t>
      </w:r>
      <w:r>
        <w:t xml:space="preserve">evel number and </w:t>
      </w:r>
      <w:r w:rsidR="008D2578">
        <w:t>the ID of the larger unit within which it is nested</w:t>
      </w:r>
      <w:r w:rsidR="00941527">
        <w:t>. T</w:t>
      </w:r>
      <w:r>
        <w:t>he addition</w:t>
      </w:r>
      <w:r w:rsidR="00941527">
        <w:t>al</w:t>
      </w:r>
      <w:r>
        <w:t xml:space="preserve"> number</w:t>
      </w:r>
      <w:r w:rsidR="00941527">
        <w:t>s in the ID represent</w:t>
      </w:r>
      <w:r>
        <w:t xml:space="preserve"> </w:t>
      </w:r>
      <w:r w:rsidR="00941527">
        <w:t>the</w:t>
      </w:r>
      <w:r>
        <w:t xml:space="preserve"> sub</w:t>
      </w:r>
      <w:r w:rsidR="008D2578">
        <w:t>divisions of the larger unit</w:t>
      </w:r>
      <w:r>
        <w:t>. For example, see Table 1 with a visual re</w:t>
      </w:r>
      <w:r w:rsidR="00E72C1B">
        <w:t>presentation shown in Figure 2.</w:t>
      </w:r>
    </w:p>
    <w:p w14:paraId="1B9625E1" w14:textId="77777777" w:rsidR="00E72C1B" w:rsidRPr="00E72C1B" w:rsidRDefault="00E72C1B" w:rsidP="00E72C1B">
      <w:pPr>
        <w:rPr>
          <w:i/>
        </w:rPr>
      </w:pPr>
      <w:r w:rsidRPr="00E72C1B">
        <w:rPr>
          <w:i/>
        </w:rPr>
        <w:t xml:space="preserve">Table 1: Nested naming breakdown of OSPAR Reporting Units </w:t>
      </w:r>
    </w:p>
    <w:tbl>
      <w:tblPr>
        <w:tblStyle w:val="TableGrid"/>
        <w:tblW w:w="0" w:type="auto"/>
        <w:tblInd w:w="40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1267"/>
        <w:gridCol w:w="1263"/>
        <w:gridCol w:w="1263"/>
        <w:gridCol w:w="1263"/>
        <w:gridCol w:w="1263"/>
      </w:tblGrid>
      <w:tr w:rsidR="00135C82" w:rsidRPr="005924F4" w14:paraId="0A20B627" w14:textId="77777777" w:rsidTr="005924F4">
        <w:tc>
          <w:tcPr>
            <w:tcW w:w="1267" w:type="dxa"/>
            <w:tcBorders>
              <w:top w:val="single" w:sz="4" w:space="0" w:color="auto"/>
              <w:bottom w:val="single" w:sz="4" w:space="0" w:color="auto"/>
            </w:tcBorders>
            <w:shd w:val="pct10" w:color="auto" w:fill="auto"/>
          </w:tcPr>
          <w:p w14:paraId="603A9919" w14:textId="2FBD42A8" w:rsidR="00135C82" w:rsidRPr="005924F4" w:rsidRDefault="00135C82" w:rsidP="00685643">
            <w:pPr>
              <w:pStyle w:val="ListParagraph"/>
              <w:ind w:left="0"/>
              <w:rPr>
                <w:b/>
              </w:rPr>
            </w:pPr>
            <w:r w:rsidRPr="005924F4">
              <w:rPr>
                <w:b/>
              </w:rPr>
              <w:t>Unit Name</w:t>
            </w:r>
          </w:p>
        </w:tc>
        <w:tc>
          <w:tcPr>
            <w:tcW w:w="6319" w:type="dxa"/>
            <w:gridSpan w:val="5"/>
            <w:tcBorders>
              <w:top w:val="single" w:sz="4" w:space="0" w:color="auto"/>
              <w:bottom w:val="single" w:sz="4" w:space="0" w:color="auto"/>
            </w:tcBorders>
            <w:shd w:val="pct10" w:color="auto" w:fill="auto"/>
          </w:tcPr>
          <w:p w14:paraId="1CE947A5" w14:textId="07B7A952" w:rsidR="00135C82" w:rsidRPr="005924F4" w:rsidRDefault="00135C82" w:rsidP="00685643">
            <w:pPr>
              <w:pStyle w:val="ListParagraph"/>
              <w:ind w:left="0"/>
              <w:rPr>
                <w:b/>
              </w:rPr>
            </w:pPr>
            <w:r w:rsidRPr="005924F4">
              <w:rPr>
                <w:b/>
              </w:rPr>
              <w:t>Naming Breakdown</w:t>
            </w:r>
          </w:p>
        </w:tc>
      </w:tr>
      <w:tr w:rsidR="00135C82" w14:paraId="1B84035C" w14:textId="77777777" w:rsidTr="005924F4">
        <w:tc>
          <w:tcPr>
            <w:tcW w:w="1267" w:type="dxa"/>
            <w:tcBorders>
              <w:top w:val="single" w:sz="4" w:space="0" w:color="auto"/>
            </w:tcBorders>
          </w:tcPr>
          <w:p w14:paraId="63FCEC02" w14:textId="2BE76D5B" w:rsidR="00135C82" w:rsidRDefault="00135C82" w:rsidP="00685643">
            <w:pPr>
              <w:pStyle w:val="ListParagraph"/>
              <w:ind w:left="0"/>
            </w:pPr>
            <w:r>
              <w:t>L0</w:t>
            </w:r>
          </w:p>
        </w:tc>
        <w:tc>
          <w:tcPr>
            <w:tcW w:w="1267" w:type="dxa"/>
            <w:tcBorders>
              <w:top w:val="single" w:sz="4" w:space="0" w:color="auto"/>
            </w:tcBorders>
          </w:tcPr>
          <w:p w14:paraId="32EEFEA5" w14:textId="431050EA" w:rsidR="00135C82" w:rsidRDefault="00135C82" w:rsidP="00685643">
            <w:pPr>
              <w:pStyle w:val="ListParagraph"/>
              <w:ind w:left="0"/>
            </w:pPr>
            <w:r>
              <w:t>L0</w:t>
            </w:r>
          </w:p>
        </w:tc>
        <w:tc>
          <w:tcPr>
            <w:tcW w:w="1263" w:type="dxa"/>
            <w:tcBorders>
              <w:top w:val="single" w:sz="4" w:space="0" w:color="auto"/>
            </w:tcBorders>
          </w:tcPr>
          <w:p w14:paraId="15ABD536" w14:textId="77777777" w:rsidR="00135C82" w:rsidRDefault="00135C82" w:rsidP="00685643">
            <w:pPr>
              <w:pStyle w:val="ListParagraph"/>
              <w:ind w:left="0"/>
            </w:pPr>
          </w:p>
        </w:tc>
        <w:tc>
          <w:tcPr>
            <w:tcW w:w="1263" w:type="dxa"/>
            <w:tcBorders>
              <w:top w:val="single" w:sz="4" w:space="0" w:color="auto"/>
            </w:tcBorders>
          </w:tcPr>
          <w:p w14:paraId="7C1F4737" w14:textId="77777777" w:rsidR="00135C82" w:rsidRDefault="00135C82" w:rsidP="00685643">
            <w:pPr>
              <w:pStyle w:val="ListParagraph"/>
              <w:ind w:left="0"/>
            </w:pPr>
          </w:p>
        </w:tc>
        <w:tc>
          <w:tcPr>
            <w:tcW w:w="1263" w:type="dxa"/>
            <w:tcBorders>
              <w:top w:val="single" w:sz="4" w:space="0" w:color="auto"/>
            </w:tcBorders>
          </w:tcPr>
          <w:p w14:paraId="56FBF793" w14:textId="77777777" w:rsidR="00135C82" w:rsidRDefault="00135C82" w:rsidP="00685643">
            <w:pPr>
              <w:pStyle w:val="ListParagraph"/>
              <w:ind w:left="0"/>
            </w:pPr>
          </w:p>
        </w:tc>
        <w:tc>
          <w:tcPr>
            <w:tcW w:w="1263" w:type="dxa"/>
            <w:tcBorders>
              <w:top w:val="single" w:sz="4" w:space="0" w:color="auto"/>
            </w:tcBorders>
          </w:tcPr>
          <w:p w14:paraId="1B55A024" w14:textId="77777777" w:rsidR="00135C82" w:rsidRDefault="00135C82" w:rsidP="00685643">
            <w:pPr>
              <w:pStyle w:val="ListParagraph"/>
              <w:ind w:left="0"/>
            </w:pPr>
          </w:p>
        </w:tc>
      </w:tr>
      <w:tr w:rsidR="00135C82" w14:paraId="27CCA6D0" w14:textId="77777777" w:rsidTr="005924F4">
        <w:tc>
          <w:tcPr>
            <w:tcW w:w="1267" w:type="dxa"/>
          </w:tcPr>
          <w:p w14:paraId="3718CFE7" w14:textId="787AAC23" w:rsidR="00135C82" w:rsidRDefault="00135C82" w:rsidP="00A45B50">
            <w:pPr>
              <w:pStyle w:val="ListParagraph"/>
              <w:ind w:left="0"/>
            </w:pPr>
            <w:r>
              <w:t>L1.2</w:t>
            </w:r>
          </w:p>
        </w:tc>
        <w:tc>
          <w:tcPr>
            <w:tcW w:w="1267" w:type="dxa"/>
          </w:tcPr>
          <w:p w14:paraId="32818E81" w14:textId="78F7021B" w:rsidR="00135C82" w:rsidRDefault="00135C82" w:rsidP="00685643">
            <w:pPr>
              <w:pStyle w:val="ListParagraph"/>
              <w:ind w:left="0"/>
            </w:pPr>
            <w:r>
              <w:t>L1</w:t>
            </w:r>
          </w:p>
        </w:tc>
        <w:tc>
          <w:tcPr>
            <w:tcW w:w="1263" w:type="dxa"/>
          </w:tcPr>
          <w:p w14:paraId="2F44B98A" w14:textId="152AA245" w:rsidR="00135C82" w:rsidRDefault="00135C82" w:rsidP="00A45B50">
            <w:pPr>
              <w:pStyle w:val="ListParagraph"/>
              <w:ind w:left="0"/>
            </w:pPr>
            <w:r>
              <w:t>2</w:t>
            </w:r>
          </w:p>
        </w:tc>
        <w:tc>
          <w:tcPr>
            <w:tcW w:w="1263" w:type="dxa"/>
          </w:tcPr>
          <w:p w14:paraId="7A8EB254" w14:textId="77777777" w:rsidR="00135C82" w:rsidRDefault="00135C82" w:rsidP="00685643">
            <w:pPr>
              <w:pStyle w:val="ListParagraph"/>
              <w:ind w:left="0"/>
            </w:pPr>
          </w:p>
        </w:tc>
        <w:tc>
          <w:tcPr>
            <w:tcW w:w="1263" w:type="dxa"/>
          </w:tcPr>
          <w:p w14:paraId="4F5C407E" w14:textId="77777777" w:rsidR="00135C82" w:rsidRDefault="00135C82" w:rsidP="00685643">
            <w:pPr>
              <w:pStyle w:val="ListParagraph"/>
              <w:ind w:left="0"/>
            </w:pPr>
          </w:p>
        </w:tc>
        <w:tc>
          <w:tcPr>
            <w:tcW w:w="1263" w:type="dxa"/>
          </w:tcPr>
          <w:p w14:paraId="212304E8" w14:textId="77777777" w:rsidR="00135C82" w:rsidRDefault="00135C82" w:rsidP="00685643">
            <w:pPr>
              <w:pStyle w:val="ListParagraph"/>
              <w:ind w:left="0"/>
            </w:pPr>
          </w:p>
        </w:tc>
      </w:tr>
      <w:tr w:rsidR="00135C82" w14:paraId="6276D508" w14:textId="77777777" w:rsidTr="005924F4">
        <w:tc>
          <w:tcPr>
            <w:tcW w:w="1267" w:type="dxa"/>
          </w:tcPr>
          <w:p w14:paraId="0A06B5AC" w14:textId="4D48AF52" w:rsidR="00135C82" w:rsidRDefault="00A45B50" w:rsidP="00A45B50">
            <w:pPr>
              <w:pStyle w:val="ListParagraph"/>
              <w:ind w:left="0"/>
            </w:pPr>
            <w:r>
              <w:t>L2.2.5</w:t>
            </w:r>
          </w:p>
        </w:tc>
        <w:tc>
          <w:tcPr>
            <w:tcW w:w="1267" w:type="dxa"/>
          </w:tcPr>
          <w:p w14:paraId="2737F382" w14:textId="4DECA1C4" w:rsidR="00135C82" w:rsidRDefault="00135C82" w:rsidP="00685643">
            <w:pPr>
              <w:pStyle w:val="ListParagraph"/>
              <w:ind w:left="0"/>
            </w:pPr>
            <w:r>
              <w:t>L2</w:t>
            </w:r>
          </w:p>
        </w:tc>
        <w:tc>
          <w:tcPr>
            <w:tcW w:w="1263" w:type="dxa"/>
          </w:tcPr>
          <w:p w14:paraId="28857C99" w14:textId="1F9FE598" w:rsidR="00135C82" w:rsidRDefault="00135C82" w:rsidP="00A45B50">
            <w:pPr>
              <w:pStyle w:val="ListParagraph"/>
              <w:ind w:left="0"/>
            </w:pPr>
            <w:r>
              <w:t>2</w:t>
            </w:r>
          </w:p>
        </w:tc>
        <w:tc>
          <w:tcPr>
            <w:tcW w:w="1263" w:type="dxa"/>
          </w:tcPr>
          <w:p w14:paraId="2409C02B" w14:textId="6F96AD27" w:rsidR="00135C82" w:rsidRDefault="00A45B50" w:rsidP="00685643">
            <w:pPr>
              <w:pStyle w:val="ListParagraph"/>
              <w:ind w:left="0"/>
            </w:pPr>
            <w:r>
              <w:t>5</w:t>
            </w:r>
          </w:p>
        </w:tc>
        <w:tc>
          <w:tcPr>
            <w:tcW w:w="1263" w:type="dxa"/>
          </w:tcPr>
          <w:p w14:paraId="251DE925" w14:textId="77777777" w:rsidR="00135C82" w:rsidRDefault="00135C82" w:rsidP="00685643">
            <w:pPr>
              <w:pStyle w:val="ListParagraph"/>
              <w:ind w:left="0"/>
            </w:pPr>
          </w:p>
        </w:tc>
        <w:tc>
          <w:tcPr>
            <w:tcW w:w="1263" w:type="dxa"/>
          </w:tcPr>
          <w:p w14:paraId="0785FAC6" w14:textId="77777777" w:rsidR="00135C82" w:rsidRDefault="00135C82" w:rsidP="00685643">
            <w:pPr>
              <w:pStyle w:val="ListParagraph"/>
              <w:ind w:left="0"/>
            </w:pPr>
          </w:p>
        </w:tc>
      </w:tr>
      <w:tr w:rsidR="00135C82" w14:paraId="76BA56F6" w14:textId="77777777" w:rsidTr="005924F4">
        <w:tc>
          <w:tcPr>
            <w:tcW w:w="1267" w:type="dxa"/>
          </w:tcPr>
          <w:p w14:paraId="0B548910" w14:textId="6F104E29" w:rsidR="00135C82" w:rsidRDefault="00135C82" w:rsidP="00A45B50">
            <w:pPr>
              <w:pStyle w:val="ListParagraph"/>
              <w:ind w:left="0"/>
            </w:pPr>
            <w:r>
              <w:t>L3.2.</w:t>
            </w:r>
            <w:r w:rsidR="00A45B50">
              <w:t>5.</w:t>
            </w:r>
            <w:r w:rsidR="00D5646F">
              <w:t>14</w:t>
            </w:r>
          </w:p>
        </w:tc>
        <w:tc>
          <w:tcPr>
            <w:tcW w:w="1267" w:type="dxa"/>
          </w:tcPr>
          <w:p w14:paraId="3665D673" w14:textId="3E743651" w:rsidR="00135C82" w:rsidRDefault="00135C82" w:rsidP="00685643">
            <w:pPr>
              <w:pStyle w:val="ListParagraph"/>
              <w:ind w:left="0"/>
            </w:pPr>
            <w:r>
              <w:t>L3</w:t>
            </w:r>
          </w:p>
        </w:tc>
        <w:tc>
          <w:tcPr>
            <w:tcW w:w="1263" w:type="dxa"/>
          </w:tcPr>
          <w:p w14:paraId="7BE0D88F" w14:textId="5B36C7A0" w:rsidR="00135C82" w:rsidRDefault="00135C82" w:rsidP="00A45B50">
            <w:pPr>
              <w:pStyle w:val="ListParagraph"/>
              <w:ind w:left="0"/>
            </w:pPr>
            <w:r>
              <w:t>2</w:t>
            </w:r>
          </w:p>
        </w:tc>
        <w:tc>
          <w:tcPr>
            <w:tcW w:w="1263" w:type="dxa"/>
          </w:tcPr>
          <w:p w14:paraId="7BE0DD88" w14:textId="677DABDA" w:rsidR="00135C82" w:rsidRDefault="00A45B50" w:rsidP="00685643">
            <w:pPr>
              <w:pStyle w:val="ListParagraph"/>
              <w:ind w:left="0"/>
            </w:pPr>
            <w:r>
              <w:t>5</w:t>
            </w:r>
          </w:p>
        </w:tc>
        <w:tc>
          <w:tcPr>
            <w:tcW w:w="1263" w:type="dxa"/>
          </w:tcPr>
          <w:p w14:paraId="7C9FA6B5" w14:textId="4C63190E" w:rsidR="00135C82" w:rsidRDefault="00D5646F" w:rsidP="00685643">
            <w:pPr>
              <w:pStyle w:val="ListParagraph"/>
              <w:ind w:left="0"/>
            </w:pPr>
            <w:r>
              <w:t>14</w:t>
            </w:r>
          </w:p>
        </w:tc>
        <w:tc>
          <w:tcPr>
            <w:tcW w:w="1263" w:type="dxa"/>
          </w:tcPr>
          <w:p w14:paraId="13CB7B26" w14:textId="77777777" w:rsidR="00135C82" w:rsidRDefault="00135C82" w:rsidP="00685643">
            <w:pPr>
              <w:pStyle w:val="ListParagraph"/>
              <w:ind w:left="0"/>
            </w:pPr>
          </w:p>
        </w:tc>
      </w:tr>
      <w:tr w:rsidR="00135C82" w14:paraId="26627B8B" w14:textId="77777777" w:rsidTr="005924F4">
        <w:tc>
          <w:tcPr>
            <w:tcW w:w="1267" w:type="dxa"/>
          </w:tcPr>
          <w:p w14:paraId="30C925D6" w14:textId="44D83B1E" w:rsidR="00135C82" w:rsidRDefault="00135C82" w:rsidP="00D5646F">
            <w:pPr>
              <w:pStyle w:val="ListParagraph"/>
              <w:ind w:left="0"/>
            </w:pPr>
            <w:r>
              <w:t>L4.</w:t>
            </w:r>
            <w:r w:rsidR="00A45B50">
              <w:t>2</w:t>
            </w:r>
            <w:r>
              <w:t>.</w:t>
            </w:r>
            <w:r w:rsidR="00A45B50">
              <w:t>5</w:t>
            </w:r>
            <w:r>
              <w:t>.</w:t>
            </w:r>
            <w:r w:rsidR="00D5646F">
              <w:t>14</w:t>
            </w:r>
            <w:r>
              <w:t>.</w:t>
            </w:r>
            <w:r w:rsidR="00D5646F">
              <w:t>25</w:t>
            </w:r>
          </w:p>
        </w:tc>
        <w:tc>
          <w:tcPr>
            <w:tcW w:w="1267" w:type="dxa"/>
          </w:tcPr>
          <w:p w14:paraId="0B0C5235" w14:textId="451AD0CD" w:rsidR="00135C82" w:rsidRDefault="00135C82" w:rsidP="00685643">
            <w:pPr>
              <w:pStyle w:val="ListParagraph"/>
              <w:ind w:left="0"/>
            </w:pPr>
            <w:r>
              <w:t>L4</w:t>
            </w:r>
          </w:p>
        </w:tc>
        <w:tc>
          <w:tcPr>
            <w:tcW w:w="1263" w:type="dxa"/>
          </w:tcPr>
          <w:p w14:paraId="72BA5FF7" w14:textId="5F952183" w:rsidR="00135C82" w:rsidRDefault="00135C82" w:rsidP="00A45B50">
            <w:pPr>
              <w:pStyle w:val="ListParagraph"/>
              <w:ind w:left="0"/>
            </w:pPr>
            <w:r>
              <w:t>2</w:t>
            </w:r>
          </w:p>
        </w:tc>
        <w:tc>
          <w:tcPr>
            <w:tcW w:w="1263" w:type="dxa"/>
          </w:tcPr>
          <w:p w14:paraId="73008714" w14:textId="3DFF7565" w:rsidR="00135C82" w:rsidRDefault="00A45B50" w:rsidP="00135C82">
            <w:pPr>
              <w:pStyle w:val="ListParagraph"/>
              <w:ind w:left="0"/>
            </w:pPr>
            <w:r>
              <w:t>5</w:t>
            </w:r>
          </w:p>
        </w:tc>
        <w:tc>
          <w:tcPr>
            <w:tcW w:w="1263" w:type="dxa"/>
          </w:tcPr>
          <w:p w14:paraId="764B104F" w14:textId="36651129" w:rsidR="00135C82" w:rsidRDefault="00D5646F" w:rsidP="00685643">
            <w:pPr>
              <w:pStyle w:val="ListParagraph"/>
              <w:ind w:left="0"/>
            </w:pPr>
            <w:r>
              <w:t>14</w:t>
            </w:r>
          </w:p>
        </w:tc>
        <w:tc>
          <w:tcPr>
            <w:tcW w:w="1263" w:type="dxa"/>
          </w:tcPr>
          <w:p w14:paraId="38BDA541" w14:textId="422999CF" w:rsidR="00135C82" w:rsidRDefault="00D5646F" w:rsidP="00685643">
            <w:pPr>
              <w:pStyle w:val="ListParagraph"/>
              <w:ind w:left="0"/>
            </w:pPr>
            <w:r>
              <w:t>25</w:t>
            </w:r>
          </w:p>
        </w:tc>
      </w:tr>
    </w:tbl>
    <w:p w14:paraId="6BEDEDD5" w14:textId="77777777" w:rsidR="00E72C1B" w:rsidRDefault="00E72C1B" w:rsidP="00E72C1B"/>
    <w:tbl>
      <w:tblPr>
        <w:tblStyle w:val="TableGrid"/>
        <w:tblW w:w="0" w:type="auto"/>
        <w:tblLook w:val="04A0" w:firstRow="1" w:lastRow="0" w:firstColumn="1" w:lastColumn="0" w:noHBand="0" w:noVBand="1"/>
      </w:tblPr>
      <w:tblGrid>
        <w:gridCol w:w="9242"/>
      </w:tblGrid>
      <w:tr w:rsidR="00941527" w14:paraId="6D0B4882" w14:textId="77777777" w:rsidTr="00941527">
        <w:tc>
          <w:tcPr>
            <w:tcW w:w="9242" w:type="dxa"/>
            <w:vAlign w:val="center"/>
          </w:tcPr>
          <w:p w14:paraId="4ECEC292" w14:textId="5191BA41" w:rsidR="00941527" w:rsidRDefault="00941527" w:rsidP="00941527">
            <w:pPr>
              <w:jc w:val="center"/>
            </w:pPr>
            <w:r>
              <w:rPr>
                <w:noProof/>
              </w:rPr>
              <w:lastRenderedPageBreak/>
              <w:drawing>
                <wp:inline distT="0" distB="0" distL="0" distR="0" wp14:anchorId="5EA32DCC" wp14:editId="3520D150">
                  <wp:extent cx="3570136" cy="5646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PAR_RU_naming.jpg"/>
                          <pic:cNvPicPr/>
                        </pic:nvPicPr>
                        <pic:blipFill>
                          <a:blip r:embed="rId14">
                            <a:extLst>
                              <a:ext uri="{28A0092B-C50C-407E-A947-70E740481C1C}">
                                <a14:useLocalDpi xmlns:a14="http://schemas.microsoft.com/office/drawing/2010/main" val="0"/>
                              </a:ext>
                            </a:extLst>
                          </a:blip>
                          <a:stretch>
                            <a:fillRect/>
                          </a:stretch>
                        </pic:blipFill>
                        <pic:spPr>
                          <a:xfrm>
                            <a:off x="0" y="0"/>
                            <a:ext cx="3570136" cy="5646340"/>
                          </a:xfrm>
                          <a:prstGeom prst="rect">
                            <a:avLst/>
                          </a:prstGeom>
                        </pic:spPr>
                      </pic:pic>
                    </a:graphicData>
                  </a:graphic>
                </wp:inline>
              </w:drawing>
            </w:r>
          </w:p>
        </w:tc>
      </w:tr>
    </w:tbl>
    <w:p w14:paraId="0027A8ED" w14:textId="309DA1AF" w:rsidR="00F44961" w:rsidRPr="00113F3D" w:rsidRDefault="00113F3D" w:rsidP="00113F3D">
      <w:pPr>
        <w:jc w:val="left"/>
        <w:rPr>
          <w:i/>
        </w:rPr>
      </w:pPr>
      <w:r w:rsidRPr="00113F3D">
        <w:rPr>
          <w:i/>
        </w:rPr>
        <w:t xml:space="preserve">Figure 2: </w:t>
      </w:r>
      <w:r>
        <w:rPr>
          <w:i/>
        </w:rPr>
        <w:t>OSPAR Reporting Units nested naming structure in practise</w:t>
      </w:r>
    </w:p>
    <w:p w14:paraId="15B97B52" w14:textId="77D9049D" w:rsidR="00AD2B51" w:rsidRDefault="00AD2B51" w:rsidP="00AD2B51">
      <w:pPr>
        <w:pStyle w:val="Heading1"/>
      </w:pPr>
      <w:r>
        <w:t>Worked example</w:t>
      </w:r>
    </w:p>
    <w:p w14:paraId="28BB96C5" w14:textId="2BFE4237" w:rsidR="00AD2B51" w:rsidRDefault="00B06D34" w:rsidP="00AD2B51">
      <w:pPr>
        <w:tabs>
          <w:tab w:val="clear" w:pos="720"/>
          <w:tab w:val="clear" w:pos="1440"/>
          <w:tab w:val="clear" w:pos="2160"/>
          <w:tab w:val="clear" w:pos="2880"/>
          <w:tab w:val="clear" w:pos="4680"/>
          <w:tab w:val="clear" w:pos="5400"/>
          <w:tab w:val="clear" w:pos="9000"/>
          <w:tab w:val="left" w:pos="426"/>
          <w:tab w:val="left" w:pos="1701"/>
          <w:tab w:val="left" w:pos="2268"/>
        </w:tabs>
        <w:spacing w:line="280" w:lineRule="atLeast"/>
        <w:rPr>
          <w:rFonts w:eastAsia="Calibri" w:cs="Arial"/>
          <w:lang w:eastAsia="en-GB"/>
        </w:rPr>
      </w:pPr>
      <w:r>
        <w:t>Figure 3</w:t>
      </w:r>
      <w:r w:rsidR="00AD2B51">
        <w:t xml:space="preserve"> is an example of an area that has been assessed for the common indicator PCB in sediment. Figure </w:t>
      </w:r>
      <w:r>
        <w:t>3</w:t>
      </w:r>
      <w:r w:rsidR="00AD2B51">
        <w:t>a illustrates the area of assess</w:t>
      </w:r>
      <w:r>
        <w:t>ment for the indicator. Figure 3</w:t>
      </w:r>
      <w:r w:rsidR="00AD2B51">
        <w:t>b illustrates the OSPAR reporting units that most closely correspond</w:t>
      </w:r>
      <w:r w:rsidR="00AD2B51" w:rsidRPr="005A647E">
        <w:rPr>
          <w:rFonts w:eastAsia="Calibri" w:cs="Arial"/>
        </w:rPr>
        <w:t>.</w:t>
      </w:r>
    </w:p>
    <w:tbl>
      <w:tblPr>
        <w:tblW w:w="9855" w:type="dxa"/>
        <w:tblLayout w:type="fixed"/>
        <w:tblLook w:val="04A0" w:firstRow="1" w:lastRow="0" w:firstColumn="1" w:lastColumn="0" w:noHBand="0" w:noVBand="1"/>
      </w:tblPr>
      <w:tblGrid>
        <w:gridCol w:w="4928"/>
        <w:gridCol w:w="4927"/>
      </w:tblGrid>
      <w:tr w:rsidR="00AD2B51" w:rsidRPr="00DA246C" w14:paraId="26FCF396" w14:textId="77777777" w:rsidTr="007B7874">
        <w:tc>
          <w:tcPr>
            <w:tcW w:w="4928" w:type="dxa"/>
            <w:shd w:val="clear" w:color="auto" w:fill="auto"/>
            <w:tcMar>
              <w:left w:w="0" w:type="dxa"/>
              <w:right w:w="0" w:type="dxa"/>
            </w:tcMar>
          </w:tcPr>
          <w:p w14:paraId="3F93C641" w14:textId="0B8C0571" w:rsidR="00AD2B51" w:rsidRPr="00DA246C" w:rsidRDefault="00AD2B51" w:rsidP="007B7874">
            <w:pPr>
              <w:tabs>
                <w:tab w:val="left" w:pos="426"/>
                <w:tab w:val="left" w:pos="1701"/>
                <w:tab w:val="left" w:pos="2268"/>
              </w:tabs>
              <w:spacing w:after="0" w:line="240" w:lineRule="auto"/>
              <w:jc w:val="center"/>
              <w:rPr>
                <w:rFonts w:eastAsia="Calibri" w:cs="Arial"/>
                <w:noProof/>
                <w:lang w:eastAsia="en-GB"/>
              </w:rPr>
            </w:pPr>
            <w:r>
              <w:rPr>
                <w:rFonts w:eastAsia="Calibri" w:cs="Arial"/>
                <w:noProof/>
                <w:lang w:eastAsia="en-GB"/>
              </w:rPr>
              <w:lastRenderedPageBreak/>
              <w:drawing>
                <wp:inline distT="0" distB="0" distL="0" distR="0" wp14:anchorId="04B1B01D" wp14:editId="7D8C5454">
                  <wp:extent cx="3019425" cy="3179445"/>
                  <wp:effectExtent l="19050" t="19050" r="28575" b="209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l="44266" t="50000" r="8409" b="191"/>
                          <a:stretch>
                            <a:fillRect/>
                          </a:stretch>
                        </pic:blipFill>
                        <pic:spPr bwMode="auto">
                          <a:xfrm>
                            <a:off x="0" y="0"/>
                            <a:ext cx="3019425" cy="3179445"/>
                          </a:xfrm>
                          <a:prstGeom prst="rect">
                            <a:avLst/>
                          </a:prstGeom>
                          <a:noFill/>
                          <a:ln w="9525" cmpd="sng">
                            <a:solidFill>
                              <a:srgbClr val="000000"/>
                            </a:solidFill>
                            <a:miter lim="800000"/>
                            <a:headEnd/>
                            <a:tailEnd/>
                          </a:ln>
                          <a:effectLst/>
                        </pic:spPr>
                      </pic:pic>
                    </a:graphicData>
                  </a:graphic>
                </wp:inline>
              </w:drawing>
            </w:r>
          </w:p>
          <w:p w14:paraId="2329786B" w14:textId="77777777" w:rsidR="00AD2B51" w:rsidRPr="00DA246C" w:rsidRDefault="00AD2B51" w:rsidP="007B7874">
            <w:pPr>
              <w:tabs>
                <w:tab w:val="left" w:pos="426"/>
                <w:tab w:val="left" w:pos="1701"/>
                <w:tab w:val="left" w:pos="2268"/>
              </w:tabs>
              <w:spacing w:after="0" w:line="240" w:lineRule="auto"/>
              <w:jc w:val="right"/>
              <w:rPr>
                <w:rFonts w:eastAsia="Calibri" w:cs="Arial"/>
                <w:lang w:eastAsia="en-GB"/>
              </w:rPr>
            </w:pPr>
            <w:r w:rsidRPr="00DA246C">
              <w:rPr>
                <w:rFonts w:eastAsia="Calibri" w:cs="Arial"/>
                <w:noProof/>
                <w:lang w:eastAsia="en-GB"/>
              </w:rPr>
              <w:t>(a)</w:t>
            </w:r>
          </w:p>
        </w:tc>
        <w:tc>
          <w:tcPr>
            <w:tcW w:w="4927" w:type="dxa"/>
            <w:shd w:val="clear" w:color="auto" w:fill="auto"/>
            <w:tcMar>
              <w:left w:w="0" w:type="dxa"/>
              <w:right w:w="0" w:type="dxa"/>
            </w:tcMar>
          </w:tcPr>
          <w:p w14:paraId="08FD5B52" w14:textId="3651A459" w:rsidR="00AD2B51" w:rsidRPr="00DA246C" w:rsidRDefault="00AD2B51" w:rsidP="007B7874">
            <w:pPr>
              <w:tabs>
                <w:tab w:val="left" w:pos="426"/>
                <w:tab w:val="left" w:pos="1701"/>
                <w:tab w:val="left" w:pos="2268"/>
              </w:tabs>
              <w:spacing w:after="0" w:line="240" w:lineRule="auto"/>
              <w:jc w:val="center"/>
              <w:rPr>
                <w:rFonts w:eastAsia="Calibri" w:cs="Arial"/>
                <w:noProof/>
                <w:lang w:eastAsia="en-GB"/>
              </w:rPr>
            </w:pPr>
            <w:r>
              <w:rPr>
                <w:rFonts w:eastAsia="Calibri" w:cs="Arial"/>
                <w:noProof/>
                <w:lang w:eastAsia="en-GB"/>
              </w:rPr>
              <w:drawing>
                <wp:inline distT="0" distB="0" distL="0" distR="0" wp14:anchorId="2FBE0B13" wp14:editId="48386398">
                  <wp:extent cx="3019425" cy="3189605"/>
                  <wp:effectExtent l="19050" t="19050" r="28575"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l="44814" t="50000" r="7852"/>
                          <a:stretch>
                            <a:fillRect/>
                          </a:stretch>
                        </pic:blipFill>
                        <pic:spPr bwMode="auto">
                          <a:xfrm>
                            <a:off x="0" y="0"/>
                            <a:ext cx="3019425" cy="3189605"/>
                          </a:xfrm>
                          <a:prstGeom prst="rect">
                            <a:avLst/>
                          </a:prstGeom>
                          <a:noFill/>
                          <a:ln w="9525" cmpd="sng">
                            <a:solidFill>
                              <a:srgbClr val="000000"/>
                            </a:solidFill>
                            <a:miter lim="800000"/>
                            <a:headEnd/>
                            <a:tailEnd/>
                          </a:ln>
                          <a:effectLst/>
                        </pic:spPr>
                      </pic:pic>
                    </a:graphicData>
                  </a:graphic>
                </wp:inline>
              </w:drawing>
            </w:r>
          </w:p>
          <w:p w14:paraId="7AA4FFF9" w14:textId="77777777" w:rsidR="00AD2B51" w:rsidRPr="00DA246C" w:rsidRDefault="00AD2B51" w:rsidP="007B7874">
            <w:pPr>
              <w:tabs>
                <w:tab w:val="left" w:pos="426"/>
                <w:tab w:val="left" w:pos="1701"/>
                <w:tab w:val="left" w:pos="2268"/>
              </w:tabs>
              <w:spacing w:after="0" w:line="240" w:lineRule="auto"/>
              <w:jc w:val="right"/>
              <w:rPr>
                <w:rFonts w:eastAsia="Calibri" w:cs="Arial"/>
                <w:lang w:eastAsia="en-GB"/>
              </w:rPr>
            </w:pPr>
            <w:r w:rsidRPr="00DA246C">
              <w:rPr>
                <w:rFonts w:eastAsia="Calibri" w:cs="Arial"/>
                <w:noProof/>
                <w:lang w:eastAsia="en-GB"/>
              </w:rPr>
              <w:t>(b)</w:t>
            </w:r>
          </w:p>
        </w:tc>
      </w:tr>
      <w:tr w:rsidR="00AD2B51" w:rsidRPr="00DA246C" w14:paraId="5C2437AC" w14:textId="77777777" w:rsidTr="007B7874">
        <w:tc>
          <w:tcPr>
            <w:tcW w:w="9855" w:type="dxa"/>
            <w:gridSpan w:val="2"/>
            <w:shd w:val="clear" w:color="auto" w:fill="auto"/>
          </w:tcPr>
          <w:p w14:paraId="51198C32" w14:textId="54DDADF8" w:rsidR="00113F3D" w:rsidRPr="00941527" w:rsidRDefault="00AD2B51" w:rsidP="00B06D34">
            <w:pPr>
              <w:tabs>
                <w:tab w:val="left" w:pos="426"/>
                <w:tab w:val="left" w:pos="1701"/>
                <w:tab w:val="left" w:pos="2268"/>
              </w:tabs>
              <w:rPr>
                <w:rFonts w:eastAsia="Calibri" w:cs="Arial"/>
                <w:i/>
                <w:lang w:eastAsia="en-GB"/>
              </w:rPr>
            </w:pPr>
            <w:r w:rsidRPr="00AD2B51">
              <w:rPr>
                <w:rFonts w:eastAsia="Calibri" w:cs="Arial"/>
                <w:i/>
                <w:lang w:eastAsia="en-GB"/>
              </w:rPr>
              <w:t xml:space="preserve">Figure </w:t>
            </w:r>
            <w:r w:rsidR="00B06D34">
              <w:rPr>
                <w:rFonts w:eastAsia="Calibri" w:cs="Arial"/>
                <w:i/>
                <w:lang w:eastAsia="en-GB"/>
              </w:rPr>
              <w:t>3</w:t>
            </w:r>
            <w:r w:rsidRPr="00AD2B51">
              <w:rPr>
                <w:rFonts w:eastAsia="Calibri" w:cs="Arial"/>
                <w:i/>
                <w:lang w:eastAsia="en-GB"/>
              </w:rPr>
              <w:t>: (a) area assessed for the common indicator PCBs in sediment, and (b) corresponding OSPAR reporting units</w:t>
            </w:r>
          </w:p>
        </w:tc>
      </w:tr>
    </w:tbl>
    <w:p w14:paraId="5767E8FF" w14:textId="29790F03" w:rsidR="00941527" w:rsidRDefault="00941527" w:rsidP="00941527">
      <w:r>
        <w:rPr>
          <w:rFonts w:eastAsia="Calibri" w:cs="Arial"/>
          <w:lang w:eastAsia="en-GB"/>
        </w:rPr>
        <w:t xml:space="preserve">The unique ID for each of the reporting units (in this case all of the </w:t>
      </w:r>
      <w:r w:rsidR="008A7084">
        <w:rPr>
          <w:rFonts w:eastAsia="Calibri" w:cs="Arial"/>
          <w:lang w:eastAsia="en-GB"/>
        </w:rPr>
        <w:t>units</w:t>
      </w:r>
      <w:r>
        <w:rPr>
          <w:rFonts w:eastAsia="Calibri" w:cs="Arial"/>
          <w:lang w:eastAsia="en-GB"/>
        </w:rPr>
        <w:t xml:space="preserve"> are from Level 3) </w:t>
      </w:r>
      <w:r w:rsidR="008A7084">
        <w:rPr>
          <w:rFonts w:eastAsia="Calibri" w:cs="Arial"/>
          <w:lang w:eastAsia="en-GB"/>
        </w:rPr>
        <w:t>should</w:t>
      </w:r>
      <w:r>
        <w:rPr>
          <w:rFonts w:eastAsia="Calibri" w:cs="Arial"/>
          <w:lang w:eastAsia="en-GB"/>
        </w:rPr>
        <w:t xml:space="preserve"> be supplied in the assessment sheet documentation. The list of reporting units below </w:t>
      </w:r>
      <w:r w:rsidR="008A7084">
        <w:rPr>
          <w:rFonts w:eastAsia="Calibri" w:cs="Arial"/>
          <w:lang w:eastAsia="en-GB"/>
        </w:rPr>
        <w:t xml:space="preserve">are the reporting unit IDs shown </w:t>
      </w:r>
      <w:r>
        <w:rPr>
          <w:rFonts w:eastAsia="Calibri" w:cs="Arial"/>
          <w:lang w:eastAsia="en-GB"/>
        </w:rPr>
        <w:t>in Figure 3b.</w:t>
      </w:r>
    </w:p>
    <w:p w14:paraId="2694E331" w14:textId="4602E73D" w:rsidR="004147E8" w:rsidRDefault="00464F1B" w:rsidP="00464F1B">
      <w:r w:rsidRPr="003670E8">
        <w:t>L3.2.2.1</w:t>
      </w:r>
      <w:r w:rsidR="008A714B" w:rsidRPr="003670E8">
        <w:t xml:space="preserve">; </w:t>
      </w:r>
      <w:r w:rsidRPr="003670E8">
        <w:t>L3.2.2.2</w:t>
      </w:r>
      <w:r w:rsidR="008A714B" w:rsidRPr="003670E8">
        <w:t xml:space="preserve">; </w:t>
      </w:r>
      <w:r w:rsidRPr="003670E8">
        <w:t>L3.2.3.6</w:t>
      </w:r>
      <w:r w:rsidR="008A714B" w:rsidRPr="003670E8">
        <w:t xml:space="preserve">; </w:t>
      </w:r>
      <w:r w:rsidRPr="003670E8">
        <w:t>L3.2.4.1</w:t>
      </w:r>
      <w:r w:rsidR="008A714B" w:rsidRPr="003670E8">
        <w:t xml:space="preserve">; </w:t>
      </w:r>
      <w:r w:rsidRPr="003670E8">
        <w:t>L3.2.4.2</w:t>
      </w:r>
      <w:r w:rsidR="008A714B" w:rsidRPr="003670E8">
        <w:t xml:space="preserve">; </w:t>
      </w:r>
      <w:r w:rsidRPr="003670E8">
        <w:t>L3.2.4.3</w:t>
      </w:r>
      <w:r w:rsidR="008A714B" w:rsidRPr="003670E8">
        <w:t xml:space="preserve">; </w:t>
      </w:r>
      <w:r w:rsidRPr="003670E8">
        <w:t>L3.2.5.1</w:t>
      </w:r>
      <w:r w:rsidR="008A714B" w:rsidRPr="003670E8">
        <w:t xml:space="preserve">; </w:t>
      </w:r>
      <w:r w:rsidRPr="003670E8">
        <w:t>L3.2.5.2</w:t>
      </w:r>
      <w:r w:rsidR="008A714B" w:rsidRPr="003670E8">
        <w:t xml:space="preserve">; </w:t>
      </w:r>
      <w:r w:rsidRPr="003670E8">
        <w:t>L3.2.5.3</w:t>
      </w:r>
      <w:r w:rsidR="008A714B" w:rsidRPr="003670E8">
        <w:t xml:space="preserve">; </w:t>
      </w:r>
      <w:r w:rsidRPr="003670E8">
        <w:t>L3.2.5.4</w:t>
      </w:r>
      <w:r w:rsidR="008A714B" w:rsidRPr="003670E8">
        <w:t xml:space="preserve">; </w:t>
      </w:r>
      <w:r w:rsidRPr="003670E8">
        <w:t>L3.2.5.5</w:t>
      </w:r>
      <w:r w:rsidR="008A714B" w:rsidRPr="003670E8">
        <w:t xml:space="preserve">; </w:t>
      </w:r>
      <w:r w:rsidRPr="003670E8">
        <w:t>L3.2.5.6</w:t>
      </w:r>
      <w:r w:rsidR="008A714B" w:rsidRPr="003670E8">
        <w:t xml:space="preserve">; </w:t>
      </w:r>
      <w:r w:rsidRPr="003670E8">
        <w:t>L3.2.5.7</w:t>
      </w:r>
      <w:r w:rsidR="008A714B" w:rsidRPr="003670E8">
        <w:t xml:space="preserve">; </w:t>
      </w:r>
      <w:r w:rsidRPr="003670E8">
        <w:t>L3.2.5.8</w:t>
      </w:r>
      <w:r w:rsidR="008A714B" w:rsidRPr="003670E8">
        <w:t xml:space="preserve">; </w:t>
      </w:r>
      <w:r w:rsidRPr="003670E8">
        <w:t>L3.2.5.9</w:t>
      </w:r>
      <w:r w:rsidR="008A714B" w:rsidRPr="003670E8">
        <w:t xml:space="preserve">; </w:t>
      </w:r>
      <w:r w:rsidRPr="003670E8">
        <w:t>L3.2.5.10</w:t>
      </w:r>
      <w:r w:rsidR="008A714B" w:rsidRPr="003670E8">
        <w:t xml:space="preserve">; </w:t>
      </w:r>
      <w:r w:rsidRPr="003670E8">
        <w:t>L3.2.5.11</w:t>
      </w:r>
      <w:r w:rsidR="008A714B" w:rsidRPr="003670E8">
        <w:t xml:space="preserve">; </w:t>
      </w:r>
      <w:r w:rsidRPr="003670E8">
        <w:t>L3.2.5.12</w:t>
      </w:r>
      <w:r w:rsidR="008A714B" w:rsidRPr="003670E8">
        <w:t xml:space="preserve">; </w:t>
      </w:r>
      <w:r w:rsidRPr="003670E8">
        <w:t>L3.2.5.13</w:t>
      </w:r>
      <w:r w:rsidR="008A714B" w:rsidRPr="003670E8">
        <w:t xml:space="preserve">; </w:t>
      </w:r>
      <w:r w:rsidRPr="003670E8">
        <w:t>L3.2.5.14</w:t>
      </w:r>
      <w:r w:rsidR="008A714B" w:rsidRPr="003670E8">
        <w:t xml:space="preserve">; </w:t>
      </w:r>
      <w:r w:rsidRPr="003670E8">
        <w:t>L3.2.5.15</w:t>
      </w:r>
      <w:r w:rsidR="008A714B" w:rsidRPr="003670E8">
        <w:t xml:space="preserve">; </w:t>
      </w:r>
      <w:r w:rsidRPr="003670E8">
        <w:t>L3.2.5.16</w:t>
      </w:r>
      <w:r w:rsidR="008A714B" w:rsidRPr="003670E8">
        <w:t xml:space="preserve">; </w:t>
      </w:r>
      <w:r w:rsidRPr="003670E8">
        <w:t>L3.2.5.17</w:t>
      </w:r>
      <w:r w:rsidR="008A714B" w:rsidRPr="003670E8">
        <w:t xml:space="preserve">; </w:t>
      </w:r>
      <w:r w:rsidRPr="003670E8">
        <w:t>L3.2.5.18</w:t>
      </w:r>
      <w:r w:rsidR="008A714B" w:rsidRPr="003670E8">
        <w:t xml:space="preserve">; </w:t>
      </w:r>
      <w:r w:rsidRPr="003670E8">
        <w:t>L3.2.5.19</w:t>
      </w:r>
      <w:r w:rsidR="008A714B" w:rsidRPr="003670E8">
        <w:t xml:space="preserve">; </w:t>
      </w:r>
      <w:r w:rsidRPr="003670E8">
        <w:t>L3.2.5.20</w:t>
      </w:r>
      <w:r w:rsidR="008A714B" w:rsidRPr="003670E8">
        <w:t xml:space="preserve">; </w:t>
      </w:r>
      <w:r w:rsidRPr="003670E8">
        <w:t>L3.2.5.21</w:t>
      </w:r>
      <w:r w:rsidR="008A714B" w:rsidRPr="003670E8">
        <w:t xml:space="preserve">; </w:t>
      </w:r>
      <w:r w:rsidRPr="003670E8">
        <w:t>L3.2.5.22</w:t>
      </w:r>
      <w:r w:rsidR="008A714B" w:rsidRPr="003670E8">
        <w:t xml:space="preserve">; </w:t>
      </w:r>
      <w:r w:rsidRPr="003670E8">
        <w:t>L3.2.5.23</w:t>
      </w:r>
      <w:r w:rsidR="008A714B" w:rsidRPr="003670E8">
        <w:t xml:space="preserve">; </w:t>
      </w:r>
      <w:r w:rsidRPr="003670E8">
        <w:t>L3.2.5.24</w:t>
      </w:r>
      <w:r w:rsidR="008A714B" w:rsidRPr="003670E8">
        <w:t xml:space="preserve">; </w:t>
      </w:r>
      <w:r w:rsidRPr="003670E8">
        <w:t>L3.2.5.25</w:t>
      </w:r>
      <w:r w:rsidR="008A714B" w:rsidRPr="003670E8">
        <w:t xml:space="preserve">; </w:t>
      </w:r>
      <w:r w:rsidRPr="003670E8">
        <w:t>L3.2.5.26</w:t>
      </w:r>
      <w:r w:rsidR="008A714B" w:rsidRPr="003670E8">
        <w:t xml:space="preserve">; </w:t>
      </w:r>
      <w:r w:rsidRPr="003670E8">
        <w:t>L3.2.5.27</w:t>
      </w:r>
      <w:r w:rsidR="008A714B" w:rsidRPr="003670E8">
        <w:t xml:space="preserve">; </w:t>
      </w:r>
      <w:r w:rsidRPr="003670E8">
        <w:t>L3.2.6.1</w:t>
      </w:r>
      <w:r w:rsidR="008A714B" w:rsidRPr="003670E8">
        <w:t xml:space="preserve">; </w:t>
      </w:r>
      <w:r w:rsidRPr="003670E8">
        <w:t>L3.3.2.1</w:t>
      </w:r>
      <w:r w:rsidR="008A714B" w:rsidRPr="003670E8">
        <w:t xml:space="preserve">; </w:t>
      </w:r>
      <w:r w:rsidRPr="003670E8">
        <w:t>L3.3.2.2</w:t>
      </w:r>
      <w:r w:rsidR="008A714B" w:rsidRPr="003670E8">
        <w:t xml:space="preserve">; </w:t>
      </w:r>
      <w:r w:rsidRPr="003670E8">
        <w:t>L3.3.2.3</w:t>
      </w:r>
      <w:r w:rsidR="008A714B" w:rsidRPr="003670E8">
        <w:t xml:space="preserve">; </w:t>
      </w:r>
      <w:r w:rsidRPr="003670E8">
        <w:t>L3.3.2.4</w:t>
      </w:r>
      <w:r w:rsidR="008A714B" w:rsidRPr="003670E8">
        <w:t xml:space="preserve">; </w:t>
      </w:r>
      <w:r w:rsidRPr="003670E8">
        <w:t>L3.3.2.5</w:t>
      </w:r>
      <w:r w:rsidR="008A714B" w:rsidRPr="003670E8">
        <w:t xml:space="preserve">; </w:t>
      </w:r>
      <w:r w:rsidRPr="003670E8">
        <w:t>L3.3.2.6</w:t>
      </w:r>
      <w:r w:rsidR="008A714B" w:rsidRPr="003670E8">
        <w:t xml:space="preserve">; </w:t>
      </w:r>
      <w:r w:rsidRPr="003670E8">
        <w:t>L3.3.2.7</w:t>
      </w:r>
      <w:r w:rsidR="008A714B" w:rsidRPr="003670E8">
        <w:t xml:space="preserve">; </w:t>
      </w:r>
      <w:r w:rsidRPr="003670E8">
        <w:t>L3.3.2.8</w:t>
      </w:r>
      <w:r w:rsidR="008A714B" w:rsidRPr="003670E8">
        <w:t xml:space="preserve">; </w:t>
      </w:r>
      <w:r w:rsidRPr="003670E8">
        <w:t>L3.3.2.9</w:t>
      </w:r>
      <w:r w:rsidR="008A714B" w:rsidRPr="003670E8">
        <w:t xml:space="preserve">; </w:t>
      </w:r>
      <w:r w:rsidRPr="003670E8">
        <w:t>L3.3.2.10</w:t>
      </w:r>
      <w:r w:rsidR="008A714B" w:rsidRPr="003670E8">
        <w:t xml:space="preserve">; </w:t>
      </w:r>
      <w:r w:rsidRPr="003670E8">
        <w:t>L3.3.2.11</w:t>
      </w:r>
      <w:r w:rsidR="008A714B" w:rsidRPr="003670E8">
        <w:t xml:space="preserve">; </w:t>
      </w:r>
      <w:r w:rsidRPr="003670E8">
        <w:t>L3.3.2.12</w:t>
      </w:r>
      <w:r w:rsidR="008A714B" w:rsidRPr="003670E8">
        <w:t xml:space="preserve">; </w:t>
      </w:r>
      <w:r w:rsidRPr="003670E8">
        <w:t>L3.3.2.13</w:t>
      </w:r>
      <w:r w:rsidR="008A714B" w:rsidRPr="003670E8">
        <w:t xml:space="preserve">; </w:t>
      </w:r>
      <w:r w:rsidRPr="003670E8">
        <w:t>L3.3.2.15</w:t>
      </w:r>
      <w:r w:rsidR="008A714B" w:rsidRPr="003670E8">
        <w:t xml:space="preserve">; </w:t>
      </w:r>
      <w:r w:rsidRPr="003670E8">
        <w:t>L3.3.2.16</w:t>
      </w:r>
      <w:r w:rsidR="008A714B" w:rsidRPr="003670E8">
        <w:t xml:space="preserve">; </w:t>
      </w:r>
      <w:r w:rsidRPr="003670E8">
        <w:t>L3.3.2.17</w:t>
      </w:r>
      <w:r w:rsidR="008A714B" w:rsidRPr="003670E8">
        <w:t xml:space="preserve">; </w:t>
      </w:r>
      <w:r w:rsidRPr="003670E8">
        <w:t>L3.3.2.18</w:t>
      </w:r>
      <w:r w:rsidR="008A714B" w:rsidRPr="003670E8">
        <w:t xml:space="preserve">; </w:t>
      </w:r>
      <w:r w:rsidRPr="003670E8">
        <w:t>L3.3.2.19</w:t>
      </w:r>
      <w:r w:rsidR="008A714B" w:rsidRPr="003670E8">
        <w:t xml:space="preserve">; </w:t>
      </w:r>
      <w:r w:rsidRPr="003670E8">
        <w:t>L3.3.2.20</w:t>
      </w:r>
      <w:r w:rsidR="008A714B" w:rsidRPr="003670E8">
        <w:t xml:space="preserve">; </w:t>
      </w:r>
      <w:r w:rsidRPr="003670E8">
        <w:t>L3.3.2.21</w:t>
      </w:r>
      <w:r w:rsidR="008A714B" w:rsidRPr="003670E8">
        <w:t xml:space="preserve">; </w:t>
      </w:r>
      <w:r w:rsidRPr="003670E8">
        <w:t>L3.3.2.22</w:t>
      </w:r>
      <w:r w:rsidR="008A714B" w:rsidRPr="003670E8">
        <w:t xml:space="preserve">; </w:t>
      </w:r>
      <w:r w:rsidRPr="003670E8">
        <w:t>L3.3.2.23</w:t>
      </w:r>
      <w:r w:rsidR="008A714B" w:rsidRPr="003670E8">
        <w:t xml:space="preserve">; </w:t>
      </w:r>
      <w:r w:rsidRPr="003670E8">
        <w:t>L3.3.2.24</w:t>
      </w:r>
      <w:r w:rsidR="008A714B" w:rsidRPr="003670E8">
        <w:t xml:space="preserve">; </w:t>
      </w:r>
      <w:r w:rsidRPr="003670E8">
        <w:t>L3.3.2.25</w:t>
      </w:r>
      <w:r w:rsidR="008A714B" w:rsidRPr="003670E8">
        <w:t xml:space="preserve">; </w:t>
      </w:r>
      <w:r w:rsidRPr="003670E8">
        <w:t>L3.3.2.26</w:t>
      </w:r>
      <w:r w:rsidR="008A714B" w:rsidRPr="003670E8">
        <w:t xml:space="preserve">; </w:t>
      </w:r>
      <w:r w:rsidRPr="003670E8">
        <w:t>L3.3.2.27</w:t>
      </w:r>
      <w:r w:rsidR="008A714B" w:rsidRPr="003670E8">
        <w:t xml:space="preserve">; </w:t>
      </w:r>
      <w:r w:rsidRPr="003670E8">
        <w:t>L3.3.2.28</w:t>
      </w:r>
      <w:r w:rsidR="008A714B" w:rsidRPr="003670E8">
        <w:t xml:space="preserve">; </w:t>
      </w:r>
      <w:r w:rsidRPr="003670E8">
        <w:t>L3.3.2.29</w:t>
      </w:r>
      <w:r w:rsidR="008A714B" w:rsidRPr="003670E8">
        <w:t xml:space="preserve">; </w:t>
      </w:r>
      <w:r w:rsidRPr="003670E8">
        <w:t>L3.3.2.30</w:t>
      </w:r>
      <w:r w:rsidR="008A714B" w:rsidRPr="003670E8">
        <w:t xml:space="preserve">; </w:t>
      </w:r>
      <w:r w:rsidRPr="003670E8">
        <w:t>L3.3.2.31</w:t>
      </w:r>
      <w:r w:rsidR="008A714B" w:rsidRPr="003670E8">
        <w:t xml:space="preserve">; </w:t>
      </w:r>
      <w:r w:rsidRPr="003670E8">
        <w:t>L3.3.2.32</w:t>
      </w:r>
      <w:r w:rsidR="008A714B" w:rsidRPr="003670E8">
        <w:t xml:space="preserve">; </w:t>
      </w:r>
      <w:r w:rsidRPr="003670E8">
        <w:t>L3.3.2.33</w:t>
      </w:r>
      <w:r w:rsidR="008A714B" w:rsidRPr="003670E8">
        <w:t xml:space="preserve">; </w:t>
      </w:r>
      <w:r w:rsidRPr="003670E8">
        <w:t>L3.3.2.34</w:t>
      </w:r>
      <w:r w:rsidR="008A714B" w:rsidRPr="003670E8">
        <w:t xml:space="preserve">; </w:t>
      </w:r>
      <w:r w:rsidRPr="003670E8">
        <w:t>L3.3.3.1</w:t>
      </w:r>
      <w:r w:rsidR="008A714B" w:rsidRPr="003670E8">
        <w:t xml:space="preserve">; </w:t>
      </w:r>
      <w:r w:rsidRPr="003670E8">
        <w:t>L3.3.3.2</w:t>
      </w:r>
      <w:r w:rsidR="008A714B" w:rsidRPr="003670E8">
        <w:t xml:space="preserve">; </w:t>
      </w:r>
      <w:r w:rsidRPr="003670E8">
        <w:t>L3.3.3.3</w:t>
      </w:r>
      <w:r w:rsidR="008A714B" w:rsidRPr="003670E8">
        <w:t xml:space="preserve">; </w:t>
      </w:r>
      <w:r w:rsidRPr="003670E8">
        <w:t>L3.3.3.4</w:t>
      </w:r>
      <w:r w:rsidR="008A714B" w:rsidRPr="003670E8">
        <w:t xml:space="preserve">; </w:t>
      </w:r>
      <w:r w:rsidRPr="003670E8">
        <w:t>L3.3.3.5</w:t>
      </w:r>
      <w:r w:rsidR="008A714B" w:rsidRPr="003670E8">
        <w:t xml:space="preserve">; </w:t>
      </w:r>
      <w:r w:rsidRPr="003670E8">
        <w:t>L3.3.3.6</w:t>
      </w:r>
      <w:r w:rsidR="008A714B" w:rsidRPr="003670E8">
        <w:t xml:space="preserve">; </w:t>
      </w:r>
      <w:r w:rsidRPr="003670E8">
        <w:t>L3.3.3.7</w:t>
      </w:r>
      <w:r w:rsidR="008A714B" w:rsidRPr="003670E8">
        <w:t xml:space="preserve">; </w:t>
      </w:r>
      <w:r w:rsidRPr="003670E8">
        <w:t>L3.3.3.8</w:t>
      </w:r>
      <w:r w:rsidR="008A714B" w:rsidRPr="003670E8">
        <w:t xml:space="preserve">; </w:t>
      </w:r>
      <w:r w:rsidRPr="003670E8">
        <w:t>L3.3.3.9</w:t>
      </w:r>
      <w:r w:rsidR="008A714B" w:rsidRPr="003670E8">
        <w:t xml:space="preserve">; </w:t>
      </w:r>
      <w:r w:rsidRPr="003670E8">
        <w:t>L3.3.3.10</w:t>
      </w:r>
      <w:r w:rsidR="008A714B" w:rsidRPr="003670E8">
        <w:t xml:space="preserve">; </w:t>
      </w:r>
      <w:r w:rsidRPr="003670E8">
        <w:t>L3.3.3.11</w:t>
      </w:r>
      <w:r w:rsidR="008A714B" w:rsidRPr="003670E8">
        <w:t xml:space="preserve">; </w:t>
      </w:r>
      <w:r w:rsidRPr="003670E8">
        <w:t>L3.3.3.12</w:t>
      </w:r>
      <w:r w:rsidR="008A714B" w:rsidRPr="003670E8">
        <w:t>; L</w:t>
      </w:r>
      <w:r w:rsidRPr="003670E8">
        <w:t>3.3.3.13</w:t>
      </w:r>
      <w:r w:rsidR="008A714B" w:rsidRPr="003670E8">
        <w:t xml:space="preserve">; </w:t>
      </w:r>
      <w:r w:rsidRPr="003670E8">
        <w:t>L3.3.3.14</w:t>
      </w:r>
      <w:r w:rsidR="008A714B" w:rsidRPr="003670E8">
        <w:t xml:space="preserve">; </w:t>
      </w:r>
      <w:r w:rsidRPr="003670E8">
        <w:t>L3.3.3.15</w:t>
      </w:r>
      <w:r w:rsidR="008A714B" w:rsidRPr="003670E8">
        <w:t xml:space="preserve">; </w:t>
      </w:r>
      <w:r w:rsidRPr="003670E8">
        <w:t>L3.3.3.16</w:t>
      </w:r>
      <w:r w:rsidR="008A714B" w:rsidRPr="003670E8">
        <w:t xml:space="preserve">; </w:t>
      </w:r>
      <w:r w:rsidRPr="003670E8">
        <w:t>L3.3.3.17</w:t>
      </w:r>
      <w:r w:rsidR="008A714B" w:rsidRPr="003670E8">
        <w:t xml:space="preserve">; </w:t>
      </w:r>
      <w:r w:rsidRPr="003670E8">
        <w:t>L3.3.3.19</w:t>
      </w:r>
      <w:r w:rsidR="008A714B" w:rsidRPr="003670E8">
        <w:t xml:space="preserve">; </w:t>
      </w:r>
      <w:r w:rsidRPr="003670E8">
        <w:t>L3.3.3.20</w:t>
      </w:r>
      <w:r w:rsidR="008A714B" w:rsidRPr="003670E8">
        <w:t xml:space="preserve">; </w:t>
      </w:r>
      <w:r w:rsidRPr="003670E8">
        <w:t>L3.3.3.21</w:t>
      </w:r>
      <w:r w:rsidR="008A714B" w:rsidRPr="003670E8">
        <w:t xml:space="preserve">; </w:t>
      </w:r>
      <w:r w:rsidRPr="003670E8">
        <w:t>L3.3.3.22</w:t>
      </w:r>
      <w:r w:rsidR="008A714B" w:rsidRPr="003670E8">
        <w:t xml:space="preserve">; </w:t>
      </w:r>
      <w:r w:rsidRPr="003670E8">
        <w:t>L3.3.3.23</w:t>
      </w:r>
      <w:r w:rsidR="008A714B" w:rsidRPr="003670E8">
        <w:t xml:space="preserve">; </w:t>
      </w:r>
      <w:r w:rsidRPr="003670E8">
        <w:t>L3.3.3.24</w:t>
      </w:r>
      <w:r w:rsidR="008A714B" w:rsidRPr="003670E8">
        <w:t xml:space="preserve">; </w:t>
      </w:r>
      <w:r w:rsidRPr="003670E8">
        <w:t>L3.3.3.25</w:t>
      </w:r>
      <w:r w:rsidR="008A714B" w:rsidRPr="003670E8">
        <w:t xml:space="preserve">; </w:t>
      </w:r>
      <w:r w:rsidRPr="003670E8">
        <w:t>L3.3.3.26</w:t>
      </w:r>
      <w:r w:rsidR="008A714B" w:rsidRPr="003670E8">
        <w:t xml:space="preserve">; </w:t>
      </w:r>
      <w:r w:rsidRPr="003670E8">
        <w:t>L3.3.3.27</w:t>
      </w:r>
      <w:r w:rsidR="008A714B" w:rsidRPr="003670E8">
        <w:t xml:space="preserve">; </w:t>
      </w:r>
      <w:r w:rsidRPr="003670E8">
        <w:t>L3.3.3.28</w:t>
      </w:r>
      <w:r w:rsidR="008A714B" w:rsidRPr="003670E8">
        <w:t xml:space="preserve">; </w:t>
      </w:r>
      <w:r w:rsidRPr="003670E8">
        <w:t>L3.3.3.29</w:t>
      </w:r>
      <w:r w:rsidR="008A714B" w:rsidRPr="003670E8">
        <w:t xml:space="preserve">; </w:t>
      </w:r>
      <w:r w:rsidRPr="003670E8">
        <w:t>L3.3.3.30</w:t>
      </w:r>
      <w:r w:rsidR="008A714B" w:rsidRPr="003670E8">
        <w:t xml:space="preserve">; </w:t>
      </w:r>
      <w:r w:rsidRPr="003670E8">
        <w:t>L3.3.3.31</w:t>
      </w:r>
      <w:r w:rsidR="008A714B" w:rsidRPr="003670E8">
        <w:t xml:space="preserve">; </w:t>
      </w:r>
      <w:r w:rsidRPr="003670E8">
        <w:t>L3.3.3.32</w:t>
      </w:r>
      <w:r w:rsidR="008A714B" w:rsidRPr="003670E8">
        <w:t xml:space="preserve">; </w:t>
      </w:r>
      <w:r w:rsidRPr="003670E8">
        <w:t>L3.3.3.33</w:t>
      </w:r>
      <w:r w:rsidR="008A714B" w:rsidRPr="003670E8">
        <w:t xml:space="preserve">; </w:t>
      </w:r>
      <w:r w:rsidRPr="003670E8">
        <w:t>L3.4.1.1</w:t>
      </w:r>
      <w:r w:rsidR="008A714B" w:rsidRPr="003670E8">
        <w:t xml:space="preserve">; </w:t>
      </w:r>
      <w:r w:rsidRPr="003670E8">
        <w:t>L3.4.1.2</w:t>
      </w:r>
      <w:r w:rsidR="008A714B" w:rsidRPr="003670E8">
        <w:t xml:space="preserve">; </w:t>
      </w:r>
      <w:r w:rsidRPr="003670E8">
        <w:t>L3.4.1.3</w:t>
      </w:r>
      <w:r w:rsidR="008A714B" w:rsidRPr="003670E8">
        <w:t xml:space="preserve">; </w:t>
      </w:r>
      <w:r w:rsidRPr="003670E8">
        <w:t>L3.4.1.4</w:t>
      </w:r>
      <w:r w:rsidR="008A714B" w:rsidRPr="003670E8">
        <w:t xml:space="preserve">; </w:t>
      </w:r>
      <w:r w:rsidRPr="003670E8">
        <w:t>L3.4.2.1</w:t>
      </w:r>
      <w:r w:rsidR="008A714B" w:rsidRPr="003670E8">
        <w:t xml:space="preserve">; </w:t>
      </w:r>
      <w:r w:rsidRPr="003670E8">
        <w:t>L3.2.7.8</w:t>
      </w:r>
      <w:r w:rsidR="008A714B" w:rsidRPr="003670E8">
        <w:t xml:space="preserve">; </w:t>
      </w:r>
      <w:r w:rsidRPr="003670E8">
        <w:t>L3.2.5.28</w:t>
      </w:r>
      <w:r w:rsidR="008A714B" w:rsidRPr="003670E8">
        <w:t xml:space="preserve">; </w:t>
      </w:r>
      <w:r w:rsidRPr="003670E8">
        <w:t>L3.2.5.29</w:t>
      </w:r>
      <w:r w:rsidR="008A714B" w:rsidRPr="003670E8">
        <w:t xml:space="preserve">; </w:t>
      </w:r>
      <w:r w:rsidRPr="003670E8">
        <w:t>L3.3.2.35</w:t>
      </w:r>
      <w:r w:rsidR="008A714B" w:rsidRPr="003670E8">
        <w:t xml:space="preserve">; </w:t>
      </w:r>
      <w:r w:rsidRPr="003670E8">
        <w:t>L3.3.3.34</w:t>
      </w:r>
      <w:r w:rsidR="008A714B" w:rsidRPr="003670E8">
        <w:t xml:space="preserve">; </w:t>
      </w:r>
      <w:r w:rsidRPr="003670E8">
        <w:t>L3.3.2.36</w:t>
      </w:r>
      <w:r w:rsidR="008A714B" w:rsidRPr="003670E8">
        <w:t xml:space="preserve">; </w:t>
      </w:r>
      <w:r w:rsidRPr="003670E8">
        <w:t>L3.2.7.10</w:t>
      </w:r>
      <w:r w:rsidR="008A714B" w:rsidRPr="003670E8">
        <w:t xml:space="preserve">; </w:t>
      </w:r>
      <w:r w:rsidRPr="003670E8">
        <w:t>L3.2.5.30</w:t>
      </w:r>
      <w:r w:rsidR="008A714B" w:rsidRPr="003670E8">
        <w:t xml:space="preserve">; </w:t>
      </w:r>
      <w:r w:rsidRPr="003670E8">
        <w:t>L3.2.5.31</w:t>
      </w:r>
      <w:r w:rsidR="008A714B" w:rsidRPr="003670E8">
        <w:t xml:space="preserve">; </w:t>
      </w:r>
      <w:r w:rsidRPr="003670E8">
        <w:t>L3.2.6.2</w:t>
      </w:r>
      <w:r w:rsidR="008A714B" w:rsidRPr="003670E8">
        <w:t xml:space="preserve">; </w:t>
      </w:r>
      <w:r w:rsidRPr="003670E8">
        <w:t>L3.3.3.35</w:t>
      </w:r>
      <w:r w:rsidR="008A714B" w:rsidRPr="003670E8">
        <w:t xml:space="preserve">; </w:t>
      </w:r>
      <w:r w:rsidRPr="003670E8">
        <w:t>L3.2.2.4</w:t>
      </w:r>
      <w:r w:rsidR="008A714B" w:rsidRPr="003670E8">
        <w:t xml:space="preserve">; </w:t>
      </w:r>
      <w:r w:rsidRPr="003670E8">
        <w:t>L3.2.2.5</w:t>
      </w:r>
      <w:r w:rsidR="008A714B" w:rsidRPr="003670E8">
        <w:t xml:space="preserve">; </w:t>
      </w:r>
      <w:r w:rsidRPr="003670E8">
        <w:t>L3.3.3.36</w:t>
      </w:r>
      <w:r w:rsidR="008A714B" w:rsidRPr="003670E8">
        <w:t xml:space="preserve">; </w:t>
      </w:r>
      <w:r w:rsidRPr="003670E8">
        <w:t>L3.2.4.4</w:t>
      </w:r>
      <w:r w:rsidR="008A714B" w:rsidRPr="003670E8">
        <w:t xml:space="preserve">; </w:t>
      </w:r>
      <w:r w:rsidRPr="003670E8">
        <w:t>L3.2.4.5</w:t>
      </w:r>
      <w:r w:rsidR="008A714B" w:rsidRPr="003670E8">
        <w:t xml:space="preserve">; </w:t>
      </w:r>
      <w:r w:rsidRPr="003670E8">
        <w:t>L3.3.3.18</w:t>
      </w:r>
    </w:p>
    <w:p w14:paraId="52752018" w14:textId="77777777" w:rsidR="003670E8" w:rsidRPr="003670E8" w:rsidRDefault="003670E8" w:rsidP="00E52A20">
      <w:bookmarkStart w:id="2" w:name="_GoBack"/>
      <w:bookmarkEnd w:id="2"/>
    </w:p>
    <w:sectPr w:rsidR="003670E8" w:rsidRPr="003670E8">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A23E3" w14:textId="77777777" w:rsidR="00E328B8" w:rsidRDefault="00E328B8" w:rsidP="007B4FB9">
      <w:pPr>
        <w:spacing w:line="240" w:lineRule="auto"/>
      </w:pPr>
      <w:r>
        <w:separator/>
      </w:r>
    </w:p>
  </w:endnote>
  <w:endnote w:type="continuationSeparator" w:id="0">
    <w:p w14:paraId="48EF5C8B" w14:textId="77777777" w:rsidR="00E328B8" w:rsidRDefault="00E328B8" w:rsidP="007B4F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7" w:type="dxa"/>
      <w:tblCellMar>
        <w:top w:w="57" w:type="dxa"/>
        <w:left w:w="0" w:type="dxa"/>
        <w:bottom w:w="57" w:type="dxa"/>
        <w:right w:w="0" w:type="dxa"/>
      </w:tblCellMar>
      <w:tblLook w:val="0000" w:firstRow="0" w:lastRow="0" w:firstColumn="0" w:lastColumn="0" w:noHBand="0" w:noVBand="0"/>
    </w:tblPr>
    <w:tblGrid>
      <w:gridCol w:w="3215"/>
      <w:gridCol w:w="3216"/>
      <w:gridCol w:w="3216"/>
    </w:tblGrid>
    <w:tr w:rsidR="005D267D" w:rsidRPr="00123D6B" w14:paraId="05191CF9" w14:textId="77777777" w:rsidTr="003360DC">
      <w:trPr>
        <w:cantSplit/>
        <w:trHeight w:hRule="exact" w:val="284"/>
      </w:trPr>
      <w:tc>
        <w:tcPr>
          <w:tcW w:w="9647" w:type="dxa"/>
          <w:gridSpan w:val="3"/>
          <w:tcBorders>
            <w:bottom w:val="single" w:sz="4" w:space="0" w:color="auto"/>
          </w:tcBorders>
        </w:tcPr>
        <w:p w14:paraId="31A0E90B" w14:textId="77777777" w:rsidR="005D267D" w:rsidRPr="00123D6B" w:rsidRDefault="005D267D" w:rsidP="003360DC">
          <w:pPr>
            <w:tabs>
              <w:tab w:val="left" w:pos="4807"/>
            </w:tabs>
            <w:spacing w:line="240" w:lineRule="auto"/>
            <w:jc w:val="right"/>
            <w:rPr>
              <w:sz w:val="20"/>
              <w:lang w:eastAsia="en-GB"/>
            </w:rPr>
          </w:pPr>
          <w:r w:rsidRPr="00123D6B">
            <w:rPr>
              <w:sz w:val="20"/>
              <w:lang w:eastAsia="en-GB"/>
            </w:rPr>
            <w:fldChar w:fldCharType="begin"/>
          </w:r>
          <w:r w:rsidRPr="00123D6B">
            <w:rPr>
              <w:sz w:val="20"/>
              <w:lang w:eastAsia="en-GB"/>
            </w:rPr>
            <w:instrText xml:space="preserve"> PAGE </w:instrText>
          </w:r>
          <w:r w:rsidRPr="00123D6B">
            <w:rPr>
              <w:sz w:val="20"/>
              <w:lang w:eastAsia="en-GB"/>
            </w:rPr>
            <w:fldChar w:fldCharType="separate"/>
          </w:r>
          <w:r w:rsidR="00E52A20">
            <w:rPr>
              <w:noProof/>
              <w:sz w:val="20"/>
              <w:lang w:eastAsia="en-GB"/>
            </w:rPr>
            <w:t>5</w:t>
          </w:r>
          <w:r w:rsidRPr="00123D6B">
            <w:rPr>
              <w:sz w:val="20"/>
              <w:lang w:eastAsia="en-GB"/>
            </w:rPr>
            <w:fldChar w:fldCharType="end"/>
          </w:r>
          <w:r w:rsidRPr="00123D6B">
            <w:rPr>
              <w:sz w:val="20"/>
              <w:lang w:eastAsia="en-GB"/>
            </w:rPr>
            <w:t xml:space="preserve"> of </w:t>
          </w:r>
          <w:r w:rsidRPr="00123D6B">
            <w:rPr>
              <w:sz w:val="20"/>
              <w:lang w:eastAsia="en-GB"/>
            </w:rPr>
            <w:fldChar w:fldCharType="begin"/>
          </w:r>
          <w:r w:rsidRPr="00123D6B">
            <w:rPr>
              <w:sz w:val="20"/>
              <w:lang w:eastAsia="en-GB"/>
            </w:rPr>
            <w:instrText xml:space="preserve"> NUMPAGES </w:instrText>
          </w:r>
          <w:r w:rsidRPr="00123D6B">
            <w:rPr>
              <w:sz w:val="20"/>
              <w:lang w:eastAsia="en-GB"/>
            </w:rPr>
            <w:fldChar w:fldCharType="separate"/>
          </w:r>
          <w:r w:rsidR="00E52A20">
            <w:rPr>
              <w:noProof/>
              <w:sz w:val="20"/>
              <w:lang w:eastAsia="en-GB"/>
            </w:rPr>
            <w:t>5</w:t>
          </w:r>
          <w:r w:rsidRPr="00123D6B">
            <w:rPr>
              <w:sz w:val="20"/>
              <w:lang w:eastAsia="en-GB"/>
            </w:rPr>
            <w:fldChar w:fldCharType="end"/>
          </w:r>
          <w:r w:rsidRPr="00123D6B">
            <w:rPr>
              <w:sz w:val="20"/>
              <w:lang w:eastAsia="en-GB"/>
            </w:rPr>
            <w:t xml:space="preserve"> </w:t>
          </w:r>
        </w:p>
      </w:tc>
    </w:tr>
    <w:tr w:rsidR="005D267D" w:rsidRPr="00123D6B" w14:paraId="457525AA" w14:textId="77777777" w:rsidTr="003360DC">
      <w:trPr>
        <w:cantSplit/>
        <w:trHeight w:hRule="exact" w:val="284"/>
      </w:trPr>
      <w:tc>
        <w:tcPr>
          <w:tcW w:w="3215" w:type="dxa"/>
          <w:tcBorders>
            <w:top w:val="single" w:sz="4" w:space="0" w:color="auto"/>
          </w:tcBorders>
        </w:tcPr>
        <w:p w14:paraId="2F7924FF" w14:textId="77777777" w:rsidR="005D267D" w:rsidRPr="00123D6B" w:rsidRDefault="005D267D" w:rsidP="003360DC">
          <w:pPr>
            <w:spacing w:line="240" w:lineRule="auto"/>
            <w:rPr>
              <w:sz w:val="20"/>
              <w:lang w:eastAsia="en-GB"/>
            </w:rPr>
          </w:pPr>
          <w:r w:rsidRPr="00123D6B">
            <w:rPr>
              <w:sz w:val="20"/>
              <w:lang w:eastAsia="en-GB"/>
            </w:rPr>
            <w:t>OSPAR Commission</w:t>
          </w:r>
        </w:p>
      </w:tc>
      <w:tc>
        <w:tcPr>
          <w:tcW w:w="3216" w:type="dxa"/>
          <w:tcBorders>
            <w:top w:val="single" w:sz="4" w:space="0" w:color="auto"/>
          </w:tcBorders>
        </w:tcPr>
        <w:p w14:paraId="558D0860" w14:textId="77777777" w:rsidR="005D267D" w:rsidRPr="00123D6B" w:rsidRDefault="005D267D" w:rsidP="003360DC">
          <w:pPr>
            <w:tabs>
              <w:tab w:val="center" w:pos="1615"/>
            </w:tabs>
            <w:spacing w:line="240" w:lineRule="auto"/>
            <w:jc w:val="center"/>
            <w:rPr>
              <w:sz w:val="20"/>
              <w:lang w:eastAsia="en-GB"/>
            </w:rPr>
          </w:pPr>
        </w:p>
      </w:tc>
      <w:tc>
        <w:tcPr>
          <w:tcW w:w="3216" w:type="dxa"/>
          <w:tcBorders>
            <w:top w:val="single" w:sz="4" w:space="0" w:color="auto"/>
          </w:tcBorders>
        </w:tcPr>
        <w:p w14:paraId="1E873E7E" w14:textId="77777777" w:rsidR="005D267D" w:rsidRPr="00123D6B" w:rsidRDefault="005D267D" w:rsidP="003360DC">
          <w:pPr>
            <w:spacing w:line="240" w:lineRule="auto"/>
            <w:jc w:val="right"/>
            <w:rPr>
              <w:sz w:val="20"/>
              <w:lang w:eastAsia="en-GB"/>
            </w:rPr>
          </w:pPr>
        </w:p>
      </w:tc>
    </w:tr>
  </w:tbl>
  <w:p w14:paraId="7D13B7FA" w14:textId="77777777" w:rsidR="005D267D" w:rsidRPr="005D267D" w:rsidRDefault="005D267D" w:rsidP="005D2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8824C" w14:textId="77777777" w:rsidR="00E328B8" w:rsidRDefault="00E328B8" w:rsidP="007B4FB9">
      <w:pPr>
        <w:spacing w:line="240" w:lineRule="auto"/>
      </w:pPr>
      <w:r>
        <w:separator/>
      </w:r>
    </w:p>
  </w:footnote>
  <w:footnote w:type="continuationSeparator" w:id="0">
    <w:p w14:paraId="14ADDEA4" w14:textId="77777777" w:rsidR="00E328B8" w:rsidRDefault="00E328B8" w:rsidP="007B4FB9">
      <w:pPr>
        <w:spacing w:line="240" w:lineRule="auto"/>
      </w:pPr>
      <w:r>
        <w:continuationSeparator/>
      </w:r>
    </w:p>
  </w:footnote>
  <w:footnote w:id="1">
    <w:p w14:paraId="6F6A23D3" w14:textId="77777777" w:rsidR="00F9158B" w:rsidRPr="00494A14" w:rsidRDefault="00F9158B" w:rsidP="00F9158B">
      <w:pPr>
        <w:pStyle w:val="FootnoteText"/>
      </w:pPr>
      <w:r>
        <w:rPr>
          <w:rStyle w:val="FootnoteReference"/>
        </w:rPr>
        <w:footnoteRef/>
      </w:r>
      <w:r>
        <w:t xml:space="preserve"> MSFD (2008/56) Article 4.2(a)</w:t>
      </w:r>
    </w:p>
  </w:footnote>
  <w:footnote w:id="2">
    <w:p w14:paraId="55ED418C" w14:textId="77777777" w:rsidR="00F9158B" w:rsidRPr="00381836" w:rsidRDefault="00F9158B" w:rsidP="00F9158B">
      <w:pPr>
        <w:pStyle w:val="FootnoteText"/>
      </w:pPr>
      <w:r>
        <w:rPr>
          <w:rStyle w:val="FootnoteReference"/>
        </w:rPr>
        <w:footnoteRef/>
      </w:r>
      <w:r>
        <w:t xml:space="preserve"> MSFD (2008/56) Art</w:t>
      </w:r>
      <w:r>
        <w:rPr>
          <w:lang w:val="en-GB"/>
        </w:rPr>
        <w:t>icle</w:t>
      </w:r>
      <w:r w:rsidRPr="00381836">
        <w:t xml:space="preserve"> 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91FB5"/>
    <w:multiLevelType w:val="hybridMultilevel"/>
    <w:tmpl w:val="8BB2C6C6"/>
    <w:lvl w:ilvl="0" w:tplc="9B161330">
      <w:start w:val="5"/>
      <w:numFmt w:val="bullet"/>
      <w:lvlText w:val="-"/>
      <w:lvlJc w:val="left"/>
      <w:pPr>
        <w:ind w:left="405" w:hanging="360"/>
      </w:pPr>
      <w:rPr>
        <w:rFonts w:ascii="Calibri" w:eastAsia="Times New Roman"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nsid w:val="1CFC20EC"/>
    <w:multiLevelType w:val="hybridMultilevel"/>
    <w:tmpl w:val="4ACCF58C"/>
    <w:lvl w:ilvl="0" w:tplc="C5C824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42AAC"/>
    <w:multiLevelType w:val="hybridMultilevel"/>
    <w:tmpl w:val="6776A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C96065"/>
    <w:multiLevelType w:val="hybridMultilevel"/>
    <w:tmpl w:val="55368C02"/>
    <w:lvl w:ilvl="0" w:tplc="BFC440F6">
      <w:start w:val="1"/>
      <w:numFmt w:val="decimal"/>
      <w:lvlText w:val="%1."/>
      <w:lvlJc w:val="left"/>
      <w:pPr>
        <w:ind w:left="360" w:hanging="360"/>
      </w:pPr>
      <w:rPr>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651458"/>
    <w:multiLevelType w:val="hybridMultilevel"/>
    <w:tmpl w:val="64103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624053"/>
    <w:multiLevelType w:val="hybridMultilevel"/>
    <w:tmpl w:val="D2DC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1F1DFF"/>
    <w:multiLevelType w:val="hybridMultilevel"/>
    <w:tmpl w:val="DDCEA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FB9"/>
    <w:rsid w:val="00034840"/>
    <w:rsid w:val="000424F4"/>
    <w:rsid w:val="00055A46"/>
    <w:rsid w:val="00072B30"/>
    <w:rsid w:val="00082EF1"/>
    <w:rsid w:val="000D03C7"/>
    <w:rsid w:val="000D0EFD"/>
    <w:rsid w:val="000E37C1"/>
    <w:rsid w:val="00113F3D"/>
    <w:rsid w:val="00135C82"/>
    <w:rsid w:val="00167B43"/>
    <w:rsid w:val="00182AFF"/>
    <w:rsid w:val="00184F17"/>
    <w:rsid w:val="00187C96"/>
    <w:rsid w:val="00193519"/>
    <w:rsid w:val="00194B7E"/>
    <w:rsid w:val="001C3E69"/>
    <w:rsid w:val="001C70F4"/>
    <w:rsid w:val="002060CF"/>
    <w:rsid w:val="00246E19"/>
    <w:rsid w:val="002579AF"/>
    <w:rsid w:val="00257BCF"/>
    <w:rsid w:val="0026769B"/>
    <w:rsid w:val="002812D2"/>
    <w:rsid w:val="0028672B"/>
    <w:rsid w:val="002B31B9"/>
    <w:rsid w:val="002D0CD4"/>
    <w:rsid w:val="002E7164"/>
    <w:rsid w:val="002F3C8F"/>
    <w:rsid w:val="00306F02"/>
    <w:rsid w:val="003339CA"/>
    <w:rsid w:val="00343BEA"/>
    <w:rsid w:val="003466B7"/>
    <w:rsid w:val="00360158"/>
    <w:rsid w:val="003670E8"/>
    <w:rsid w:val="00381836"/>
    <w:rsid w:val="003A2472"/>
    <w:rsid w:val="003D7C08"/>
    <w:rsid w:val="004105C0"/>
    <w:rsid w:val="004147E8"/>
    <w:rsid w:val="00437349"/>
    <w:rsid w:val="00464F1B"/>
    <w:rsid w:val="004653A1"/>
    <w:rsid w:val="00474225"/>
    <w:rsid w:val="00490172"/>
    <w:rsid w:val="00494A14"/>
    <w:rsid w:val="004A4DE1"/>
    <w:rsid w:val="004D378B"/>
    <w:rsid w:val="004F1187"/>
    <w:rsid w:val="004F543F"/>
    <w:rsid w:val="00505EFF"/>
    <w:rsid w:val="00516947"/>
    <w:rsid w:val="00520977"/>
    <w:rsid w:val="005368AB"/>
    <w:rsid w:val="00553EA7"/>
    <w:rsid w:val="00566C26"/>
    <w:rsid w:val="00592387"/>
    <w:rsid w:val="005924F4"/>
    <w:rsid w:val="005D267D"/>
    <w:rsid w:val="005D5DE4"/>
    <w:rsid w:val="00603F83"/>
    <w:rsid w:val="00604137"/>
    <w:rsid w:val="006202AF"/>
    <w:rsid w:val="0063009E"/>
    <w:rsid w:val="00635035"/>
    <w:rsid w:val="00656B30"/>
    <w:rsid w:val="006727E9"/>
    <w:rsid w:val="00685643"/>
    <w:rsid w:val="00693ECA"/>
    <w:rsid w:val="006A1271"/>
    <w:rsid w:val="006A7962"/>
    <w:rsid w:val="006B2197"/>
    <w:rsid w:val="006F5AFB"/>
    <w:rsid w:val="00704011"/>
    <w:rsid w:val="00732075"/>
    <w:rsid w:val="0074677D"/>
    <w:rsid w:val="00747E15"/>
    <w:rsid w:val="00756A25"/>
    <w:rsid w:val="00766751"/>
    <w:rsid w:val="00770D49"/>
    <w:rsid w:val="007750C4"/>
    <w:rsid w:val="0077697A"/>
    <w:rsid w:val="0079240D"/>
    <w:rsid w:val="0079484C"/>
    <w:rsid w:val="007B4FB9"/>
    <w:rsid w:val="007B58FD"/>
    <w:rsid w:val="008177BB"/>
    <w:rsid w:val="0085683F"/>
    <w:rsid w:val="008713F9"/>
    <w:rsid w:val="00882651"/>
    <w:rsid w:val="00886593"/>
    <w:rsid w:val="0089104F"/>
    <w:rsid w:val="00891E2B"/>
    <w:rsid w:val="008A7084"/>
    <w:rsid w:val="008A714B"/>
    <w:rsid w:val="008D2578"/>
    <w:rsid w:val="00941527"/>
    <w:rsid w:val="0096051C"/>
    <w:rsid w:val="009B3356"/>
    <w:rsid w:val="009D28BC"/>
    <w:rsid w:val="009D3B2F"/>
    <w:rsid w:val="00A35A71"/>
    <w:rsid w:val="00A36585"/>
    <w:rsid w:val="00A45B50"/>
    <w:rsid w:val="00A4617C"/>
    <w:rsid w:val="00A55ADB"/>
    <w:rsid w:val="00A62975"/>
    <w:rsid w:val="00A86E82"/>
    <w:rsid w:val="00A9348A"/>
    <w:rsid w:val="00AA5F12"/>
    <w:rsid w:val="00AA6DB9"/>
    <w:rsid w:val="00AB4240"/>
    <w:rsid w:val="00AB6C9C"/>
    <w:rsid w:val="00AD08DE"/>
    <w:rsid w:val="00AD2B51"/>
    <w:rsid w:val="00AD6045"/>
    <w:rsid w:val="00B06D34"/>
    <w:rsid w:val="00B072E9"/>
    <w:rsid w:val="00B2423B"/>
    <w:rsid w:val="00B40362"/>
    <w:rsid w:val="00B57B1D"/>
    <w:rsid w:val="00B6543D"/>
    <w:rsid w:val="00B77228"/>
    <w:rsid w:val="00B94C24"/>
    <w:rsid w:val="00B95043"/>
    <w:rsid w:val="00BA4B56"/>
    <w:rsid w:val="00BB194D"/>
    <w:rsid w:val="00BB5486"/>
    <w:rsid w:val="00BC2417"/>
    <w:rsid w:val="00BC6EFA"/>
    <w:rsid w:val="00BC7CBD"/>
    <w:rsid w:val="00BE5542"/>
    <w:rsid w:val="00BE5B95"/>
    <w:rsid w:val="00C01566"/>
    <w:rsid w:val="00C270A7"/>
    <w:rsid w:val="00C27698"/>
    <w:rsid w:val="00C4744C"/>
    <w:rsid w:val="00C60B93"/>
    <w:rsid w:val="00C65173"/>
    <w:rsid w:val="00C83249"/>
    <w:rsid w:val="00C83706"/>
    <w:rsid w:val="00C90F6D"/>
    <w:rsid w:val="00CC0D64"/>
    <w:rsid w:val="00CE26ED"/>
    <w:rsid w:val="00CE5E7C"/>
    <w:rsid w:val="00CE6183"/>
    <w:rsid w:val="00D440C0"/>
    <w:rsid w:val="00D5646F"/>
    <w:rsid w:val="00DA204A"/>
    <w:rsid w:val="00DB463F"/>
    <w:rsid w:val="00DE32E9"/>
    <w:rsid w:val="00E05007"/>
    <w:rsid w:val="00E32187"/>
    <w:rsid w:val="00E328B8"/>
    <w:rsid w:val="00E52A20"/>
    <w:rsid w:val="00E72C1B"/>
    <w:rsid w:val="00E77608"/>
    <w:rsid w:val="00E873D1"/>
    <w:rsid w:val="00EC3EF8"/>
    <w:rsid w:val="00ED05F7"/>
    <w:rsid w:val="00ED1E6E"/>
    <w:rsid w:val="00ED48B4"/>
    <w:rsid w:val="00EE7B2B"/>
    <w:rsid w:val="00F06EBC"/>
    <w:rsid w:val="00F344D3"/>
    <w:rsid w:val="00F44961"/>
    <w:rsid w:val="00F555C9"/>
    <w:rsid w:val="00F64FCE"/>
    <w:rsid w:val="00F84173"/>
    <w:rsid w:val="00F9158B"/>
    <w:rsid w:val="00FA0D17"/>
    <w:rsid w:val="00FB0478"/>
    <w:rsid w:val="00FC3163"/>
    <w:rsid w:val="00FC63FF"/>
    <w:rsid w:val="00FD1E1B"/>
    <w:rsid w:val="00FE5B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EB8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608"/>
    <w:pPr>
      <w:tabs>
        <w:tab w:val="left" w:pos="720"/>
        <w:tab w:val="left" w:pos="1440"/>
        <w:tab w:val="left" w:pos="2160"/>
        <w:tab w:val="left" w:pos="2880"/>
        <w:tab w:val="left" w:pos="4680"/>
        <w:tab w:val="left" w:pos="5400"/>
        <w:tab w:val="right" w:pos="9000"/>
      </w:tabs>
      <w:spacing w:after="120" w:line="240" w:lineRule="atLeast"/>
      <w:jc w:val="both"/>
    </w:pPr>
    <w:rPr>
      <w:rFonts w:ascii="Calibri" w:eastAsia="Times New Roman" w:hAnsi="Calibri" w:cs="Times New Roman"/>
      <w:szCs w:val="20"/>
    </w:rPr>
  </w:style>
  <w:style w:type="paragraph" w:styleId="Heading1">
    <w:name w:val="heading 1"/>
    <w:basedOn w:val="Normal"/>
    <w:next w:val="Normal"/>
    <w:link w:val="Heading1Char"/>
    <w:uiPriority w:val="9"/>
    <w:qFormat/>
    <w:rsid w:val="00490172"/>
    <w:pPr>
      <w:spacing w:before="240"/>
      <w:outlineLvl w:val="0"/>
    </w:pPr>
    <w:rPr>
      <w:sz w:val="26"/>
      <w:szCs w:val="26"/>
    </w:rPr>
  </w:style>
  <w:style w:type="paragraph" w:styleId="Heading2">
    <w:name w:val="heading 2"/>
    <w:basedOn w:val="Normal"/>
    <w:next w:val="Normal"/>
    <w:link w:val="Heading2Char"/>
    <w:uiPriority w:val="9"/>
    <w:unhideWhenUsed/>
    <w:qFormat/>
    <w:rsid w:val="002B31B9"/>
    <w:pPr>
      <w:keepNext/>
      <w:keepLines/>
      <w:spacing w:before="200"/>
      <w:outlineLvl w:val="1"/>
    </w:pPr>
    <w:rPr>
      <w:rFonts w:asciiTheme="majorHAnsi" w:eastAsiaTheme="majorEastAsia" w:hAnsiTheme="majorHAnsi" w:cstheme="majorBidi"/>
      <w:b/>
      <w:bCs/>
      <w:sz w:val="26"/>
      <w:szCs w:val="26"/>
    </w:rPr>
  </w:style>
  <w:style w:type="paragraph" w:styleId="Heading3">
    <w:name w:val="heading 3"/>
    <w:aliases w:val="Outline3"/>
    <w:basedOn w:val="Heading1"/>
    <w:next w:val="Normal"/>
    <w:link w:val="Heading3Char"/>
    <w:uiPriority w:val="9"/>
    <w:qFormat/>
    <w:rsid w:val="00592387"/>
    <w:pPr>
      <w:jc w:val="left"/>
      <w:outlineLvl w:val="2"/>
    </w:pPr>
    <w:rPr>
      <w:rFonts w:cs="Arial"/>
      <w:bCs/>
      <w:sz w:val="22"/>
      <w:szCs w:val="20"/>
    </w:rPr>
  </w:style>
  <w:style w:type="paragraph" w:styleId="Heading4">
    <w:name w:val="heading 4"/>
    <w:basedOn w:val="Heading3"/>
    <w:next w:val="Normal"/>
    <w:link w:val="Heading4Char"/>
    <w:uiPriority w:val="9"/>
    <w:unhideWhenUsed/>
    <w:qFormat/>
    <w:rsid w:val="00592387"/>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Outline3 Char"/>
    <w:basedOn w:val="DefaultParagraphFont"/>
    <w:link w:val="Heading3"/>
    <w:uiPriority w:val="9"/>
    <w:rsid w:val="00592387"/>
    <w:rPr>
      <w:rFonts w:ascii="Calibri" w:eastAsia="Times New Roman" w:hAnsi="Calibri" w:cs="Arial"/>
      <w:b/>
      <w:szCs w:val="20"/>
    </w:rPr>
  </w:style>
  <w:style w:type="paragraph" w:styleId="Title">
    <w:name w:val="Title"/>
    <w:basedOn w:val="Normal"/>
    <w:link w:val="TitleChar"/>
    <w:qFormat/>
    <w:rsid w:val="007B4FB9"/>
    <w:pPr>
      <w:jc w:val="left"/>
    </w:pPr>
    <w:rPr>
      <w:sz w:val="40"/>
      <w:szCs w:val="40"/>
    </w:rPr>
  </w:style>
  <w:style w:type="character" w:customStyle="1" w:styleId="TitleChar">
    <w:name w:val="Title Char"/>
    <w:basedOn w:val="DefaultParagraphFont"/>
    <w:link w:val="Title"/>
    <w:rsid w:val="007B4FB9"/>
    <w:rPr>
      <w:rFonts w:ascii="Calibri" w:eastAsia="Times New Roman" w:hAnsi="Calibri" w:cs="Times New Roman"/>
      <w:sz w:val="40"/>
      <w:szCs w:val="40"/>
    </w:rPr>
  </w:style>
  <w:style w:type="paragraph" w:styleId="ListParagraph">
    <w:name w:val="List Paragraph"/>
    <w:basedOn w:val="Normal"/>
    <w:uiPriority w:val="34"/>
    <w:qFormat/>
    <w:rsid w:val="007B4FB9"/>
    <w:pPr>
      <w:tabs>
        <w:tab w:val="clear" w:pos="720"/>
        <w:tab w:val="clear" w:pos="1440"/>
        <w:tab w:val="clear" w:pos="2160"/>
        <w:tab w:val="clear" w:pos="2880"/>
        <w:tab w:val="clear" w:pos="4680"/>
        <w:tab w:val="clear" w:pos="5400"/>
        <w:tab w:val="clear" w:pos="9000"/>
      </w:tabs>
      <w:spacing w:line="240" w:lineRule="auto"/>
      <w:ind w:left="720"/>
      <w:contextualSpacing/>
      <w:jc w:val="left"/>
    </w:pPr>
    <w:rPr>
      <w:rFonts w:eastAsia="MS Mincho"/>
      <w:szCs w:val="22"/>
    </w:rPr>
  </w:style>
  <w:style w:type="table" w:styleId="TableGrid">
    <w:name w:val="Table Grid"/>
    <w:basedOn w:val="TableNormal"/>
    <w:uiPriority w:val="59"/>
    <w:rsid w:val="007B4FB9"/>
    <w:pPr>
      <w:spacing w:after="0" w:line="240" w:lineRule="auto"/>
    </w:pPr>
    <w:rPr>
      <w:rFonts w:ascii="Arial" w:eastAsia="Times New Roman" w:hAnsi="Arial" w:cs="Courier New"/>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0172"/>
    <w:rPr>
      <w:rFonts w:ascii="Calibri" w:eastAsia="Times New Roman" w:hAnsi="Calibri" w:cs="Times New Roman"/>
      <w:sz w:val="26"/>
      <w:szCs w:val="26"/>
    </w:rPr>
  </w:style>
  <w:style w:type="character" w:customStyle="1" w:styleId="Heading2Char">
    <w:name w:val="Heading 2 Char"/>
    <w:basedOn w:val="DefaultParagraphFont"/>
    <w:link w:val="Heading2"/>
    <w:uiPriority w:val="9"/>
    <w:rsid w:val="002B31B9"/>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unhideWhenUsed/>
    <w:rsid w:val="00381836"/>
    <w:pPr>
      <w:spacing w:after="0"/>
    </w:pPr>
    <w:rPr>
      <w:sz w:val="20"/>
      <w:lang w:val="x-none"/>
    </w:rPr>
  </w:style>
  <w:style w:type="character" w:customStyle="1" w:styleId="FootnoteTextChar">
    <w:name w:val="Footnote Text Char"/>
    <w:basedOn w:val="DefaultParagraphFont"/>
    <w:link w:val="FootnoteText"/>
    <w:uiPriority w:val="99"/>
    <w:rsid w:val="00381836"/>
    <w:rPr>
      <w:rFonts w:ascii="Calibri" w:eastAsia="Times New Roman" w:hAnsi="Calibri" w:cs="Times New Roman"/>
      <w:sz w:val="20"/>
      <w:szCs w:val="20"/>
      <w:lang w:val="x-none"/>
    </w:rPr>
  </w:style>
  <w:style w:type="character" w:styleId="FootnoteReference">
    <w:name w:val="footnote reference"/>
    <w:uiPriority w:val="99"/>
    <w:semiHidden/>
    <w:unhideWhenUsed/>
    <w:rsid w:val="007B4FB9"/>
    <w:rPr>
      <w:vertAlign w:val="superscript"/>
    </w:rPr>
  </w:style>
  <w:style w:type="character" w:styleId="PlaceholderText">
    <w:name w:val="Placeholder Text"/>
    <w:basedOn w:val="DefaultParagraphFont"/>
    <w:uiPriority w:val="99"/>
    <w:semiHidden/>
    <w:rsid w:val="007B4FB9"/>
    <w:rPr>
      <w:color w:val="808080"/>
    </w:rPr>
  </w:style>
  <w:style w:type="paragraph" w:styleId="BalloonText">
    <w:name w:val="Balloon Text"/>
    <w:basedOn w:val="Normal"/>
    <w:link w:val="BalloonTextChar"/>
    <w:uiPriority w:val="99"/>
    <w:semiHidden/>
    <w:unhideWhenUsed/>
    <w:rsid w:val="007B4F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FB9"/>
    <w:rPr>
      <w:rFonts w:ascii="Tahoma" w:eastAsia="Times New Roman" w:hAnsi="Tahoma" w:cs="Tahoma"/>
      <w:sz w:val="16"/>
      <w:szCs w:val="16"/>
    </w:rPr>
  </w:style>
  <w:style w:type="character" w:styleId="Hyperlink">
    <w:name w:val="Hyperlink"/>
    <w:uiPriority w:val="99"/>
    <w:rsid w:val="00055A46"/>
    <w:rPr>
      <w:rFonts w:ascii="Arial" w:hAnsi="Arial"/>
      <w:color w:val="16288E"/>
      <w:u w:val="none"/>
    </w:rPr>
  </w:style>
  <w:style w:type="paragraph" w:customStyle="1" w:styleId="ColorfulList-Accent11">
    <w:name w:val="Colorful List - Accent 11"/>
    <w:basedOn w:val="Normal"/>
    <w:uiPriority w:val="34"/>
    <w:qFormat/>
    <w:rsid w:val="00055A46"/>
    <w:pPr>
      <w:tabs>
        <w:tab w:val="clear" w:pos="720"/>
        <w:tab w:val="clear" w:pos="1440"/>
        <w:tab w:val="clear" w:pos="2160"/>
        <w:tab w:val="clear" w:pos="2880"/>
        <w:tab w:val="clear" w:pos="4680"/>
        <w:tab w:val="clear" w:pos="5400"/>
        <w:tab w:val="clear" w:pos="9000"/>
      </w:tabs>
      <w:spacing w:line="240" w:lineRule="auto"/>
      <w:ind w:left="720"/>
      <w:contextualSpacing/>
      <w:jc w:val="left"/>
    </w:pPr>
    <w:rPr>
      <w:rFonts w:eastAsia="MS Mincho"/>
      <w:szCs w:val="22"/>
    </w:rPr>
  </w:style>
  <w:style w:type="character" w:styleId="CommentReference">
    <w:name w:val="annotation reference"/>
    <w:basedOn w:val="DefaultParagraphFont"/>
    <w:uiPriority w:val="99"/>
    <w:semiHidden/>
    <w:unhideWhenUsed/>
    <w:rsid w:val="00BB5486"/>
    <w:rPr>
      <w:sz w:val="16"/>
      <w:szCs w:val="16"/>
    </w:rPr>
  </w:style>
  <w:style w:type="paragraph" w:styleId="CommentText">
    <w:name w:val="annotation text"/>
    <w:basedOn w:val="Normal"/>
    <w:link w:val="CommentTextChar"/>
    <w:uiPriority w:val="99"/>
    <w:semiHidden/>
    <w:unhideWhenUsed/>
    <w:rsid w:val="00BB5486"/>
    <w:pPr>
      <w:spacing w:line="240" w:lineRule="auto"/>
    </w:pPr>
    <w:rPr>
      <w:sz w:val="20"/>
    </w:rPr>
  </w:style>
  <w:style w:type="character" w:customStyle="1" w:styleId="CommentTextChar">
    <w:name w:val="Comment Text Char"/>
    <w:basedOn w:val="DefaultParagraphFont"/>
    <w:link w:val="CommentText"/>
    <w:uiPriority w:val="99"/>
    <w:semiHidden/>
    <w:rsid w:val="00BB548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B5486"/>
    <w:rPr>
      <w:b/>
      <w:bCs/>
    </w:rPr>
  </w:style>
  <w:style w:type="character" w:customStyle="1" w:styleId="CommentSubjectChar">
    <w:name w:val="Comment Subject Char"/>
    <w:basedOn w:val="CommentTextChar"/>
    <w:link w:val="CommentSubject"/>
    <w:uiPriority w:val="99"/>
    <w:semiHidden/>
    <w:rsid w:val="00BB5486"/>
    <w:rPr>
      <w:rFonts w:ascii="Calibri" w:eastAsia="Times New Roman" w:hAnsi="Calibri" w:cs="Times New Roman"/>
      <w:b/>
      <w:bCs/>
      <w:sz w:val="20"/>
      <w:szCs w:val="20"/>
    </w:rPr>
  </w:style>
  <w:style w:type="paragraph" w:styleId="Revision">
    <w:name w:val="Revision"/>
    <w:hidden/>
    <w:uiPriority w:val="99"/>
    <w:semiHidden/>
    <w:rsid w:val="00BB5486"/>
    <w:pPr>
      <w:spacing w:after="0" w:line="240" w:lineRule="auto"/>
    </w:pPr>
    <w:rPr>
      <w:rFonts w:ascii="Calibri" w:eastAsia="Times New Roman" w:hAnsi="Calibri" w:cs="Times New Roman"/>
      <w:szCs w:val="20"/>
    </w:rPr>
  </w:style>
  <w:style w:type="character" w:customStyle="1" w:styleId="Heading4Char">
    <w:name w:val="Heading 4 Char"/>
    <w:basedOn w:val="DefaultParagraphFont"/>
    <w:link w:val="Heading4"/>
    <w:uiPriority w:val="9"/>
    <w:rsid w:val="00592387"/>
    <w:rPr>
      <w:rFonts w:ascii="Calibri" w:eastAsia="Times New Roman" w:hAnsi="Calibri" w:cs="Arial"/>
      <w:b/>
      <w:szCs w:val="20"/>
    </w:rPr>
  </w:style>
  <w:style w:type="character" w:styleId="FollowedHyperlink">
    <w:name w:val="FollowedHyperlink"/>
    <w:basedOn w:val="DefaultParagraphFont"/>
    <w:uiPriority w:val="99"/>
    <w:semiHidden/>
    <w:unhideWhenUsed/>
    <w:rsid w:val="006202AF"/>
    <w:rPr>
      <w:color w:val="800080" w:themeColor="followedHyperlink"/>
      <w:u w:val="single"/>
    </w:rPr>
  </w:style>
  <w:style w:type="paragraph" w:styleId="Header">
    <w:name w:val="header"/>
    <w:basedOn w:val="Normal"/>
    <w:link w:val="HeaderChar"/>
    <w:uiPriority w:val="99"/>
    <w:unhideWhenUsed/>
    <w:rsid w:val="005D267D"/>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uiPriority w:val="99"/>
    <w:rsid w:val="005D267D"/>
    <w:rPr>
      <w:rFonts w:ascii="Calibri" w:eastAsia="Times New Roman" w:hAnsi="Calibri" w:cs="Times New Roman"/>
      <w:szCs w:val="20"/>
    </w:rPr>
  </w:style>
  <w:style w:type="paragraph" w:styleId="Footer">
    <w:name w:val="footer"/>
    <w:basedOn w:val="Normal"/>
    <w:link w:val="FooterChar"/>
    <w:uiPriority w:val="99"/>
    <w:unhideWhenUsed/>
    <w:rsid w:val="005D267D"/>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uiPriority w:val="99"/>
    <w:rsid w:val="005D267D"/>
    <w:rPr>
      <w:rFonts w:ascii="Calibri" w:eastAsia="Times New Roman" w:hAnsi="Calibri"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608"/>
    <w:pPr>
      <w:tabs>
        <w:tab w:val="left" w:pos="720"/>
        <w:tab w:val="left" w:pos="1440"/>
        <w:tab w:val="left" w:pos="2160"/>
        <w:tab w:val="left" w:pos="2880"/>
        <w:tab w:val="left" w:pos="4680"/>
        <w:tab w:val="left" w:pos="5400"/>
        <w:tab w:val="right" w:pos="9000"/>
      </w:tabs>
      <w:spacing w:after="120" w:line="240" w:lineRule="atLeast"/>
      <w:jc w:val="both"/>
    </w:pPr>
    <w:rPr>
      <w:rFonts w:ascii="Calibri" w:eastAsia="Times New Roman" w:hAnsi="Calibri" w:cs="Times New Roman"/>
      <w:szCs w:val="20"/>
    </w:rPr>
  </w:style>
  <w:style w:type="paragraph" w:styleId="Heading1">
    <w:name w:val="heading 1"/>
    <w:basedOn w:val="Normal"/>
    <w:next w:val="Normal"/>
    <w:link w:val="Heading1Char"/>
    <w:uiPriority w:val="9"/>
    <w:qFormat/>
    <w:rsid w:val="00490172"/>
    <w:pPr>
      <w:spacing w:before="240"/>
      <w:outlineLvl w:val="0"/>
    </w:pPr>
    <w:rPr>
      <w:sz w:val="26"/>
      <w:szCs w:val="26"/>
    </w:rPr>
  </w:style>
  <w:style w:type="paragraph" w:styleId="Heading2">
    <w:name w:val="heading 2"/>
    <w:basedOn w:val="Normal"/>
    <w:next w:val="Normal"/>
    <w:link w:val="Heading2Char"/>
    <w:uiPriority w:val="9"/>
    <w:unhideWhenUsed/>
    <w:qFormat/>
    <w:rsid w:val="002B31B9"/>
    <w:pPr>
      <w:keepNext/>
      <w:keepLines/>
      <w:spacing w:before="200"/>
      <w:outlineLvl w:val="1"/>
    </w:pPr>
    <w:rPr>
      <w:rFonts w:asciiTheme="majorHAnsi" w:eastAsiaTheme="majorEastAsia" w:hAnsiTheme="majorHAnsi" w:cstheme="majorBidi"/>
      <w:b/>
      <w:bCs/>
      <w:sz w:val="26"/>
      <w:szCs w:val="26"/>
    </w:rPr>
  </w:style>
  <w:style w:type="paragraph" w:styleId="Heading3">
    <w:name w:val="heading 3"/>
    <w:aliases w:val="Outline3"/>
    <w:basedOn w:val="Heading1"/>
    <w:next w:val="Normal"/>
    <w:link w:val="Heading3Char"/>
    <w:uiPriority w:val="9"/>
    <w:qFormat/>
    <w:rsid w:val="00592387"/>
    <w:pPr>
      <w:jc w:val="left"/>
      <w:outlineLvl w:val="2"/>
    </w:pPr>
    <w:rPr>
      <w:rFonts w:cs="Arial"/>
      <w:bCs/>
      <w:sz w:val="22"/>
      <w:szCs w:val="20"/>
    </w:rPr>
  </w:style>
  <w:style w:type="paragraph" w:styleId="Heading4">
    <w:name w:val="heading 4"/>
    <w:basedOn w:val="Heading3"/>
    <w:next w:val="Normal"/>
    <w:link w:val="Heading4Char"/>
    <w:uiPriority w:val="9"/>
    <w:unhideWhenUsed/>
    <w:qFormat/>
    <w:rsid w:val="00592387"/>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Outline3 Char"/>
    <w:basedOn w:val="DefaultParagraphFont"/>
    <w:link w:val="Heading3"/>
    <w:uiPriority w:val="9"/>
    <w:rsid w:val="00592387"/>
    <w:rPr>
      <w:rFonts w:ascii="Calibri" w:eastAsia="Times New Roman" w:hAnsi="Calibri" w:cs="Arial"/>
      <w:b/>
      <w:szCs w:val="20"/>
    </w:rPr>
  </w:style>
  <w:style w:type="paragraph" w:styleId="Title">
    <w:name w:val="Title"/>
    <w:basedOn w:val="Normal"/>
    <w:link w:val="TitleChar"/>
    <w:qFormat/>
    <w:rsid w:val="007B4FB9"/>
    <w:pPr>
      <w:jc w:val="left"/>
    </w:pPr>
    <w:rPr>
      <w:sz w:val="40"/>
      <w:szCs w:val="40"/>
    </w:rPr>
  </w:style>
  <w:style w:type="character" w:customStyle="1" w:styleId="TitleChar">
    <w:name w:val="Title Char"/>
    <w:basedOn w:val="DefaultParagraphFont"/>
    <w:link w:val="Title"/>
    <w:rsid w:val="007B4FB9"/>
    <w:rPr>
      <w:rFonts w:ascii="Calibri" w:eastAsia="Times New Roman" w:hAnsi="Calibri" w:cs="Times New Roman"/>
      <w:sz w:val="40"/>
      <w:szCs w:val="40"/>
    </w:rPr>
  </w:style>
  <w:style w:type="paragraph" w:styleId="ListParagraph">
    <w:name w:val="List Paragraph"/>
    <w:basedOn w:val="Normal"/>
    <w:uiPriority w:val="34"/>
    <w:qFormat/>
    <w:rsid w:val="007B4FB9"/>
    <w:pPr>
      <w:tabs>
        <w:tab w:val="clear" w:pos="720"/>
        <w:tab w:val="clear" w:pos="1440"/>
        <w:tab w:val="clear" w:pos="2160"/>
        <w:tab w:val="clear" w:pos="2880"/>
        <w:tab w:val="clear" w:pos="4680"/>
        <w:tab w:val="clear" w:pos="5400"/>
        <w:tab w:val="clear" w:pos="9000"/>
      </w:tabs>
      <w:spacing w:line="240" w:lineRule="auto"/>
      <w:ind w:left="720"/>
      <w:contextualSpacing/>
      <w:jc w:val="left"/>
    </w:pPr>
    <w:rPr>
      <w:rFonts w:eastAsia="MS Mincho"/>
      <w:szCs w:val="22"/>
    </w:rPr>
  </w:style>
  <w:style w:type="table" w:styleId="TableGrid">
    <w:name w:val="Table Grid"/>
    <w:basedOn w:val="TableNormal"/>
    <w:uiPriority w:val="59"/>
    <w:rsid w:val="007B4FB9"/>
    <w:pPr>
      <w:spacing w:after="0" w:line="240" w:lineRule="auto"/>
    </w:pPr>
    <w:rPr>
      <w:rFonts w:ascii="Arial" w:eastAsia="Times New Roman" w:hAnsi="Arial" w:cs="Courier New"/>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0172"/>
    <w:rPr>
      <w:rFonts w:ascii="Calibri" w:eastAsia="Times New Roman" w:hAnsi="Calibri" w:cs="Times New Roman"/>
      <w:sz w:val="26"/>
      <w:szCs w:val="26"/>
    </w:rPr>
  </w:style>
  <w:style w:type="character" w:customStyle="1" w:styleId="Heading2Char">
    <w:name w:val="Heading 2 Char"/>
    <w:basedOn w:val="DefaultParagraphFont"/>
    <w:link w:val="Heading2"/>
    <w:uiPriority w:val="9"/>
    <w:rsid w:val="002B31B9"/>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unhideWhenUsed/>
    <w:rsid w:val="00381836"/>
    <w:pPr>
      <w:spacing w:after="0"/>
    </w:pPr>
    <w:rPr>
      <w:sz w:val="20"/>
      <w:lang w:val="x-none"/>
    </w:rPr>
  </w:style>
  <w:style w:type="character" w:customStyle="1" w:styleId="FootnoteTextChar">
    <w:name w:val="Footnote Text Char"/>
    <w:basedOn w:val="DefaultParagraphFont"/>
    <w:link w:val="FootnoteText"/>
    <w:uiPriority w:val="99"/>
    <w:rsid w:val="00381836"/>
    <w:rPr>
      <w:rFonts w:ascii="Calibri" w:eastAsia="Times New Roman" w:hAnsi="Calibri" w:cs="Times New Roman"/>
      <w:sz w:val="20"/>
      <w:szCs w:val="20"/>
      <w:lang w:val="x-none"/>
    </w:rPr>
  </w:style>
  <w:style w:type="character" w:styleId="FootnoteReference">
    <w:name w:val="footnote reference"/>
    <w:uiPriority w:val="99"/>
    <w:semiHidden/>
    <w:unhideWhenUsed/>
    <w:rsid w:val="007B4FB9"/>
    <w:rPr>
      <w:vertAlign w:val="superscript"/>
    </w:rPr>
  </w:style>
  <w:style w:type="character" w:styleId="PlaceholderText">
    <w:name w:val="Placeholder Text"/>
    <w:basedOn w:val="DefaultParagraphFont"/>
    <w:uiPriority w:val="99"/>
    <w:semiHidden/>
    <w:rsid w:val="007B4FB9"/>
    <w:rPr>
      <w:color w:val="808080"/>
    </w:rPr>
  </w:style>
  <w:style w:type="paragraph" w:styleId="BalloonText">
    <w:name w:val="Balloon Text"/>
    <w:basedOn w:val="Normal"/>
    <w:link w:val="BalloonTextChar"/>
    <w:uiPriority w:val="99"/>
    <w:semiHidden/>
    <w:unhideWhenUsed/>
    <w:rsid w:val="007B4F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FB9"/>
    <w:rPr>
      <w:rFonts w:ascii="Tahoma" w:eastAsia="Times New Roman" w:hAnsi="Tahoma" w:cs="Tahoma"/>
      <w:sz w:val="16"/>
      <w:szCs w:val="16"/>
    </w:rPr>
  </w:style>
  <w:style w:type="character" w:styleId="Hyperlink">
    <w:name w:val="Hyperlink"/>
    <w:uiPriority w:val="99"/>
    <w:rsid w:val="00055A46"/>
    <w:rPr>
      <w:rFonts w:ascii="Arial" w:hAnsi="Arial"/>
      <w:color w:val="16288E"/>
      <w:u w:val="none"/>
    </w:rPr>
  </w:style>
  <w:style w:type="paragraph" w:customStyle="1" w:styleId="ColorfulList-Accent11">
    <w:name w:val="Colorful List - Accent 11"/>
    <w:basedOn w:val="Normal"/>
    <w:uiPriority w:val="34"/>
    <w:qFormat/>
    <w:rsid w:val="00055A46"/>
    <w:pPr>
      <w:tabs>
        <w:tab w:val="clear" w:pos="720"/>
        <w:tab w:val="clear" w:pos="1440"/>
        <w:tab w:val="clear" w:pos="2160"/>
        <w:tab w:val="clear" w:pos="2880"/>
        <w:tab w:val="clear" w:pos="4680"/>
        <w:tab w:val="clear" w:pos="5400"/>
        <w:tab w:val="clear" w:pos="9000"/>
      </w:tabs>
      <w:spacing w:line="240" w:lineRule="auto"/>
      <w:ind w:left="720"/>
      <w:contextualSpacing/>
      <w:jc w:val="left"/>
    </w:pPr>
    <w:rPr>
      <w:rFonts w:eastAsia="MS Mincho"/>
      <w:szCs w:val="22"/>
    </w:rPr>
  </w:style>
  <w:style w:type="character" w:styleId="CommentReference">
    <w:name w:val="annotation reference"/>
    <w:basedOn w:val="DefaultParagraphFont"/>
    <w:uiPriority w:val="99"/>
    <w:semiHidden/>
    <w:unhideWhenUsed/>
    <w:rsid w:val="00BB5486"/>
    <w:rPr>
      <w:sz w:val="16"/>
      <w:szCs w:val="16"/>
    </w:rPr>
  </w:style>
  <w:style w:type="paragraph" w:styleId="CommentText">
    <w:name w:val="annotation text"/>
    <w:basedOn w:val="Normal"/>
    <w:link w:val="CommentTextChar"/>
    <w:uiPriority w:val="99"/>
    <w:semiHidden/>
    <w:unhideWhenUsed/>
    <w:rsid w:val="00BB5486"/>
    <w:pPr>
      <w:spacing w:line="240" w:lineRule="auto"/>
    </w:pPr>
    <w:rPr>
      <w:sz w:val="20"/>
    </w:rPr>
  </w:style>
  <w:style w:type="character" w:customStyle="1" w:styleId="CommentTextChar">
    <w:name w:val="Comment Text Char"/>
    <w:basedOn w:val="DefaultParagraphFont"/>
    <w:link w:val="CommentText"/>
    <w:uiPriority w:val="99"/>
    <w:semiHidden/>
    <w:rsid w:val="00BB548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B5486"/>
    <w:rPr>
      <w:b/>
      <w:bCs/>
    </w:rPr>
  </w:style>
  <w:style w:type="character" w:customStyle="1" w:styleId="CommentSubjectChar">
    <w:name w:val="Comment Subject Char"/>
    <w:basedOn w:val="CommentTextChar"/>
    <w:link w:val="CommentSubject"/>
    <w:uiPriority w:val="99"/>
    <w:semiHidden/>
    <w:rsid w:val="00BB5486"/>
    <w:rPr>
      <w:rFonts w:ascii="Calibri" w:eastAsia="Times New Roman" w:hAnsi="Calibri" w:cs="Times New Roman"/>
      <w:b/>
      <w:bCs/>
      <w:sz w:val="20"/>
      <w:szCs w:val="20"/>
    </w:rPr>
  </w:style>
  <w:style w:type="paragraph" w:styleId="Revision">
    <w:name w:val="Revision"/>
    <w:hidden/>
    <w:uiPriority w:val="99"/>
    <w:semiHidden/>
    <w:rsid w:val="00BB5486"/>
    <w:pPr>
      <w:spacing w:after="0" w:line="240" w:lineRule="auto"/>
    </w:pPr>
    <w:rPr>
      <w:rFonts w:ascii="Calibri" w:eastAsia="Times New Roman" w:hAnsi="Calibri" w:cs="Times New Roman"/>
      <w:szCs w:val="20"/>
    </w:rPr>
  </w:style>
  <w:style w:type="character" w:customStyle="1" w:styleId="Heading4Char">
    <w:name w:val="Heading 4 Char"/>
    <w:basedOn w:val="DefaultParagraphFont"/>
    <w:link w:val="Heading4"/>
    <w:uiPriority w:val="9"/>
    <w:rsid w:val="00592387"/>
    <w:rPr>
      <w:rFonts w:ascii="Calibri" w:eastAsia="Times New Roman" w:hAnsi="Calibri" w:cs="Arial"/>
      <w:b/>
      <w:szCs w:val="20"/>
    </w:rPr>
  </w:style>
  <w:style w:type="character" w:styleId="FollowedHyperlink">
    <w:name w:val="FollowedHyperlink"/>
    <w:basedOn w:val="DefaultParagraphFont"/>
    <w:uiPriority w:val="99"/>
    <w:semiHidden/>
    <w:unhideWhenUsed/>
    <w:rsid w:val="006202AF"/>
    <w:rPr>
      <w:color w:val="800080" w:themeColor="followedHyperlink"/>
      <w:u w:val="single"/>
    </w:rPr>
  </w:style>
  <w:style w:type="paragraph" w:styleId="Header">
    <w:name w:val="header"/>
    <w:basedOn w:val="Normal"/>
    <w:link w:val="HeaderChar"/>
    <w:uiPriority w:val="99"/>
    <w:unhideWhenUsed/>
    <w:rsid w:val="005D267D"/>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uiPriority w:val="99"/>
    <w:rsid w:val="005D267D"/>
    <w:rPr>
      <w:rFonts w:ascii="Calibri" w:eastAsia="Times New Roman" w:hAnsi="Calibri" w:cs="Times New Roman"/>
      <w:szCs w:val="20"/>
    </w:rPr>
  </w:style>
  <w:style w:type="paragraph" w:styleId="Footer">
    <w:name w:val="footer"/>
    <w:basedOn w:val="Normal"/>
    <w:link w:val="FooterChar"/>
    <w:uiPriority w:val="99"/>
    <w:unhideWhenUsed/>
    <w:rsid w:val="005D267D"/>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uiPriority w:val="99"/>
    <w:rsid w:val="005D267D"/>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9CFF7-56F9-4302-8C98-094DE19B0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5</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Foden</dc:creator>
  <cp:lastModifiedBy>Emily Corcoran</cp:lastModifiedBy>
  <cp:revision>62</cp:revision>
  <dcterms:created xsi:type="dcterms:W3CDTF">2015-08-26T10:06:00Z</dcterms:created>
  <dcterms:modified xsi:type="dcterms:W3CDTF">2015-11-23T12:44:00Z</dcterms:modified>
</cp:coreProperties>
</file>