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5699" w:rsidRPr="002B5EB7" w:rsidRDefault="009E5699" w:rsidP="009E5699">
      <w:pPr>
        <w:tabs>
          <w:tab w:val="left" w:pos="708"/>
        </w:tabs>
        <w:spacing w:after="0"/>
        <w:jc w:val="left"/>
        <w:rPr>
          <w:rFonts w:eastAsia="Calibri"/>
          <w:sz w:val="24"/>
          <w:szCs w:val="24"/>
        </w:rPr>
      </w:pPr>
      <w:r w:rsidRPr="002B5EB7">
        <w:rPr>
          <w:rFonts w:eastAsia="Calibri"/>
          <w:noProof/>
          <w:sz w:val="24"/>
          <w:szCs w:val="24"/>
          <w:lang w:eastAsia="en-GB"/>
        </w:rPr>
        <w:drawing>
          <wp:inline distT="0" distB="0" distL="0" distR="0" wp14:anchorId="22FBEE82" wp14:editId="35F9BC28">
            <wp:extent cx="2190750" cy="647700"/>
            <wp:effectExtent l="0" t="0" r="0" b="0"/>
            <wp:docPr id="1" name="Picture 1" descr="P:\OSPAR Templates\LOGO\OSPAR_RGB_logos_transparent_bg\OSPAR_rgb_EN_sh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SPAR Templates\LOGO\OSPAR_RGB_logos_transparent_bg\OSPAR_rgb_EN_shor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90750" cy="647700"/>
                    </a:xfrm>
                    <a:prstGeom prst="rect">
                      <a:avLst/>
                    </a:prstGeom>
                    <a:noFill/>
                    <a:ln>
                      <a:noFill/>
                    </a:ln>
                  </pic:spPr>
                </pic:pic>
              </a:graphicData>
            </a:graphic>
          </wp:inline>
        </w:drawing>
      </w:r>
    </w:p>
    <w:p w:rsidR="009E5699" w:rsidRPr="002B5EB7" w:rsidRDefault="009E5699" w:rsidP="006B287E">
      <w:pPr>
        <w:tabs>
          <w:tab w:val="left" w:pos="708"/>
        </w:tabs>
        <w:spacing w:after="0"/>
        <w:rPr>
          <w:rFonts w:eastAsia="Calibri"/>
          <w:sz w:val="24"/>
          <w:szCs w:val="24"/>
        </w:rPr>
      </w:pPr>
    </w:p>
    <w:p w:rsidR="009E5699" w:rsidRPr="002B5EB7" w:rsidRDefault="009E5699" w:rsidP="009E5699">
      <w:pPr>
        <w:tabs>
          <w:tab w:val="left" w:pos="720"/>
        </w:tabs>
        <w:spacing w:before="120" w:line="280" w:lineRule="atLeast"/>
        <w:jc w:val="left"/>
        <w:rPr>
          <w:sz w:val="36"/>
          <w:szCs w:val="36"/>
        </w:rPr>
      </w:pPr>
      <w:r w:rsidRPr="002B5EB7">
        <w:rPr>
          <w:sz w:val="36"/>
          <w:szCs w:val="36"/>
        </w:rPr>
        <w:t>Roadmap for the implementation of collective actions within the Recommendations for the protection and conservation of OSPAR listed Species and Habitats</w:t>
      </w:r>
    </w:p>
    <w:p w:rsidR="009E5699" w:rsidRPr="002B5EB7" w:rsidRDefault="009E5699" w:rsidP="009E5699">
      <w:pPr>
        <w:spacing w:before="120" w:line="280" w:lineRule="atLeast"/>
        <w:jc w:val="left"/>
        <w:rPr>
          <w:sz w:val="32"/>
          <w:szCs w:val="32"/>
        </w:rPr>
      </w:pPr>
      <w:r w:rsidRPr="002B5EB7">
        <w:rPr>
          <w:sz w:val="36"/>
          <w:szCs w:val="36"/>
        </w:rPr>
        <w:t>2017-2025</w:t>
      </w:r>
    </w:p>
    <w:p w:rsidR="009E5699" w:rsidRPr="002B5EB7" w:rsidRDefault="009E5699" w:rsidP="006B287E">
      <w:pPr>
        <w:tabs>
          <w:tab w:val="left" w:pos="708"/>
        </w:tabs>
        <w:spacing w:after="0"/>
        <w:rPr>
          <w:rFonts w:eastAsia="Calibri"/>
          <w:sz w:val="24"/>
          <w:szCs w:val="24"/>
        </w:rPr>
      </w:pPr>
      <w:bookmarkStart w:id="0" w:name="_GoBack"/>
      <w:bookmarkEnd w:id="0"/>
    </w:p>
    <w:p w:rsidR="006B287E" w:rsidRDefault="006B287E" w:rsidP="006B287E">
      <w:pPr>
        <w:tabs>
          <w:tab w:val="left" w:pos="708"/>
        </w:tabs>
        <w:spacing w:after="0"/>
        <w:rPr>
          <w:rFonts w:eastAsia="Calibri"/>
          <w:sz w:val="24"/>
          <w:szCs w:val="24"/>
        </w:rPr>
      </w:pPr>
      <w:r w:rsidRPr="002B5EB7">
        <w:rPr>
          <w:rFonts w:eastAsia="Calibri"/>
          <w:sz w:val="24"/>
          <w:szCs w:val="24"/>
        </w:rPr>
        <w:t xml:space="preserve">Action sheet </w:t>
      </w:r>
      <w:r w:rsidR="004E21E2">
        <w:rPr>
          <w:rFonts w:eastAsia="Calibri"/>
          <w:sz w:val="24"/>
          <w:szCs w:val="24"/>
        </w:rPr>
        <w:t>29</w:t>
      </w:r>
    </w:p>
    <w:p w:rsidR="00A92F88" w:rsidRDefault="00A92F88" w:rsidP="006B287E">
      <w:pPr>
        <w:tabs>
          <w:tab w:val="left" w:pos="708"/>
        </w:tabs>
        <w:spacing w:after="0"/>
        <w:rPr>
          <w:rFonts w:eastAsia="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8"/>
        <w:gridCol w:w="7564"/>
      </w:tblGrid>
      <w:tr w:rsidR="001B00FC" w:rsidRPr="002A293D" w:rsidTr="00E81843">
        <w:tc>
          <w:tcPr>
            <w:tcW w:w="1498" w:type="dxa"/>
            <w:tcBorders>
              <w:top w:val="single" w:sz="4" w:space="0" w:color="auto"/>
              <w:left w:val="single" w:sz="4" w:space="0" w:color="auto"/>
              <w:bottom w:val="single" w:sz="4" w:space="0" w:color="auto"/>
              <w:right w:val="single" w:sz="4" w:space="0" w:color="auto"/>
            </w:tcBorders>
            <w:hideMark/>
          </w:tcPr>
          <w:p w:rsidR="001B00FC" w:rsidRPr="002A293D" w:rsidRDefault="001B00FC" w:rsidP="00E81843">
            <w:r w:rsidRPr="002A293D">
              <w:rPr>
                <w:b/>
              </w:rPr>
              <w:t xml:space="preserve">Action </w:t>
            </w:r>
            <w:r>
              <w:rPr>
                <w:b/>
              </w:rPr>
              <w:t>29</w:t>
            </w:r>
          </w:p>
        </w:tc>
        <w:tc>
          <w:tcPr>
            <w:tcW w:w="7564" w:type="dxa"/>
            <w:tcBorders>
              <w:top w:val="single" w:sz="4" w:space="0" w:color="auto"/>
              <w:left w:val="single" w:sz="4" w:space="0" w:color="auto"/>
              <w:bottom w:val="single" w:sz="4" w:space="0" w:color="auto"/>
              <w:right w:val="single" w:sz="4" w:space="0" w:color="auto"/>
            </w:tcBorders>
          </w:tcPr>
          <w:p w:rsidR="001B00FC" w:rsidRPr="00E71B81" w:rsidRDefault="001B00FC" w:rsidP="00E81843">
            <w:pPr>
              <w:rPr>
                <w:color w:val="000000" w:themeColor="text1"/>
              </w:rPr>
            </w:pPr>
            <w:r w:rsidRPr="00E71B81">
              <w:rPr>
                <w:rFonts w:eastAsia="ヒラギノ角ゴ Pro W3" w:cs="Arial"/>
                <w:color w:val="000000" w:themeColor="text1"/>
                <w:kern w:val="2"/>
                <w:lang w:eastAsia="ar-SA"/>
              </w:rPr>
              <w:t>Develop guidelines on how to minimise the disturbing and/or harmful acoustic effects to harbour porpoises especially from seismic surveys, pile driving, shipping traffic, military activities and underwater explosions</w:t>
            </w:r>
            <w:r>
              <w:rPr>
                <w:rFonts w:eastAsia="ヒラギノ角ゴ Pro W3" w:cs="Arial"/>
                <w:color w:val="000000" w:themeColor="text1"/>
                <w:kern w:val="2"/>
                <w:lang w:eastAsia="ar-SA"/>
              </w:rPr>
              <w:t>.</w:t>
            </w:r>
          </w:p>
        </w:tc>
      </w:tr>
      <w:tr w:rsidR="001B00FC" w:rsidRPr="002A293D" w:rsidTr="00E81843">
        <w:tc>
          <w:tcPr>
            <w:tcW w:w="1498" w:type="dxa"/>
            <w:tcBorders>
              <w:top w:val="single" w:sz="4" w:space="0" w:color="auto"/>
              <w:left w:val="single" w:sz="4" w:space="0" w:color="auto"/>
              <w:bottom w:val="single" w:sz="4" w:space="0" w:color="auto"/>
              <w:right w:val="single" w:sz="4" w:space="0" w:color="auto"/>
            </w:tcBorders>
          </w:tcPr>
          <w:p w:rsidR="001B00FC" w:rsidRPr="003805A6" w:rsidRDefault="001B00FC" w:rsidP="00E81843">
            <w:r w:rsidRPr="003805A6">
              <w:t>Prepared by</w:t>
            </w:r>
          </w:p>
        </w:tc>
        <w:tc>
          <w:tcPr>
            <w:tcW w:w="7564" w:type="dxa"/>
            <w:tcBorders>
              <w:top w:val="single" w:sz="4" w:space="0" w:color="auto"/>
              <w:left w:val="single" w:sz="4" w:space="0" w:color="auto"/>
              <w:bottom w:val="single" w:sz="4" w:space="0" w:color="auto"/>
              <w:right w:val="single" w:sz="4" w:space="0" w:color="auto"/>
            </w:tcBorders>
          </w:tcPr>
          <w:p w:rsidR="001B00FC" w:rsidRPr="003805A6" w:rsidRDefault="001B00FC" w:rsidP="00E81843">
            <w:r w:rsidRPr="003805A6">
              <w:t>The Netherlands</w:t>
            </w:r>
          </w:p>
        </w:tc>
      </w:tr>
      <w:tr w:rsidR="001B00FC" w:rsidRPr="002A293D" w:rsidTr="00E81843">
        <w:tc>
          <w:tcPr>
            <w:tcW w:w="1498" w:type="dxa"/>
            <w:tcBorders>
              <w:top w:val="single" w:sz="4" w:space="0" w:color="auto"/>
              <w:left w:val="single" w:sz="4" w:space="0" w:color="auto"/>
              <w:bottom w:val="single" w:sz="4" w:space="0" w:color="auto"/>
              <w:right w:val="single" w:sz="4" w:space="0" w:color="auto"/>
            </w:tcBorders>
          </w:tcPr>
          <w:p w:rsidR="001B00FC" w:rsidRPr="003805A6" w:rsidRDefault="001B00FC" w:rsidP="00E81843">
            <w:r w:rsidRPr="003805A6">
              <w:t>Role</w:t>
            </w:r>
          </w:p>
        </w:tc>
        <w:tc>
          <w:tcPr>
            <w:tcW w:w="7564" w:type="dxa"/>
            <w:tcBorders>
              <w:top w:val="single" w:sz="4" w:space="0" w:color="auto"/>
              <w:left w:val="single" w:sz="4" w:space="0" w:color="auto"/>
              <w:bottom w:val="single" w:sz="4" w:space="0" w:color="auto"/>
              <w:right w:val="single" w:sz="4" w:space="0" w:color="auto"/>
            </w:tcBorders>
          </w:tcPr>
          <w:p w:rsidR="001B00FC" w:rsidRPr="003805A6" w:rsidRDefault="001B00FC" w:rsidP="00E81843">
            <w:r w:rsidRPr="003805A6">
              <w:t>Lead</w:t>
            </w:r>
          </w:p>
        </w:tc>
      </w:tr>
      <w:tr w:rsidR="001B00FC" w:rsidRPr="002A293D" w:rsidTr="00E81843">
        <w:tc>
          <w:tcPr>
            <w:tcW w:w="1498" w:type="dxa"/>
            <w:tcBorders>
              <w:top w:val="single" w:sz="4" w:space="0" w:color="auto"/>
              <w:left w:val="single" w:sz="4" w:space="0" w:color="auto"/>
              <w:bottom w:val="single" w:sz="4" w:space="0" w:color="auto"/>
              <w:right w:val="single" w:sz="4" w:space="0" w:color="auto"/>
            </w:tcBorders>
            <w:hideMark/>
          </w:tcPr>
          <w:p w:rsidR="001B00FC" w:rsidRPr="002A293D" w:rsidRDefault="001B00FC" w:rsidP="00E81843">
            <w:r w:rsidRPr="002A293D">
              <w:t>Participants</w:t>
            </w:r>
          </w:p>
        </w:tc>
        <w:tc>
          <w:tcPr>
            <w:tcW w:w="7564" w:type="dxa"/>
            <w:tcBorders>
              <w:top w:val="single" w:sz="4" w:space="0" w:color="auto"/>
              <w:left w:val="single" w:sz="4" w:space="0" w:color="auto"/>
              <w:bottom w:val="single" w:sz="4" w:space="0" w:color="auto"/>
              <w:right w:val="single" w:sz="4" w:space="0" w:color="auto"/>
            </w:tcBorders>
            <w:hideMark/>
          </w:tcPr>
          <w:p w:rsidR="001B00FC" w:rsidRDefault="001B00FC" w:rsidP="00E81843">
            <w:pPr>
              <w:rPr>
                <w:color w:val="000000" w:themeColor="text1"/>
              </w:rPr>
            </w:pPr>
            <w:r w:rsidRPr="00E71B81">
              <w:rPr>
                <w:color w:val="000000" w:themeColor="text1"/>
              </w:rPr>
              <w:t>Lead by the Netherlands</w:t>
            </w:r>
            <w:r>
              <w:rPr>
                <w:color w:val="000000" w:themeColor="text1"/>
              </w:rPr>
              <w:t xml:space="preserve"> (Jeroen Vis). </w:t>
            </w:r>
          </w:p>
          <w:p w:rsidR="001B00FC" w:rsidRPr="003805A6" w:rsidRDefault="001B00FC" w:rsidP="00E81843">
            <w:pPr>
              <w:rPr>
                <w:color w:val="808080"/>
              </w:rPr>
            </w:pPr>
            <w:r>
              <w:rPr>
                <w:color w:val="000000" w:themeColor="text1"/>
              </w:rPr>
              <w:t>S</w:t>
            </w:r>
            <w:r w:rsidRPr="00E71B81">
              <w:rPr>
                <w:color w:val="000000" w:themeColor="text1"/>
              </w:rPr>
              <w:t xml:space="preserve">upported by Belgium, Denmark, France, </w:t>
            </w:r>
            <w:proofErr w:type="gramStart"/>
            <w:r w:rsidRPr="00E71B81">
              <w:rPr>
                <w:color w:val="000000" w:themeColor="text1"/>
              </w:rPr>
              <w:t>United</w:t>
            </w:r>
            <w:proofErr w:type="gramEnd"/>
            <w:r w:rsidRPr="00E71B81">
              <w:rPr>
                <w:color w:val="000000" w:themeColor="text1"/>
              </w:rPr>
              <w:t xml:space="preserve"> Kingdom</w:t>
            </w:r>
            <w:r>
              <w:rPr>
                <w:i/>
                <w:color w:val="808080"/>
              </w:rPr>
              <w:t xml:space="preserve">. </w:t>
            </w:r>
          </w:p>
          <w:p w:rsidR="001B00FC" w:rsidRPr="002A293D" w:rsidRDefault="001B00FC" w:rsidP="00E81843">
            <w:pPr>
              <w:rPr>
                <w:i/>
                <w:color w:val="808080"/>
              </w:rPr>
            </w:pPr>
          </w:p>
        </w:tc>
      </w:tr>
      <w:tr w:rsidR="001B00FC" w:rsidRPr="002A293D" w:rsidTr="00E81843">
        <w:tc>
          <w:tcPr>
            <w:tcW w:w="1498" w:type="dxa"/>
            <w:tcBorders>
              <w:top w:val="single" w:sz="4" w:space="0" w:color="auto"/>
              <w:left w:val="single" w:sz="4" w:space="0" w:color="auto"/>
              <w:bottom w:val="single" w:sz="4" w:space="0" w:color="auto"/>
              <w:right w:val="single" w:sz="4" w:space="0" w:color="auto"/>
            </w:tcBorders>
          </w:tcPr>
          <w:p w:rsidR="001B00FC" w:rsidRPr="00EC60B3" w:rsidRDefault="001B00FC" w:rsidP="00E81843">
            <w:r w:rsidRPr="00EC60B3">
              <w:t>Problem description</w:t>
            </w:r>
          </w:p>
        </w:tc>
        <w:tc>
          <w:tcPr>
            <w:tcW w:w="7564" w:type="dxa"/>
            <w:tcBorders>
              <w:top w:val="single" w:sz="4" w:space="0" w:color="auto"/>
              <w:left w:val="single" w:sz="4" w:space="0" w:color="auto"/>
              <w:bottom w:val="single" w:sz="4" w:space="0" w:color="auto"/>
              <w:right w:val="single" w:sz="4" w:space="0" w:color="auto"/>
            </w:tcBorders>
          </w:tcPr>
          <w:p w:rsidR="001B00FC" w:rsidRDefault="001B00FC" w:rsidP="00E81843">
            <w:pPr>
              <w:rPr>
                <w:color w:val="000000" w:themeColor="text1"/>
              </w:rPr>
            </w:pPr>
            <w:r w:rsidRPr="00EC60B3">
              <w:rPr>
                <w:color w:val="000000" w:themeColor="text1"/>
              </w:rPr>
              <w:t>Acoustic disturbance is considered as one of the threats to the harbour porpoise</w:t>
            </w:r>
            <w:r>
              <w:rPr>
                <w:color w:val="000000" w:themeColor="text1"/>
              </w:rPr>
              <w:t xml:space="preserve"> (see OSPAR, 2014)</w:t>
            </w:r>
            <w:r w:rsidRPr="00EC60B3">
              <w:rPr>
                <w:color w:val="000000" w:themeColor="text1"/>
              </w:rPr>
              <w:t>.</w:t>
            </w:r>
            <w:r>
              <w:rPr>
                <w:color w:val="000000" w:themeColor="text1"/>
              </w:rPr>
              <w:t xml:space="preserve"> </w:t>
            </w:r>
            <w:r w:rsidRPr="00EC60B3">
              <w:rPr>
                <w:color w:val="000000" w:themeColor="text1"/>
              </w:rPr>
              <w:t xml:space="preserve">Like all </w:t>
            </w:r>
            <w:proofErr w:type="spellStart"/>
            <w:r>
              <w:rPr>
                <w:color w:val="000000" w:themeColor="text1"/>
              </w:rPr>
              <w:t>odontocetes</w:t>
            </w:r>
            <w:proofErr w:type="spellEnd"/>
            <w:r w:rsidRPr="00EC60B3">
              <w:rPr>
                <w:color w:val="000000" w:themeColor="text1"/>
              </w:rPr>
              <w:t xml:space="preserve"> </w:t>
            </w:r>
            <w:r>
              <w:rPr>
                <w:color w:val="000000" w:themeColor="text1"/>
              </w:rPr>
              <w:t>porpoises</w:t>
            </w:r>
            <w:r w:rsidRPr="00EC60B3">
              <w:rPr>
                <w:color w:val="000000" w:themeColor="text1"/>
              </w:rPr>
              <w:t xml:space="preserve"> use sound for navigation,</w:t>
            </w:r>
            <w:r>
              <w:rPr>
                <w:color w:val="000000" w:themeColor="text1"/>
              </w:rPr>
              <w:t xml:space="preserve"> </w:t>
            </w:r>
            <w:r w:rsidRPr="00EC60B3">
              <w:rPr>
                <w:color w:val="000000" w:themeColor="text1"/>
              </w:rPr>
              <w:t xml:space="preserve">finding food, </w:t>
            </w:r>
            <w:r>
              <w:rPr>
                <w:color w:val="000000" w:themeColor="text1"/>
              </w:rPr>
              <w:t xml:space="preserve">avoiding predators </w:t>
            </w:r>
            <w:r w:rsidRPr="00EC60B3">
              <w:rPr>
                <w:color w:val="000000" w:themeColor="text1"/>
              </w:rPr>
              <w:t>and communication and are therefore</w:t>
            </w:r>
            <w:r>
              <w:rPr>
                <w:color w:val="000000" w:themeColor="text1"/>
              </w:rPr>
              <w:t xml:space="preserve"> </w:t>
            </w:r>
            <w:r w:rsidRPr="00EC60B3">
              <w:rPr>
                <w:color w:val="000000" w:themeColor="text1"/>
              </w:rPr>
              <w:t xml:space="preserve">sensitive to acoustic pollution. The harbour porpoise occurs in all </w:t>
            </w:r>
            <w:r>
              <w:rPr>
                <w:color w:val="000000" w:themeColor="text1"/>
              </w:rPr>
              <w:t xml:space="preserve">OSPAR </w:t>
            </w:r>
            <w:r w:rsidRPr="00EC60B3">
              <w:rPr>
                <w:color w:val="000000" w:themeColor="text1"/>
              </w:rPr>
              <w:t xml:space="preserve">regions but </w:t>
            </w:r>
            <w:r>
              <w:rPr>
                <w:color w:val="000000" w:themeColor="text1"/>
              </w:rPr>
              <w:t>it is scarce in OSPAR region V (Case reports: OSPAR, 2008) and recommendations have been made for its protection (OSPAR, 2013)</w:t>
            </w:r>
            <w:r w:rsidRPr="00EC60B3">
              <w:rPr>
                <w:color w:val="000000" w:themeColor="text1"/>
              </w:rPr>
              <w:t>.</w:t>
            </w:r>
            <w:r>
              <w:rPr>
                <w:color w:val="000000" w:themeColor="text1"/>
              </w:rPr>
              <w:t xml:space="preserve"> </w:t>
            </w:r>
          </w:p>
          <w:p w:rsidR="001B00FC" w:rsidRDefault="001B00FC" w:rsidP="00E81843">
            <w:pPr>
              <w:rPr>
                <w:color w:val="000000" w:themeColor="text1"/>
              </w:rPr>
            </w:pPr>
            <w:r w:rsidRPr="00AB30C0">
              <w:rPr>
                <w:color w:val="000000" w:themeColor="text1"/>
              </w:rPr>
              <w:t>The 2009 JAMP Assessment on the environmental impact of underwater noise recommended</w:t>
            </w:r>
            <w:r>
              <w:rPr>
                <w:color w:val="000000" w:themeColor="text1"/>
              </w:rPr>
              <w:t xml:space="preserve"> </w:t>
            </w:r>
            <w:r w:rsidRPr="00AB30C0">
              <w:rPr>
                <w:color w:val="000000" w:themeColor="text1"/>
              </w:rPr>
              <w:t>amongst others that OSPAR Contracting Parties in a next step should develop guidance on measures</w:t>
            </w:r>
            <w:r>
              <w:rPr>
                <w:color w:val="000000" w:themeColor="text1"/>
              </w:rPr>
              <w:t xml:space="preserve"> </w:t>
            </w:r>
            <w:r w:rsidRPr="00AB30C0">
              <w:rPr>
                <w:color w:val="000000" w:themeColor="text1"/>
              </w:rPr>
              <w:t>to mitigate noise emissions and the environmental impacts of underwater noise on the marine</w:t>
            </w:r>
            <w:r>
              <w:rPr>
                <w:color w:val="000000" w:themeColor="text1"/>
              </w:rPr>
              <w:t xml:space="preserve"> </w:t>
            </w:r>
            <w:r w:rsidRPr="00AB30C0">
              <w:rPr>
                <w:color w:val="000000" w:themeColor="text1"/>
              </w:rPr>
              <w:t>environment (OSPAR 2009). The Quality Status Report 2010 recommended that OSPAR should</w:t>
            </w:r>
            <w:r>
              <w:rPr>
                <w:color w:val="000000" w:themeColor="text1"/>
              </w:rPr>
              <w:t xml:space="preserve"> </w:t>
            </w:r>
            <w:r w:rsidRPr="00AB30C0">
              <w:rPr>
                <w:color w:val="000000" w:themeColor="text1"/>
              </w:rPr>
              <w:t xml:space="preserve">increase </w:t>
            </w:r>
            <w:r>
              <w:rPr>
                <w:color w:val="000000" w:themeColor="text1"/>
              </w:rPr>
              <w:t xml:space="preserve">its </w:t>
            </w:r>
            <w:r w:rsidRPr="00AB30C0">
              <w:rPr>
                <w:color w:val="000000" w:themeColor="text1"/>
              </w:rPr>
              <w:t>efforts to develop, review and apply mitigation measures to reduce the impacts of</w:t>
            </w:r>
            <w:r>
              <w:rPr>
                <w:color w:val="000000" w:themeColor="text1"/>
              </w:rPr>
              <w:t xml:space="preserve"> </w:t>
            </w:r>
            <w:r w:rsidRPr="00AB30C0">
              <w:rPr>
                <w:color w:val="000000" w:themeColor="text1"/>
              </w:rPr>
              <w:t>underwater noise and develop Guidelines on best environmental practices (BEP) and best available</w:t>
            </w:r>
            <w:r>
              <w:rPr>
                <w:color w:val="000000" w:themeColor="text1"/>
              </w:rPr>
              <w:t xml:space="preserve"> </w:t>
            </w:r>
            <w:r w:rsidRPr="00AB30C0">
              <w:rPr>
                <w:color w:val="000000" w:themeColor="text1"/>
              </w:rPr>
              <w:t>techniques (BAT) for mitigating noise emissions and their environmental impacts (OSPAR 2010).</w:t>
            </w:r>
            <w:r>
              <w:rPr>
                <w:color w:val="000000" w:themeColor="text1"/>
              </w:rPr>
              <w:t xml:space="preserve"> </w:t>
            </w:r>
          </w:p>
          <w:p w:rsidR="001B00FC" w:rsidRPr="00EC60B3" w:rsidRDefault="001B00FC" w:rsidP="00E81843">
            <w:pPr>
              <w:rPr>
                <w:i/>
                <w:color w:val="808080"/>
              </w:rPr>
            </w:pPr>
          </w:p>
        </w:tc>
      </w:tr>
      <w:tr w:rsidR="001B00FC" w:rsidRPr="002A293D" w:rsidTr="00E81843">
        <w:tc>
          <w:tcPr>
            <w:tcW w:w="1498" w:type="dxa"/>
            <w:tcBorders>
              <w:top w:val="single" w:sz="4" w:space="0" w:color="auto"/>
              <w:left w:val="single" w:sz="4" w:space="0" w:color="auto"/>
              <w:bottom w:val="single" w:sz="4" w:space="0" w:color="auto"/>
              <w:right w:val="single" w:sz="4" w:space="0" w:color="auto"/>
            </w:tcBorders>
          </w:tcPr>
          <w:p w:rsidR="001B00FC" w:rsidRPr="002A293D" w:rsidRDefault="001B00FC" w:rsidP="00E81843">
            <w:r w:rsidRPr="002A293D">
              <w:t>Plan:</w:t>
            </w:r>
          </w:p>
          <w:p w:rsidR="001B00FC" w:rsidRPr="002A293D" w:rsidRDefault="001B00FC" w:rsidP="00E81843"/>
          <w:p w:rsidR="001B00FC" w:rsidRPr="002A293D" w:rsidRDefault="001B00FC" w:rsidP="00E81843"/>
          <w:p w:rsidR="001B00FC" w:rsidRPr="002A293D" w:rsidRDefault="001B00FC" w:rsidP="00E81843"/>
          <w:p w:rsidR="001B00FC" w:rsidRPr="002A293D" w:rsidRDefault="001B00FC" w:rsidP="00E81843"/>
        </w:tc>
        <w:tc>
          <w:tcPr>
            <w:tcW w:w="7564" w:type="dxa"/>
            <w:tcBorders>
              <w:top w:val="single" w:sz="4" w:space="0" w:color="auto"/>
              <w:left w:val="single" w:sz="4" w:space="0" w:color="auto"/>
              <w:bottom w:val="single" w:sz="4" w:space="0" w:color="auto"/>
              <w:right w:val="single" w:sz="4" w:space="0" w:color="auto"/>
            </w:tcBorders>
          </w:tcPr>
          <w:p w:rsidR="001B00FC" w:rsidRDefault="001B00FC" w:rsidP="00E81843">
            <w:pPr>
              <w:pStyle w:val="Kleurrijkelijst-accent11"/>
              <w:spacing w:before="120" w:after="120" w:line="280" w:lineRule="atLeast"/>
              <w:ind w:left="0"/>
              <w:rPr>
                <w:color w:val="000000" w:themeColor="text1"/>
              </w:rPr>
            </w:pPr>
            <w:r>
              <w:rPr>
                <w:color w:val="000000" w:themeColor="text1"/>
              </w:rPr>
              <w:lastRenderedPageBreak/>
              <w:t>This plan applies to:</w:t>
            </w:r>
          </w:p>
          <w:p w:rsidR="001B00FC" w:rsidRDefault="001B00FC" w:rsidP="00E81843">
            <w:pPr>
              <w:pStyle w:val="Kleurrijkelijst-accent11"/>
              <w:numPr>
                <w:ilvl w:val="0"/>
                <w:numId w:val="16"/>
              </w:numPr>
              <w:spacing w:before="120" w:after="120" w:line="280" w:lineRule="atLeast"/>
              <w:rPr>
                <w:color w:val="000000" w:themeColor="text1"/>
              </w:rPr>
            </w:pPr>
            <w:r>
              <w:rPr>
                <w:color w:val="000000" w:themeColor="text1"/>
              </w:rPr>
              <w:t xml:space="preserve">The </w:t>
            </w:r>
            <w:proofErr w:type="spellStart"/>
            <w:r>
              <w:rPr>
                <w:color w:val="000000" w:themeColor="text1"/>
              </w:rPr>
              <w:t>harbour</w:t>
            </w:r>
            <w:proofErr w:type="spellEnd"/>
            <w:r>
              <w:rPr>
                <w:color w:val="000000" w:themeColor="text1"/>
              </w:rPr>
              <w:t xml:space="preserve"> porpoise (</w:t>
            </w:r>
            <w:proofErr w:type="spellStart"/>
            <w:r w:rsidRPr="00DA57FB">
              <w:rPr>
                <w:i/>
                <w:color w:val="000000" w:themeColor="text1"/>
              </w:rPr>
              <w:t>Phocoena</w:t>
            </w:r>
            <w:proofErr w:type="spellEnd"/>
            <w:r w:rsidRPr="00DA57FB">
              <w:rPr>
                <w:i/>
                <w:color w:val="000000" w:themeColor="text1"/>
              </w:rPr>
              <w:t xml:space="preserve"> </w:t>
            </w:r>
            <w:proofErr w:type="spellStart"/>
            <w:r w:rsidRPr="00DA57FB">
              <w:rPr>
                <w:i/>
                <w:color w:val="000000" w:themeColor="text1"/>
              </w:rPr>
              <w:t>phocoena</w:t>
            </w:r>
            <w:proofErr w:type="spellEnd"/>
            <w:r>
              <w:rPr>
                <w:color w:val="000000" w:themeColor="text1"/>
              </w:rPr>
              <w:t>);</w:t>
            </w:r>
          </w:p>
          <w:p w:rsidR="001B00FC" w:rsidRDefault="001B00FC" w:rsidP="00E81843">
            <w:pPr>
              <w:pStyle w:val="Kleurrijkelijst-accent11"/>
              <w:numPr>
                <w:ilvl w:val="0"/>
                <w:numId w:val="16"/>
              </w:numPr>
              <w:spacing w:before="120" w:after="120" w:line="280" w:lineRule="atLeast"/>
              <w:rPr>
                <w:color w:val="000000" w:themeColor="text1"/>
              </w:rPr>
            </w:pPr>
            <w:r>
              <w:rPr>
                <w:color w:val="000000" w:themeColor="text1"/>
              </w:rPr>
              <w:t>OSPAR Region II (Greater North Sea) and III (Celtic Seas), where the species is under threat and/or in decline</w:t>
            </w:r>
            <w:r>
              <w:rPr>
                <w:color w:val="000000" w:themeColor="text1"/>
                <w:lang w:val="en-GB"/>
              </w:rPr>
              <w:t xml:space="preserve"> (according to the OSPAR Case </w:t>
            </w:r>
            <w:r>
              <w:rPr>
                <w:color w:val="000000" w:themeColor="text1"/>
                <w:lang w:val="en-GB"/>
              </w:rPr>
              <w:lastRenderedPageBreak/>
              <w:t>report)</w:t>
            </w:r>
            <w:r>
              <w:rPr>
                <w:color w:val="000000" w:themeColor="text1"/>
              </w:rPr>
              <w:t xml:space="preserve">. In regions II and III is decline is questionable, and the species is under more pressure in region IV </w:t>
            </w:r>
          </w:p>
          <w:p w:rsidR="001B00FC" w:rsidRDefault="001B00FC" w:rsidP="00E81843">
            <w:pPr>
              <w:pStyle w:val="Kleurrijkelijst-accent11"/>
              <w:spacing w:before="120" w:after="120" w:line="280" w:lineRule="atLeast"/>
              <w:ind w:left="0"/>
              <w:rPr>
                <w:color w:val="000000" w:themeColor="text1"/>
              </w:rPr>
            </w:pPr>
          </w:p>
          <w:p w:rsidR="001B00FC" w:rsidRDefault="001B00FC" w:rsidP="00E81843">
            <w:pPr>
              <w:pStyle w:val="Kleurrijkelijst-accent11"/>
              <w:spacing w:before="120" w:after="120" w:line="280" w:lineRule="atLeast"/>
              <w:ind w:left="0"/>
              <w:rPr>
                <w:color w:val="000000" w:themeColor="text1"/>
              </w:rPr>
            </w:pPr>
            <w:r>
              <w:rPr>
                <w:color w:val="000000" w:themeColor="text1"/>
              </w:rPr>
              <w:t xml:space="preserve">Guidelines need to be developed on how underwater noise generated by human activities and its effects (listed below) on </w:t>
            </w:r>
            <w:proofErr w:type="spellStart"/>
            <w:r>
              <w:rPr>
                <w:color w:val="000000" w:themeColor="text1"/>
              </w:rPr>
              <w:t>harbour</w:t>
            </w:r>
            <w:proofErr w:type="spellEnd"/>
            <w:r>
              <w:rPr>
                <w:color w:val="000000" w:themeColor="text1"/>
              </w:rPr>
              <w:t xml:space="preserve"> porpoises can be </w:t>
            </w:r>
            <w:proofErr w:type="spellStart"/>
            <w:r>
              <w:rPr>
                <w:color w:val="000000" w:themeColor="text1"/>
              </w:rPr>
              <w:t>minimised</w:t>
            </w:r>
            <w:proofErr w:type="spellEnd"/>
            <w:r>
              <w:rPr>
                <w:color w:val="000000" w:themeColor="text1"/>
              </w:rPr>
              <w:t xml:space="preserve">. </w:t>
            </w:r>
          </w:p>
          <w:p w:rsidR="001B00FC" w:rsidRDefault="001B00FC" w:rsidP="00E81843">
            <w:pPr>
              <w:pStyle w:val="Kleurrijkelijst-accent11"/>
              <w:spacing w:before="120" w:after="120" w:line="280" w:lineRule="atLeast"/>
              <w:ind w:left="0"/>
              <w:rPr>
                <w:color w:val="000000" w:themeColor="text1"/>
              </w:rPr>
            </w:pPr>
            <w:r>
              <w:rPr>
                <w:color w:val="000000" w:themeColor="text1"/>
              </w:rPr>
              <w:t>Several specific activities were considered (OSPAR, 2009): Seismic surveys; Pile driving; Shipping traffic; Military activities; Underwater explosions.</w:t>
            </w:r>
          </w:p>
          <w:p w:rsidR="001B00FC" w:rsidRDefault="001B00FC" w:rsidP="00E81843">
            <w:pPr>
              <w:pStyle w:val="Kleurrijkelijst-accent11"/>
              <w:spacing w:before="120" w:after="120" w:line="280" w:lineRule="atLeast"/>
              <w:ind w:left="0"/>
              <w:rPr>
                <w:color w:val="000000" w:themeColor="text1"/>
              </w:rPr>
            </w:pPr>
          </w:p>
          <w:p w:rsidR="001B00FC" w:rsidRDefault="001B00FC" w:rsidP="00E81843">
            <w:pPr>
              <w:pStyle w:val="Kleurrijkelijst-accent11"/>
              <w:spacing w:before="120" w:line="280" w:lineRule="atLeast"/>
              <w:ind w:left="0"/>
              <w:rPr>
                <w:color w:val="000000" w:themeColor="text1"/>
              </w:rPr>
            </w:pPr>
            <w:r>
              <w:rPr>
                <w:color w:val="000000" w:themeColor="text1"/>
              </w:rPr>
              <w:t xml:space="preserve">In 2014, OSPAR published an inventory </w:t>
            </w:r>
            <w:r w:rsidRPr="005948DA">
              <w:rPr>
                <w:color w:val="000000" w:themeColor="text1"/>
              </w:rPr>
              <w:t xml:space="preserve">of </w:t>
            </w:r>
            <w:r>
              <w:rPr>
                <w:color w:val="000000" w:themeColor="text1"/>
              </w:rPr>
              <w:t xml:space="preserve">the feasibility and </w:t>
            </w:r>
            <w:r w:rsidRPr="005948DA">
              <w:rPr>
                <w:color w:val="000000" w:themeColor="text1"/>
              </w:rPr>
              <w:t>effectiveness</w:t>
            </w:r>
            <w:r>
              <w:rPr>
                <w:color w:val="000000" w:themeColor="text1"/>
              </w:rPr>
              <w:t xml:space="preserve"> </w:t>
            </w:r>
            <w:r w:rsidRPr="005948DA">
              <w:rPr>
                <w:color w:val="000000" w:themeColor="text1"/>
              </w:rPr>
              <w:t xml:space="preserve">of mitigation options to avoid or reduce emissions and impacts of </w:t>
            </w:r>
            <w:r>
              <w:rPr>
                <w:color w:val="000000" w:themeColor="text1"/>
              </w:rPr>
              <w:t>u</w:t>
            </w:r>
            <w:r w:rsidRPr="005948DA">
              <w:rPr>
                <w:color w:val="000000" w:themeColor="text1"/>
              </w:rPr>
              <w:t>nderwater noise</w:t>
            </w:r>
            <w:r>
              <w:rPr>
                <w:color w:val="000000" w:themeColor="text1"/>
              </w:rPr>
              <w:t xml:space="preserve">, including an annex on pile driving. Also an annex on </w:t>
            </w:r>
            <w:r w:rsidRPr="005948DA">
              <w:rPr>
                <w:color w:val="000000" w:themeColor="text1"/>
              </w:rPr>
              <w:t xml:space="preserve">seismic </w:t>
            </w:r>
            <w:r>
              <w:rPr>
                <w:color w:val="000000" w:themeColor="text1"/>
              </w:rPr>
              <w:t xml:space="preserve">noise has been developed (ICG-Noise, 2016), that needed some technical corrections. It had now been circulated to EIHA HDs to be signed off and would be published soon (ICG-NOISE 17/7/1, SR item 5). </w:t>
            </w:r>
          </w:p>
          <w:p w:rsidR="001B00FC" w:rsidRDefault="001B00FC" w:rsidP="00E81843">
            <w:pPr>
              <w:pStyle w:val="Kleurrijkelijst-accent11"/>
              <w:spacing w:before="120" w:line="280" w:lineRule="atLeast"/>
              <w:ind w:left="0"/>
              <w:rPr>
                <w:color w:val="000000" w:themeColor="text1"/>
              </w:rPr>
            </w:pPr>
          </w:p>
          <w:p w:rsidR="001B00FC" w:rsidRDefault="001B00FC" w:rsidP="00E81843">
            <w:pPr>
              <w:pStyle w:val="Kleurrijkelijst-accent11"/>
              <w:spacing w:before="120" w:line="280" w:lineRule="atLeast"/>
              <w:ind w:left="0"/>
              <w:rPr>
                <w:color w:val="000000" w:themeColor="text1"/>
              </w:rPr>
            </w:pPr>
            <w:r>
              <w:rPr>
                <w:color w:val="000000" w:themeColor="text1"/>
              </w:rPr>
              <w:t xml:space="preserve">Other annexes have been identified </w:t>
            </w:r>
            <w:r w:rsidRPr="005948DA">
              <w:rPr>
                <w:color w:val="000000" w:themeColor="text1"/>
              </w:rPr>
              <w:t>to be completed and added in due course</w:t>
            </w:r>
            <w:r>
              <w:rPr>
                <w:color w:val="000000" w:themeColor="text1"/>
              </w:rPr>
              <w:t xml:space="preserve">. These should focus on the use or destruction at sea of </w:t>
            </w:r>
            <w:r w:rsidRPr="005948DA">
              <w:rPr>
                <w:color w:val="000000" w:themeColor="text1"/>
              </w:rPr>
              <w:t>explosi</w:t>
            </w:r>
            <w:r>
              <w:rPr>
                <w:color w:val="000000" w:themeColor="text1"/>
              </w:rPr>
              <w:t>ves</w:t>
            </w:r>
            <w:r w:rsidRPr="005948DA">
              <w:rPr>
                <w:color w:val="000000" w:themeColor="text1"/>
              </w:rPr>
              <w:t>;</w:t>
            </w:r>
            <w:r>
              <w:rPr>
                <w:color w:val="000000" w:themeColor="text1"/>
              </w:rPr>
              <w:t xml:space="preserve"> </w:t>
            </w:r>
            <w:r w:rsidRPr="005948DA">
              <w:rPr>
                <w:color w:val="000000" w:themeColor="text1"/>
              </w:rPr>
              <w:t xml:space="preserve">high frequency impulsive sources (e.g. </w:t>
            </w:r>
            <w:proofErr w:type="spellStart"/>
            <w:r w:rsidRPr="005948DA">
              <w:rPr>
                <w:color w:val="000000" w:themeColor="text1"/>
              </w:rPr>
              <w:t>echosounders</w:t>
            </w:r>
            <w:proofErr w:type="spellEnd"/>
            <w:r w:rsidRPr="005948DA">
              <w:rPr>
                <w:color w:val="000000" w:themeColor="text1"/>
              </w:rPr>
              <w:t>);</w:t>
            </w:r>
            <w:r>
              <w:rPr>
                <w:color w:val="000000" w:themeColor="text1"/>
              </w:rPr>
              <w:t xml:space="preserve"> </w:t>
            </w:r>
            <w:r w:rsidRPr="005948DA">
              <w:rPr>
                <w:color w:val="000000" w:themeColor="text1"/>
              </w:rPr>
              <w:t>dredging;</w:t>
            </w:r>
            <w:r>
              <w:rPr>
                <w:color w:val="000000" w:themeColor="text1"/>
              </w:rPr>
              <w:t xml:space="preserve"> </w:t>
            </w:r>
            <w:r w:rsidRPr="005948DA">
              <w:rPr>
                <w:color w:val="000000" w:themeColor="text1"/>
              </w:rPr>
              <w:t>shipping</w:t>
            </w:r>
            <w:r>
              <w:rPr>
                <w:color w:val="000000" w:themeColor="text1"/>
              </w:rPr>
              <w:t xml:space="preserve"> noise, and </w:t>
            </w:r>
            <w:r w:rsidRPr="005948DA">
              <w:rPr>
                <w:color w:val="000000" w:themeColor="text1"/>
              </w:rPr>
              <w:t>sonar</w:t>
            </w:r>
            <w:r>
              <w:rPr>
                <w:color w:val="000000" w:themeColor="text1"/>
              </w:rPr>
              <w:t xml:space="preserve"> (noting that for managing military activities, OSPAR action may have limited impact)</w:t>
            </w:r>
            <w:r w:rsidRPr="005948DA">
              <w:rPr>
                <w:color w:val="000000" w:themeColor="text1"/>
              </w:rPr>
              <w:t>.</w:t>
            </w:r>
            <w:r>
              <w:rPr>
                <w:color w:val="000000" w:themeColor="text1"/>
              </w:rPr>
              <w:t xml:space="preserve"> </w:t>
            </w:r>
          </w:p>
          <w:p w:rsidR="001B00FC" w:rsidRDefault="001B00FC" w:rsidP="00E81843">
            <w:pPr>
              <w:pStyle w:val="Kleurrijkelijst-accent11"/>
              <w:spacing w:before="120" w:line="280" w:lineRule="atLeast"/>
              <w:ind w:left="0"/>
              <w:rPr>
                <w:color w:val="000000" w:themeColor="text1"/>
              </w:rPr>
            </w:pPr>
            <w:r w:rsidRPr="0094057B">
              <w:rPr>
                <w:color w:val="000000" w:themeColor="text1"/>
              </w:rPr>
              <w:t>So far, no</w:t>
            </w:r>
            <w:r>
              <w:rPr>
                <w:color w:val="000000" w:themeColor="text1"/>
              </w:rPr>
              <w:t>ne</w:t>
            </w:r>
            <w:r w:rsidRPr="0094057B">
              <w:rPr>
                <w:color w:val="000000" w:themeColor="text1"/>
              </w:rPr>
              <w:t xml:space="preserve"> </w:t>
            </w:r>
            <w:r>
              <w:rPr>
                <w:color w:val="000000" w:themeColor="text1"/>
              </w:rPr>
              <w:t xml:space="preserve">of these (additional) </w:t>
            </w:r>
            <w:r w:rsidRPr="0094057B">
              <w:rPr>
                <w:color w:val="000000" w:themeColor="text1"/>
              </w:rPr>
              <w:t>annexes have been prepared</w:t>
            </w:r>
            <w:r>
              <w:rPr>
                <w:color w:val="000000" w:themeColor="text1"/>
              </w:rPr>
              <w:t xml:space="preserve">. </w:t>
            </w:r>
          </w:p>
          <w:p w:rsidR="001B00FC" w:rsidRDefault="001B00FC" w:rsidP="00E81843">
            <w:pPr>
              <w:pStyle w:val="Kleurrijkelijst-accent11"/>
              <w:spacing w:before="120" w:line="280" w:lineRule="atLeast"/>
              <w:ind w:left="0"/>
              <w:rPr>
                <w:color w:val="000000" w:themeColor="text1"/>
              </w:rPr>
            </w:pPr>
          </w:p>
          <w:p w:rsidR="001B00FC" w:rsidRDefault="001B00FC" w:rsidP="00E81843">
            <w:pPr>
              <w:pStyle w:val="Kleurrijkelijst-accent11"/>
              <w:spacing w:before="120" w:line="280" w:lineRule="atLeast"/>
              <w:ind w:left="0"/>
              <w:rPr>
                <w:color w:val="000000" w:themeColor="text1"/>
              </w:rPr>
            </w:pPr>
            <w:r>
              <w:rPr>
                <w:color w:val="000000" w:themeColor="text1"/>
              </w:rPr>
              <w:t>OSPAR ICG-Noise was requested to take action to s</w:t>
            </w:r>
            <w:r w:rsidRPr="0094057B">
              <w:rPr>
                <w:color w:val="000000" w:themeColor="text1"/>
              </w:rPr>
              <w:t>eek suggestions from Contracting Parties to rank the remaining annexes of the noise mitigation inventory</w:t>
            </w:r>
            <w:r>
              <w:rPr>
                <w:color w:val="000000" w:themeColor="text1"/>
              </w:rPr>
              <w:t xml:space="preserve"> in terms of importance, as addressed by OSPAR EIHA, summary record 2017 par. 5.60, </w:t>
            </w:r>
            <w:r w:rsidRPr="0094057B">
              <w:rPr>
                <w:color w:val="000000" w:themeColor="text1"/>
              </w:rPr>
              <w:t>ANNEX 3</w:t>
            </w:r>
            <w:r>
              <w:rPr>
                <w:color w:val="000000" w:themeColor="text1"/>
              </w:rPr>
              <w:t xml:space="preserve"> </w:t>
            </w:r>
            <w:r w:rsidRPr="0094057B">
              <w:rPr>
                <w:color w:val="000000" w:themeColor="text1"/>
              </w:rPr>
              <w:t>(Ref. 1.1)</w:t>
            </w:r>
            <w:r>
              <w:rPr>
                <w:color w:val="000000" w:themeColor="text1"/>
              </w:rPr>
              <w:t xml:space="preserve">. </w:t>
            </w:r>
          </w:p>
          <w:p w:rsidR="001B00FC" w:rsidRDefault="001B00FC" w:rsidP="00E81843">
            <w:pPr>
              <w:pStyle w:val="Kleurrijkelijst-accent11"/>
              <w:spacing w:before="120" w:line="280" w:lineRule="atLeast"/>
              <w:ind w:left="0"/>
              <w:rPr>
                <w:color w:val="000000" w:themeColor="text1"/>
              </w:rPr>
            </w:pPr>
          </w:p>
          <w:p w:rsidR="001B00FC" w:rsidRDefault="001B00FC" w:rsidP="00E81843">
            <w:pPr>
              <w:pStyle w:val="Kleurrijkelijst-accent11"/>
              <w:spacing w:before="120" w:line="280" w:lineRule="atLeast"/>
              <w:ind w:left="0"/>
              <w:rPr>
                <w:color w:val="000000" w:themeColor="text1"/>
              </w:rPr>
            </w:pPr>
            <w:r>
              <w:rPr>
                <w:color w:val="000000" w:themeColor="text1"/>
              </w:rPr>
              <w:t xml:space="preserve">ICG-NOISE 2017 reports that there is on-going work on mitigation of noise from underwater explosion and perhaps this should be the next chapter to be completed. Also work by IMO (led by Canada) on noise from shipping in on-going and should also be </w:t>
            </w:r>
            <w:proofErr w:type="spellStart"/>
            <w:r>
              <w:rPr>
                <w:color w:val="000000" w:themeColor="text1"/>
              </w:rPr>
              <w:t>prioritised</w:t>
            </w:r>
            <w:proofErr w:type="spellEnd"/>
            <w:r>
              <w:rPr>
                <w:color w:val="000000" w:themeColor="text1"/>
              </w:rPr>
              <w:t xml:space="preserve">. </w:t>
            </w:r>
          </w:p>
          <w:p w:rsidR="001B00FC" w:rsidRDefault="001B00FC" w:rsidP="00E81843">
            <w:pPr>
              <w:pStyle w:val="Kleurrijkelijst-accent11"/>
              <w:spacing w:before="120" w:line="280" w:lineRule="atLeast"/>
              <w:ind w:left="0"/>
              <w:rPr>
                <w:color w:val="000000" w:themeColor="text1"/>
              </w:rPr>
            </w:pPr>
          </w:p>
          <w:p w:rsidR="001B00FC" w:rsidRDefault="001B00FC" w:rsidP="00E81843">
            <w:pPr>
              <w:pStyle w:val="Kleurrijkelijst-accent11"/>
              <w:spacing w:before="120" w:line="280" w:lineRule="atLeast"/>
              <w:ind w:left="0"/>
              <w:rPr>
                <w:color w:val="000000" w:themeColor="text1"/>
              </w:rPr>
            </w:pPr>
          </w:p>
          <w:p w:rsidR="001B00FC" w:rsidRDefault="001B00FC" w:rsidP="00E81843">
            <w:pPr>
              <w:pStyle w:val="Kleurrijkelijst-accent11"/>
              <w:spacing w:before="120" w:line="280" w:lineRule="atLeast"/>
              <w:ind w:left="0"/>
              <w:rPr>
                <w:color w:val="000000" w:themeColor="text1"/>
              </w:rPr>
            </w:pPr>
            <w:r>
              <w:rPr>
                <w:color w:val="000000" w:themeColor="text1"/>
              </w:rPr>
              <w:t>Actions to be taken by ICG-Noise:</w:t>
            </w:r>
          </w:p>
          <w:p w:rsidR="001B00FC" w:rsidRDefault="001B00FC" w:rsidP="00E81843">
            <w:pPr>
              <w:pStyle w:val="Kleurrijkelijst-accent11"/>
              <w:numPr>
                <w:ilvl w:val="0"/>
                <w:numId w:val="17"/>
              </w:numPr>
              <w:spacing w:before="120" w:line="280" w:lineRule="atLeast"/>
              <w:rPr>
                <w:color w:val="000000" w:themeColor="text1"/>
              </w:rPr>
            </w:pPr>
            <w:r>
              <w:rPr>
                <w:color w:val="000000" w:themeColor="text1"/>
              </w:rPr>
              <w:t>Follow the development of mitigating measures for noise from underwater explosions (unclear by whom), and for shipping (being prepared by IMO)</w:t>
            </w:r>
          </w:p>
          <w:p w:rsidR="001B00FC" w:rsidRDefault="001B00FC" w:rsidP="00E81843">
            <w:pPr>
              <w:pStyle w:val="Kleurrijkelijst-accent11"/>
              <w:numPr>
                <w:ilvl w:val="0"/>
                <w:numId w:val="17"/>
              </w:numPr>
              <w:spacing w:before="120" w:line="280" w:lineRule="atLeast"/>
              <w:rPr>
                <w:color w:val="000000" w:themeColor="text1"/>
              </w:rPr>
            </w:pPr>
            <w:r>
              <w:rPr>
                <w:color w:val="000000" w:themeColor="text1"/>
              </w:rPr>
              <w:t xml:space="preserve">Ranking the priority of </w:t>
            </w:r>
            <w:r w:rsidRPr="00105D0D">
              <w:rPr>
                <w:color w:val="000000" w:themeColor="text1"/>
              </w:rPr>
              <w:t xml:space="preserve">remaining annexes of the noise mitigation inventory </w:t>
            </w:r>
            <w:r>
              <w:rPr>
                <w:color w:val="000000" w:themeColor="text1"/>
              </w:rPr>
              <w:t xml:space="preserve">to be developed </w:t>
            </w:r>
            <w:r w:rsidRPr="00105D0D">
              <w:rPr>
                <w:color w:val="000000" w:themeColor="text1"/>
              </w:rPr>
              <w:t>in terms of importance</w:t>
            </w:r>
            <w:r>
              <w:rPr>
                <w:color w:val="000000" w:themeColor="text1"/>
              </w:rPr>
              <w:t xml:space="preserve">, by seeking suggestions from CP’s and ICG-Noise; </w:t>
            </w:r>
          </w:p>
          <w:p w:rsidR="001B00FC" w:rsidRPr="00860478" w:rsidRDefault="001B00FC" w:rsidP="00E81843">
            <w:pPr>
              <w:pStyle w:val="Kleurrijkelijst-accent11"/>
              <w:numPr>
                <w:ilvl w:val="0"/>
                <w:numId w:val="17"/>
              </w:numPr>
              <w:spacing w:before="120" w:line="280" w:lineRule="atLeast"/>
              <w:rPr>
                <w:color w:val="000000" w:themeColor="text1"/>
              </w:rPr>
            </w:pPr>
            <w:r>
              <w:rPr>
                <w:color w:val="000000" w:themeColor="text1"/>
              </w:rPr>
              <w:t>F</w:t>
            </w:r>
            <w:r w:rsidRPr="00860478">
              <w:rPr>
                <w:color w:val="000000" w:themeColor="text1"/>
              </w:rPr>
              <w:t xml:space="preserve">inding CPs </w:t>
            </w:r>
            <w:r>
              <w:rPr>
                <w:color w:val="000000" w:themeColor="text1"/>
              </w:rPr>
              <w:t>to d</w:t>
            </w:r>
            <w:r w:rsidRPr="00860478">
              <w:rPr>
                <w:color w:val="000000" w:themeColor="text1"/>
              </w:rPr>
              <w:t xml:space="preserve">evelop the annexes for mitigation following </w:t>
            </w:r>
            <w:r>
              <w:rPr>
                <w:color w:val="000000" w:themeColor="text1"/>
              </w:rPr>
              <w:t>a</w:t>
            </w:r>
            <w:r w:rsidRPr="00860478">
              <w:rPr>
                <w:color w:val="000000" w:themeColor="text1"/>
              </w:rPr>
              <w:t xml:space="preserve"> time</w:t>
            </w:r>
            <w:r>
              <w:rPr>
                <w:color w:val="000000" w:themeColor="text1"/>
              </w:rPr>
              <w:t xml:space="preserve"> order as</w:t>
            </w:r>
            <w:r w:rsidRPr="00860478">
              <w:rPr>
                <w:color w:val="000000" w:themeColor="text1"/>
              </w:rPr>
              <w:t xml:space="preserve"> determined by this ranking (in the last meeting cycle none of the CPs had had the capacity to do so); </w:t>
            </w:r>
          </w:p>
          <w:p w:rsidR="001B00FC" w:rsidRDefault="001B00FC" w:rsidP="00E81843">
            <w:pPr>
              <w:pStyle w:val="Kleurrijkelijst-accent11"/>
              <w:numPr>
                <w:ilvl w:val="0"/>
                <w:numId w:val="17"/>
              </w:numPr>
              <w:spacing w:before="120" w:line="280" w:lineRule="atLeast"/>
              <w:rPr>
                <w:color w:val="000000" w:themeColor="text1"/>
              </w:rPr>
            </w:pPr>
            <w:r>
              <w:rPr>
                <w:color w:val="000000" w:themeColor="text1"/>
              </w:rPr>
              <w:t>Set a timeline for the development of the annexes;</w:t>
            </w:r>
          </w:p>
          <w:p w:rsidR="001B00FC" w:rsidRDefault="001B00FC" w:rsidP="00E81843">
            <w:pPr>
              <w:pStyle w:val="Kleurrijkelijst-accent11"/>
              <w:numPr>
                <w:ilvl w:val="0"/>
                <w:numId w:val="17"/>
              </w:numPr>
              <w:spacing w:before="120" w:line="280" w:lineRule="atLeast"/>
              <w:rPr>
                <w:color w:val="000000" w:themeColor="text1"/>
              </w:rPr>
            </w:pPr>
            <w:r>
              <w:rPr>
                <w:color w:val="000000" w:themeColor="text1"/>
              </w:rPr>
              <w:t>Development of annexes;</w:t>
            </w:r>
          </w:p>
          <w:p w:rsidR="001B00FC" w:rsidRDefault="001B00FC" w:rsidP="00E81843">
            <w:pPr>
              <w:pStyle w:val="Kleurrijkelijst-accent11"/>
              <w:numPr>
                <w:ilvl w:val="0"/>
                <w:numId w:val="17"/>
              </w:numPr>
              <w:spacing w:before="120" w:line="280" w:lineRule="atLeast"/>
              <w:rPr>
                <w:color w:val="000000" w:themeColor="text1"/>
              </w:rPr>
            </w:pPr>
            <w:r>
              <w:rPr>
                <w:color w:val="000000" w:themeColor="text1"/>
              </w:rPr>
              <w:t xml:space="preserve">Translating the annexes into clear guidelines.  </w:t>
            </w:r>
          </w:p>
          <w:p w:rsidR="001B00FC" w:rsidRDefault="001B00FC" w:rsidP="00E81843">
            <w:pPr>
              <w:pStyle w:val="Kleurrijkelijst-accent11"/>
              <w:spacing w:before="120" w:line="280" w:lineRule="atLeast"/>
              <w:rPr>
                <w:color w:val="000000" w:themeColor="text1"/>
              </w:rPr>
            </w:pPr>
          </w:p>
          <w:p w:rsidR="001B00FC" w:rsidRDefault="001B00FC" w:rsidP="00E81843">
            <w:pPr>
              <w:pStyle w:val="Kleurrijkelijst-accent11"/>
              <w:spacing w:before="120" w:line="280" w:lineRule="atLeast"/>
              <w:ind w:left="0"/>
              <w:rPr>
                <w:color w:val="000000" w:themeColor="text1"/>
              </w:rPr>
            </w:pPr>
            <w:r>
              <w:rPr>
                <w:color w:val="000000" w:themeColor="text1"/>
              </w:rPr>
              <w:t>Other fora could be contacted, e.g. HELCOM, ASCOBANS, CMS, NATO, IMO, … to figure out if any parallel actions are being undertaken. Nationally developed guidelines might provide for a basis.</w:t>
            </w:r>
          </w:p>
          <w:p w:rsidR="001B00FC" w:rsidRPr="00860478" w:rsidRDefault="001B00FC" w:rsidP="00E81843">
            <w:pPr>
              <w:pStyle w:val="Kleurrijkelijst-accent11"/>
              <w:spacing w:before="120" w:after="120" w:line="280" w:lineRule="atLeast"/>
              <w:ind w:left="0"/>
              <w:rPr>
                <w:color w:val="808080"/>
              </w:rPr>
            </w:pPr>
          </w:p>
        </w:tc>
      </w:tr>
      <w:tr w:rsidR="001B00FC" w:rsidRPr="002A293D" w:rsidTr="00E81843">
        <w:tc>
          <w:tcPr>
            <w:tcW w:w="1498" w:type="dxa"/>
            <w:tcBorders>
              <w:top w:val="single" w:sz="4" w:space="0" w:color="auto"/>
              <w:left w:val="single" w:sz="4" w:space="0" w:color="auto"/>
              <w:bottom w:val="single" w:sz="4" w:space="0" w:color="auto"/>
              <w:right w:val="single" w:sz="4" w:space="0" w:color="auto"/>
            </w:tcBorders>
            <w:hideMark/>
          </w:tcPr>
          <w:p w:rsidR="001B00FC" w:rsidRPr="002A293D" w:rsidRDefault="001B00FC" w:rsidP="00E81843">
            <w:pPr>
              <w:rPr>
                <w:highlight w:val="yellow"/>
              </w:rPr>
            </w:pPr>
            <w:r w:rsidRPr="002A293D">
              <w:lastRenderedPageBreak/>
              <w:t>Timeline</w:t>
            </w:r>
          </w:p>
        </w:tc>
        <w:tc>
          <w:tcPr>
            <w:tcW w:w="7564" w:type="dxa"/>
            <w:tcBorders>
              <w:top w:val="single" w:sz="4" w:space="0" w:color="auto"/>
              <w:left w:val="single" w:sz="4" w:space="0" w:color="auto"/>
              <w:bottom w:val="single" w:sz="4" w:space="0" w:color="auto"/>
              <w:right w:val="single" w:sz="4" w:space="0" w:color="auto"/>
            </w:tcBorders>
          </w:tcPr>
          <w:p w:rsidR="001B00FC" w:rsidRPr="00860478" w:rsidRDefault="001B00FC" w:rsidP="00E81843">
            <w:pPr>
              <w:pStyle w:val="Kleurrijkelijst-accent11"/>
              <w:spacing w:before="120" w:after="120" w:line="280" w:lineRule="atLeast"/>
              <w:ind w:left="0"/>
              <w:rPr>
                <w:rFonts w:cs="Arial"/>
                <w:color w:val="808080"/>
                <w:lang w:val="en-GB"/>
              </w:rPr>
            </w:pPr>
            <w:r>
              <w:rPr>
                <w:color w:val="000000" w:themeColor="text1"/>
              </w:rPr>
              <w:t xml:space="preserve">Not indicated yet. </w:t>
            </w:r>
          </w:p>
          <w:p w:rsidR="001B00FC" w:rsidRPr="002A293D" w:rsidRDefault="001B00FC" w:rsidP="00E81843">
            <w:pPr>
              <w:pStyle w:val="Kleurrijkelijst-accent11"/>
              <w:spacing w:before="120" w:after="120" w:line="280" w:lineRule="atLeast"/>
              <w:ind w:left="0"/>
              <w:rPr>
                <w:i/>
                <w:color w:val="808080"/>
              </w:rPr>
            </w:pPr>
          </w:p>
        </w:tc>
      </w:tr>
      <w:tr w:rsidR="001B00FC" w:rsidRPr="002A293D" w:rsidTr="00E81843">
        <w:trPr>
          <w:trHeight w:val="367"/>
        </w:trPr>
        <w:tc>
          <w:tcPr>
            <w:tcW w:w="1498" w:type="dxa"/>
            <w:tcBorders>
              <w:top w:val="single" w:sz="4" w:space="0" w:color="auto"/>
              <w:left w:val="single" w:sz="4" w:space="0" w:color="auto"/>
              <w:bottom w:val="single" w:sz="4" w:space="0" w:color="auto"/>
              <w:right w:val="single" w:sz="4" w:space="0" w:color="auto"/>
            </w:tcBorders>
            <w:hideMark/>
          </w:tcPr>
          <w:p w:rsidR="001B00FC" w:rsidRPr="002A293D" w:rsidRDefault="001B00FC" w:rsidP="00E81843">
            <w:pPr>
              <w:rPr>
                <w:highlight w:val="yellow"/>
              </w:rPr>
            </w:pPr>
            <w:r w:rsidRPr="002A293D">
              <w:t>Events</w:t>
            </w:r>
          </w:p>
        </w:tc>
        <w:tc>
          <w:tcPr>
            <w:tcW w:w="7564" w:type="dxa"/>
            <w:tcBorders>
              <w:top w:val="single" w:sz="4" w:space="0" w:color="auto"/>
              <w:left w:val="single" w:sz="4" w:space="0" w:color="auto"/>
              <w:bottom w:val="single" w:sz="4" w:space="0" w:color="auto"/>
              <w:right w:val="single" w:sz="4" w:space="0" w:color="auto"/>
            </w:tcBorders>
            <w:hideMark/>
          </w:tcPr>
          <w:p w:rsidR="001B00FC" w:rsidRDefault="001B00FC" w:rsidP="00E81843">
            <w:pPr>
              <w:rPr>
                <w:color w:val="000000" w:themeColor="text1"/>
              </w:rPr>
            </w:pPr>
            <w:r>
              <w:rPr>
                <w:color w:val="000000" w:themeColor="text1"/>
              </w:rPr>
              <w:t>OSPAR Meeting cycle 2017-2018:</w:t>
            </w:r>
          </w:p>
          <w:p w:rsidR="001B00FC" w:rsidRPr="00425674" w:rsidRDefault="001B00FC" w:rsidP="00E81843">
            <w:pPr>
              <w:pStyle w:val="ListParagraph"/>
              <w:numPr>
                <w:ilvl w:val="0"/>
                <w:numId w:val="19"/>
              </w:numPr>
              <w:spacing w:before="0"/>
              <w:contextualSpacing/>
              <w:rPr>
                <w:color w:val="000000" w:themeColor="text1"/>
              </w:rPr>
            </w:pPr>
            <w:r w:rsidRPr="00425674">
              <w:rPr>
                <w:color w:val="000000" w:themeColor="text1"/>
              </w:rPr>
              <w:t>OSPAR ICG-POSH --&gt; BDC</w:t>
            </w:r>
          </w:p>
          <w:p w:rsidR="001B00FC" w:rsidRPr="00257DC3" w:rsidRDefault="001B00FC" w:rsidP="00E81843">
            <w:pPr>
              <w:pStyle w:val="ListParagraph"/>
              <w:numPr>
                <w:ilvl w:val="0"/>
                <w:numId w:val="19"/>
              </w:numPr>
              <w:spacing w:before="0"/>
              <w:contextualSpacing/>
              <w:rPr>
                <w:color w:val="000000" w:themeColor="text1"/>
              </w:rPr>
            </w:pPr>
            <w:r w:rsidRPr="00425674">
              <w:rPr>
                <w:color w:val="000000" w:themeColor="text1"/>
              </w:rPr>
              <w:t>OSPAR ICG-Noise --&gt; EIHA</w:t>
            </w:r>
          </w:p>
        </w:tc>
      </w:tr>
      <w:tr w:rsidR="001B00FC" w:rsidRPr="002A293D" w:rsidTr="00E81843">
        <w:tc>
          <w:tcPr>
            <w:tcW w:w="1498" w:type="dxa"/>
            <w:tcBorders>
              <w:top w:val="single" w:sz="4" w:space="0" w:color="auto"/>
              <w:left w:val="single" w:sz="4" w:space="0" w:color="auto"/>
              <w:bottom w:val="single" w:sz="4" w:space="0" w:color="auto"/>
              <w:right w:val="single" w:sz="4" w:space="0" w:color="auto"/>
            </w:tcBorders>
          </w:tcPr>
          <w:p w:rsidR="001B00FC" w:rsidRPr="002A293D" w:rsidRDefault="001B00FC" w:rsidP="00E81843">
            <w:r w:rsidRPr="002A293D">
              <w:t>Links to other actions</w:t>
            </w:r>
          </w:p>
        </w:tc>
        <w:tc>
          <w:tcPr>
            <w:tcW w:w="7564" w:type="dxa"/>
            <w:tcBorders>
              <w:top w:val="single" w:sz="4" w:space="0" w:color="auto"/>
              <w:left w:val="single" w:sz="4" w:space="0" w:color="auto"/>
              <w:bottom w:val="single" w:sz="4" w:space="0" w:color="auto"/>
              <w:right w:val="single" w:sz="4" w:space="0" w:color="auto"/>
            </w:tcBorders>
          </w:tcPr>
          <w:p w:rsidR="001B00FC" w:rsidRPr="00257DC3" w:rsidRDefault="001B00FC" w:rsidP="00E81843">
            <w:pPr>
              <w:rPr>
                <w:color w:val="808080"/>
              </w:rPr>
            </w:pPr>
            <w:r>
              <w:t xml:space="preserve">This action is defined for </w:t>
            </w:r>
            <w:r w:rsidRPr="007C582F">
              <w:t>ICG-Noise</w:t>
            </w:r>
            <w:r>
              <w:t>, so the implementation depends on the progress in this ICG</w:t>
            </w:r>
            <w:r w:rsidRPr="007C582F">
              <w:t>.</w:t>
            </w:r>
          </w:p>
        </w:tc>
      </w:tr>
      <w:tr w:rsidR="001B00FC" w:rsidRPr="002A293D" w:rsidTr="00E81843">
        <w:tc>
          <w:tcPr>
            <w:tcW w:w="1498" w:type="dxa"/>
            <w:tcBorders>
              <w:top w:val="single" w:sz="4" w:space="0" w:color="auto"/>
              <w:left w:val="single" w:sz="4" w:space="0" w:color="auto"/>
              <w:bottom w:val="single" w:sz="4" w:space="0" w:color="auto"/>
              <w:right w:val="single" w:sz="4" w:space="0" w:color="auto"/>
            </w:tcBorders>
          </w:tcPr>
          <w:p w:rsidR="001B00FC" w:rsidRPr="002A293D" w:rsidRDefault="001B00FC" w:rsidP="00E81843">
            <w:r w:rsidRPr="002A293D">
              <w:t>Added value of action by OSPAR</w:t>
            </w:r>
          </w:p>
        </w:tc>
        <w:tc>
          <w:tcPr>
            <w:tcW w:w="7564" w:type="dxa"/>
            <w:tcBorders>
              <w:top w:val="single" w:sz="4" w:space="0" w:color="auto"/>
              <w:left w:val="single" w:sz="4" w:space="0" w:color="auto"/>
              <w:bottom w:val="single" w:sz="4" w:space="0" w:color="auto"/>
              <w:right w:val="single" w:sz="4" w:space="0" w:color="auto"/>
            </w:tcBorders>
          </w:tcPr>
          <w:p w:rsidR="001B00FC" w:rsidRDefault="001B00FC" w:rsidP="00E81843">
            <w:r w:rsidRPr="007C582F">
              <w:t>The action should be undertaken by OSPAR, in particular by ICG</w:t>
            </w:r>
            <w:r>
              <w:t>-Noise</w:t>
            </w:r>
            <w:r w:rsidRPr="007C582F">
              <w:t xml:space="preserve">. </w:t>
            </w:r>
          </w:p>
          <w:p w:rsidR="001B00FC" w:rsidRDefault="001B00FC" w:rsidP="00E81843">
            <w:r>
              <w:t xml:space="preserve">Other relevant actions may have been defined by other fora, such as TG-Noise (in relation to MSFD). </w:t>
            </w:r>
            <w:proofErr w:type="gramStart"/>
            <w:r>
              <w:t>HELCOM,</w:t>
            </w:r>
            <w:proofErr w:type="gramEnd"/>
            <w:r>
              <w:t xml:space="preserve"> and ASCOBANS are mainly making use of products prepared by OSPAR.</w:t>
            </w:r>
          </w:p>
          <w:p w:rsidR="001B00FC" w:rsidRPr="002A293D" w:rsidRDefault="001B00FC" w:rsidP="00E81843">
            <w:pPr>
              <w:rPr>
                <w:i/>
                <w:color w:val="808080"/>
              </w:rPr>
            </w:pPr>
          </w:p>
        </w:tc>
      </w:tr>
      <w:tr w:rsidR="001B00FC" w:rsidRPr="002A293D" w:rsidTr="00E81843">
        <w:tc>
          <w:tcPr>
            <w:tcW w:w="1498" w:type="dxa"/>
            <w:tcBorders>
              <w:top w:val="single" w:sz="4" w:space="0" w:color="auto"/>
              <w:left w:val="single" w:sz="4" w:space="0" w:color="auto"/>
              <w:bottom w:val="single" w:sz="4" w:space="0" w:color="auto"/>
              <w:right w:val="single" w:sz="4" w:space="0" w:color="auto"/>
            </w:tcBorders>
          </w:tcPr>
          <w:p w:rsidR="001B00FC" w:rsidRPr="002A293D" w:rsidRDefault="001B00FC" w:rsidP="00E81843">
            <w:r>
              <w:t>Resources</w:t>
            </w:r>
          </w:p>
        </w:tc>
        <w:tc>
          <w:tcPr>
            <w:tcW w:w="7564" w:type="dxa"/>
            <w:tcBorders>
              <w:top w:val="single" w:sz="4" w:space="0" w:color="auto"/>
              <w:left w:val="single" w:sz="4" w:space="0" w:color="auto"/>
              <w:bottom w:val="single" w:sz="4" w:space="0" w:color="auto"/>
              <w:right w:val="single" w:sz="4" w:space="0" w:color="auto"/>
            </w:tcBorders>
          </w:tcPr>
          <w:p w:rsidR="001B00FC" w:rsidRPr="002A293D" w:rsidRDefault="001B00FC" w:rsidP="00E81843">
            <w:pPr>
              <w:rPr>
                <w:i/>
                <w:color w:val="808080"/>
              </w:rPr>
            </w:pPr>
          </w:p>
        </w:tc>
      </w:tr>
      <w:tr w:rsidR="001B00FC" w:rsidRPr="002A293D" w:rsidTr="00E81843">
        <w:tc>
          <w:tcPr>
            <w:tcW w:w="1498" w:type="dxa"/>
            <w:tcBorders>
              <w:top w:val="single" w:sz="4" w:space="0" w:color="auto"/>
              <w:left w:val="single" w:sz="4" w:space="0" w:color="auto"/>
              <w:bottom w:val="single" w:sz="4" w:space="0" w:color="auto"/>
              <w:right w:val="single" w:sz="4" w:space="0" w:color="auto"/>
            </w:tcBorders>
            <w:hideMark/>
          </w:tcPr>
          <w:p w:rsidR="001B00FC" w:rsidRPr="002A293D" w:rsidRDefault="001B00FC" w:rsidP="00E81843">
            <w:r w:rsidRPr="002A293D">
              <w:t>Barriers to Progress</w:t>
            </w:r>
          </w:p>
        </w:tc>
        <w:tc>
          <w:tcPr>
            <w:tcW w:w="7564" w:type="dxa"/>
            <w:tcBorders>
              <w:top w:val="single" w:sz="4" w:space="0" w:color="auto"/>
              <w:left w:val="single" w:sz="4" w:space="0" w:color="auto"/>
              <w:bottom w:val="single" w:sz="4" w:space="0" w:color="auto"/>
              <w:right w:val="single" w:sz="4" w:space="0" w:color="auto"/>
            </w:tcBorders>
            <w:hideMark/>
          </w:tcPr>
          <w:p w:rsidR="001B00FC" w:rsidRDefault="001B00FC" w:rsidP="00E81843">
            <w:pPr>
              <w:rPr>
                <w:color w:val="808080"/>
              </w:rPr>
            </w:pPr>
            <w:r w:rsidRPr="00C9454E">
              <w:rPr>
                <w:color w:val="000000" w:themeColor="text1"/>
              </w:rPr>
              <w:t xml:space="preserve">None of the CPs within ICG-Noise had had the capacity </w:t>
            </w:r>
            <w:r>
              <w:rPr>
                <w:color w:val="000000" w:themeColor="text1"/>
              </w:rPr>
              <w:t xml:space="preserve">during the last meeting cycle (2016-2017) </w:t>
            </w:r>
            <w:r w:rsidRPr="00C9454E">
              <w:rPr>
                <w:color w:val="000000" w:themeColor="text1"/>
              </w:rPr>
              <w:t xml:space="preserve">to </w:t>
            </w:r>
            <w:r>
              <w:rPr>
                <w:color w:val="000000" w:themeColor="text1"/>
              </w:rPr>
              <w:t xml:space="preserve">make further progress on the </w:t>
            </w:r>
            <w:r w:rsidRPr="00C9454E">
              <w:rPr>
                <w:color w:val="000000" w:themeColor="text1"/>
              </w:rPr>
              <w:t>develop</w:t>
            </w:r>
            <w:r>
              <w:rPr>
                <w:color w:val="000000" w:themeColor="text1"/>
              </w:rPr>
              <w:t>ment</w:t>
            </w:r>
            <w:r w:rsidRPr="00C9454E">
              <w:rPr>
                <w:color w:val="000000" w:themeColor="text1"/>
              </w:rPr>
              <w:t xml:space="preserve"> </w:t>
            </w:r>
            <w:r>
              <w:rPr>
                <w:color w:val="000000" w:themeColor="text1"/>
              </w:rPr>
              <w:t xml:space="preserve">of </w:t>
            </w:r>
            <w:r w:rsidRPr="00C9454E">
              <w:rPr>
                <w:color w:val="000000" w:themeColor="text1"/>
              </w:rPr>
              <w:t>the guidelines.</w:t>
            </w:r>
            <w:r w:rsidRPr="00C9454E">
              <w:rPr>
                <w:i/>
                <w:color w:val="808080"/>
              </w:rPr>
              <w:t xml:space="preserve">  </w:t>
            </w:r>
          </w:p>
          <w:p w:rsidR="001B00FC" w:rsidRPr="00C9454E" w:rsidRDefault="001B00FC" w:rsidP="00E81843">
            <w:pPr>
              <w:rPr>
                <w:color w:val="000000" w:themeColor="text1"/>
              </w:rPr>
            </w:pPr>
            <w:r w:rsidRPr="00C9454E">
              <w:rPr>
                <w:color w:val="000000" w:themeColor="text1"/>
              </w:rPr>
              <w:t xml:space="preserve">Ways should be sought to overcome this. </w:t>
            </w:r>
          </w:p>
          <w:p w:rsidR="001B00FC" w:rsidRPr="002A293D" w:rsidRDefault="001B00FC" w:rsidP="00E81843">
            <w:pPr>
              <w:rPr>
                <w:i/>
                <w:color w:val="808080"/>
              </w:rPr>
            </w:pPr>
          </w:p>
        </w:tc>
      </w:tr>
      <w:tr w:rsidR="001B00FC" w:rsidRPr="002A293D" w:rsidTr="00E81843">
        <w:tc>
          <w:tcPr>
            <w:tcW w:w="1498" w:type="dxa"/>
            <w:tcBorders>
              <w:top w:val="single" w:sz="4" w:space="0" w:color="auto"/>
              <w:left w:val="single" w:sz="4" w:space="0" w:color="auto"/>
              <w:bottom w:val="single" w:sz="4" w:space="0" w:color="auto"/>
              <w:right w:val="single" w:sz="4" w:space="0" w:color="auto"/>
            </w:tcBorders>
            <w:hideMark/>
          </w:tcPr>
          <w:p w:rsidR="001B00FC" w:rsidRPr="002A293D" w:rsidRDefault="001B00FC" w:rsidP="00E81843">
            <w:r w:rsidRPr="002A293D">
              <w:t>Stakeholders to engage</w:t>
            </w:r>
          </w:p>
        </w:tc>
        <w:tc>
          <w:tcPr>
            <w:tcW w:w="7564" w:type="dxa"/>
            <w:tcBorders>
              <w:top w:val="single" w:sz="4" w:space="0" w:color="auto"/>
              <w:left w:val="single" w:sz="4" w:space="0" w:color="auto"/>
              <w:bottom w:val="single" w:sz="4" w:space="0" w:color="auto"/>
              <w:right w:val="single" w:sz="4" w:space="0" w:color="auto"/>
            </w:tcBorders>
            <w:hideMark/>
          </w:tcPr>
          <w:p w:rsidR="001B00FC" w:rsidRPr="00C9454E" w:rsidRDefault="001B00FC" w:rsidP="00E81843">
            <w:pPr>
              <w:rPr>
                <w:color w:val="000000" w:themeColor="text1"/>
              </w:rPr>
            </w:pPr>
            <w:r>
              <w:rPr>
                <w:color w:val="000000" w:themeColor="text1"/>
              </w:rPr>
              <w:t>A</w:t>
            </w:r>
            <w:r w:rsidRPr="00A85D34">
              <w:rPr>
                <w:color w:val="000000" w:themeColor="text1"/>
              </w:rPr>
              <w:t>ny guidelines developed through OSPAR should undergo consultations</w:t>
            </w:r>
            <w:r>
              <w:rPr>
                <w:color w:val="000000" w:themeColor="text1"/>
              </w:rPr>
              <w:t xml:space="preserve"> with industry and NGOs, as is already taking place on national level.  </w:t>
            </w:r>
          </w:p>
          <w:p w:rsidR="001B00FC" w:rsidRPr="002A293D" w:rsidRDefault="001B00FC" w:rsidP="00E81843">
            <w:pPr>
              <w:rPr>
                <w:i/>
                <w:color w:val="808080"/>
              </w:rPr>
            </w:pPr>
          </w:p>
        </w:tc>
      </w:tr>
      <w:tr w:rsidR="001B00FC" w:rsidRPr="002A293D" w:rsidTr="00E81843">
        <w:tc>
          <w:tcPr>
            <w:tcW w:w="1498" w:type="dxa"/>
            <w:tcBorders>
              <w:top w:val="single" w:sz="4" w:space="0" w:color="auto"/>
              <w:left w:val="single" w:sz="4" w:space="0" w:color="auto"/>
              <w:bottom w:val="single" w:sz="4" w:space="0" w:color="auto"/>
              <w:right w:val="single" w:sz="4" w:space="0" w:color="auto"/>
            </w:tcBorders>
            <w:hideMark/>
          </w:tcPr>
          <w:p w:rsidR="001B00FC" w:rsidRPr="002A293D" w:rsidRDefault="001B00FC" w:rsidP="00E81843">
            <w:r w:rsidRPr="002A293D">
              <w:t>Other Competent Authorities:</w:t>
            </w:r>
          </w:p>
        </w:tc>
        <w:tc>
          <w:tcPr>
            <w:tcW w:w="7564" w:type="dxa"/>
            <w:tcBorders>
              <w:top w:val="single" w:sz="4" w:space="0" w:color="auto"/>
              <w:left w:val="single" w:sz="4" w:space="0" w:color="auto"/>
              <w:bottom w:val="single" w:sz="4" w:space="0" w:color="auto"/>
              <w:right w:val="single" w:sz="4" w:space="0" w:color="auto"/>
            </w:tcBorders>
            <w:hideMark/>
          </w:tcPr>
          <w:p w:rsidR="001B00FC" w:rsidRDefault="001B00FC" w:rsidP="00E81843">
            <w:pPr>
              <w:rPr>
                <w:color w:val="000000" w:themeColor="text1"/>
              </w:rPr>
            </w:pPr>
            <w:r w:rsidRPr="00E71B81">
              <w:rPr>
                <w:color w:val="000000" w:themeColor="text1"/>
              </w:rPr>
              <w:t xml:space="preserve">EU TG-Noise (in relation to MSFD), ASCOBANS, </w:t>
            </w:r>
            <w:r>
              <w:rPr>
                <w:color w:val="000000" w:themeColor="text1"/>
              </w:rPr>
              <w:t xml:space="preserve">CMS, </w:t>
            </w:r>
            <w:r w:rsidRPr="00E71B81">
              <w:rPr>
                <w:color w:val="000000" w:themeColor="text1"/>
              </w:rPr>
              <w:t>HELCOM</w:t>
            </w:r>
            <w:r>
              <w:rPr>
                <w:color w:val="000000" w:themeColor="text1"/>
              </w:rPr>
              <w:t xml:space="preserve">, IMO, NATO, </w:t>
            </w:r>
            <w:proofErr w:type="gramStart"/>
            <w:r>
              <w:rPr>
                <w:color w:val="000000" w:themeColor="text1"/>
              </w:rPr>
              <w:t xml:space="preserve">… </w:t>
            </w:r>
            <w:r w:rsidRPr="00E71B81">
              <w:rPr>
                <w:color w:val="000000" w:themeColor="text1"/>
              </w:rPr>
              <w:t>.</w:t>
            </w:r>
            <w:proofErr w:type="gramEnd"/>
          </w:p>
          <w:p w:rsidR="001B00FC" w:rsidRPr="00E71B81" w:rsidRDefault="001B00FC" w:rsidP="00E81843">
            <w:pPr>
              <w:rPr>
                <w:color w:val="000000" w:themeColor="text1"/>
              </w:rPr>
            </w:pPr>
            <w:r w:rsidRPr="00CA4C96">
              <w:rPr>
                <w:color w:val="000000" w:themeColor="text1"/>
              </w:rPr>
              <w:t xml:space="preserve">The CMS (Convention on the Conservation of Migratory Species of Wild Animals), ASCOBANS and ACCOBAMS have a joint noise working group.  </w:t>
            </w:r>
          </w:p>
          <w:p w:rsidR="001B00FC" w:rsidRPr="002A293D" w:rsidRDefault="001B00FC" w:rsidP="00E81843">
            <w:pPr>
              <w:rPr>
                <w:i/>
                <w:color w:val="808080"/>
              </w:rPr>
            </w:pPr>
            <w:r>
              <w:rPr>
                <w:i/>
                <w:color w:val="808080"/>
              </w:rPr>
              <w:t xml:space="preserve"> </w:t>
            </w:r>
          </w:p>
        </w:tc>
      </w:tr>
      <w:tr w:rsidR="001B00FC" w:rsidRPr="002A293D" w:rsidTr="00E81843">
        <w:tc>
          <w:tcPr>
            <w:tcW w:w="1498" w:type="dxa"/>
            <w:tcBorders>
              <w:top w:val="single" w:sz="4" w:space="0" w:color="auto"/>
              <w:left w:val="single" w:sz="4" w:space="0" w:color="auto"/>
              <w:bottom w:val="single" w:sz="4" w:space="0" w:color="auto"/>
              <w:right w:val="single" w:sz="4" w:space="0" w:color="auto"/>
            </w:tcBorders>
            <w:hideMark/>
          </w:tcPr>
          <w:p w:rsidR="001B00FC" w:rsidRPr="002A293D" w:rsidRDefault="001B00FC" w:rsidP="00E81843">
            <w:r w:rsidRPr="002A293D">
              <w:t>Product(s):</w:t>
            </w:r>
          </w:p>
        </w:tc>
        <w:tc>
          <w:tcPr>
            <w:tcW w:w="7564" w:type="dxa"/>
            <w:tcBorders>
              <w:top w:val="single" w:sz="4" w:space="0" w:color="auto"/>
              <w:left w:val="single" w:sz="4" w:space="0" w:color="auto"/>
              <w:bottom w:val="single" w:sz="4" w:space="0" w:color="auto"/>
              <w:right w:val="single" w:sz="4" w:space="0" w:color="auto"/>
            </w:tcBorders>
            <w:hideMark/>
          </w:tcPr>
          <w:p w:rsidR="001B00FC" w:rsidRDefault="001B00FC" w:rsidP="00E81843">
            <w:pPr>
              <w:rPr>
                <w:color w:val="000000" w:themeColor="text1"/>
              </w:rPr>
            </w:pPr>
            <w:r w:rsidRPr="00C9454E">
              <w:rPr>
                <w:color w:val="000000" w:themeColor="text1"/>
              </w:rPr>
              <w:t>Guideline</w:t>
            </w:r>
            <w:r>
              <w:rPr>
                <w:color w:val="000000" w:themeColor="text1"/>
              </w:rPr>
              <w:t>s for</w:t>
            </w:r>
            <w:r w:rsidRPr="00C9454E">
              <w:rPr>
                <w:color w:val="000000" w:themeColor="text1"/>
              </w:rPr>
              <w:t xml:space="preserve"> effectiveness and feasibility of mitigation options to avoid or reduce emissions and impacts of underwater noise </w:t>
            </w:r>
            <w:r>
              <w:rPr>
                <w:color w:val="000000" w:themeColor="text1"/>
              </w:rPr>
              <w:t>from (in random order):</w:t>
            </w:r>
          </w:p>
          <w:p w:rsidR="001B00FC" w:rsidRPr="00C9454E" w:rsidRDefault="001B00FC" w:rsidP="00E81843">
            <w:pPr>
              <w:pStyle w:val="ListParagraph"/>
              <w:numPr>
                <w:ilvl w:val="0"/>
                <w:numId w:val="18"/>
              </w:numPr>
              <w:spacing w:before="0"/>
              <w:contextualSpacing/>
              <w:rPr>
                <w:color w:val="000000" w:themeColor="text1"/>
              </w:rPr>
            </w:pPr>
            <w:r w:rsidRPr="00C9454E">
              <w:rPr>
                <w:color w:val="000000" w:themeColor="text1"/>
              </w:rPr>
              <w:t>Use</w:t>
            </w:r>
            <w:r>
              <w:rPr>
                <w:color w:val="000000" w:themeColor="text1"/>
              </w:rPr>
              <w:t xml:space="preserve"> or destruction at sea</w:t>
            </w:r>
            <w:r w:rsidRPr="00C9454E">
              <w:rPr>
                <w:color w:val="000000" w:themeColor="text1"/>
              </w:rPr>
              <w:t xml:space="preserve"> of explosives</w:t>
            </w:r>
            <w:r>
              <w:rPr>
                <w:color w:val="000000" w:themeColor="text1"/>
              </w:rPr>
              <w:t xml:space="preserve"> (being prepared by other party/parties)</w:t>
            </w:r>
            <w:r w:rsidRPr="00C9454E">
              <w:rPr>
                <w:color w:val="000000" w:themeColor="text1"/>
              </w:rPr>
              <w:t xml:space="preserve">; </w:t>
            </w:r>
          </w:p>
          <w:p w:rsidR="001B00FC" w:rsidRPr="00C9454E" w:rsidRDefault="001B00FC" w:rsidP="00E81843">
            <w:pPr>
              <w:pStyle w:val="ListParagraph"/>
              <w:numPr>
                <w:ilvl w:val="0"/>
                <w:numId w:val="18"/>
              </w:numPr>
              <w:spacing w:before="0"/>
              <w:contextualSpacing/>
              <w:rPr>
                <w:color w:val="000000" w:themeColor="text1"/>
              </w:rPr>
            </w:pPr>
            <w:r w:rsidRPr="00C9454E">
              <w:rPr>
                <w:color w:val="000000" w:themeColor="text1"/>
              </w:rPr>
              <w:t xml:space="preserve">high frequency impulsive sources (e.g. </w:t>
            </w:r>
            <w:proofErr w:type="spellStart"/>
            <w:r w:rsidRPr="00C9454E">
              <w:rPr>
                <w:color w:val="000000" w:themeColor="text1"/>
              </w:rPr>
              <w:t>echosounders</w:t>
            </w:r>
            <w:proofErr w:type="spellEnd"/>
            <w:r w:rsidRPr="00C9454E">
              <w:rPr>
                <w:color w:val="000000" w:themeColor="text1"/>
              </w:rPr>
              <w:t xml:space="preserve">); </w:t>
            </w:r>
          </w:p>
          <w:p w:rsidR="001B00FC" w:rsidRPr="00C9454E" w:rsidRDefault="001B00FC" w:rsidP="00E81843">
            <w:pPr>
              <w:pStyle w:val="ListParagraph"/>
              <w:numPr>
                <w:ilvl w:val="0"/>
                <w:numId w:val="18"/>
              </w:numPr>
              <w:spacing w:before="0"/>
              <w:contextualSpacing/>
              <w:rPr>
                <w:color w:val="000000" w:themeColor="text1"/>
              </w:rPr>
            </w:pPr>
            <w:r w:rsidRPr="00C9454E">
              <w:rPr>
                <w:color w:val="000000" w:themeColor="text1"/>
              </w:rPr>
              <w:t xml:space="preserve">dredging; </w:t>
            </w:r>
          </w:p>
          <w:p w:rsidR="001B00FC" w:rsidRPr="00C9454E" w:rsidRDefault="001B00FC" w:rsidP="00E81843">
            <w:pPr>
              <w:pStyle w:val="ListParagraph"/>
              <w:numPr>
                <w:ilvl w:val="0"/>
                <w:numId w:val="18"/>
              </w:numPr>
              <w:spacing w:before="0"/>
              <w:contextualSpacing/>
              <w:rPr>
                <w:color w:val="000000" w:themeColor="text1"/>
              </w:rPr>
            </w:pPr>
            <w:r w:rsidRPr="00C9454E">
              <w:rPr>
                <w:color w:val="000000" w:themeColor="text1"/>
              </w:rPr>
              <w:t>shipping noise</w:t>
            </w:r>
            <w:r>
              <w:rPr>
                <w:color w:val="000000" w:themeColor="text1"/>
              </w:rPr>
              <w:t xml:space="preserve"> (on-going work by IMO)</w:t>
            </w:r>
            <w:r w:rsidRPr="00C9454E">
              <w:rPr>
                <w:color w:val="000000" w:themeColor="text1"/>
              </w:rPr>
              <w:t xml:space="preserve">; </w:t>
            </w:r>
          </w:p>
          <w:p w:rsidR="001B00FC" w:rsidRPr="00257DC3" w:rsidRDefault="001B00FC" w:rsidP="00E81843">
            <w:pPr>
              <w:pStyle w:val="ListParagraph"/>
              <w:numPr>
                <w:ilvl w:val="0"/>
                <w:numId w:val="18"/>
              </w:numPr>
              <w:spacing w:before="0"/>
              <w:contextualSpacing/>
              <w:rPr>
                <w:color w:val="000000" w:themeColor="text1"/>
              </w:rPr>
            </w:pPr>
            <w:proofErr w:type="gramStart"/>
            <w:r w:rsidRPr="00C9454E">
              <w:rPr>
                <w:color w:val="000000" w:themeColor="text1"/>
              </w:rPr>
              <w:t>sonar</w:t>
            </w:r>
            <w:proofErr w:type="gramEnd"/>
            <w:r w:rsidRPr="00C9454E">
              <w:rPr>
                <w:color w:val="000000" w:themeColor="text1"/>
              </w:rPr>
              <w:t>.</w:t>
            </w:r>
          </w:p>
        </w:tc>
      </w:tr>
      <w:tr w:rsidR="001B00FC" w:rsidRPr="002A293D" w:rsidTr="00E81843">
        <w:tc>
          <w:tcPr>
            <w:tcW w:w="1498" w:type="dxa"/>
            <w:tcBorders>
              <w:top w:val="single" w:sz="4" w:space="0" w:color="auto"/>
              <w:left w:val="single" w:sz="4" w:space="0" w:color="auto"/>
              <w:bottom w:val="single" w:sz="4" w:space="0" w:color="auto"/>
              <w:right w:val="single" w:sz="4" w:space="0" w:color="auto"/>
            </w:tcBorders>
          </w:tcPr>
          <w:p w:rsidR="001B00FC" w:rsidRPr="002A293D" w:rsidRDefault="001B00FC" w:rsidP="00E81843">
            <w:r>
              <w:t>References</w:t>
            </w:r>
          </w:p>
        </w:tc>
        <w:tc>
          <w:tcPr>
            <w:tcW w:w="7564" w:type="dxa"/>
            <w:tcBorders>
              <w:top w:val="single" w:sz="4" w:space="0" w:color="auto"/>
              <w:left w:val="single" w:sz="4" w:space="0" w:color="auto"/>
              <w:bottom w:val="single" w:sz="4" w:space="0" w:color="auto"/>
              <w:right w:val="single" w:sz="4" w:space="0" w:color="auto"/>
            </w:tcBorders>
          </w:tcPr>
          <w:p w:rsidR="001B00FC" w:rsidRDefault="001B00FC" w:rsidP="00E81843">
            <w:pPr>
              <w:rPr>
                <w:color w:val="000000" w:themeColor="text1"/>
              </w:rPr>
            </w:pPr>
            <w:r w:rsidRPr="000D07C4">
              <w:rPr>
                <w:color w:val="000000" w:themeColor="text1"/>
              </w:rPr>
              <w:t xml:space="preserve">OSPAR Commission </w:t>
            </w:r>
            <w:r>
              <w:rPr>
                <w:color w:val="000000" w:themeColor="text1"/>
              </w:rPr>
              <w:t>(</w:t>
            </w:r>
            <w:r w:rsidRPr="000D07C4">
              <w:rPr>
                <w:color w:val="000000" w:themeColor="text1"/>
              </w:rPr>
              <w:t>2008</w:t>
            </w:r>
            <w:r>
              <w:rPr>
                <w:color w:val="000000" w:themeColor="text1"/>
              </w:rPr>
              <w:t xml:space="preserve">). </w:t>
            </w:r>
            <w:r w:rsidRPr="000D07C4">
              <w:rPr>
                <w:color w:val="000000" w:themeColor="text1"/>
              </w:rPr>
              <w:t>Case Reports for the OSPAR List of Threatened and/or Declining Species and Habitats</w:t>
            </w:r>
            <w:r>
              <w:rPr>
                <w:color w:val="000000" w:themeColor="text1"/>
              </w:rPr>
              <w:t xml:space="preserve">. </w:t>
            </w:r>
            <w:r w:rsidRPr="000D07C4">
              <w:rPr>
                <w:color w:val="000000" w:themeColor="text1"/>
              </w:rPr>
              <w:t>Publication Number: 358/2008</w:t>
            </w:r>
            <w:r>
              <w:rPr>
                <w:color w:val="000000" w:themeColor="text1"/>
              </w:rPr>
              <w:t xml:space="preserve">. </w:t>
            </w:r>
          </w:p>
          <w:p w:rsidR="001B00FC" w:rsidRDefault="001B00FC" w:rsidP="00E81843">
            <w:pPr>
              <w:rPr>
                <w:color w:val="000000" w:themeColor="text1"/>
              </w:rPr>
            </w:pPr>
            <w:r w:rsidRPr="000D07C4">
              <w:rPr>
                <w:color w:val="000000" w:themeColor="text1"/>
              </w:rPr>
              <w:t>OSPAR (2009a). Assessment of the environmental impact of underwater noise. ‐ Biodiversity Series,</w:t>
            </w:r>
            <w:r>
              <w:rPr>
                <w:color w:val="000000" w:themeColor="text1"/>
              </w:rPr>
              <w:t xml:space="preserve"> </w:t>
            </w:r>
            <w:r w:rsidRPr="000D07C4">
              <w:rPr>
                <w:color w:val="000000" w:themeColor="text1"/>
              </w:rPr>
              <w:t xml:space="preserve">OSPAR report 436. </w:t>
            </w:r>
            <w:proofErr w:type="gramStart"/>
            <w:r w:rsidRPr="000D07C4">
              <w:rPr>
                <w:color w:val="000000" w:themeColor="text1"/>
              </w:rPr>
              <w:t>ISBN :</w:t>
            </w:r>
            <w:proofErr w:type="gramEnd"/>
            <w:r w:rsidRPr="000D07C4">
              <w:rPr>
                <w:color w:val="000000" w:themeColor="text1"/>
              </w:rPr>
              <w:t xml:space="preserve"> 978‐1‐906840‐76‐1</w:t>
            </w:r>
            <w:r>
              <w:rPr>
                <w:color w:val="000000" w:themeColor="text1"/>
              </w:rPr>
              <w:t>.</w:t>
            </w:r>
          </w:p>
          <w:p w:rsidR="001B00FC" w:rsidRPr="000D07C4" w:rsidRDefault="001B00FC" w:rsidP="00E81843">
            <w:pPr>
              <w:rPr>
                <w:color w:val="000000" w:themeColor="text1"/>
              </w:rPr>
            </w:pPr>
            <w:r>
              <w:rPr>
                <w:color w:val="000000" w:themeColor="text1"/>
              </w:rPr>
              <w:t xml:space="preserve">OSPAR (2013). OSPAR recommendation 2013/11. </w:t>
            </w:r>
            <w:proofErr w:type="gramStart"/>
            <w:r w:rsidRPr="00F759FC">
              <w:rPr>
                <w:color w:val="000000" w:themeColor="text1"/>
              </w:rPr>
              <w:t>OSPAR(</w:t>
            </w:r>
            <w:proofErr w:type="gramEnd"/>
            <w:r w:rsidRPr="00F759FC">
              <w:rPr>
                <w:color w:val="000000" w:themeColor="text1"/>
              </w:rPr>
              <w:t>2) 13/4/1, Annex 11</w:t>
            </w:r>
            <w:r>
              <w:rPr>
                <w:color w:val="000000" w:themeColor="text1"/>
              </w:rPr>
              <w:t xml:space="preserve">. </w:t>
            </w:r>
          </w:p>
          <w:p w:rsidR="001B00FC" w:rsidRDefault="001B00FC" w:rsidP="00E81843">
            <w:pPr>
              <w:rPr>
                <w:color w:val="000000" w:themeColor="text1"/>
              </w:rPr>
            </w:pPr>
            <w:r w:rsidRPr="000D07C4">
              <w:rPr>
                <w:color w:val="000000" w:themeColor="text1"/>
              </w:rPr>
              <w:lastRenderedPageBreak/>
              <w:t>OSPAR Commission (2010). Quality Status Report. ‐ ISBN 978‐1‐907390‐38‐8.</w:t>
            </w:r>
          </w:p>
          <w:p w:rsidR="001B00FC" w:rsidRDefault="001B00FC" w:rsidP="00E81843">
            <w:pPr>
              <w:rPr>
                <w:color w:val="000000" w:themeColor="text1"/>
              </w:rPr>
            </w:pPr>
            <w:r>
              <w:rPr>
                <w:color w:val="000000" w:themeColor="text1"/>
              </w:rPr>
              <w:t xml:space="preserve">OSPAR (2014). </w:t>
            </w:r>
            <w:r w:rsidRPr="00CB3581">
              <w:rPr>
                <w:color w:val="000000" w:themeColor="text1"/>
              </w:rPr>
              <w:t>OSPAR inventory of measures to mitigate the</w:t>
            </w:r>
            <w:r>
              <w:rPr>
                <w:color w:val="000000" w:themeColor="text1"/>
              </w:rPr>
              <w:t xml:space="preserve"> </w:t>
            </w:r>
            <w:r w:rsidRPr="00CB3581">
              <w:rPr>
                <w:color w:val="000000" w:themeColor="text1"/>
              </w:rPr>
              <w:t>emission and environmental impact of underwater</w:t>
            </w:r>
            <w:r>
              <w:rPr>
                <w:color w:val="000000" w:themeColor="text1"/>
              </w:rPr>
              <w:t xml:space="preserve"> </w:t>
            </w:r>
            <w:r w:rsidRPr="00CB3581">
              <w:rPr>
                <w:color w:val="000000" w:themeColor="text1"/>
              </w:rPr>
              <w:t>noise</w:t>
            </w:r>
            <w:r>
              <w:rPr>
                <w:color w:val="000000" w:themeColor="text1"/>
              </w:rPr>
              <w:t xml:space="preserve">. Biodiversity Series, OSPAR Commission. </w:t>
            </w:r>
            <w:r w:rsidRPr="00CB3581">
              <w:rPr>
                <w:color w:val="000000" w:themeColor="text1"/>
              </w:rPr>
              <w:t>Publication Number: 626/2014</w:t>
            </w:r>
            <w:r>
              <w:rPr>
                <w:color w:val="000000" w:themeColor="text1"/>
              </w:rPr>
              <w:t xml:space="preserve">. </w:t>
            </w:r>
          </w:p>
          <w:p w:rsidR="001B00FC" w:rsidRDefault="001B00FC" w:rsidP="00E81843">
            <w:pPr>
              <w:rPr>
                <w:color w:val="000000" w:themeColor="text1"/>
              </w:rPr>
            </w:pPr>
            <w:r>
              <w:rPr>
                <w:color w:val="000000" w:themeColor="text1"/>
              </w:rPr>
              <w:t xml:space="preserve">OSPAR ICG-Noise (2016). Summary Record </w:t>
            </w:r>
            <w:r w:rsidRPr="00CB3581">
              <w:rPr>
                <w:color w:val="000000" w:themeColor="text1"/>
              </w:rPr>
              <w:t>ICG-</w:t>
            </w:r>
            <w:proofErr w:type="gramStart"/>
            <w:r w:rsidRPr="00CB3581">
              <w:rPr>
                <w:color w:val="000000" w:themeColor="text1"/>
              </w:rPr>
              <w:t>Noise(</w:t>
            </w:r>
            <w:proofErr w:type="gramEnd"/>
            <w:r w:rsidRPr="00CB3581">
              <w:rPr>
                <w:color w:val="000000" w:themeColor="text1"/>
              </w:rPr>
              <w:t>2) 16/05/02</w:t>
            </w:r>
            <w:r>
              <w:rPr>
                <w:color w:val="000000" w:themeColor="text1"/>
              </w:rPr>
              <w:t xml:space="preserve">. </w:t>
            </w:r>
          </w:p>
          <w:p w:rsidR="001B00FC" w:rsidRDefault="001B00FC" w:rsidP="00E81843">
            <w:pPr>
              <w:rPr>
                <w:color w:val="000000" w:themeColor="text1"/>
              </w:rPr>
            </w:pPr>
            <w:r>
              <w:rPr>
                <w:color w:val="000000" w:themeColor="text1"/>
              </w:rPr>
              <w:t xml:space="preserve">OSPAR EIHA (2017). Summary Record </w:t>
            </w:r>
            <w:r w:rsidRPr="00CB3581">
              <w:rPr>
                <w:color w:val="000000" w:themeColor="text1"/>
              </w:rPr>
              <w:t>EIHA 17/09/01-E</w:t>
            </w:r>
            <w:r>
              <w:rPr>
                <w:color w:val="000000" w:themeColor="text1"/>
              </w:rPr>
              <w:t xml:space="preserve">. </w:t>
            </w:r>
          </w:p>
          <w:p w:rsidR="001B00FC" w:rsidRPr="00C9454E" w:rsidRDefault="001B00FC" w:rsidP="00E81843">
            <w:pPr>
              <w:rPr>
                <w:color w:val="000000" w:themeColor="text1"/>
              </w:rPr>
            </w:pPr>
            <w:r>
              <w:rPr>
                <w:color w:val="000000" w:themeColor="text1"/>
              </w:rPr>
              <w:t xml:space="preserve">OSPAR ICG-Noise (2017) Summary record ICG-Noise 17/7/1. </w:t>
            </w:r>
          </w:p>
        </w:tc>
      </w:tr>
    </w:tbl>
    <w:p w:rsidR="00A92F88" w:rsidRDefault="00A92F88" w:rsidP="006B287E">
      <w:pPr>
        <w:tabs>
          <w:tab w:val="left" w:pos="708"/>
        </w:tabs>
        <w:spacing w:after="0"/>
        <w:rPr>
          <w:rFonts w:eastAsia="Calibri"/>
          <w:sz w:val="24"/>
          <w:szCs w:val="24"/>
        </w:rPr>
      </w:pPr>
    </w:p>
    <w:sectPr w:rsidR="00A92F88" w:rsidSect="00B43FAB">
      <w:footerReference w:type="default" r:id="rId9"/>
      <w:pgSz w:w="11907" w:h="16840" w:code="9"/>
      <w:pgMar w:top="1134" w:right="1134" w:bottom="1134" w:left="1134" w:header="567"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5699" w:rsidRDefault="009E5699" w:rsidP="009E5699">
      <w:pPr>
        <w:spacing w:after="0" w:line="240" w:lineRule="auto"/>
      </w:pPr>
      <w:r>
        <w:separator/>
      </w:r>
    </w:p>
  </w:endnote>
  <w:endnote w:type="continuationSeparator" w:id="0">
    <w:p w:rsidR="009E5699" w:rsidRDefault="009E5699" w:rsidP="009E56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encil">
    <w:panose1 w:val="040409050D0802020404"/>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ヒラギノ角ゴ Pro W3">
    <w:charset w:val="4E"/>
    <w:family w:val="auto"/>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997953"/>
      <w:docPartObj>
        <w:docPartGallery w:val="Page Numbers (Bottom of Page)"/>
        <w:docPartUnique/>
      </w:docPartObj>
    </w:sdtPr>
    <w:sdtEndPr>
      <w:rPr>
        <w:noProof/>
      </w:rPr>
    </w:sdtEndPr>
    <w:sdtContent>
      <w:p w:rsidR="009E5699" w:rsidRDefault="009E5699">
        <w:pPr>
          <w:pStyle w:val="Footer"/>
          <w:jc w:val="right"/>
        </w:pPr>
        <w:r>
          <w:fldChar w:fldCharType="begin"/>
        </w:r>
        <w:r>
          <w:instrText xml:space="preserve"> PAGE   \* MERGEFORMAT </w:instrText>
        </w:r>
        <w:r>
          <w:fldChar w:fldCharType="separate"/>
        </w:r>
        <w:r w:rsidR="001B00FC">
          <w:rPr>
            <w:noProof/>
          </w:rPr>
          <w:t>2</w:t>
        </w:r>
        <w:r>
          <w:rPr>
            <w:noProof/>
          </w:rPr>
          <w:fldChar w:fldCharType="end"/>
        </w:r>
      </w:p>
    </w:sdtContent>
  </w:sdt>
  <w:p w:rsidR="009E5699" w:rsidRDefault="009E56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5699" w:rsidRDefault="009E5699" w:rsidP="009E5699">
      <w:pPr>
        <w:spacing w:after="0" w:line="240" w:lineRule="auto"/>
      </w:pPr>
      <w:r>
        <w:separator/>
      </w:r>
    </w:p>
  </w:footnote>
  <w:footnote w:type="continuationSeparator" w:id="0">
    <w:p w:rsidR="009E5699" w:rsidRDefault="009E5699" w:rsidP="009E56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8639B"/>
    <w:multiLevelType w:val="hybridMultilevel"/>
    <w:tmpl w:val="006C6AC8"/>
    <w:lvl w:ilvl="0" w:tplc="72A475A6">
      <w:start w:val="25"/>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E1A2C55"/>
    <w:multiLevelType w:val="hybridMultilevel"/>
    <w:tmpl w:val="D92AD9C4"/>
    <w:lvl w:ilvl="0" w:tplc="5888D7C2">
      <w:start w:val="1"/>
      <w:numFmt w:val="decimal"/>
      <w:lvlText w:val="(%1)"/>
      <w:lvlJc w:val="left"/>
      <w:pPr>
        <w:ind w:left="810" w:hanging="45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1180AC2"/>
    <w:multiLevelType w:val="hybridMultilevel"/>
    <w:tmpl w:val="027470F8"/>
    <w:lvl w:ilvl="0" w:tplc="D7E8A298">
      <w:start w:val="2020"/>
      <w:numFmt w:val="bullet"/>
      <w:lvlText w:val="-"/>
      <w:lvlJc w:val="left"/>
      <w:pPr>
        <w:ind w:left="720" w:hanging="360"/>
      </w:pPr>
      <w:rPr>
        <w:rFonts w:ascii="Calibri" w:eastAsia="Calibri" w:hAnsi="Calibri"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C70E7C"/>
    <w:multiLevelType w:val="hybridMultilevel"/>
    <w:tmpl w:val="BB6A4A7C"/>
    <w:lvl w:ilvl="0" w:tplc="E936673A">
      <w:start w:val="1"/>
      <w:numFmt w:val="decimal"/>
      <w:lvlText w:val="2.%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6D408A"/>
    <w:multiLevelType w:val="hybridMultilevel"/>
    <w:tmpl w:val="712E89CE"/>
    <w:lvl w:ilvl="0" w:tplc="08090013">
      <w:start w:val="1"/>
      <w:numFmt w:val="upperRoman"/>
      <w:lvlText w:val="%1."/>
      <w:lvlJc w:val="righ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9793AEA"/>
    <w:multiLevelType w:val="hybridMultilevel"/>
    <w:tmpl w:val="D5584F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36691322"/>
    <w:multiLevelType w:val="hybridMultilevel"/>
    <w:tmpl w:val="B2F610BE"/>
    <w:lvl w:ilvl="0" w:tplc="C1CE7C2A">
      <w:start w:val="2018"/>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3B3F2520"/>
    <w:multiLevelType w:val="hybridMultilevel"/>
    <w:tmpl w:val="858839CE"/>
    <w:lvl w:ilvl="0" w:tplc="AD867E80">
      <w:start w:val="1"/>
      <w:numFmt w:val="lowerLetter"/>
      <w:lvlText w:val="%1."/>
      <w:lvlJc w:val="righ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0F239C2"/>
    <w:multiLevelType w:val="hybridMultilevel"/>
    <w:tmpl w:val="0BE003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2F4436C"/>
    <w:multiLevelType w:val="hybridMultilevel"/>
    <w:tmpl w:val="AE7A0B80"/>
    <w:lvl w:ilvl="0" w:tplc="04130001">
      <w:start w:val="1"/>
      <w:numFmt w:val="bullet"/>
      <w:lvlText w:val=""/>
      <w:lvlJc w:val="left"/>
      <w:pPr>
        <w:ind w:left="768" w:hanging="360"/>
      </w:pPr>
      <w:rPr>
        <w:rFonts w:ascii="Symbol" w:hAnsi="Symbol" w:hint="default"/>
      </w:rPr>
    </w:lvl>
    <w:lvl w:ilvl="1" w:tplc="04130003" w:tentative="1">
      <w:start w:val="1"/>
      <w:numFmt w:val="bullet"/>
      <w:lvlText w:val="o"/>
      <w:lvlJc w:val="left"/>
      <w:pPr>
        <w:ind w:left="1488" w:hanging="360"/>
      </w:pPr>
      <w:rPr>
        <w:rFonts w:ascii="Courier New" w:hAnsi="Courier New" w:cs="Courier New" w:hint="default"/>
      </w:rPr>
    </w:lvl>
    <w:lvl w:ilvl="2" w:tplc="04130005" w:tentative="1">
      <w:start w:val="1"/>
      <w:numFmt w:val="bullet"/>
      <w:lvlText w:val=""/>
      <w:lvlJc w:val="left"/>
      <w:pPr>
        <w:ind w:left="2208" w:hanging="360"/>
      </w:pPr>
      <w:rPr>
        <w:rFonts w:ascii="Wingdings" w:hAnsi="Wingdings" w:hint="default"/>
      </w:rPr>
    </w:lvl>
    <w:lvl w:ilvl="3" w:tplc="04130001" w:tentative="1">
      <w:start w:val="1"/>
      <w:numFmt w:val="bullet"/>
      <w:lvlText w:val=""/>
      <w:lvlJc w:val="left"/>
      <w:pPr>
        <w:ind w:left="2928" w:hanging="360"/>
      </w:pPr>
      <w:rPr>
        <w:rFonts w:ascii="Symbol" w:hAnsi="Symbol" w:hint="default"/>
      </w:rPr>
    </w:lvl>
    <w:lvl w:ilvl="4" w:tplc="04130003" w:tentative="1">
      <w:start w:val="1"/>
      <w:numFmt w:val="bullet"/>
      <w:lvlText w:val="o"/>
      <w:lvlJc w:val="left"/>
      <w:pPr>
        <w:ind w:left="3648" w:hanging="360"/>
      </w:pPr>
      <w:rPr>
        <w:rFonts w:ascii="Courier New" w:hAnsi="Courier New" w:cs="Courier New" w:hint="default"/>
      </w:rPr>
    </w:lvl>
    <w:lvl w:ilvl="5" w:tplc="04130005" w:tentative="1">
      <w:start w:val="1"/>
      <w:numFmt w:val="bullet"/>
      <w:lvlText w:val=""/>
      <w:lvlJc w:val="left"/>
      <w:pPr>
        <w:ind w:left="4368" w:hanging="360"/>
      </w:pPr>
      <w:rPr>
        <w:rFonts w:ascii="Wingdings" w:hAnsi="Wingdings" w:hint="default"/>
      </w:rPr>
    </w:lvl>
    <w:lvl w:ilvl="6" w:tplc="04130001" w:tentative="1">
      <w:start w:val="1"/>
      <w:numFmt w:val="bullet"/>
      <w:lvlText w:val=""/>
      <w:lvlJc w:val="left"/>
      <w:pPr>
        <w:ind w:left="5088" w:hanging="360"/>
      </w:pPr>
      <w:rPr>
        <w:rFonts w:ascii="Symbol" w:hAnsi="Symbol" w:hint="default"/>
      </w:rPr>
    </w:lvl>
    <w:lvl w:ilvl="7" w:tplc="04130003" w:tentative="1">
      <w:start w:val="1"/>
      <w:numFmt w:val="bullet"/>
      <w:lvlText w:val="o"/>
      <w:lvlJc w:val="left"/>
      <w:pPr>
        <w:ind w:left="5808" w:hanging="360"/>
      </w:pPr>
      <w:rPr>
        <w:rFonts w:ascii="Courier New" w:hAnsi="Courier New" w:cs="Courier New" w:hint="default"/>
      </w:rPr>
    </w:lvl>
    <w:lvl w:ilvl="8" w:tplc="04130005" w:tentative="1">
      <w:start w:val="1"/>
      <w:numFmt w:val="bullet"/>
      <w:lvlText w:val=""/>
      <w:lvlJc w:val="left"/>
      <w:pPr>
        <w:ind w:left="6528" w:hanging="360"/>
      </w:pPr>
      <w:rPr>
        <w:rFonts w:ascii="Wingdings" w:hAnsi="Wingdings" w:hint="default"/>
      </w:rPr>
    </w:lvl>
  </w:abstractNum>
  <w:abstractNum w:abstractNumId="10">
    <w:nsid w:val="444E3118"/>
    <w:multiLevelType w:val="hybridMultilevel"/>
    <w:tmpl w:val="E28CBCAA"/>
    <w:lvl w:ilvl="0" w:tplc="040C0017">
      <w:start w:val="1"/>
      <w:numFmt w:val="lowerLetter"/>
      <w:lvlText w:val="%1)"/>
      <w:lvlJc w:val="left"/>
      <w:pPr>
        <w:ind w:left="720" w:hanging="360"/>
      </w:pPr>
      <w:rPr>
        <w:lang w:val="en-GB"/>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56C45C93"/>
    <w:multiLevelType w:val="hybridMultilevel"/>
    <w:tmpl w:val="CD3281D4"/>
    <w:lvl w:ilvl="0" w:tplc="485C80DC">
      <w:start w:val="1"/>
      <w:numFmt w:val="decimal"/>
      <w:pStyle w:val="ListParagrap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DF1359E"/>
    <w:multiLevelType w:val="hybridMultilevel"/>
    <w:tmpl w:val="A934C5E0"/>
    <w:lvl w:ilvl="0" w:tplc="5888D7C2">
      <w:start w:val="1"/>
      <w:numFmt w:val="decimal"/>
      <w:lvlText w:val="(%1)"/>
      <w:lvlJc w:val="left"/>
      <w:pPr>
        <w:ind w:left="810" w:hanging="45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E232A79"/>
    <w:multiLevelType w:val="hybridMultilevel"/>
    <w:tmpl w:val="3B30E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9C757DD"/>
    <w:multiLevelType w:val="hybridMultilevel"/>
    <w:tmpl w:val="525295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71FD38A5"/>
    <w:multiLevelType w:val="hybridMultilevel"/>
    <w:tmpl w:val="A86EF8B8"/>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6">
    <w:nsid w:val="797602B4"/>
    <w:multiLevelType w:val="hybridMultilevel"/>
    <w:tmpl w:val="9F806962"/>
    <w:lvl w:ilvl="0" w:tplc="5492EFB8">
      <w:start w:val="1"/>
      <w:numFmt w:val="bullet"/>
      <w:lvlText w:val="-"/>
      <w:lvlJc w:val="left"/>
      <w:pPr>
        <w:ind w:left="720" w:hanging="360"/>
      </w:pPr>
      <w:rPr>
        <w:rFonts w:ascii="Stencil" w:hAnsi="Stenci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B274DBB"/>
    <w:multiLevelType w:val="hybridMultilevel"/>
    <w:tmpl w:val="DD9EB9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7C1F0F25"/>
    <w:multiLevelType w:val="hybridMultilevel"/>
    <w:tmpl w:val="78387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5"/>
  </w:num>
  <w:num w:numId="3">
    <w:abstractNumId w:val="2"/>
  </w:num>
  <w:num w:numId="4">
    <w:abstractNumId w:val="3"/>
  </w:num>
  <w:num w:numId="5">
    <w:abstractNumId w:val="8"/>
  </w:num>
  <w:num w:numId="6">
    <w:abstractNumId w:val="1"/>
  </w:num>
  <w:num w:numId="7">
    <w:abstractNumId w:val="12"/>
  </w:num>
  <w:num w:numId="8">
    <w:abstractNumId w:val="4"/>
  </w:num>
  <w:num w:numId="9">
    <w:abstractNumId w:val="18"/>
  </w:num>
  <w:num w:numId="10">
    <w:abstractNumId w:val="13"/>
  </w:num>
  <w:num w:numId="11">
    <w:abstractNumId w:val="16"/>
  </w:num>
  <w:num w:numId="12">
    <w:abstractNumId w:val="7"/>
  </w:num>
  <w:num w:numId="13">
    <w:abstractNumId w:val="6"/>
  </w:num>
  <w:num w:numId="14">
    <w:abstractNumId w:val="0"/>
  </w:num>
  <w:num w:numId="15">
    <w:abstractNumId w:val="10"/>
  </w:num>
  <w:num w:numId="16">
    <w:abstractNumId w:val="5"/>
  </w:num>
  <w:num w:numId="17">
    <w:abstractNumId w:val="17"/>
  </w:num>
  <w:num w:numId="18">
    <w:abstractNumId w:val="9"/>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87E"/>
    <w:rsid w:val="001B00FC"/>
    <w:rsid w:val="002B5EB7"/>
    <w:rsid w:val="004271AB"/>
    <w:rsid w:val="004E21E2"/>
    <w:rsid w:val="00563F83"/>
    <w:rsid w:val="006B287E"/>
    <w:rsid w:val="008430F8"/>
    <w:rsid w:val="009030AF"/>
    <w:rsid w:val="00994798"/>
    <w:rsid w:val="009E5699"/>
    <w:rsid w:val="00A92F88"/>
    <w:rsid w:val="00B43FAB"/>
    <w:rsid w:val="00B90515"/>
    <w:rsid w:val="00C668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87E"/>
    <w:pPr>
      <w:spacing w:after="12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287E"/>
    <w:pPr>
      <w:numPr>
        <w:numId w:val="1"/>
      </w:numPr>
      <w:tabs>
        <w:tab w:val="left" w:pos="567"/>
      </w:tabs>
      <w:spacing w:before="120"/>
      <w:ind w:left="0" w:firstLine="0"/>
    </w:pPr>
    <w:rPr>
      <w:rFonts w:cs="Arial"/>
    </w:rPr>
  </w:style>
  <w:style w:type="character" w:styleId="Hyperlink">
    <w:name w:val="Hyperlink"/>
    <w:uiPriority w:val="99"/>
    <w:rsid w:val="006B287E"/>
    <w:rPr>
      <w:rFonts w:ascii="Arial" w:hAnsi="Arial"/>
      <w:color w:val="16288E"/>
      <w:u w:val="none"/>
    </w:rPr>
  </w:style>
  <w:style w:type="paragraph" w:customStyle="1" w:styleId="MediumGrid1-Accent21">
    <w:name w:val="Medium Grid 1 - Accent 21"/>
    <w:basedOn w:val="Normal"/>
    <w:uiPriority w:val="34"/>
    <w:qFormat/>
    <w:rsid w:val="006B287E"/>
    <w:pPr>
      <w:tabs>
        <w:tab w:val="left" w:pos="567"/>
      </w:tabs>
      <w:spacing w:before="120"/>
    </w:pPr>
    <w:rPr>
      <w:rFonts w:ascii="Calibri" w:eastAsia="Calibri" w:hAnsi="Calibri" w:cs="Arial"/>
    </w:rPr>
  </w:style>
  <w:style w:type="character" w:customStyle="1" w:styleId="Kleurrijkelijst-accent1Char">
    <w:name w:val="Kleurrijke lijst - accent 1 Char"/>
    <w:link w:val="Kleurrijkelijst-accent11"/>
    <w:uiPriority w:val="34"/>
    <w:locked/>
    <w:rsid w:val="006B287E"/>
    <w:rPr>
      <w:rFonts w:ascii="Calibri" w:eastAsia="Calibri" w:hAnsi="Calibri"/>
      <w:lang w:val="en-US"/>
    </w:rPr>
  </w:style>
  <w:style w:type="paragraph" w:customStyle="1" w:styleId="Kleurrijkelijst-accent11">
    <w:name w:val="Kleurrijke lijst - accent 11"/>
    <w:basedOn w:val="Normal"/>
    <w:link w:val="Kleurrijkelijst-accent1Char"/>
    <w:uiPriority w:val="34"/>
    <w:qFormat/>
    <w:rsid w:val="006B287E"/>
    <w:pPr>
      <w:spacing w:after="200"/>
      <w:ind w:left="720"/>
      <w:contextualSpacing/>
      <w:jc w:val="left"/>
    </w:pPr>
    <w:rPr>
      <w:rFonts w:ascii="Calibri" w:eastAsia="Calibri" w:hAnsi="Calibri"/>
      <w:lang w:val="en-US"/>
    </w:rPr>
  </w:style>
  <w:style w:type="character" w:customStyle="1" w:styleId="ListParagraphChar">
    <w:name w:val="List Paragraph Char"/>
    <w:basedOn w:val="DefaultParagraphFont"/>
    <w:link w:val="ListParagraph"/>
    <w:uiPriority w:val="99"/>
    <w:qFormat/>
    <w:locked/>
    <w:rsid w:val="006B287E"/>
    <w:rPr>
      <w:rFonts w:cs="Arial"/>
    </w:rPr>
  </w:style>
  <w:style w:type="paragraph" w:styleId="BalloonText">
    <w:name w:val="Balloon Text"/>
    <w:basedOn w:val="Normal"/>
    <w:link w:val="BalloonTextChar"/>
    <w:uiPriority w:val="99"/>
    <w:semiHidden/>
    <w:unhideWhenUsed/>
    <w:rsid w:val="009E56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5699"/>
    <w:rPr>
      <w:rFonts w:ascii="Tahoma" w:hAnsi="Tahoma" w:cs="Tahoma"/>
      <w:sz w:val="16"/>
      <w:szCs w:val="16"/>
    </w:rPr>
  </w:style>
  <w:style w:type="paragraph" w:styleId="Header">
    <w:name w:val="header"/>
    <w:basedOn w:val="Normal"/>
    <w:link w:val="HeaderChar"/>
    <w:uiPriority w:val="99"/>
    <w:unhideWhenUsed/>
    <w:rsid w:val="009E56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5699"/>
  </w:style>
  <w:style w:type="paragraph" w:styleId="Footer">
    <w:name w:val="footer"/>
    <w:aliases w:val="Footer1"/>
    <w:basedOn w:val="Normal"/>
    <w:link w:val="FooterChar"/>
    <w:uiPriority w:val="99"/>
    <w:unhideWhenUsed/>
    <w:rsid w:val="009E5699"/>
    <w:pPr>
      <w:tabs>
        <w:tab w:val="center" w:pos="4513"/>
        <w:tab w:val="right" w:pos="9026"/>
      </w:tabs>
      <w:spacing w:after="0" w:line="240" w:lineRule="auto"/>
    </w:pPr>
  </w:style>
  <w:style w:type="character" w:customStyle="1" w:styleId="FooterChar">
    <w:name w:val="Footer Char"/>
    <w:aliases w:val="Footer1 Char"/>
    <w:basedOn w:val="DefaultParagraphFont"/>
    <w:link w:val="Footer"/>
    <w:uiPriority w:val="99"/>
    <w:rsid w:val="009E5699"/>
  </w:style>
  <w:style w:type="paragraph" w:styleId="Title">
    <w:name w:val="Title"/>
    <w:basedOn w:val="Normal"/>
    <w:link w:val="TitleChar"/>
    <w:qFormat/>
    <w:rsid w:val="00994798"/>
    <w:pPr>
      <w:spacing w:before="240" w:after="240"/>
      <w:outlineLvl w:val="0"/>
    </w:pPr>
    <w:rPr>
      <w:rFonts w:ascii="Calibri" w:hAnsi="Calibri" w:cs="Arial"/>
      <w:kern w:val="28"/>
      <w:sz w:val="40"/>
    </w:rPr>
  </w:style>
  <w:style w:type="character" w:customStyle="1" w:styleId="TitleChar">
    <w:name w:val="Title Char"/>
    <w:basedOn w:val="DefaultParagraphFont"/>
    <w:link w:val="Title"/>
    <w:rsid w:val="00994798"/>
    <w:rPr>
      <w:rFonts w:ascii="Calibri" w:hAnsi="Calibri" w:cs="Arial"/>
      <w:kern w:val="28"/>
      <w:sz w:val="40"/>
    </w:rPr>
  </w:style>
  <w:style w:type="paragraph" w:styleId="BodyText">
    <w:name w:val="Body Text"/>
    <w:basedOn w:val="Normal"/>
    <w:link w:val="BodyTextChar"/>
    <w:uiPriority w:val="99"/>
    <w:semiHidden/>
    <w:unhideWhenUsed/>
    <w:rsid w:val="00994798"/>
  </w:style>
  <w:style w:type="character" w:customStyle="1" w:styleId="BodyTextChar">
    <w:name w:val="Body Text Char"/>
    <w:basedOn w:val="DefaultParagraphFont"/>
    <w:link w:val="BodyText"/>
    <w:uiPriority w:val="99"/>
    <w:semiHidden/>
    <w:rsid w:val="00994798"/>
  </w:style>
  <w:style w:type="paragraph" w:styleId="FootnoteText">
    <w:name w:val="footnote text"/>
    <w:basedOn w:val="Normal"/>
    <w:link w:val="FootnoteTextChar"/>
    <w:rsid w:val="00994798"/>
    <w:pPr>
      <w:tabs>
        <w:tab w:val="left" w:pos="567"/>
        <w:tab w:val="left" w:pos="1134"/>
        <w:tab w:val="left" w:pos="1701"/>
        <w:tab w:val="left" w:pos="2268"/>
      </w:tabs>
      <w:spacing w:line="240" w:lineRule="auto"/>
      <w:jc w:val="left"/>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uiPriority w:val="99"/>
    <w:rsid w:val="00994798"/>
    <w:rPr>
      <w:rFonts w:ascii="Times New Roman" w:eastAsia="Times New Roman" w:hAnsi="Times New Roman" w:cs="Times New Roman"/>
      <w:sz w:val="20"/>
      <w:szCs w:val="20"/>
      <w:lang w:eastAsia="en-GB"/>
    </w:rPr>
  </w:style>
  <w:style w:type="character" w:styleId="FootnoteReference">
    <w:name w:val="footnote reference"/>
    <w:rsid w:val="00994798"/>
    <w:rPr>
      <w:vertAlign w:val="superscript"/>
    </w:rPr>
  </w:style>
  <w:style w:type="character" w:styleId="PageNumber">
    <w:name w:val="page number"/>
    <w:basedOn w:val="DefaultParagraphFont"/>
    <w:rsid w:val="002B5EB7"/>
  </w:style>
  <w:style w:type="table" w:styleId="TableGrid">
    <w:name w:val="Table Grid"/>
    <w:basedOn w:val="TableNormal"/>
    <w:uiPriority w:val="59"/>
    <w:rsid w:val="002B5E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87E"/>
    <w:pPr>
      <w:spacing w:after="12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287E"/>
    <w:pPr>
      <w:numPr>
        <w:numId w:val="1"/>
      </w:numPr>
      <w:tabs>
        <w:tab w:val="left" w:pos="567"/>
      </w:tabs>
      <w:spacing w:before="120"/>
      <w:ind w:left="0" w:firstLine="0"/>
    </w:pPr>
    <w:rPr>
      <w:rFonts w:cs="Arial"/>
    </w:rPr>
  </w:style>
  <w:style w:type="character" w:styleId="Hyperlink">
    <w:name w:val="Hyperlink"/>
    <w:uiPriority w:val="99"/>
    <w:rsid w:val="006B287E"/>
    <w:rPr>
      <w:rFonts w:ascii="Arial" w:hAnsi="Arial"/>
      <w:color w:val="16288E"/>
      <w:u w:val="none"/>
    </w:rPr>
  </w:style>
  <w:style w:type="paragraph" w:customStyle="1" w:styleId="MediumGrid1-Accent21">
    <w:name w:val="Medium Grid 1 - Accent 21"/>
    <w:basedOn w:val="Normal"/>
    <w:uiPriority w:val="34"/>
    <w:qFormat/>
    <w:rsid w:val="006B287E"/>
    <w:pPr>
      <w:tabs>
        <w:tab w:val="left" w:pos="567"/>
      </w:tabs>
      <w:spacing w:before="120"/>
    </w:pPr>
    <w:rPr>
      <w:rFonts w:ascii="Calibri" w:eastAsia="Calibri" w:hAnsi="Calibri" w:cs="Arial"/>
    </w:rPr>
  </w:style>
  <w:style w:type="character" w:customStyle="1" w:styleId="Kleurrijkelijst-accent1Char">
    <w:name w:val="Kleurrijke lijst - accent 1 Char"/>
    <w:link w:val="Kleurrijkelijst-accent11"/>
    <w:uiPriority w:val="34"/>
    <w:locked/>
    <w:rsid w:val="006B287E"/>
    <w:rPr>
      <w:rFonts w:ascii="Calibri" w:eastAsia="Calibri" w:hAnsi="Calibri"/>
      <w:lang w:val="en-US"/>
    </w:rPr>
  </w:style>
  <w:style w:type="paragraph" w:customStyle="1" w:styleId="Kleurrijkelijst-accent11">
    <w:name w:val="Kleurrijke lijst - accent 11"/>
    <w:basedOn w:val="Normal"/>
    <w:link w:val="Kleurrijkelijst-accent1Char"/>
    <w:uiPriority w:val="34"/>
    <w:qFormat/>
    <w:rsid w:val="006B287E"/>
    <w:pPr>
      <w:spacing w:after="200"/>
      <w:ind w:left="720"/>
      <w:contextualSpacing/>
      <w:jc w:val="left"/>
    </w:pPr>
    <w:rPr>
      <w:rFonts w:ascii="Calibri" w:eastAsia="Calibri" w:hAnsi="Calibri"/>
      <w:lang w:val="en-US"/>
    </w:rPr>
  </w:style>
  <w:style w:type="character" w:customStyle="1" w:styleId="ListParagraphChar">
    <w:name w:val="List Paragraph Char"/>
    <w:basedOn w:val="DefaultParagraphFont"/>
    <w:link w:val="ListParagraph"/>
    <w:uiPriority w:val="99"/>
    <w:qFormat/>
    <w:locked/>
    <w:rsid w:val="006B287E"/>
    <w:rPr>
      <w:rFonts w:cs="Arial"/>
    </w:rPr>
  </w:style>
  <w:style w:type="paragraph" w:styleId="BalloonText">
    <w:name w:val="Balloon Text"/>
    <w:basedOn w:val="Normal"/>
    <w:link w:val="BalloonTextChar"/>
    <w:uiPriority w:val="99"/>
    <w:semiHidden/>
    <w:unhideWhenUsed/>
    <w:rsid w:val="009E56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5699"/>
    <w:rPr>
      <w:rFonts w:ascii="Tahoma" w:hAnsi="Tahoma" w:cs="Tahoma"/>
      <w:sz w:val="16"/>
      <w:szCs w:val="16"/>
    </w:rPr>
  </w:style>
  <w:style w:type="paragraph" w:styleId="Header">
    <w:name w:val="header"/>
    <w:basedOn w:val="Normal"/>
    <w:link w:val="HeaderChar"/>
    <w:uiPriority w:val="99"/>
    <w:unhideWhenUsed/>
    <w:rsid w:val="009E56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5699"/>
  </w:style>
  <w:style w:type="paragraph" w:styleId="Footer">
    <w:name w:val="footer"/>
    <w:aliases w:val="Footer1"/>
    <w:basedOn w:val="Normal"/>
    <w:link w:val="FooterChar"/>
    <w:uiPriority w:val="99"/>
    <w:unhideWhenUsed/>
    <w:rsid w:val="009E5699"/>
    <w:pPr>
      <w:tabs>
        <w:tab w:val="center" w:pos="4513"/>
        <w:tab w:val="right" w:pos="9026"/>
      </w:tabs>
      <w:spacing w:after="0" w:line="240" w:lineRule="auto"/>
    </w:pPr>
  </w:style>
  <w:style w:type="character" w:customStyle="1" w:styleId="FooterChar">
    <w:name w:val="Footer Char"/>
    <w:aliases w:val="Footer1 Char"/>
    <w:basedOn w:val="DefaultParagraphFont"/>
    <w:link w:val="Footer"/>
    <w:uiPriority w:val="99"/>
    <w:rsid w:val="009E5699"/>
  </w:style>
  <w:style w:type="paragraph" w:styleId="Title">
    <w:name w:val="Title"/>
    <w:basedOn w:val="Normal"/>
    <w:link w:val="TitleChar"/>
    <w:qFormat/>
    <w:rsid w:val="00994798"/>
    <w:pPr>
      <w:spacing w:before="240" w:after="240"/>
      <w:outlineLvl w:val="0"/>
    </w:pPr>
    <w:rPr>
      <w:rFonts w:ascii="Calibri" w:hAnsi="Calibri" w:cs="Arial"/>
      <w:kern w:val="28"/>
      <w:sz w:val="40"/>
    </w:rPr>
  </w:style>
  <w:style w:type="character" w:customStyle="1" w:styleId="TitleChar">
    <w:name w:val="Title Char"/>
    <w:basedOn w:val="DefaultParagraphFont"/>
    <w:link w:val="Title"/>
    <w:rsid w:val="00994798"/>
    <w:rPr>
      <w:rFonts w:ascii="Calibri" w:hAnsi="Calibri" w:cs="Arial"/>
      <w:kern w:val="28"/>
      <w:sz w:val="40"/>
    </w:rPr>
  </w:style>
  <w:style w:type="paragraph" w:styleId="BodyText">
    <w:name w:val="Body Text"/>
    <w:basedOn w:val="Normal"/>
    <w:link w:val="BodyTextChar"/>
    <w:uiPriority w:val="99"/>
    <w:semiHidden/>
    <w:unhideWhenUsed/>
    <w:rsid w:val="00994798"/>
  </w:style>
  <w:style w:type="character" w:customStyle="1" w:styleId="BodyTextChar">
    <w:name w:val="Body Text Char"/>
    <w:basedOn w:val="DefaultParagraphFont"/>
    <w:link w:val="BodyText"/>
    <w:uiPriority w:val="99"/>
    <w:semiHidden/>
    <w:rsid w:val="00994798"/>
  </w:style>
  <w:style w:type="paragraph" w:styleId="FootnoteText">
    <w:name w:val="footnote text"/>
    <w:basedOn w:val="Normal"/>
    <w:link w:val="FootnoteTextChar"/>
    <w:rsid w:val="00994798"/>
    <w:pPr>
      <w:tabs>
        <w:tab w:val="left" w:pos="567"/>
        <w:tab w:val="left" w:pos="1134"/>
        <w:tab w:val="left" w:pos="1701"/>
        <w:tab w:val="left" w:pos="2268"/>
      </w:tabs>
      <w:spacing w:line="240" w:lineRule="auto"/>
      <w:jc w:val="left"/>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uiPriority w:val="99"/>
    <w:rsid w:val="00994798"/>
    <w:rPr>
      <w:rFonts w:ascii="Times New Roman" w:eastAsia="Times New Roman" w:hAnsi="Times New Roman" w:cs="Times New Roman"/>
      <w:sz w:val="20"/>
      <w:szCs w:val="20"/>
      <w:lang w:eastAsia="en-GB"/>
    </w:rPr>
  </w:style>
  <w:style w:type="character" w:styleId="FootnoteReference">
    <w:name w:val="footnote reference"/>
    <w:rsid w:val="00994798"/>
    <w:rPr>
      <w:vertAlign w:val="superscript"/>
    </w:rPr>
  </w:style>
  <w:style w:type="character" w:styleId="PageNumber">
    <w:name w:val="page number"/>
    <w:basedOn w:val="DefaultParagraphFont"/>
    <w:rsid w:val="002B5EB7"/>
  </w:style>
  <w:style w:type="table" w:styleId="TableGrid">
    <w:name w:val="Table Grid"/>
    <w:basedOn w:val="TableNormal"/>
    <w:uiPriority w:val="59"/>
    <w:rsid w:val="002B5E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1014</Words>
  <Characters>5783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 Ritchie</dc:creator>
  <cp:lastModifiedBy>Lucy Ritchie</cp:lastModifiedBy>
  <cp:revision>3</cp:revision>
  <cp:lastPrinted>2018-06-13T10:32:00Z</cp:lastPrinted>
  <dcterms:created xsi:type="dcterms:W3CDTF">2018-06-13T10:34:00Z</dcterms:created>
  <dcterms:modified xsi:type="dcterms:W3CDTF">2018-06-13T10:39:00Z</dcterms:modified>
</cp:coreProperties>
</file>