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47A26" w:rsidRPr="00F55096" w14:paraId="612C93E0" w14:textId="77777777" w:rsidTr="004C6287">
        <w:tc>
          <w:tcPr>
            <w:tcW w:w="4814" w:type="dxa"/>
          </w:tcPr>
          <w:p w14:paraId="24AA643F" w14:textId="77777777" w:rsidR="00747A26" w:rsidRPr="00F55096" w:rsidRDefault="00747A26" w:rsidP="004C6287">
            <w:pPr>
              <w:pStyle w:val="Title"/>
            </w:pPr>
            <w:r w:rsidRPr="00F55096">
              <w:rPr>
                <w:noProof/>
              </w:rPr>
              <w:drawing>
                <wp:inline distT="0" distB="0" distL="0" distR="0" wp14:anchorId="56321FCF" wp14:editId="5BFB1EBD">
                  <wp:extent cx="2321840" cy="866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233" cy="870282"/>
                          </a:xfrm>
                          <a:prstGeom prst="rect">
                            <a:avLst/>
                          </a:prstGeom>
                          <a:noFill/>
                          <a:ln>
                            <a:noFill/>
                          </a:ln>
                        </pic:spPr>
                      </pic:pic>
                    </a:graphicData>
                  </a:graphic>
                </wp:inline>
              </w:drawing>
            </w:r>
          </w:p>
        </w:tc>
        <w:tc>
          <w:tcPr>
            <w:tcW w:w="4814" w:type="dxa"/>
          </w:tcPr>
          <w:p w14:paraId="37D49895" w14:textId="4A50C502" w:rsidR="00747A26" w:rsidRPr="00F55096" w:rsidRDefault="00747A26" w:rsidP="004C6287">
            <w:pPr>
              <w:pStyle w:val="Title"/>
            </w:pPr>
            <w:r w:rsidRPr="00F55096">
              <w:rPr>
                <w:noProof/>
              </w:rPr>
              <w:drawing>
                <wp:anchor distT="0" distB="0" distL="114300" distR="114300" simplePos="0" relativeHeight="251660288" behindDoc="0" locked="0" layoutInCell="1" allowOverlap="1" wp14:anchorId="38A21082" wp14:editId="1DAE8A96">
                  <wp:simplePos x="0" y="0"/>
                  <wp:positionH relativeFrom="column">
                    <wp:posOffset>1559560</wp:posOffset>
                  </wp:positionH>
                  <wp:positionV relativeFrom="paragraph">
                    <wp:posOffset>401955</wp:posOffset>
                  </wp:positionV>
                  <wp:extent cx="1345565" cy="403670"/>
                  <wp:effectExtent l="0" t="0" r="6985" b="0"/>
                  <wp:wrapThrough wrapText="bothSides">
                    <wp:wrapPolygon edited="0">
                      <wp:start x="1223" y="0"/>
                      <wp:lineTo x="0" y="4082"/>
                      <wp:lineTo x="0" y="17348"/>
                      <wp:lineTo x="1223" y="20409"/>
                      <wp:lineTo x="4893" y="20409"/>
                      <wp:lineTo x="17431" y="17348"/>
                      <wp:lineTo x="17431" y="16328"/>
                      <wp:lineTo x="21406" y="8164"/>
                      <wp:lineTo x="21406" y="2041"/>
                      <wp:lineTo x="4893" y="0"/>
                      <wp:lineTo x="122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65" cy="403670"/>
                          </a:xfrm>
                          <a:prstGeom prst="rect">
                            <a:avLst/>
                          </a:prstGeom>
                          <a:noFill/>
                          <a:ln>
                            <a:noFill/>
                          </a:ln>
                        </pic:spPr>
                      </pic:pic>
                    </a:graphicData>
                  </a:graphic>
                </wp:anchor>
              </w:drawing>
            </w:r>
          </w:p>
          <w:p w14:paraId="71EE61D8" w14:textId="06962D34" w:rsidR="00747A26" w:rsidRPr="00F55096" w:rsidRDefault="00747A26" w:rsidP="004C6287">
            <w:pPr>
              <w:pStyle w:val="Title"/>
            </w:pPr>
          </w:p>
        </w:tc>
      </w:tr>
    </w:tbl>
    <w:p w14:paraId="730BC928" w14:textId="4EE4A611" w:rsidR="00312B9E" w:rsidRPr="00A16B0C" w:rsidRDefault="00A16B0C" w:rsidP="00312B9E">
      <w:pPr>
        <w:pStyle w:val="Title"/>
        <w:pBdr>
          <w:top w:val="single" w:sz="4" w:space="1" w:color="auto"/>
          <w:left w:val="single" w:sz="4" w:space="4" w:color="auto"/>
          <w:bottom w:val="single" w:sz="4" w:space="1" w:color="auto"/>
          <w:right w:val="single" w:sz="4" w:space="4" w:color="auto"/>
        </w:pBdr>
        <w:jc w:val="center"/>
        <w:rPr>
          <w:b/>
          <w:bCs/>
          <w:sz w:val="24"/>
          <w:szCs w:val="24"/>
        </w:rPr>
      </w:pPr>
      <w:r w:rsidRPr="00A16B0C">
        <w:rPr>
          <w:b/>
          <w:bCs/>
          <w:sz w:val="24"/>
          <w:szCs w:val="24"/>
          <w:highlight w:val="yellow"/>
        </w:rPr>
        <w:t>P</w:t>
      </w:r>
      <w:r w:rsidR="00312B9E" w:rsidRPr="00A16B0C">
        <w:rPr>
          <w:b/>
          <w:bCs/>
          <w:sz w:val="24"/>
          <w:szCs w:val="24"/>
          <w:highlight w:val="yellow"/>
        </w:rPr>
        <w:t xml:space="preserve">lease consult the </w:t>
      </w:r>
      <w:hyperlink r:id="rId9" w:history="1">
        <w:r w:rsidR="00312B9E" w:rsidRPr="00F57B47">
          <w:rPr>
            <w:rStyle w:val="Hyperlink"/>
            <w:b/>
            <w:bCs/>
            <w:sz w:val="24"/>
            <w:szCs w:val="24"/>
            <w:highlight w:val="yellow"/>
          </w:rPr>
          <w:t>associated guidance document</w:t>
        </w:r>
      </w:hyperlink>
      <w:r w:rsidR="00312B9E" w:rsidRPr="00A16B0C">
        <w:rPr>
          <w:b/>
          <w:bCs/>
          <w:sz w:val="24"/>
          <w:szCs w:val="24"/>
          <w:highlight w:val="yellow"/>
        </w:rPr>
        <w:t xml:space="preserve"> </w:t>
      </w:r>
      <w:r w:rsidRPr="00A16B0C">
        <w:rPr>
          <w:b/>
          <w:bCs/>
          <w:sz w:val="24"/>
          <w:szCs w:val="24"/>
          <w:highlight w:val="yellow"/>
        </w:rPr>
        <w:t>(</w:t>
      </w:r>
      <w:r w:rsidR="00312B9E" w:rsidRPr="00A16B0C">
        <w:rPr>
          <w:b/>
          <w:bCs/>
          <w:sz w:val="24"/>
          <w:szCs w:val="24"/>
          <w:highlight w:val="yellow"/>
        </w:rPr>
        <w:t>updated 25/05/2021</w:t>
      </w:r>
      <w:r w:rsidRPr="00A16B0C">
        <w:rPr>
          <w:b/>
          <w:bCs/>
          <w:sz w:val="24"/>
          <w:szCs w:val="24"/>
          <w:highlight w:val="yellow"/>
        </w:rPr>
        <w:t>) for more information on how to populate this template and associated content, including all the elements of the DAPSIR framework, the Bow</w:t>
      </w:r>
      <w:r>
        <w:rPr>
          <w:b/>
          <w:bCs/>
          <w:sz w:val="24"/>
          <w:szCs w:val="24"/>
          <w:highlight w:val="yellow"/>
        </w:rPr>
        <w:t>-</w:t>
      </w:r>
      <w:r w:rsidRPr="00A16B0C">
        <w:rPr>
          <w:b/>
          <w:bCs/>
          <w:sz w:val="24"/>
          <w:szCs w:val="24"/>
          <w:highlight w:val="yellow"/>
        </w:rPr>
        <w:t>Tie Analysis, and the section on climate change.</w:t>
      </w:r>
    </w:p>
    <w:p w14:paraId="0631F4AF" w14:textId="1F574C03" w:rsidR="00747A26" w:rsidRPr="00F55096" w:rsidRDefault="00747A26" w:rsidP="00747A26">
      <w:pPr>
        <w:pStyle w:val="Title"/>
      </w:pPr>
      <w:r w:rsidRPr="00F55096">
        <w:t>QSR template for Thematic Assessments</w:t>
      </w:r>
    </w:p>
    <w:p w14:paraId="45849E2A" w14:textId="77777777" w:rsidR="00747A26" w:rsidRPr="00F55096" w:rsidRDefault="00747A26" w:rsidP="00A16B0C">
      <w:pPr>
        <w:pStyle w:val="Heading1"/>
        <w:spacing w:before="0"/>
      </w:pPr>
      <w:r w:rsidRPr="00F55096">
        <w:t>Submitting thematic assessment material</w:t>
      </w:r>
    </w:p>
    <w:p w14:paraId="0BB47AC4" w14:textId="77777777" w:rsidR="00747A26" w:rsidRPr="00F55096" w:rsidRDefault="00747A26" w:rsidP="00747A26">
      <w:pPr>
        <w:spacing w:after="120" w:line="280" w:lineRule="atLeast"/>
        <w:rPr>
          <w:szCs w:val="22"/>
        </w:rPr>
      </w:pPr>
      <w:r w:rsidRPr="00F55096">
        <w:rPr>
          <w:szCs w:val="22"/>
        </w:rPr>
        <w:t xml:space="preserve">In order to assist the Secretariat in producing the online layout of the thematic assessment, information should be submitted in the following </w:t>
      </w:r>
      <w:r w:rsidRPr="00F55096">
        <w:rPr>
          <w:b/>
          <w:szCs w:val="22"/>
        </w:rPr>
        <w:t>MS Word</w:t>
      </w:r>
      <w:r w:rsidRPr="00F55096">
        <w:rPr>
          <w:szCs w:val="22"/>
        </w:rPr>
        <w:t xml:space="preserve"> document template. </w:t>
      </w:r>
    </w:p>
    <w:p w14:paraId="25D66BF3" w14:textId="77777777" w:rsidR="00747A26" w:rsidRPr="00F55096" w:rsidRDefault="00747A26" w:rsidP="00747A26">
      <w:pPr>
        <w:spacing w:after="120" w:line="280" w:lineRule="atLeast"/>
        <w:rPr>
          <w:szCs w:val="22"/>
        </w:rPr>
      </w:pPr>
      <w:bookmarkStart w:id="0" w:name="_Hlk53741126"/>
      <w:r w:rsidRPr="00F55096">
        <w:rPr>
          <w:szCs w:val="22"/>
        </w:rPr>
        <w:t xml:space="preserve">The thematic assessment template includes an </w:t>
      </w:r>
      <w:r w:rsidRPr="00F55096">
        <w:rPr>
          <w:b/>
          <w:bCs/>
          <w:szCs w:val="22"/>
        </w:rPr>
        <w:t>excel</w:t>
      </w:r>
      <w:r w:rsidRPr="00F55096">
        <w:rPr>
          <w:szCs w:val="22"/>
        </w:rPr>
        <w:t xml:space="preserve"> Addendum for summary results of relevance to those Contracting Parties that are also EU Member States. The addendum is to be completed by the thematic assessment experts and provided to the Secretariat. </w:t>
      </w:r>
      <w:bookmarkEnd w:id="0"/>
    </w:p>
    <w:p w14:paraId="2DF80C57" w14:textId="70E3E87D" w:rsidR="00747A26" w:rsidRDefault="00747A26" w:rsidP="00747A26">
      <w:pPr>
        <w:spacing w:after="120" w:line="280" w:lineRule="atLeast"/>
        <w:rPr>
          <w:szCs w:val="22"/>
        </w:rPr>
      </w:pPr>
    </w:p>
    <w:p w14:paraId="2C5940B2" w14:textId="77777777" w:rsidR="00312B9E" w:rsidRPr="00895B5E" w:rsidRDefault="00312B9E" w:rsidP="00312B9E">
      <w:pPr>
        <w:spacing w:after="120" w:line="280" w:lineRule="atLeast"/>
        <w:rPr>
          <w:b/>
          <w:bCs/>
        </w:rPr>
      </w:pPr>
      <w:r>
        <w:rPr>
          <w:b/>
          <w:bCs/>
          <w:noProof/>
        </w:rPr>
        <w:drawing>
          <wp:inline distT="0" distB="0" distL="0" distR="0" wp14:anchorId="44B0FD69" wp14:editId="54F67458">
            <wp:extent cx="6065520" cy="2696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3996" cy="2708872"/>
                    </a:xfrm>
                    <a:prstGeom prst="rect">
                      <a:avLst/>
                    </a:prstGeom>
                    <a:noFill/>
                  </pic:spPr>
                </pic:pic>
              </a:graphicData>
            </a:graphic>
          </wp:inline>
        </w:drawing>
      </w:r>
    </w:p>
    <w:p w14:paraId="47E7ABC2" w14:textId="0BDAB7CE" w:rsidR="00312B9E" w:rsidRPr="00312B9E" w:rsidRDefault="00312B9E" w:rsidP="00312B9E">
      <w:pPr>
        <w:spacing w:after="120" w:line="280" w:lineRule="atLeast"/>
        <w:rPr>
          <w:b/>
          <w:bCs/>
          <w:szCs w:val="22"/>
        </w:rPr>
      </w:pPr>
      <w:r w:rsidRPr="00895B5E">
        <w:rPr>
          <w:b/>
          <w:bCs/>
        </w:rPr>
        <w:t xml:space="preserve">Figure 1. Framework </w:t>
      </w:r>
      <w:r w:rsidRPr="00F55096">
        <w:rPr>
          <w:b/>
          <w:bCs/>
        </w:rPr>
        <w:t>to underpin thematic assessments</w:t>
      </w:r>
      <w:r>
        <w:rPr>
          <w:rStyle w:val="FootnoteReference"/>
          <w:b/>
          <w:bCs/>
        </w:rPr>
        <w:footnoteReference w:id="1"/>
      </w:r>
      <w:r w:rsidRPr="00F55096">
        <w:rPr>
          <w:b/>
          <w:bCs/>
        </w:rPr>
        <w:t>. This schema is compatible with the European Commission Staff Working Document DAPSES-MMM framework.</w:t>
      </w:r>
    </w:p>
    <w:p w14:paraId="7A34D5F9" w14:textId="58FFF872" w:rsidR="00747A26" w:rsidRPr="00F55096" w:rsidRDefault="00312B9E" w:rsidP="00312B9E">
      <w:pPr>
        <w:tabs>
          <w:tab w:val="clear" w:pos="720"/>
          <w:tab w:val="clear" w:pos="1440"/>
          <w:tab w:val="clear" w:pos="2160"/>
          <w:tab w:val="clear" w:pos="2880"/>
          <w:tab w:val="clear" w:pos="4680"/>
          <w:tab w:val="clear" w:pos="5400"/>
          <w:tab w:val="clear" w:pos="9000"/>
        </w:tabs>
        <w:spacing w:before="0" w:after="160" w:line="259" w:lineRule="auto"/>
        <w:rPr>
          <w:szCs w:val="22"/>
        </w:rPr>
      </w:pPr>
      <w:r>
        <w:rPr>
          <w:szCs w:val="22"/>
        </w:rPr>
        <w:t xml:space="preserve">The boxes </w:t>
      </w:r>
      <w:r w:rsidRPr="00212D33">
        <w:rPr>
          <w:szCs w:val="22"/>
          <w:u w:val="single"/>
        </w:rPr>
        <w:t>underlined</w:t>
      </w:r>
      <w:r>
        <w:rPr>
          <w:szCs w:val="22"/>
          <w:u w:val="single"/>
        </w:rPr>
        <w:t xml:space="preserve"> </w:t>
      </w:r>
      <w:r>
        <w:rPr>
          <w:szCs w:val="22"/>
        </w:rPr>
        <w:t>in Figure 1 correspond to DAPSIR elements or chapters that will have to be populated at the level of thematic assessment – see below.</w:t>
      </w:r>
    </w:p>
    <w:p w14:paraId="5B6890B4" w14:textId="77777777" w:rsidR="00747A26" w:rsidRPr="00F55096" w:rsidRDefault="00747A26" w:rsidP="00747A26">
      <w:pPr>
        <w:spacing w:after="120" w:line="280" w:lineRule="atLeast"/>
        <w:rPr>
          <w:sz w:val="28"/>
          <w:szCs w:val="28"/>
        </w:rPr>
      </w:pPr>
      <w:r w:rsidRPr="00F55096">
        <w:rPr>
          <w:sz w:val="28"/>
          <w:szCs w:val="28"/>
        </w:rPr>
        <w:lastRenderedPageBreak/>
        <w:t>Content</w:t>
      </w:r>
    </w:p>
    <w:tbl>
      <w:tblPr>
        <w:tblStyle w:val="TableGrid"/>
        <w:tblW w:w="0" w:type="auto"/>
        <w:tblLook w:val="04A0" w:firstRow="1" w:lastRow="0" w:firstColumn="1" w:lastColumn="0" w:noHBand="0" w:noVBand="1"/>
      </w:tblPr>
      <w:tblGrid>
        <w:gridCol w:w="2124"/>
        <w:gridCol w:w="7457"/>
      </w:tblGrid>
      <w:tr w:rsidR="00312B9E" w:rsidRPr="00F55096" w14:paraId="71C6F1F2" w14:textId="77777777" w:rsidTr="004C6287">
        <w:trPr>
          <w:trHeight w:val="806"/>
        </w:trPr>
        <w:tc>
          <w:tcPr>
            <w:tcW w:w="2124" w:type="dxa"/>
            <w:shd w:val="clear" w:color="auto" w:fill="A6A6A6" w:themeFill="background1" w:themeFillShade="A6"/>
          </w:tcPr>
          <w:p w14:paraId="55842879"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Field name</w:t>
            </w:r>
          </w:p>
        </w:tc>
        <w:tc>
          <w:tcPr>
            <w:tcW w:w="6798" w:type="dxa"/>
            <w:shd w:val="clear" w:color="auto" w:fill="A6A6A6" w:themeFill="background1" w:themeFillShade="A6"/>
          </w:tcPr>
          <w:p w14:paraId="1FDCB98C" w14:textId="413D5BB5" w:rsidR="00312B9E" w:rsidRPr="00F55096" w:rsidRDefault="00312B9E" w:rsidP="004C6287">
            <w:pPr>
              <w:pStyle w:val="Heading2"/>
              <w:outlineLvl w:val="1"/>
              <w:rPr>
                <w:rFonts w:asciiTheme="minorHAnsi" w:hAnsiTheme="minorHAnsi" w:cstheme="minorHAnsi"/>
                <w:b/>
                <w:bCs/>
                <w:i w:val="0"/>
                <w:sz w:val="22"/>
                <w:szCs w:val="22"/>
              </w:rPr>
            </w:pPr>
            <w:r>
              <w:rPr>
                <w:rFonts w:asciiTheme="minorHAnsi" w:hAnsiTheme="minorHAnsi" w:cstheme="minorHAnsi"/>
                <w:b/>
                <w:bCs/>
                <w:i w:val="0"/>
                <w:sz w:val="22"/>
                <w:szCs w:val="22"/>
              </w:rPr>
              <w:t>Data type: text</w:t>
            </w:r>
          </w:p>
        </w:tc>
      </w:tr>
      <w:tr w:rsidR="00312B9E" w:rsidRPr="00F55096" w14:paraId="29B8D8A0" w14:textId="77777777" w:rsidTr="004C6287">
        <w:trPr>
          <w:trHeight w:val="472"/>
        </w:trPr>
        <w:tc>
          <w:tcPr>
            <w:tcW w:w="2124" w:type="dxa"/>
            <w:vMerge w:val="restart"/>
          </w:tcPr>
          <w:p w14:paraId="6FC88A36" w14:textId="77777777" w:rsidR="00312B9E" w:rsidRDefault="00312B9E" w:rsidP="004C6287">
            <w:pPr>
              <w:spacing w:after="160" w:line="259" w:lineRule="auto"/>
              <w:jc w:val="left"/>
              <w:rPr>
                <w:rFonts w:asciiTheme="minorHAnsi" w:hAnsiTheme="minorHAnsi" w:cstheme="minorHAnsi"/>
                <w:b/>
                <w:bCs/>
                <w:szCs w:val="22"/>
              </w:rPr>
            </w:pPr>
          </w:p>
          <w:p w14:paraId="783CB2B1" w14:textId="7E49C99D" w:rsidR="00312B9E" w:rsidRPr="00F55096" w:rsidRDefault="00312B9E" w:rsidP="004C6287">
            <w:pPr>
              <w:spacing w:after="160" w:line="259" w:lineRule="auto"/>
              <w:jc w:val="left"/>
              <w:rPr>
                <w:rFonts w:asciiTheme="minorHAnsi" w:hAnsiTheme="minorHAnsi" w:cstheme="minorHAnsi"/>
                <w:b/>
                <w:bCs/>
                <w:szCs w:val="22"/>
              </w:rPr>
            </w:pPr>
          </w:p>
        </w:tc>
        <w:tc>
          <w:tcPr>
            <w:tcW w:w="6798" w:type="dxa"/>
          </w:tcPr>
          <w:p w14:paraId="5BB0D3C3" w14:textId="1435687B" w:rsidR="00312B9E" w:rsidRPr="00F55096" w:rsidRDefault="00BD5FF4" w:rsidP="004C6287">
            <w:pPr>
              <w:pStyle w:val="Heading2"/>
              <w:contextualSpacing/>
              <w:outlineLvl w:val="1"/>
              <w:rPr>
                <w:rFonts w:asciiTheme="minorHAnsi" w:hAnsiTheme="minorHAnsi" w:cstheme="minorHAnsi"/>
                <w:i w:val="0"/>
                <w:iCs/>
                <w:sz w:val="22"/>
                <w:szCs w:val="22"/>
              </w:rPr>
            </w:pPr>
            <w:r>
              <w:rPr>
                <w:rFonts w:asciiTheme="minorHAnsi" w:hAnsiTheme="minorHAnsi" w:cstheme="minorHAnsi"/>
                <w:i w:val="0"/>
                <w:iCs/>
                <w:sz w:val="22"/>
                <w:szCs w:val="22"/>
              </w:rPr>
              <w:t xml:space="preserve">NOTE: </w:t>
            </w:r>
            <w:r w:rsidRPr="00BD5FF4">
              <w:rPr>
                <w:rFonts w:asciiTheme="minorHAnsi" w:hAnsiTheme="minorHAnsi" w:cstheme="minorHAnsi"/>
                <w:i w:val="0"/>
                <w:iCs/>
                <w:sz w:val="22"/>
                <w:szCs w:val="22"/>
              </w:rPr>
              <w:t>[The executive summary should pull together the key findings from the main body of text. It should provide a generic introduction, highlight particular issues and areas of interest and ensure continuity with the QSR 2010. It should make clear the link between DAPSIR components and the answers to the five questions. This box should contain a brief overview (</w:t>
            </w:r>
            <w:r w:rsidRPr="00BD5FF4">
              <w:rPr>
                <w:rFonts w:asciiTheme="minorHAnsi" w:hAnsiTheme="minorHAnsi" w:cstheme="minorHAnsi"/>
                <w:b/>
                <w:bCs/>
                <w:i w:val="0"/>
                <w:iCs/>
                <w:sz w:val="22"/>
                <w:szCs w:val="22"/>
              </w:rPr>
              <w:t>300 words</w:t>
            </w:r>
            <w:r w:rsidRPr="00BD5FF4">
              <w:rPr>
                <w:rFonts w:asciiTheme="minorHAnsi" w:hAnsiTheme="minorHAnsi" w:cstheme="minorHAnsi"/>
                <w:i w:val="0"/>
                <w:iCs/>
                <w:sz w:val="22"/>
                <w:szCs w:val="22"/>
              </w:rPr>
              <w:t>).]</w:t>
            </w:r>
          </w:p>
        </w:tc>
      </w:tr>
      <w:tr w:rsidR="00312B9E" w:rsidRPr="00F55096" w14:paraId="753F155B" w14:textId="77777777" w:rsidTr="004C6287">
        <w:trPr>
          <w:trHeight w:val="472"/>
        </w:trPr>
        <w:tc>
          <w:tcPr>
            <w:tcW w:w="2124" w:type="dxa"/>
            <w:vMerge/>
          </w:tcPr>
          <w:p w14:paraId="335B4479"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7C602FBD" w14:textId="35ACAE61" w:rsidR="00312B9E" w:rsidRPr="00F55096" w:rsidRDefault="00312B9E" w:rsidP="00312B9E">
            <w:pPr>
              <w:spacing w:before="0" w:after="120" w:line="240" w:lineRule="auto"/>
              <w:rPr>
                <w:rFonts w:cs="Calibri"/>
              </w:rPr>
            </w:pPr>
            <w:r w:rsidRPr="00F55096">
              <w:rPr>
                <w:b/>
                <w:bCs/>
              </w:rPr>
              <w:t>Q1. Identify the problems? Are they the same in all OSPAR regions?</w:t>
            </w:r>
            <w:r w:rsidRPr="00F55096">
              <w:t xml:space="preserve"> </w:t>
            </w:r>
          </w:p>
          <w:p w14:paraId="14AE13ED" w14:textId="2F32837C" w:rsidR="00312B9E" w:rsidRPr="00312B9E" w:rsidRDefault="00312B9E" w:rsidP="00312B9E">
            <w:pPr>
              <w:spacing w:before="0"/>
              <w:rPr>
                <w:rFonts w:cs="Calibri"/>
              </w:rPr>
            </w:pPr>
          </w:p>
        </w:tc>
      </w:tr>
      <w:tr w:rsidR="00312B9E" w:rsidRPr="00F55096" w14:paraId="185361E2" w14:textId="77777777" w:rsidTr="004C6287">
        <w:trPr>
          <w:trHeight w:val="472"/>
        </w:trPr>
        <w:tc>
          <w:tcPr>
            <w:tcW w:w="2124" w:type="dxa"/>
            <w:vMerge/>
          </w:tcPr>
          <w:p w14:paraId="10232EFC"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71CD0366" w14:textId="77777777" w:rsidR="00312B9E" w:rsidRPr="00F55096" w:rsidRDefault="00312B9E" w:rsidP="004C6287">
            <w:pPr>
              <w:pStyle w:val="Heading2"/>
              <w:contextualSpacing/>
              <w:outlineLvl w:val="1"/>
              <w:rPr>
                <w:rFonts w:asciiTheme="minorHAnsi" w:hAnsiTheme="minorHAnsi" w:cstheme="minorHAnsi"/>
                <w:b/>
                <w:bCs/>
                <w:i w:val="0"/>
                <w:sz w:val="22"/>
                <w:szCs w:val="22"/>
              </w:rPr>
            </w:pPr>
            <w:r w:rsidRPr="00F55096">
              <w:rPr>
                <w:rFonts w:asciiTheme="minorHAnsi" w:hAnsiTheme="minorHAnsi" w:cstheme="minorHAnsi"/>
                <w:b/>
                <w:bCs/>
                <w:i w:val="0"/>
                <w:sz w:val="22"/>
                <w:szCs w:val="22"/>
              </w:rPr>
              <w:t>Q2. What has been done?</w:t>
            </w:r>
          </w:p>
          <w:p w14:paraId="61085936" w14:textId="6CE47463" w:rsidR="00312B9E" w:rsidRPr="00F55096" w:rsidRDefault="00312B9E" w:rsidP="004C6287">
            <w:pPr>
              <w:pStyle w:val="Heading2"/>
              <w:contextualSpacing/>
              <w:outlineLvl w:val="1"/>
              <w:rPr>
                <w:rFonts w:cs="Calibri"/>
                <w:i w:val="0"/>
                <w:iCs/>
                <w:szCs w:val="20"/>
              </w:rPr>
            </w:pPr>
          </w:p>
        </w:tc>
      </w:tr>
      <w:tr w:rsidR="00312B9E" w:rsidRPr="00F55096" w14:paraId="24F182D2" w14:textId="77777777" w:rsidTr="004C6287">
        <w:trPr>
          <w:trHeight w:val="472"/>
        </w:trPr>
        <w:tc>
          <w:tcPr>
            <w:tcW w:w="2124" w:type="dxa"/>
            <w:vMerge/>
          </w:tcPr>
          <w:p w14:paraId="51DED8D7"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2462AE1A" w14:textId="77777777" w:rsidR="00312B9E" w:rsidRPr="00F55096" w:rsidRDefault="00312B9E" w:rsidP="004C6287">
            <w:pPr>
              <w:pStyle w:val="Heading2"/>
              <w:contextualSpacing/>
              <w:outlineLvl w:val="1"/>
              <w:rPr>
                <w:rFonts w:asciiTheme="minorHAnsi" w:hAnsiTheme="minorHAnsi" w:cstheme="minorHAnsi"/>
                <w:b/>
                <w:bCs/>
                <w:i w:val="0"/>
                <w:sz w:val="22"/>
                <w:szCs w:val="22"/>
              </w:rPr>
            </w:pPr>
            <w:r w:rsidRPr="00F55096">
              <w:rPr>
                <w:rFonts w:asciiTheme="minorHAnsi" w:hAnsiTheme="minorHAnsi" w:cstheme="minorHAnsi"/>
                <w:b/>
                <w:bCs/>
                <w:i w:val="0"/>
                <w:sz w:val="22"/>
                <w:szCs w:val="22"/>
              </w:rPr>
              <w:t>Q3. Did it work?</w:t>
            </w:r>
          </w:p>
          <w:p w14:paraId="78BDD06B" w14:textId="1351DC20" w:rsidR="00312B9E" w:rsidRPr="00F55096" w:rsidRDefault="00312B9E" w:rsidP="004C6287">
            <w:pPr>
              <w:pStyle w:val="Heading2"/>
              <w:contextualSpacing/>
              <w:outlineLvl w:val="1"/>
              <w:rPr>
                <w:rFonts w:cs="Calibri"/>
                <w:i w:val="0"/>
                <w:iCs/>
                <w:sz w:val="22"/>
                <w:szCs w:val="22"/>
              </w:rPr>
            </w:pPr>
          </w:p>
        </w:tc>
      </w:tr>
      <w:tr w:rsidR="00312B9E" w:rsidRPr="00F55096" w14:paraId="0463030B" w14:textId="77777777" w:rsidTr="004C6287">
        <w:trPr>
          <w:trHeight w:val="472"/>
        </w:trPr>
        <w:tc>
          <w:tcPr>
            <w:tcW w:w="2124" w:type="dxa"/>
            <w:vMerge/>
          </w:tcPr>
          <w:p w14:paraId="60348622"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239D4A43" w14:textId="77777777" w:rsidR="00312B9E" w:rsidRDefault="00312B9E" w:rsidP="00312B9E">
            <w:pPr>
              <w:pStyle w:val="Heading2"/>
              <w:contextualSpacing/>
              <w:outlineLvl w:val="1"/>
              <w:rPr>
                <w:rFonts w:asciiTheme="minorHAnsi" w:hAnsiTheme="minorHAnsi" w:cstheme="minorHAnsi"/>
                <w:b/>
                <w:bCs/>
                <w:i w:val="0"/>
                <w:sz w:val="22"/>
                <w:szCs w:val="22"/>
              </w:rPr>
            </w:pPr>
            <w:r w:rsidRPr="00F55096">
              <w:rPr>
                <w:rFonts w:asciiTheme="minorHAnsi" w:hAnsiTheme="minorHAnsi" w:cstheme="minorHAnsi"/>
                <w:b/>
                <w:bCs/>
                <w:i w:val="0"/>
                <w:sz w:val="22"/>
                <w:szCs w:val="22"/>
              </w:rPr>
              <w:t>Q4. How does this field affect the overall quality status?</w:t>
            </w:r>
          </w:p>
          <w:p w14:paraId="69F8AF1E" w14:textId="64F19991" w:rsidR="00312B9E" w:rsidRPr="00312B9E" w:rsidRDefault="00312B9E" w:rsidP="00312B9E"/>
        </w:tc>
      </w:tr>
      <w:tr w:rsidR="00312B9E" w:rsidRPr="00F55096" w14:paraId="3DC046E1" w14:textId="77777777" w:rsidTr="004C6287">
        <w:trPr>
          <w:trHeight w:val="472"/>
        </w:trPr>
        <w:tc>
          <w:tcPr>
            <w:tcW w:w="2124" w:type="dxa"/>
            <w:vMerge/>
          </w:tcPr>
          <w:p w14:paraId="65787B1C" w14:textId="77777777" w:rsidR="00312B9E" w:rsidRPr="00F55096" w:rsidRDefault="00312B9E"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5EC3ED5A" w14:textId="77777777" w:rsidR="00312B9E" w:rsidRPr="00F55096" w:rsidRDefault="00312B9E" w:rsidP="004C6287">
            <w:pPr>
              <w:pStyle w:val="Heading2"/>
              <w:contextualSpacing/>
              <w:outlineLvl w:val="1"/>
              <w:rPr>
                <w:rFonts w:asciiTheme="minorHAnsi" w:hAnsiTheme="minorHAnsi" w:cstheme="minorHAnsi"/>
                <w:b/>
                <w:bCs/>
                <w:i w:val="0"/>
                <w:sz w:val="22"/>
                <w:szCs w:val="22"/>
              </w:rPr>
            </w:pPr>
            <w:r w:rsidRPr="00F55096">
              <w:rPr>
                <w:rFonts w:asciiTheme="minorHAnsi" w:hAnsiTheme="minorHAnsi" w:cstheme="minorHAnsi"/>
                <w:b/>
                <w:bCs/>
                <w:i w:val="0"/>
                <w:sz w:val="22"/>
                <w:szCs w:val="22"/>
              </w:rPr>
              <w:t>Q5. What do we do next?</w:t>
            </w:r>
          </w:p>
          <w:p w14:paraId="1D7572C2" w14:textId="6436B192" w:rsidR="00312B9E" w:rsidRPr="00F55096" w:rsidRDefault="00312B9E" w:rsidP="004C6287">
            <w:pPr>
              <w:contextualSpacing/>
              <w:rPr>
                <w:rFonts w:cs="Calibri"/>
              </w:rPr>
            </w:pPr>
          </w:p>
        </w:tc>
      </w:tr>
      <w:tr w:rsidR="00312B9E" w:rsidRPr="00F55096" w14:paraId="49C62730" w14:textId="77777777" w:rsidTr="00312B9E">
        <w:trPr>
          <w:trHeight w:val="323"/>
        </w:trPr>
        <w:tc>
          <w:tcPr>
            <w:tcW w:w="2124" w:type="dxa"/>
            <w:shd w:val="clear" w:color="auto" w:fill="AEAAAA" w:themeFill="background2" w:themeFillShade="BF"/>
          </w:tcPr>
          <w:p w14:paraId="47F62B8B" w14:textId="537778A1" w:rsidR="00312B9E" w:rsidRPr="00F55096" w:rsidRDefault="00312B9E" w:rsidP="00B577F2">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Pr>
                <w:rFonts w:asciiTheme="minorHAnsi" w:hAnsiTheme="minorHAnsi" w:cstheme="minorHAnsi"/>
                <w:b/>
                <w:bCs/>
                <w:szCs w:val="22"/>
              </w:rPr>
              <w:t>Body Text</w:t>
            </w:r>
          </w:p>
        </w:tc>
        <w:tc>
          <w:tcPr>
            <w:tcW w:w="6798" w:type="dxa"/>
            <w:shd w:val="clear" w:color="auto" w:fill="AEAAAA" w:themeFill="background2" w:themeFillShade="BF"/>
          </w:tcPr>
          <w:p w14:paraId="49F1513B" w14:textId="77777777" w:rsidR="00312B9E" w:rsidRPr="00F55096" w:rsidRDefault="00312B9E" w:rsidP="00B577F2">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433D7B03" w14:textId="77777777" w:rsidTr="004C6287">
        <w:trPr>
          <w:trHeight w:val="323"/>
        </w:trPr>
        <w:tc>
          <w:tcPr>
            <w:tcW w:w="2124" w:type="dxa"/>
            <w:vMerge w:val="restart"/>
          </w:tcPr>
          <w:p w14:paraId="41938344" w14:textId="06A4C43F"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 xml:space="preserve">D - Driver(s) </w:t>
            </w:r>
          </w:p>
        </w:tc>
        <w:tc>
          <w:tcPr>
            <w:tcW w:w="6798" w:type="dxa"/>
          </w:tcPr>
          <w:p w14:paraId="003D1AE5" w14:textId="77777777"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3409B4D2" w14:textId="77777777" w:rsidTr="00BD5FF4">
        <w:trPr>
          <w:trHeight w:val="593"/>
        </w:trPr>
        <w:tc>
          <w:tcPr>
            <w:tcW w:w="2124" w:type="dxa"/>
            <w:vMerge/>
          </w:tcPr>
          <w:p w14:paraId="28A5084C" w14:textId="77777777"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5B35D611" w14:textId="5AEC84BE" w:rsidR="00BD5FF4" w:rsidRDefault="00BD5FF4" w:rsidP="00C22D7B">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[Chapter summary for the OSPAR Maritime area]</w:t>
            </w:r>
          </w:p>
          <w:p w14:paraId="286133B7" w14:textId="6C97241C" w:rsidR="00162FBF" w:rsidRPr="00F55096" w:rsidRDefault="00162FBF"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szCs w:val="22"/>
              </w:rPr>
              <w:t>: to be populated towards the end of drafting based on extracts from the Driver(s) [Content] narrative.</w:t>
            </w:r>
          </w:p>
        </w:tc>
      </w:tr>
      <w:tr w:rsidR="00BD5FF4" w:rsidRPr="00F55096" w14:paraId="1F247176" w14:textId="77777777" w:rsidTr="004C6287">
        <w:trPr>
          <w:trHeight w:val="592"/>
        </w:trPr>
        <w:tc>
          <w:tcPr>
            <w:tcW w:w="2124" w:type="dxa"/>
            <w:vMerge/>
          </w:tcPr>
          <w:p w14:paraId="111D693A" w14:textId="77777777"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60FE6106"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 xml:space="preserve">[Content] </w:t>
            </w:r>
          </w:p>
          <w:p w14:paraId="305A9C21" w14:textId="29A3BFDB" w:rsidR="00BD5FF4" w:rsidRPr="00F55096" w:rsidRDefault="00162FBF"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Please consult</w:t>
            </w:r>
            <w:r w:rsidR="004F0C52">
              <w:rPr>
                <w:rFonts w:asciiTheme="minorHAnsi" w:hAnsiTheme="minorHAnsi" w:cstheme="minorHAnsi"/>
                <w:szCs w:val="22"/>
              </w:rPr>
              <w:t xml:space="preserve"> </w:t>
            </w:r>
            <w:r w:rsidR="004F0C52">
              <w:rPr>
                <w:rFonts w:asciiTheme="minorHAnsi" w:hAnsiTheme="minorHAnsi" w:cstheme="minorHAnsi"/>
                <w:szCs w:val="22"/>
              </w:rPr>
              <w:t>the</w:t>
            </w:r>
            <w:r>
              <w:rPr>
                <w:rFonts w:asciiTheme="minorHAnsi" w:hAnsiTheme="minorHAnsi" w:cstheme="minorHAnsi"/>
                <w:szCs w:val="22"/>
              </w:rPr>
              <w:t xml:space="preserve"> </w:t>
            </w:r>
            <w:hyperlink r:id="rId11" w:history="1">
              <w:r w:rsidRPr="00162FBF">
                <w:rPr>
                  <w:rStyle w:val="Hyperlink"/>
                  <w:rFonts w:asciiTheme="minorHAnsi" w:hAnsiTheme="minorHAnsi" w:cstheme="minorHAnsi"/>
                  <w:szCs w:val="22"/>
                </w:rPr>
                <w:t xml:space="preserve">associated </w:t>
              </w:r>
              <w:r w:rsidR="004F0C52">
                <w:rPr>
                  <w:rStyle w:val="Hyperlink"/>
                  <w:rFonts w:asciiTheme="minorHAnsi" w:hAnsiTheme="minorHAnsi" w:cstheme="minorHAnsi"/>
                  <w:szCs w:val="22"/>
                </w:rPr>
                <w:t>t</w:t>
              </w:r>
              <w:r w:rsidR="004F0C52">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7EE09F4A" w14:textId="77777777" w:rsidTr="004C6287">
        <w:trPr>
          <w:trHeight w:val="271"/>
        </w:trPr>
        <w:tc>
          <w:tcPr>
            <w:tcW w:w="2124" w:type="dxa"/>
            <w:vMerge w:val="restart"/>
          </w:tcPr>
          <w:p w14:paraId="736A9EBF" w14:textId="77777777"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 xml:space="preserve">A – Activity(ies) </w:t>
            </w:r>
          </w:p>
          <w:p w14:paraId="5C590A02" w14:textId="5167D249"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19C392BA" w14:textId="77777777" w:rsidR="00BD5FF4" w:rsidRPr="00F55096" w:rsidRDefault="00BD5FF4" w:rsidP="004C6287">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szCs w:val="22"/>
              </w:rPr>
              <w:t>[Heading]</w:t>
            </w:r>
          </w:p>
        </w:tc>
      </w:tr>
      <w:tr w:rsidR="00BD5FF4" w:rsidRPr="00F55096" w14:paraId="0CC60050" w14:textId="77777777" w:rsidTr="00BD5FF4">
        <w:trPr>
          <w:trHeight w:val="593"/>
        </w:trPr>
        <w:tc>
          <w:tcPr>
            <w:tcW w:w="2124" w:type="dxa"/>
            <w:vMerge/>
          </w:tcPr>
          <w:p w14:paraId="0A4BE328"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2EC1B220"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 xml:space="preserve">[Chapter summary per </w:t>
            </w:r>
            <w:r w:rsidRPr="00F55096">
              <w:rPr>
                <w:rFonts w:asciiTheme="minorHAnsi" w:hAnsiTheme="minorHAnsi" w:cstheme="minorHAnsi"/>
                <w:szCs w:val="22"/>
              </w:rPr>
              <w:t>[</w:t>
            </w:r>
            <w:r>
              <w:rPr>
                <w:rFonts w:asciiTheme="minorHAnsi" w:hAnsiTheme="minorHAnsi" w:cstheme="minorHAnsi"/>
                <w:szCs w:val="22"/>
              </w:rPr>
              <w:t xml:space="preserve">OSPAR Region] or </w:t>
            </w:r>
            <w:r w:rsidRPr="00F55096">
              <w:rPr>
                <w:rFonts w:asciiTheme="minorHAnsi" w:hAnsiTheme="minorHAnsi" w:cstheme="minorHAnsi"/>
                <w:szCs w:val="22"/>
              </w:rPr>
              <w:t>[</w:t>
            </w:r>
            <w:r>
              <w:rPr>
                <w:rFonts w:asciiTheme="minorHAnsi" w:hAnsiTheme="minorHAnsi" w:cstheme="minorHAnsi"/>
                <w:szCs w:val="22"/>
              </w:rPr>
              <w:t>OSPAR Maritime area]]</w:t>
            </w:r>
          </w:p>
          <w:tbl>
            <w:tblPr>
              <w:tblStyle w:val="TableGrid"/>
              <w:tblW w:w="0" w:type="auto"/>
              <w:tblLook w:val="04A0" w:firstRow="1" w:lastRow="0" w:firstColumn="1" w:lastColumn="0" w:noHBand="0" w:noVBand="1"/>
            </w:tblPr>
            <w:tblGrid>
              <w:gridCol w:w="1314"/>
              <w:gridCol w:w="1314"/>
              <w:gridCol w:w="1314"/>
              <w:gridCol w:w="1315"/>
              <w:gridCol w:w="1315"/>
            </w:tblGrid>
            <w:tr w:rsidR="00BD5FF4" w14:paraId="3CA059AB" w14:textId="77777777" w:rsidTr="0091475A">
              <w:tc>
                <w:tcPr>
                  <w:tcW w:w="1314" w:type="dxa"/>
                </w:tcPr>
                <w:p w14:paraId="57DB34A3"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w:t>
                  </w:r>
                </w:p>
              </w:tc>
              <w:tc>
                <w:tcPr>
                  <w:tcW w:w="1314" w:type="dxa"/>
                </w:tcPr>
                <w:p w14:paraId="0F7F4834"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w:t>
                  </w:r>
                </w:p>
              </w:tc>
              <w:tc>
                <w:tcPr>
                  <w:tcW w:w="1314" w:type="dxa"/>
                </w:tcPr>
                <w:p w14:paraId="2101B774"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III</w:t>
                  </w:r>
                </w:p>
              </w:tc>
              <w:tc>
                <w:tcPr>
                  <w:tcW w:w="1315" w:type="dxa"/>
                </w:tcPr>
                <w:p w14:paraId="59E79855"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IV</w:t>
                  </w:r>
                </w:p>
              </w:tc>
              <w:tc>
                <w:tcPr>
                  <w:tcW w:w="1315" w:type="dxa"/>
                </w:tcPr>
                <w:p w14:paraId="24CBE1C0"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V</w:t>
                  </w:r>
                </w:p>
              </w:tc>
            </w:tr>
            <w:tr w:rsidR="00BD5FF4" w14:paraId="17991D60" w14:textId="77777777" w:rsidTr="0091475A">
              <w:tc>
                <w:tcPr>
                  <w:tcW w:w="1314" w:type="dxa"/>
                </w:tcPr>
                <w:p w14:paraId="6E9CC392"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0F0798B3"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3179CACB"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28659754"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5C6B333A"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r>
          </w:tbl>
          <w:p w14:paraId="233D9691" w14:textId="2D420A8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ED62E9">
              <w:rPr>
                <w:rFonts w:asciiTheme="minorHAnsi" w:hAnsiTheme="minorHAnsi" w:cstheme="minorHAnsi"/>
                <w:b/>
                <w:bCs/>
                <w:szCs w:val="22"/>
              </w:rPr>
              <w:t>NOTE</w:t>
            </w:r>
            <w:r>
              <w:rPr>
                <w:rFonts w:asciiTheme="minorHAnsi" w:hAnsiTheme="minorHAnsi" w:cstheme="minorHAnsi"/>
                <w:szCs w:val="22"/>
              </w:rPr>
              <w:t>: to be populated towards the end of drafting based on extracts from the Activity</w:t>
            </w:r>
            <w:r w:rsidR="00162FBF">
              <w:rPr>
                <w:rFonts w:asciiTheme="minorHAnsi" w:hAnsiTheme="minorHAnsi" w:cstheme="minorHAnsi"/>
                <w:szCs w:val="22"/>
              </w:rPr>
              <w:t>(ies)</w:t>
            </w:r>
            <w:r>
              <w:rPr>
                <w:rFonts w:asciiTheme="minorHAnsi" w:hAnsiTheme="minorHAnsi" w:cstheme="minorHAnsi"/>
                <w:szCs w:val="22"/>
              </w:rPr>
              <w:t xml:space="preserve">[Content] narrative. </w:t>
            </w:r>
          </w:p>
        </w:tc>
      </w:tr>
      <w:tr w:rsidR="00BD5FF4" w:rsidRPr="00F55096" w14:paraId="4D372026" w14:textId="77777777" w:rsidTr="004C6287">
        <w:trPr>
          <w:trHeight w:val="592"/>
        </w:trPr>
        <w:tc>
          <w:tcPr>
            <w:tcW w:w="2124" w:type="dxa"/>
            <w:vMerge/>
          </w:tcPr>
          <w:p w14:paraId="21061581"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055F4EED"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[Content]</w:t>
            </w:r>
          </w:p>
          <w:p w14:paraId="0173A96B" w14:textId="2C0708AA" w:rsidR="00BD5FF4" w:rsidRPr="00F55096"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2"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675019CC" w14:textId="77777777" w:rsidTr="004C6287">
        <w:trPr>
          <w:trHeight w:val="265"/>
        </w:trPr>
        <w:tc>
          <w:tcPr>
            <w:tcW w:w="2124" w:type="dxa"/>
            <w:vMerge w:val="restart"/>
          </w:tcPr>
          <w:p w14:paraId="2306A30E" w14:textId="708ACA68"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 xml:space="preserve">P – Pressure(s) </w:t>
            </w:r>
          </w:p>
        </w:tc>
        <w:tc>
          <w:tcPr>
            <w:tcW w:w="6798" w:type="dxa"/>
          </w:tcPr>
          <w:p w14:paraId="25DE96E8"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0EDCA79C" w14:textId="77777777" w:rsidTr="00BD5FF4">
        <w:trPr>
          <w:trHeight w:val="593"/>
        </w:trPr>
        <w:tc>
          <w:tcPr>
            <w:tcW w:w="2124" w:type="dxa"/>
            <w:vMerge/>
          </w:tcPr>
          <w:p w14:paraId="06FA86F2"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4D5C2808"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 xml:space="preserve">[Chapter summary per </w:t>
            </w:r>
            <w:r w:rsidRPr="00F55096">
              <w:rPr>
                <w:rFonts w:asciiTheme="minorHAnsi" w:hAnsiTheme="minorHAnsi" w:cstheme="minorHAnsi"/>
                <w:szCs w:val="22"/>
              </w:rPr>
              <w:t>[</w:t>
            </w:r>
            <w:r>
              <w:rPr>
                <w:rFonts w:asciiTheme="minorHAnsi" w:hAnsiTheme="minorHAnsi" w:cstheme="minorHAnsi"/>
                <w:szCs w:val="22"/>
              </w:rPr>
              <w:t xml:space="preserve">OSPAR Region] or </w:t>
            </w:r>
            <w:r w:rsidRPr="00F55096">
              <w:rPr>
                <w:rFonts w:asciiTheme="minorHAnsi" w:hAnsiTheme="minorHAnsi" w:cstheme="minorHAnsi"/>
                <w:szCs w:val="22"/>
              </w:rPr>
              <w:t>[</w:t>
            </w:r>
            <w:r>
              <w:rPr>
                <w:rFonts w:asciiTheme="minorHAnsi" w:hAnsiTheme="minorHAnsi" w:cstheme="minorHAnsi"/>
                <w:szCs w:val="22"/>
              </w:rPr>
              <w:t>OSPAR Maritime area]]</w:t>
            </w:r>
          </w:p>
          <w:tbl>
            <w:tblPr>
              <w:tblStyle w:val="TableGrid"/>
              <w:tblW w:w="0" w:type="auto"/>
              <w:tblLook w:val="04A0" w:firstRow="1" w:lastRow="0" w:firstColumn="1" w:lastColumn="0" w:noHBand="0" w:noVBand="1"/>
            </w:tblPr>
            <w:tblGrid>
              <w:gridCol w:w="1314"/>
              <w:gridCol w:w="1314"/>
              <w:gridCol w:w="1314"/>
              <w:gridCol w:w="1315"/>
              <w:gridCol w:w="1315"/>
            </w:tblGrid>
            <w:tr w:rsidR="00BD5FF4" w14:paraId="02671941" w14:textId="77777777" w:rsidTr="0091475A">
              <w:tc>
                <w:tcPr>
                  <w:tcW w:w="1314" w:type="dxa"/>
                </w:tcPr>
                <w:p w14:paraId="63789AD0"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w:t>
                  </w:r>
                </w:p>
              </w:tc>
              <w:tc>
                <w:tcPr>
                  <w:tcW w:w="1314" w:type="dxa"/>
                </w:tcPr>
                <w:p w14:paraId="24D80A96"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w:t>
                  </w:r>
                </w:p>
              </w:tc>
              <w:tc>
                <w:tcPr>
                  <w:tcW w:w="1314" w:type="dxa"/>
                </w:tcPr>
                <w:p w14:paraId="0F1ADAFC"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III</w:t>
                  </w:r>
                </w:p>
              </w:tc>
              <w:tc>
                <w:tcPr>
                  <w:tcW w:w="1315" w:type="dxa"/>
                </w:tcPr>
                <w:p w14:paraId="144FBBC2"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IV</w:t>
                  </w:r>
                </w:p>
              </w:tc>
              <w:tc>
                <w:tcPr>
                  <w:tcW w:w="1315" w:type="dxa"/>
                </w:tcPr>
                <w:p w14:paraId="51E2BC85"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V</w:t>
                  </w:r>
                </w:p>
              </w:tc>
            </w:tr>
            <w:tr w:rsidR="00BD5FF4" w14:paraId="155A22CC" w14:textId="77777777" w:rsidTr="0091475A">
              <w:tc>
                <w:tcPr>
                  <w:tcW w:w="1314" w:type="dxa"/>
                </w:tcPr>
                <w:p w14:paraId="48408B69"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6F3108D8"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472D452C"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2EC388D2"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1E649FFB"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r>
          </w:tbl>
          <w:p w14:paraId="61F1A891" w14:textId="599AB768"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szCs w:val="22"/>
              </w:rPr>
              <w:t>: to be populated towards the end of drafting based on extracts from the Pressure</w:t>
            </w:r>
            <w:r w:rsidR="00162FBF">
              <w:rPr>
                <w:rFonts w:asciiTheme="minorHAnsi" w:hAnsiTheme="minorHAnsi" w:cstheme="minorHAnsi"/>
                <w:szCs w:val="22"/>
              </w:rPr>
              <w:t>(s)</w:t>
            </w:r>
            <w:r>
              <w:rPr>
                <w:rFonts w:asciiTheme="minorHAnsi" w:hAnsiTheme="minorHAnsi" w:cstheme="minorHAnsi"/>
                <w:szCs w:val="22"/>
              </w:rPr>
              <w:t xml:space="preserve">[Content] narrative. </w:t>
            </w:r>
          </w:p>
        </w:tc>
      </w:tr>
      <w:tr w:rsidR="00BD5FF4" w:rsidRPr="00F55096" w14:paraId="5B0C5BBD" w14:textId="77777777" w:rsidTr="004C6287">
        <w:trPr>
          <w:trHeight w:val="592"/>
        </w:trPr>
        <w:tc>
          <w:tcPr>
            <w:tcW w:w="2124" w:type="dxa"/>
            <w:vMerge/>
          </w:tcPr>
          <w:p w14:paraId="0DF7DF1F"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28AB1CCD"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Pr>
                <w:rFonts w:asciiTheme="minorHAnsi" w:hAnsiTheme="minorHAnsi" w:cstheme="minorHAnsi"/>
                <w:szCs w:val="22"/>
              </w:rPr>
              <w:t>[Content]</w:t>
            </w:r>
          </w:p>
          <w:p w14:paraId="793756DD" w14:textId="5F00BA18" w:rsidR="00162FBF" w:rsidRPr="00F55096"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3"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0CE5B514" w14:textId="77777777" w:rsidTr="004C6287">
        <w:trPr>
          <w:trHeight w:val="271"/>
        </w:trPr>
        <w:tc>
          <w:tcPr>
            <w:tcW w:w="2124" w:type="dxa"/>
            <w:vMerge w:val="restart"/>
          </w:tcPr>
          <w:p w14:paraId="4216B27C" w14:textId="1FB263D9"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 xml:space="preserve">S – State </w:t>
            </w:r>
          </w:p>
        </w:tc>
        <w:tc>
          <w:tcPr>
            <w:tcW w:w="6798" w:type="dxa"/>
          </w:tcPr>
          <w:p w14:paraId="13ADC831"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38420920" w14:textId="77777777" w:rsidTr="00BD5FF4">
        <w:trPr>
          <w:trHeight w:val="331"/>
        </w:trPr>
        <w:tc>
          <w:tcPr>
            <w:tcW w:w="2124" w:type="dxa"/>
            <w:vMerge/>
          </w:tcPr>
          <w:p w14:paraId="6360795C"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73CABC48" w14:textId="0AE9F1BA"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Pr>
                <w:rFonts w:asciiTheme="minorHAnsi" w:hAnsiTheme="minorHAnsi" w:cstheme="minorHAnsi"/>
                <w:szCs w:val="22"/>
              </w:rPr>
              <w:t>[C</w:t>
            </w:r>
            <w:r w:rsidRPr="00BD5FF4">
              <w:rPr>
                <w:rFonts w:asciiTheme="minorHAnsi" w:hAnsiTheme="minorHAnsi" w:cstheme="minorHAnsi"/>
                <w:szCs w:val="22"/>
              </w:rPr>
              <w:t>hapter summary per [OSPAR Region] or [OSPAR Maritime area]</w:t>
            </w:r>
          </w:p>
          <w:tbl>
            <w:tblPr>
              <w:tblStyle w:val="TableGrid"/>
              <w:tblW w:w="0" w:type="auto"/>
              <w:tblLook w:val="04A0" w:firstRow="1" w:lastRow="0" w:firstColumn="1" w:lastColumn="0" w:noHBand="0" w:noVBand="1"/>
            </w:tblPr>
            <w:tblGrid>
              <w:gridCol w:w="1314"/>
              <w:gridCol w:w="1314"/>
              <w:gridCol w:w="1314"/>
              <w:gridCol w:w="1315"/>
              <w:gridCol w:w="1315"/>
            </w:tblGrid>
            <w:tr w:rsidR="00BD5FF4" w:rsidRPr="00BD5FF4" w14:paraId="315043FB" w14:textId="77777777" w:rsidTr="0091475A">
              <w:tc>
                <w:tcPr>
                  <w:tcW w:w="1314" w:type="dxa"/>
                </w:tcPr>
                <w:p w14:paraId="43A61469"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szCs w:val="22"/>
                    </w:rPr>
                    <w:t>Region I</w:t>
                  </w:r>
                </w:p>
              </w:tc>
              <w:tc>
                <w:tcPr>
                  <w:tcW w:w="1314" w:type="dxa"/>
                </w:tcPr>
                <w:p w14:paraId="5569DC88"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szCs w:val="22"/>
                    </w:rPr>
                    <w:t>Region II</w:t>
                  </w:r>
                </w:p>
              </w:tc>
              <w:tc>
                <w:tcPr>
                  <w:tcW w:w="1314" w:type="dxa"/>
                </w:tcPr>
                <w:p w14:paraId="593E25D2"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szCs w:val="22"/>
                    </w:rPr>
                    <w:t>Region III</w:t>
                  </w:r>
                </w:p>
              </w:tc>
              <w:tc>
                <w:tcPr>
                  <w:tcW w:w="1315" w:type="dxa"/>
                </w:tcPr>
                <w:p w14:paraId="403DD004"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szCs w:val="22"/>
                    </w:rPr>
                    <w:t>Region IV</w:t>
                  </w:r>
                </w:p>
              </w:tc>
              <w:tc>
                <w:tcPr>
                  <w:tcW w:w="1315" w:type="dxa"/>
                </w:tcPr>
                <w:p w14:paraId="1E62046B"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szCs w:val="22"/>
                    </w:rPr>
                    <w:t>Region V</w:t>
                  </w:r>
                </w:p>
              </w:tc>
            </w:tr>
            <w:tr w:rsidR="00BD5FF4" w:rsidRPr="00BD5FF4" w14:paraId="16FC73A7" w14:textId="77777777" w:rsidTr="0091475A">
              <w:tc>
                <w:tcPr>
                  <w:tcW w:w="1314" w:type="dxa"/>
                </w:tcPr>
                <w:p w14:paraId="6F4CB61E"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p>
              </w:tc>
              <w:tc>
                <w:tcPr>
                  <w:tcW w:w="1314" w:type="dxa"/>
                </w:tcPr>
                <w:p w14:paraId="6CF3971B"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p>
              </w:tc>
              <w:tc>
                <w:tcPr>
                  <w:tcW w:w="1314" w:type="dxa"/>
                </w:tcPr>
                <w:p w14:paraId="57F8CA89"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p>
              </w:tc>
              <w:tc>
                <w:tcPr>
                  <w:tcW w:w="1315" w:type="dxa"/>
                </w:tcPr>
                <w:p w14:paraId="7E7EE0FA"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p>
              </w:tc>
              <w:tc>
                <w:tcPr>
                  <w:tcW w:w="1315" w:type="dxa"/>
                </w:tcPr>
                <w:p w14:paraId="6489D6A5" w14:textId="77777777" w:rsidR="00BD5FF4" w:rsidRP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p>
              </w:tc>
            </w:tr>
          </w:tbl>
          <w:p w14:paraId="1275476E" w14:textId="3EAD58C5" w:rsidR="00BD5FF4" w:rsidRPr="00312B9E"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BD5FF4">
              <w:rPr>
                <w:rFonts w:asciiTheme="minorHAnsi" w:hAnsiTheme="minorHAnsi" w:cstheme="minorHAnsi"/>
                <w:b/>
                <w:bCs/>
                <w:szCs w:val="22"/>
              </w:rPr>
              <w:t>NOTE</w:t>
            </w:r>
            <w:r w:rsidRPr="00BD5FF4">
              <w:rPr>
                <w:rFonts w:asciiTheme="minorHAnsi" w:hAnsiTheme="minorHAnsi" w:cstheme="minorHAnsi"/>
                <w:szCs w:val="22"/>
              </w:rPr>
              <w:t>: to be populated towards the end of drafting based on extracts from the State [Content] narrative.</w:t>
            </w:r>
          </w:p>
        </w:tc>
      </w:tr>
      <w:tr w:rsidR="00BD5FF4" w:rsidRPr="00F55096" w14:paraId="1A3E5DF9" w14:textId="77777777" w:rsidTr="004C6287">
        <w:trPr>
          <w:trHeight w:val="331"/>
        </w:trPr>
        <w:tc>
          <w:tcPr>
            <w:tcW w:w="2124" w:type="dxa"/>
            <w:vMerge/>
          </w:tcPr>
          <w:p w14:paraId="064363BD"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5448EA4B"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[Content]</w:t>
            </w:r>
          </w:p>
          <w:p w14:paraId="62560D05" w14:textId="4A3EB8DA" w:rsidR="00162FBF" w:rsidRPr="00F55096"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4"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3319B876" w14:textId="77777777" w:rsidTr="004C6287">
        <w:trPr>
          <w:trHeight w:val="219"/>
        </w:trPr>
        <w:tc>
          <w:tcPr>
            <w:tcW w:w="2124" w:type="dxa"/>
            <w:vMerge w:val="restart"/>
          </w:tcPr>
          <w:p w14:paraId="5864D303" w14:textId="15136E14" w:rsidR="00BD5FF4" w:rsidRPr="00312B9E" w:rsidRDefault="00BD5FF4" w:rsidP="00BD5FF4">
            <w:pPr>
              <w:tabs>
                <w:tab w:val="clear" w:pos="720"/>
                <w:tab w:val="clear" w:pos="1440"/>
                <w:tab w:val="clear" w:pos="2160"/>
                <w:tab w:val="clear" w:pos="2880"/>
                <w:tab w:val="clear" w:pos="4680"/>
                <w:tab w:val="clear" w:pos="5400"/>
                <w:tab w:val="clear" w:pos="9000"/>
              </w:tabs>
              <w:spacing w:after="160" w:line="259" w:lineRule="auto"/>
              <w:jc w:val="left"/>
            </w:pPr>
            <w:r w:rsidRPr="00312B9E">
              <w:rPr>
                <w:rFonts w:asciiTheme="minorHAnsi" w:hAnsiTheme="minorHAnsi" w:cstheme="minorHAnsi"/>
                <w:b/>
                <w:bCs/>
                <w:szCs w:val="22"/>
              </w:rPr>
              <w:t xml:space="preserve">I – Impact (on Ecosystem Services) </w:t>
            </w:r>
          </w:p>
        </w:tc>
        <w:tc>
          <w:tcPr>
            <w:tcW w:w="6798" w:type="dxa"/>
          </w:tcPr>
          <w:p w14:paraId="2BDC0788" w14:textId="1200FAE5"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3C67146F" w14:textId="77777777" w:rsidTr="00BD5FF4">
        <w:trPr>
          <w:trHeight w:val="593"/>
        </w:trPr>
        <w:tc>
          <w:tcPr>
            <w:tcW w:w="2124" w:type="dxa"/>
            <w:vMerge/>
          </w:tcPr>
          <w:p w14:paraId="7CC6485A"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6728F8AF"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 xml:space="preserve">[Chapter summary per </w:t>
            </w:r>
            <w:r w:rsidRPr="00F55096">
              <w:rPr>
                <w:rFonts w:asciiTheme="minorHAnsi" w:hAnsiTheme="minorHAnsi" w:cstheme="minorHAnsi"/>
                <w:szCs w:val="22"/>
              </w:rPr>
              <w:t>[</w:t>
            </w:r>
            <w:r>
              <w:rPr>
                <w:rFonts w:asciiTheme="minorHAnsi" w:hAnsiTheme="minorHAnsi" w:cstheme="minorHAnsi"/>
                <w:szCs w:val="22"/>
              </w:rPr>
              <w:t xml:space="preserve">OSPAR Region] or </w:t>
            </w:r>
            <w:r w:rsidRPr="00F55096">
              <w:rPr>
                <w:rFonts w:asciiTheme="minorHAnsi" w:hAnsiTheme="minorHAnsi" w:cstheme="minorHAnsi"/>
                <w:szCs w:val="22"/>
              </w:rPr>
              <w:t>[</w:t>
            </w:r>
            <w:r>
              <w:rPr>
                <w:rFonts w:asciiTheme="minorHAnsi" w:hAnsiTheme="minorHAnsi" w:cstheme="minorHAnsi"/>
                <w:szCs w:val="22"/>
              </w:rPr>
              <w:t>OSPAR Maritime area]]</w:t>
            </w:r>
          </w:p>
          <w:tbl>
            <w:tblPr>
              <w:tblStyle w:val="TableGrid"/>
              <w:tblW w:w="0" w:type="auto"/>
              <w:tblLook w:val="04A0" w:firstRow="1" w:lastRow="0" w:firstColumn="1" w:lastColumn="0" w:noHBand="0" w:noVBand="1"/>
            </w:tblPr>
            <w:tblGrid>
              <w:gridCol w:w="1314"/>
              <w:gridCol w:w="1314"/>
              <w:gridCol w:w="1314"/>
              <w:gridCol w:w="1315"/>
              <w:gridCol w:w="1315"/>
            </w:tblGrid>
            <w:tr w:rsidR="00BD5FF4" w14:paraId="25F68E8C" w14:textId="77777777" w:rsidTr="0091475A">
              <w:tc>
                <w:tcPr>
                  <w:tcW w:w="1314" w:type="dxa"/>
                </w:tcPr>
                <w:p w14:paraId="29D9456A"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lastRenderedPageBreak/>
                    <w:t>Region I</w:t>
                  </w:r>
                </w:p>
              </w:tc>
              <w:tc>
                <w:tcPr>
                  <w:tcW w:w="1314" w:type="dxa"/>
                </w:tcPr>
                <w:p w14:paraId="0F48C64F"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w:t>
                  </w:r>
                </w:p>
              </w:tc>
              <w:tc>
                <w:tcPr>
                  <w:tcW w:w="1314" w:type="dxa"/>
                </w:tcPr>
                <w:p w14:paraId="75EC6D28"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III</w:t>
                  </w:r>
                </w:p>
              </w:tc>
              <w:tc>
                <w:tcPr>
                  <w:tcW w:w="1315" w:type="dxa"/>
                </w:tcPr>
                <w:p w14:paraId="0A249B09"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IV</w:t>
                  </w:r>
                </w:p>
              </w:tc>
              <w:tc>
                <w:tcPr>
                  <w:tcW w:w="1315" w:type="dxa"/>
                </w:tcPr>
                <w:p w14:paraId="395C535B"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Region V</w:t>
                  </w:r>
                </w:p>
              </w:tc>
            </w:tr>
            <w:tr w:rsidR="00BD5FF4" w14:paraId="2E7DBD81" w14:textId="77777777" w:rsidTr="0091475A">
              <w:tc>
                <w:tcPr>
                  <w:tcW w:w="1314" w:type="dxa"/>
                </w:tcPr>
                <w:p w14:paraId="7EC74515"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3DB2279F"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4" w:type="dxa"/>
                </w:tcPr>
                <w:p w14:paraId="76A6D54D"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7951E34E"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c>
                <w:tcPr>
                  <w:tcW w:w="1315" w:type="dxa"/>
                </w:tcPr>
                <w:p w14:paraId="558A1CBF"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p>
              </w:tc>
            </w:tr>
          </w:tbl>
          <w:p w14:paraId="42EA951B" w14:textId="49DDE38E"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szCs w:val="22"/>
              </w:rPr>
              <w:t>: to be populated towards the end of drafting based on extracts from the Impact [Content] narrative.</w:t>
            </w:r>
          </w:p>
        </w:tc>
      </w:tr>
      <w:tr w:rsidR="00BD5FF4" w:rsidRPr="00F55096" w14:paraId="5306B337" w14:textId="77777777" w:rsidTr="004C6287">
        <w:trPr>
          <w:trHeight w:val="592"/>
        </w:trPr>
        <w:tc>
          <w:tcPr>
            <w:tcW w:w="2124" w:type="dxa"/>
            <w:vMerge/>
          </w:tcPr>
          <w:p w14:paraId="57536B59"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4558E624"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[Content]</w:t>
            </w:r>
          </w:p>
          <w:p w14:paraId="364A14A4" w14:textId="1BFEE45E" w:rsidR="00BD5FF4" w:rsidRPr="00F55096"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5"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5F78521D" w14:textId="77777777" w:rsidTr="004C6287">
        <w:trPr>
          <w:trHeight w:val="265"/>
        </w:trPr>
        <w:tc>
          <w:tcPr>
            <w:tcW w:w="2124" w:type="dxa"/>
            <w:vMerge w:val="restart"/>
          </w:tcPr>
          <w:p w14:paraId="5987C82E" w14:textId="57852BA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 xml:space="preserve">R – Response </w:t>
            </w:r>
          </w:p>
        </w:tc>
        <w:tc>
          <w:tcPr>
            <w:tcW w:w="6798" w:type="dxa"/>
          </w:tcPr>
          <w:p w14:paraId="230DB227"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[Heading]</w:t>
            </w:r>
          </w:p>
        </w:tc>
      </w:tr>
      <w:tr w:rsidR="00BD5FF4" w:rsidRPr="00F55096" w14:paraId="59FC1B48" w14:textId="77777777" w:rsidTr="00BD5FF4">
        <w:trPr>
          <w:trHeight w:val="593"/>
        </w:trPr>
        <w:tc>
          <w:tcPr>
            <w:tcW w:w="2124" w:type="dxa"/>
            <w:vMerge/>
          </w:tcPr>
          <w:p w14:paraId="25F31B79"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39F94D55" w14:textId="227EA669"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Pr>
                <w:rFonts w:asciiTheme="minorHAnsi" w:hAnsiTheme="minorHAnsi" w:cstheme="minorHAnsi"/>
                <w:szCs w:val="22"/>
              </w:rPr>
              <w:t xml:space="preserve">[Chapter summary </w:t>
            </w:r>
            <w:r w:rsidR="00162FBF">
              <w:rPr>
                <w:rFonts w:asciiTheme="minorHAnsi" w:hAnsiTheme="minorHAnsi" w:cstheme="minorHAnsi"/>
                <w:szCs w:val="22"/>
              </w:rPr>
              <w:t>f</w:t>
            </w:r>
            <w:r>
              <w:rPr>
                <w:rFonts w:asciiTheme="minorHAnsi" w:hAnsiTheme="minorHAnsi" w:cstheme="minorHAnsi"/>
                <w:szCs w:val="22"/>
              </w:rPr>
              <w:t xml:space="preserve">or </w:t>
            </w:r>
            <w:r w:rsidR="00162FBF">
              <w:rPr>
                <w:rFonts w:asciiTheme="minorHAnsi" w:hAnsiTheme="minorHAnsi" w:cstheme="minorHAnsi"/>
                <w:szCs w:val="22"/>
              </w:rPr>
              <w:t xml:space="preserve">the </w:t>
            </w:r>
            <w:r>
              <w:rPr>
                <w:rFonts w:asciiTheme="minorHAnsi" w:hAnsiTheme="minorHAnsi" w:cstheme="minorHAnsi"/>
                <w:szCs w:val="22"/>
              </w:rPr>
              <w:t>OSPAR Maritime area]</w:t>
            </w:r>
          </w:p>
          <w:p w14:paraId="44ED2DA0" w14:textId="0F3C4605" w:rsidR="00BD5FF4" w:rsidRPr="00F55096" w:rsidRDefault="00162FBF"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szCs w:val="22"/>
              </w:rPr>
              <w:t>: to be populated towards the end of drafting based on extracts from the Response [Content] narrative.</w:t>
            </w:r>
          </w:p>
        </w:tc>
      </w:tr>
      <w:tr w:rsidR="00BD5FF4" w:rsidRPr="00F55096" w14:paraId="201308D1" w14:textId="77777777" w:rsidTr="004C6287">
        <w:trPr>
          <w:trHeight w:val="592"/>
        </w:trPr>
        <w:tc>
          <w:tcPr>
            <w:tcW w:w="2124" w:type="dxa"/>
            <w:vMerge/>
          </w:tcPr>
          <w:p w14:paraId="5FB7816B"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p>
        </w:tc>
        <w:tc>
          <w:tcPr>
            <w:tcW w:w="6798" w:type="dxa"/>
          </w:tcPr>
          <w:p w14:paraId="7E55CF12"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[Content]</w:t>
            </w:r>
          </w:p>
          <w:p w14:paraId="1DECCA21" w14:textId="36CB4B07" w:rsidR="00162FBF" w:rsidRPr="00F55096"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6"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65734BC0" w14:textId="77777777" w:rsidTr="004C6287">
        <w:trPr>
          <w:trHeight w:val="685"/>
        </w:trPr>
        <w:tc>
          <w:tcPr>
            <w:tcW w:w="2124" w:type="dxa"/>
          </w:tcPr>
          <w:p w14:paraId="37AF6FED"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Bow-tie analysis</w:t>
            </w:r>
          </w:p>
        </w:tc>
        <w:tc>
          <w:tcPr>
            <w:tcW w:w="6798" w:type="dxa"/>
          </w:tcPr>
          <w:p w14:paraId="4A31277E" w14:textId="77777777" w:rsidR="00BD5FF4"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F55096">
              <w:rPr>
                <w:rFonts w:asciiTheme="minorHAnsi" w:hAnsiTheme="minorHAnsi" w:cstheme="minorHAnsi"/>
                <w:szCs w:val="22"/>
              </w:rPr>
              <w:t>[Content]</w:t>
            </w:r>
          </w:p>
          <w:p w14:paraId="3365DA45" w14:textId="0C358139" w:rsidR="00162FBF" w:rsidRPr="00A16B0C" w:rsidRDefault="004F0C52"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szCs w:val="22"/>
              </w:rPr>
            </w:pPr>
            <w:r w:rsidRPr="00ED62E9">
              <w:rPr>
                <w:rFonts w:asciiTheme="minorHAnsi" w:hAnsiTheme="minorHAnsi" w:cstheme="minorHAnsi"/>
                <w:b/>
                <w:bCs/>
                <w:szCs w:val="22"/>
              </w:rPr>
              <w:t>NOTE</w:t>
            </w:r>
            <w:r>
              <w:rPr>
                <w:rFonts w:asciiTheme="minorHAnsi" w:hAnsiTheme="minorHAnsi" w:cstheme="minorHAnsi"/>
                <w:b/>
                <w:bCs/>
                <w:szCs w:val="22"/>
              </w:rPr>
              <w:t xml:space="preserve">: </w:t>
            </w:r>
            <w:r>
              <w:rPr>
                <w:rFonts w:asciiTheme="minorHAnsi" w:hAnsiTheme="minorHAnsi" w:cstheme="minorHAnsi"/>
                <w:szCs w:val="22"/>
              </w:rPr>
              <w:t xml:space="preserve">Please consult the </w:t>
            </w:r>
            <w:hyperlink r:id="rId17" w:history="1">
              <w:r w:rsidRPr="00162FBF">
                <w:rPr>
                  <w:rStyle w:val="Hyperlink"/>
                  <w:rFonts w:asciiTheme="minorHAnsi" w:hAnsiTheme="minorHAnsi" w:cstheme="minorHAnsi"/>
                  <w:szCs w:val="22"/>
                </w:rPr>
                <w:t xml:space="preserve">associated </w:t>
              </w:r>
              <w:r>
                <w:rPr>
                  <w:rStyle w:val="Hyperlink"/>
                  <w:rFonts w:asciiTheme="minorHAnsi" w:hAnsiTheme="minorHAnsi" w:cstheme="minorHAnsi"/>
                  <w:szCs w:val="22"/>
                </w:rPr>
                <w:t>t</w:t>
              </w:r>
              <w:r>
                <w:rPr>
                  <w:rStyle w:val="Hyperlink"/>
                </w:rPr>
                <w:t xml:space="preserve">hematic assessment template </w:t>
              </w:r>
              <w:r w:rsidRPr="00162FBF">
                <w:rPr>
                  <w:rStyle w:val="Hyperlink"/>
                  <w:rFonts w:asciiTheme="minorHAnsi" w:hAnsiTheme="minorHAnsi" w:cstheme="minorHAnsi"/>
                  <w:szCs w:val="22"/>
                </w:rPr>
                <w:t>guidance document</w:t>
              </w:r>
            </w:hyperlink>
            <w:r>
              <w:rPr>
                <w:rFonts w:asciiTheme="minorHAnsi" w:hAnsiTheme="minorHAnsi" w:cstheme="minorHAnsi"/>
                <w:szCs w:val="22"/>
              </w:rPr>
              <w:t>.</w:t>
            </w:r>
          </w:p>
        </w:tc>
      </w:tr>
      <w:tr w:rsidR="00BD5FF4" w:rsidRPr="00F55096" w14:paraId="4A040912" w14:textId="77777777" w:rsidTr="004C6287">
        <w:trPr>
          <w:trHeight w:val="1380"/>
        </w:trPr>
        <w:tc>
          <w:tcPr>
            <w:tcW w:w="2124" w:type="dxa"/>
          </w:tcPr>
          <w:p w14:paraId="132DF7EB"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b/>
                <w:bCs/>
                <w:szCs w:val="22"/>
              </w:rPr>
            </w:pPr>
            <w:r w:rsidRPr="00F55096">
              <w:rPr>
                <w:rFonts w:asciiTheme="minorHAnsi" w:hAnsiTheme="minorHAnsi" w:cstheme="minorHAnsi"/>
                <w:b/>
                <w:bCs/>
                <w:szCs w:val="22"/>
              </w:rPr>
              <w:t>Climate change</w:t>
            </w:r>
          </w:p>
        </w:tc>
        <w:tc>
          <w:tcPr>
            <w:tcW w:w="6798" w:type="dxa"/>
          </w:tcPr>
          <w:p w14:paraId="606778D8" w14:textId="77777777" w:rsidR="00BD5FF4" w:rsidRPr="00F55096" w:rsidRDefault="00BD5FF4" w:rsidP="00BD5FF4">
            <w:pPr>
              <w:tabs>
                <w:tab w:val="clear" w:pos="720"/>
                <w:tab w:val="clear" w:pos="1440"/>
                <w:tab w:val="clear" w:pos="2160"/>
                <w:tab w:val="clear" w:pos="2880"/>
                <w:tab w:val="clear" w:pos="4680"/>
                <w:tab w:val="clear" w:pos="5400"/>
                <w:tab w:val="clear" w:pos="9000"/>
              </w:tabs>
              <w:spacing w:after="160" w:line="259" w:lineRule="auto"/>
              <w:rPr>
                <w:rFonts w:asciiTheme="minorHAnsi" w:hAnsiTheme="minorHAnsi" w:cstheme="minorHAnsi"/>
                <w:szCs w:val="22"/>
              </w:rPr>
            </w:pPr>
            <w:r w:rsidRPr="00F55096">
              <w:rPr>
                <w:rFonts w:asciiTheme="minorHAnsi" w:hAnsiTheme="minorHAnsi" w:cstheme="minorHAnsi"/>
                <w:szCs w:val="22"/>
              </w:rPr>
              <w:t>[Content]</w:t>
            </w:r>
          </w:p>
          <w:p w14:paraId="0492FAE6" w14:textId="6A8D87B4" w:rsidR="00BD5FF4" w:rsidRPr="00997DED" w:rsidRDefault="00BD5FF4" w:rsidP="00BD5FF4">
            <w:pPr>
              <w:pStyle w:val="Default"/>
              <w:spacing w:after="120"/>
              <w:jc w:val="both"/>
              <w:rPr>
                <w:rFonts w:ascii="Calibri" w:hAnsi="Calibri" w:cs="Calibri"/>
                <w:color w:val="auto"/>
                <w:sz w:val="22"/>
                <w:szCs w:val="22"/>
              </w:rPr>
            </w:pPr>
            <w:r>
              <w:rPr>
                <w:rFonts w:ascii="Calibri" w:hAnsi="Calibri" w:cs="Calibri"/>
                <w:b/>
                <w:bCs/>
                <w:color w:val="auto"/>
                <w:sz w:val="22"/>
                <w:szCs w:val="22"/>
                <w:u w:val="single"/>
              </w:rPr>
              <w:t>Note on the p</w:t>
            </w:r>
            <w:r w:rsidRPr="00997DED">
              <w:rPr>
                <w:rFonts w:ascii="Calibri" w:hAnsi="Calibri" w:cs="Calibri"/>
                <w:b/>
                <w:bCs/>
                <w:color w:val="auto"/>
                <w:sz w:val="22"/>
                <w:szCs w:val="22"/>
                <w:u w:val="single"/>
              </w:rPr>
              <w:t>rocess</w:t>
            </w:r>
            <w:r w:rsidRPr="00997DED">
              <w:rPr>
                <w:rFonts w:ascii="Calibri" w:hAnsi="Calibri" w:cs="Calibri"/>
                <w:b/>
                <w:bCs/>
                <w:color w:val="auto"/>
                <w:sz w:val="22"/>
                <w:szCs w:val="22"/>
              </w:rPr>
              <w:t>:</w:t>
            </w:r>
            <w:r w:rsidRPr="00997DED">
              <w:rPr>
                <w:rFonts w:ascii="Calibri" w:hAnsi="Calibri" w:cs="Calibri"/>
                <w:color w:val="auto"/>
                <w:sz w:val="22"/>
                <w:szCs w:val="22"/>
              </w:rPr>
              <w:t xml:space="preserve"> The Climate Change Expert Group are developing the climate change thematic assessment and request that all other thematic assessments contribute in responding to questions, as below, for each of the parameters assessed in QSR 2010 tables 3.1 and 3.2 </w:t>
            </w:r>
            <w:r w:rsidRPr="00997DED">
              <w:rPr>
                <w:color w:val="auto"/>
              </w:rPr>
              <w:t>(</w:t>
            </w:r>
            <w:hyperlink r:id="rId18" w:history="1">
              <w:r w:rsidRPr="00997DED">
                <w:rPr>
                  <w:rStyle w:val="Hyperlink"/>
                  <w:color w:val="0070C0"/>
                </w:rPr>
                <w:t>https://qsr2010.ospar.org/en/ch03_01.html</w:t>
              </w:r>
            </w:hyperlink>
            <w:r w:rsidRPr="00997DED">
              <w:rPr>
                <w:rStyle w:val="Hyperlink"/>
                <w:color w:val="auto"/>
              </w:rPr>
              <w:t>)</w:t>
            </w:r>
            <w:r w:rsidRPr="00997DED">
              <w:rPr>
                <w:rFonts w:ascii="Calibri" w:hAnsi="Calibri" w:cs="Calibri"/>
                <w:color w:val="auto"/>
                <w:sz w:val="22"/>
                <w:szCs w:val="22"/>
              </w:rPr>
              <w:t xml:space="preserve">. In the prepopulated templates provided to assessors, the Secretariat has listed the proposed parameters for each thematic assessment.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11"/>
              <w:gridCol w:w="930"/>
              <w:gridCol w:w="960"/>
              <w:gridCol w:w="1020"/>
              <w:gridCol w:w="860"/>
              <w:gridCol w:w="1860"/>
            </w:tblGrid>
            <w:tr w:rsidR="00BD5FF4" w14:paraId="14882BD0" w14:textId="77777777" w:rsidTr="0091475A">
              <w:trPr>
                <w:tblHeader/>
              </w:trPr>
              <w:tc>
                <w:tcPr>
                  <w:tcW w:w="1753" w:type="pct"/>
                  <w:gridSpan w:val="3"/>
                  <w:tcBorders>
                    <w:top w:val="single" w:sz="4" w:space="0" w:color="auto"/>
                    <w:left w:val="single" w:sz="4" w:space="0" w:color="auto"/>
                    <w:bottom w:val="single" w:sz="4" w:space="0" w:color="auto"/>
                    <w:right w:val="single" w:sz="4" w:space="0" w:color="auto"/>
                  </w:tcBorders>
                  <w:shd w:val="clear" w:color="auto" w:fill="D2D2C7"/>
                  <w:tcMar>
                    <w:top w:w="45" w:type="dxa"/>
                    <w:left w:w="120" w:type="dxa"/>
                    <w:bottom w:w="45" w:type="dxa"/>
                    <w:right w:w="120" w:type="dxa"/>
                  </w:tcMar>
                </w:tcPr>
                <w:p w14:paraId="15AFF7CA" w14:textId="77777777" w:rsidR="00BD5FF4" w:rsidRDefault="00BD5FF4" w:rsidP="00BD5FF4">
                  <w:pPr>
                    <w:spacing w:after="75"/>
                    <w:rPr>
                      <w:rFonts w:ascii="Times New Roman" w:hAnsi="Times New Roman"/>
                      <w:b/>
                      <w:bCs/>
                      <w:sz w:val="18"/>
                      <w:szCs w:val="18"/>
                      <w:lang w:eastAsia="en-GB"/>
                    </w:rPr>
                  </w:pPr>
                  <w:r>
                    <w:rPr>
                      <w:rFonts w:ascii="Times New Roman" w:hAnsi="Times New Roman"/>
                      <w:b/>
                      <w:bCs/>
                      <w:sz w:val="18"/>
                      <w:szCs w:val="18"/>
                      <w:lang w:eastAsia="en-GB"/>
                    </w:rPr>
                    <w:lastRenderedPageBreak/>
                    <w:t>QSR 2010</w:t>
                  </w:r>
                </w:p>
              </w:tc>
              <w:tc>
                <w:tcPr>
                  <w:tcW w:w="3247"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C1B6A2" w14:textId="77777777" w:rsidR="00BD5FF4" w:rsidRDefault="00BD5FF4" w:rsidP="00BD5FF4">
                  <w:pPr>
                    <w:spacing w:after="75"/>
                    <w:rPr>
                      <w:rFonts w:ascii="Times New Roman" w:hAnsi="Times New Roman"/>
                      <w:b/>
                      <w:bCs/>
                      <w:sz w:val="18"/>
                      <w:szCs w:val="18"/>
                      <w:lang w:eastAsia="en-GB"/>
                    </w:rPr>
                  </w:pPr>
                  <w:r>
                    <w:rPr>
                      <w:rFonts w:ascii="Times New Roman" w:hAnsi="Times New Roman"/>
                      <w:b/>
                      <w:bCs/>
                      <w:sz w:val="18"/>
                      <w:szCs w:val="18"/>
                      <w:lang w:eastAsia="en-GB"/>
                    </w:rPr>
                    <w:t>QSR 2023</w:t>
                  </w:r>
                </w:p>
              </w:tc>
            </w:tr>
            <w:tr w:rsidR="00BD5FF4" w14:paraId="68432878" w14:textId="77777777" w:rsidTr="0091475A">
              <w:trPr>
                <w:tblHeader/>
              </w:trPr>
              <w:tc>
                <w:tcPr>
                  <w:tcW w:w="547" w:type="pct"/>
                  <w:tcBorders>
                    <w:top w:val="single" w:sz="4" w:space="0" w:color="auto"/>
                    <w:left w:val="single" w:sz="4" w:space="0" w:color="auto"/>
                    <w:bottom w:val="single" w:sz="4" w:space="0" w:color="auto"/>
                    <w:right w:val="single" w:sz="4" w:space="0" w:color="auto"/>
                  </w:tcBorders>
                  <w:shd w:val="clear" w:color="auto" w:fill="D2D2C7"/>
                  <w:tcMar>
                    <w:top w:w="45" w:type="dxa"/>
                    <w:left w:w="120" w:type="dxa"/>
                    <w:bottom w:w="45" w:type="dxa"/>
                    <w:right w:w="120" w:type="dxa"/>
                  </w:tcMar>
                  <w:hideMark/>
                </w:tcPr>
                <w:p w14:paraId="47057E90" w14:textId="77777777" w:rsidR="00BD5FF4" w:rsidRDefault="00BD5FF4" w:rsidP="00BD5FF4">
                  <w:pPr>
                    <w:spacing w:after="75"/>
                    <w:rPr>
                      <w:rFonts w:ascii="Times New Roman" w:hAnsi="Times New Roman"/>
                      <w:b/>
                      <w:bCs/>
                      <w:sz w:val="18"/>
                      <w:szCs w:val="18"/>
                      <w:lang w:eastAsia="en-GB"/>
                    </w:rPr>
                  </w:pPr>
                  <w:r>
                    <w:rPr>
                      <w:rFonts w:ascii="Times New Roman" w:hAnsi="Times New Roman"/>
                      <w:b/>
                      <w:bCs/>
                      <w:sz w:val="18"/>
                      <w:szCs w:val="18"/>
                      <w:lang w:eastAsia="en-GB"/>
                    </w:rPr>
                    <w:t>Impact</w:t>
                  </w:r>
                </w:p>
              </w:tc>
              <w:tc>
                <w:tcPr>
                  <w:tcW w:w="562" w:type="pct"/>
                  <w:tcBorders>
                    <w:top w:val="single" w:sz="4" w:space="0" w:color="auto"/>
                    <w:left w:val="single" w:sz="4" w:space="0" w:color="auto"/>
                    <w:bottom w:val="single" w:sz="4" w:space="0" w:color="auto"/>
                    <w:right w:val="single" w:sz="4" w:space="0" w:color="auto"/>
                  </w:tcBorders>
                  <w:shd w:val="clear" w:color="auto" w:fill="D2D2C7"/>
                  <w:tcMar>
                    <w:top w:w="45" w:type="dxa"/>
                    <w:left w:w="120" w:type="dxa"/>
                    <w:bottom w:w="45" w:type="dxa"/>
                    <w:right w:w="120" w:type="dxa"/>
                  </w:tcMar>
                  <w:hideMark/>
                </w:tcPr>
                <w:p w14:paraId="38D53666" w14:textId="77777777" w:rsidR="00BD5FF4" w:rsidRDefault="00BD5FF4" w:rsidP="00BD5FF4">
                  <w:pPr>
                    <w:spacing w:after="75"/>
                    <w:rPr>
                      <w:rFonts w:ascii="Times New Roman" w:hAnsi="Times New Roman"/>
                      <w:b/>
                      <w:bCs/>
                      <w:sz w:val="18"/>
                      <w:szCs w:val="18"/>
                      <w:lang w:eastAsia="en-GB"/>
                    </w:rPr>
                  </w:pPr>
                  <w:r>
                    <w:rPr>
                      <w:rFonts w:ascii="Times New Roman" w:hAnsi="Times New Roman"/>
                      <w:b/>
                      <w:bCs/>
                      <w:sz w:val="18"/>
                      <w:szCs w:val="18"/>
                      <w:lang w:eastAsia="en-GB"/>
                    </w:rPr>
                    <w:t>What might happen</w:t>
                  </w:r>
                </w:p>
              </w:tc>
              <w:tc>
                <w:tcPr>
                  <w:tcW w:w="644" w:type="pct"/>
                  <w:tcBorders>
                    <w:top w:val="single" w:sz="4" w:space="0" w:color="auto"/>
                    <w:left w:val="single" w:sz="4" w:space="0" w:color="auto"/>
                    <w:bottom w:val="single" w:sz="4" w:space="0" w:color="auto"/>
                    <w:right w:val="single" w:sz="4" w:space="0" w:color="auto"/>
                  </w:tcBorders>
                  <w:shd w:val="clear" w:color="auto" w:fill="D2D2C7"/>
                  <w:tcMar>
                    <w:top w:w="45" w:type="dxa"/>
                    <w:left w:w="120" w:type="dxa"/>
                    <w:bottom w:w="45" w:type="dxa"/>
                    <w:right w:w="120" w:type="dxa"/>
                  </w:tcMar>
                  <w:hideMark/>
                </w:tcPr>
                <w:p w14:paraId="6694C9F5" w14:textId="77777777" w:rsidR="00BD5FF4" w:rsidRDefault="00BD5FF4" w:rsidP="00BD5FF4">
                  <w:pPr>
                    <w:spacing w:after="75"/>
                    <w:rPr>
                      <w:rFonts w:ascii="Times New Roman" w:hAnsi="Times New Roman"/>
                      <w:b/>
                      <w:bCs/>
                      <w:sz w:val="18"/>
                      <w:szCs w:val="18"/>
                      <w:lang w:eastAsia="en-GB"/>
                    </w:rPr>
                  </w:pPr>
                  <w:r>
                    <w:rPr>
                      <w:rFonts w:ascii="Times New Roman" w:hAnsi="Times New Roman"/>
                      <w:b/>
                      <w:bCs/>
                      <w:sz w:val="18"/>
                      <w:szCs w:val="18"/>
                      <w:lang w:eastAsia="en-GB"/>
                    </w:rPr>
                    <w:t>What has been observed</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14B336" w14:textId="77777777" w:rsidR="00BD5FF4" w:rsidRPr="00895B5E" w:rsidRDefault="00BD5FF4" w:rsidP="00BD5FF4">
                  <w:pPr>
                    <w:spacing w:after="75"/>
                    <w:rPr>
                      <w:rFonts w:ascii="Times New Roman" w:hAnsi="Times New Roman"/>
                      <w:b/>
                      <w:bCs/>
                      <w:sz w:val="18"/>
                      <w:szCs w:val="18"/>
                      <w:lang w:eastAsia="en-GB"/>
                    </w:rPr>
                  </w:pPr>
                  <w:r w:rsidRPr="00895B5E">
                    <w:rPr>
                      <w:rFonts w:ascii="Times New Roman" w:hAnsi="Times New Roman"/>
                      <w:b/>
                      <w:bCs/>
                      <w:sz w:val="18"/>
                      <w:szCs w:val="18"/>
                      <w:lang w:eastAsia="en-GB"/>
                    </w:rPr>
                    <w:t xml:space="preserve">Did the foreseen change happen? </w:t>
                  </w:r>
                </w:p>
              </w:tc>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C1E72" w14:textId="77777777" w:rsidR="00BD5FF4" w:rsidRPr="00895B5E" w:rsidRDefault="00BD5FF4" w:rsidP="00BD5FF4">
                  <w:pPr>
                    <w:spacing w:after="75"/>
                    <w:rPr>
                      <w:rFonts w:ascii="Times New Roman" w:hAnsi="Times New Roman"/>
                      <w:b/>
                      <w:bCs/>
                      <w:sz w:val="18"/>
                      <w:szCs w:val="18"/>
                      <w:lang w:eastAsia="en-GB"/>
                    </w:rPr>
                  </w:pPr>
                  <w:r w:rsidRPr="00895B5E">
                    <w:rPr>
                      <w:rFonts w:ascii="Times New Roman" w:hAnsi="Times New Roman"/>
                      <w:b/>
                      <w:bCs/>
                      <w:sz w:val="18"/>
                      <w:szCs w:val="18"/>
                      <w:lang w:eastAsia="en-GB"/>
                    </w:rPr>
                    <w:t>How has the change happened?</w:t>
                  </w:r>
                </w:p>
              </w:tc>
              <w:tc>
                <w:tcPr>
                  <w:tcW w:w="11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8D0C2" w14:textId="77777777" w:rsidR="00BD5FF4" w:rsidRPr="00895B5E" w:rsidRDefault="00BD5FF4" w:rsidP="00BD5FF4">
                  <w:pPr>
                    <w:spacing w:after="75"/>
                    <w:rPr>
                      <w:rFonts w:ascii="Times New Roman" w:hAnsi="Times New Roman"/>
                      <w:b/>
                      <w:bCs/>
                      <w:sz w:val="18"/>
                      <w:szCs w:val="18"/>
                      <w:lang w:eastAsia="en-GB"/>
                    </w:rPr>
                  </w:pPr>
                  <w:r w:rsidRPr="00895B5E">
                    <w:rPr>
                      <w:rFonts w:ascii="Times New Roman" w:hAnsi="Times New Roman"/>
                      <w:b/>
                      <w:bCs/>
                      <w:sz w:val="18"/>
                      <w:szCs w:val="18"/>
                      <w:lang w:eastAsia="en-GB"/>
                    </w:rPr>
                    <w:t>What has been the impact?</w:t>
                  </w:r>
                </w:p>
              </w:tc>
              <w:tc>
                <w:tcPr>
                  <w:tcW w:w="7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8D780B" w14:textId="77777777" w:rsidR="00BD5FF4" w:rsidRPr="00DC7175" w:rsidRDefault="00BD5FF4" w:rsidP="00BD5FF4">
                  <w:pPr>
                    <w:spacing w:after="75"/>
                    <w:rPr>
                      <w:rFonts w:ascii="Times New Roman" w:hAnsi="Times New Roman"/>
                      <w:b/>
                      <w:bCs/>
                      <w:sz w:val="18"/>
                      <w:szCs w:val="18"/>
                      <w:lang w:eastAsia="en-GB"/>
                    </w:rPr>
                  </w:pPr>
                  <w:r w:rsidRPr="00DC7175">
                    <w:rPr>
                      <w:rFonts w:ascii="Times New Roman" w:hAnsi="Times New Roman"/>
                      <w:b/>
                      <w:bCs/>
                      <w:sz w:val="18"/>
                      <w:szCs w:val="18"/>
                      <w:lang w:eastAsia="en-GB"/>
                    </w:rPr>
                    <w:t>Confidence (guidance document annex 1)</w:t>
                  </w:r>
                </w:p>
              </w:tc>
            </w:tr>
            <w:tr w:rsidR="00BD5FF4" w14:paraId="046E5AE3" w14:textId="77777777" w:rsidTr="0091475A">
              <w:tc>
                <w:tcPr>
                  <w:tcW w:w="547" w:type="pct"/>
                  <w:tcBorders>
                    <w:top w:val="single" w:sz="4" w:space="0" w:color="auto"/>
                    <w:left w:val="single" w:sz="4" w:space="0" w:color="auto"/>
                    <w:bottom w:val="single" w:sz="4" w:space="0" w:color="auto"/>
                    <w:right w:val="single" w:sz="4" w:space="0" w:color="auto"/>
                  </w:tcBorders>
                  <w:shd w:val="clear" w:color="auto" w:fill="ECECE8"/>
                  <w:tcMar>
                    <w:top w:w="45" w:type="dxa"/>
                    <w:left w:w="120" w:type="dxa"/>
                    <w:bottom w:w="45" w:type="dxa"/>
                    <w:right w:w="120" w:type="dxa"/>
                  </w:tcMar>
                  <w:hideMark/>
                </w:tcPr>
                <w:p w14:paraId="737461B3" w14:textId="77777777" w:rsidR="00BD5FF4" w:rsidRDefault="00BD5FF4" w:rsidP="00BD5FF4">
                  <w:pPr>
                    <w:spacing w:after="75"/>
                    <w:rPr>
                      <w:rFonts w:ascii="Times New Roman" w:hAnsi="Times New Roman"/>
                      <w:sz w:val="18"/>
                      <w:szCs w:val="18"/>
                      <w:lang w:eastAsia="en-GB"/>
                    </w:rPr>
                  </w:pPr>
                  <w:r>
                    <w:rPr>
                      <w:rFonts w:ascii="Times New Roman" w:hAnsi="Times New Roman"/>
                      <w:sz w:val="18"/>
                      <w:szCs w:val="18"/>
                      <w:lang w:eastAsia="en-GB"/>
                    </w:rPr>
                    <w:t>[</w:t>
                  </w:r>
                  <w:r w:rsidRPr="00895B5E">
                    <w:t>QSR</w:t>
                  </w:r>
                  <w:r>
                    <w:rPr>
                      <w:rFonts w:ascii="Times New Roman" w:hAnsi="Times New Roman"/>
                      <w:sz w:val="18"/>
                      <w:szCs w:val="18"/>
                      <w:lang w:eastAsia="en-GB"/>
                    </w:rPr>
                    <w:t xml:space="preserve"> </w:t>
                  </w:r>
                  <w:r w:rsidRPr="00895B5E">
                    <w:t>2</w:t>
                  </w:r>
                  <w:r>
                    <w:rPr>
                      <w:rFonts w:ascii="Times New Roman" w:hAnsi="Times New Roman"/>
                      <w:sz w:val="18"/>
                      <w:szCs w:val="18"/>
                      <w:lang w:eastAsia="en-GB"/>
                    </w:rPr>
                    <w:t>010 text]</w:t>
                  </w:r>
                </w:p>
              </w:tc>
              <w:tc>
                <w:tcPr>
                  <w:tcW w:w="562" w:type="pct"/>
                  <w:tcBorders>
                    <w:top w:val="single" w:sz="4" w:space="0" w:color="auto"/>
                    <w:left w:val="single" w:sz="4" w:space="0" w:color="auto"/>
                    <w:bottom w:val="single" w:sz="4" w:space="0" w:color="auto"/>
                    <w:right w:val="single" w:sz="4" w:space="0" w:color="auto"/>
                  </w:tcBorders>
                  <w:shd w:val="clear" w:color="auto" w:fill="ECECE8"/>
                  <w:tcMar>
                    <w:top w:w="45" w:type="dxa"/>
                    <w:left w:w="120" w:type="dxa"/>
                    <w:bottom w:w="45" w:type="dxa"/>
                    <w:right w:w="120" w:type="dxa"/>
                  </w:tcMar>
                  <w:hideMark/>
                </w:tcPr>
                <w:p w14:paraId="52D515A0" w14:textId="77777777" w:rsidR="00BD5FF4" w:rsidRDefault="00BD5FF4" w:rsidP="00BD5FF4">
                  <w:pPr>
                    <w:spacing w:after="75"/>
                    <w:rPr>
                      <w:rFonts w:ascii="Times New Roman" w:hAnsi="Times New Roman"/>
                      <w:sz w:val="18"/>
                      <w:szCs w:val="18"/>
                      <w:lang w:eastAsia="en-GB"/>
                    </w:rPr>
                  </w:pPr>
                  <w:r>
                    <w:rPr>
                      <w:rFonts w:ascii="Times New Roman" w:hAnsi="Times New Roman"/>
                      <w:sz w:val="18"/>
                      <w:szCs w:val="18"/>
                      <w:lang w:eastAsia="en-GB"/>
                    </w:rPr>
                    <w:t>[QSR 2010 text]</w:t>
                  </w:r>
                </w:p>
              </w:tc>
              <w:tc>
                <w:tcPr>
                  <w:tcW w:w="644" w:type="pct"/>
                  <w:tcBorders>
                    <w:top w:val="single" w:sz="4" w:space="0" w:color="auto"/>
                    <w:left w:val="single" w:sz="4" w:space="0" w:color="auto"/>
                    <w:bottom w:val="single" w:sz="4" w:space="0" w:color="auto"/>
                    <w:right w:val="single" w:sz="4" w:space="0" w:color="auto"/>
                  </w:tcBorders>
                  <w:shd w:val="clear" w:color="auto" w:fill="ECECE8"/>
                  <w:tcMar>
                    <w:top w:w="45" w:type="dxa"/>
                    <w:left w:w="120" w:type="dxa"/>
                    <w:bottom w:w="45" w:type="dxa"/>
                    <w:right w:w="120" w:type="dxa"/>
                  </w:tcMar>
                  <w:hideMark/>
                </w:tcPr>
                <w:p w14:paraId="53AB6FDE" w14:textId="77777777" w:rsidR="00BD5FF4" w:rsidRDefault="00BD5FF4" w:rsidP="00BD5FF4">
                  <w:pPr>
                    <w:spacing w:after="75"/>
                    <w:rPr>
                      <w:rFonts w:ascii="Times New Roman" w:hAnsi="Times New Roman"/>
                      <w:sz w:val="18"/>
                      <w:szCs w:val="18"/>
                      <w:lang w:eastAsia="en-GB"/>
                    </w:rPr>
                  </w:pPr>
                  <w:r>
                    <w:rPr>
                      <w:rFonts w:ascii="Times New Roman" w:hAnsi="Times New Roman"/>
                      <w:sz w:val="18"/>
                      <w:szCs w:val="18"/>
                      <w:lang w:eastAsia="en-GB"/>
                    </w:rPr>
                    <w:t>[QSR 2010 text]</w:t>
                  </w:r>
                </w:p>
              </w:tc>
              <w:tc>
                <w:tcPr>
                  <w:tcW w:w="66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EF8232"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[Yes/No/Not possible to know]</w:t>
                  </w:r>
                </w:p>
                <w:p w14:paraId="69629D3D" w14:textId="77777777" w:rsidR="00BD5FF4" w:rsidRPr="00895B5E" w:rsidRDefault="00BD5FF4" w:rsidP="00BD5FF4">
                  <w:pPr>
                    <w:spacing w:after="75"/>
                    <w:rPr>
                      <w:rFonts w:ascii="Times New Roman" w:hAnsi="Times New Roman"/>
                      <w:sz w:val="18"/>
                      <w:szCs w:val="18"/>
                      <w:lang w:eastAsia="en-GB"/>
                    </w:rPr>
                  </w:pPr>
                </w:p>
                <w:p w14:paraId="07372EB7"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[Comment]</w:t>
                  </w:r>
                </w:p>
              </w:tc>
              <w:tc>
                <w:tcPr>
                  <w:tcW w:w="7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07D820"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[faster/slower than anticipated, more drastic/very mild change]</w:t>
                  </w:r>
                </w:p>
                <w:p w14:paraId="26FB45ED"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[Comment]</w:t>
                  </w:r>
                </w:p>
              </w:tc>
              <w:tc>
                <w:tcPr>
                  <w:tcW w:w="116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66A25"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[strong negative / mild positive etc]</w:t>
                  </w:r>
                </w:p>
                <w:p w14:paraId="4112C723" w14:textId="77777777" w:rsidR="00BD5FF4" w:rsidRPr="00895B5E"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[Comment]</w:t>
                  </w:r>
                </w:p>
              </w:tc>
              <w:tc>
                <w:tcPr>
                  <w:tcW w:w="7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6E5E50" w14:textId="77777777" w:rsidR="00BD5FF4" w:rsidRPr="00DC7175" w:rsidRDefault="00BD5FF4" w:rsidP="00BD5FF4">
                  <w:pPr>
                    <w:spacing w:after="75"/>
                    <w:rPr>
                      <w:rFonts w:ascii="Times New Roman" w:hAnsi="Times New Roman"/>
                      <w:sz w:val="18"/>
                      <w:szCs w:val="18"/>
                      <w:lang w:eastAsia="en-GB"/>
                    </w:rPr>
                  </w:pPr>
                  <w:r w:rsidRPr="00DC7175">
                    <w:rPr>
                      <w:rFonts w:ascii="Times New Roman" w:hAnsi="Times New Roman"/>
                      <w:sz w:val="18"/>
                      <w:szCs w:val="18"/>
                      <w:lang w:eastAsia="en-GB"/>
                    </w:rPr>
                    <w:t>Evidence [Robust/medium/limited]</w:t>
                  </w:r>
                </w:p>
                <w:p w14:paraId="0D24D950" w14:textId="77777777" w:rsidR="00BD5FF4" w:rsidRPr="00DC7175" w:rsidRDefault="00BD5FF4" w:rsidP="00BD5FF4">
                  <w:pPr>
                    <w:spacing w:after="75"/>
                    <w:rPr>
                      <w:rFonts w:ascii="Times New Roman" w:hAnsi="Times New Roman"/>
                      <w:sz w:val="18"/>
                      <w:szCs w:val="18"/>
                      <w:lang w:eastAsia="en-GB"/>
                    </w:rPr>
                  </w:pPr>
                </w:p>
                <w:p w14:paraId="59B19905" w14:textId="77777777" w:rsidR="00BD5FF4" w:rsidRPr="00DC7175" w:rsidRDefault="00BD5FF4" w:rsidP="00BD5FF4">
                  <w:pPr>
                    <w:spacing w:after="75"/>
                    <w:rPr>
                      <w:rFonts w:ascii="Times New Roman" w:hAnsi="Times New Roman"/>
                      <w:sz w:val="18"/>
                      <w:szCs w:val="18"/>
                      <w:lang w:eastAsia="en-GB"/>
                    </w:rPr>
                  </w:pPr>
                  <w:r w:rsidRPr="00DC7175">
                    <w:rPr>
                      <w:rFonts w:ascii="Times New Roman" w:hAnsi="Times New Roman"/>
                      <w:sz w:val="18"/>
                      <w:szCs w:val="18"/>
                      <w:lang w:eastAsia="en-GB"/>
                    </w:rPr>
                    <w:t>Degree of agreement</w:t>
                  </w:r>
                </w:p>
                <w:p w14:paraId="0D482F2F" w14:textId="77777777" w:rsidR="00BD5FF4" w:rsidRPr="00DC7175" w:rsidRDefault="00BD5FF4" w:rsidP="00BD5FF4">
                  <w:pPr>
                    <w:spacing w:after="75"/>
                    <w:rPr>
                      <w:rFonts w:ascii="Times New Roman" w:hAnsi="Times New Roman"/>
                      <w:sz w:val="18"/>
                      <w:szCs w:val="18"/>
                      <w:lang w:eastAsia="en-GB"/>
                    </w:rPr>
                  </w:pPr>
                  <w:r w:rsidRPr="00DC7175">
                    <w:rPr>
                      <w:rFonts w:ascii="Times New Roman" w:hAnsi="Times New Roman"/>
                      <w:sz w:val="18"/>
                      <w:szCs w:val="18"/>
                      <w:lang w:eastAsia="en-GB"/>
                    </w:rPr>
                    <w:t>[High/medium/low]</w:t>
                  </w:r>
                </w:p>
                <w:p w14:paraId="2546D3CD" w14:textId="77777777" w:rsidR="00BD5FF4" w:rsidRPr="00DC7175" w:rsidRDefault="00BD5FF4" w:rsidP="00BD5FF4">
                  <w:pPr>
                    <w:spacing w:after="75"/>
                    <w:rPr>
                      <w:rFonts w:ascii="Times New Roman" w:hAnsi="Times New Roman"/>
                      <w:sz w:val="18"/>
                      <w:szCs w:val="18"/>
                      <w:lang w:eastAsia="en-GB"/>
                    </w:rPr>
                  </w:pPr>
                </w:p>
                <w:p w14:paraId="29381C04" w14:textId="77777777" w:rsidR="00BD5FF4" w:rsidRPr="00DC7175" w:rsidRDefault="00BD5FF4" w:rsidP="00BD5FF4">
                  <w:pPr>
                    <w:spacing w:after="75"/>
                    <w:rPr>
                      <w:rFonts w:ascii="Times New Roman" w:hAnsi="Times New Roman"/>
                      <w:sz w:val="18"/>
                      <w:szCs w:val="18"/>
                      <w:lang w:eastAsia="en-GB"/>
                    </w:rPr>
                  </w:pPr>
                  <w:r w:rsidRPr="00895B5E">
                    <w:rPr>
                      <w:rFonts w:ascii="Times New Roman" w:hAnsi="Times New Roman"/>
                      <w:sz w:val="18"/>
                      <w:szCs w:val="18"/>
                      <w:lang w:eastAsia="en-GB"/>
                    </w:rPr>
                    <w:t>Has confidence increased over 10 years?</w:t>
                  </w:r>
                </w:p>
                <w:p w14:paraId="6897964C" w14:textId="77777777" w:rsidR="00BD5FF4" w:rsidRPr="00DC7175" w:rsidRDefault="00BD5FF4" w:rsidP="00BD5FF4">
                  <w:pPr>
                    <w:spacing w:after="75"/>
                    <w:rPr>
                      <w:rFonts w:ascii="Times New Roman" w:hAnsi="Times New Roman"/>
                      <w:sz w:val="18"/>
                      <w:szCs w:val="18"/>
                      <w:lang w:eastAsia="en-GB"/>
                    </w:rPr>
                  </w:pPr>
                  <w:r w:rsidRPr="00DC7175">
                    <w:rPr>
                      <w:rFonts w:ascii="Times New Roman" w:hAnsi="Times New Roman"/>
                      <w:sz w:val="18"/>
                      <w:szCs w:val="18"/>
                      <w:lang w:eastAsia="en-GB"/>
                    </w:rPr>
                    <w:t>[Yes/No]</w:t>
                  </w:r>
                </w:p>
                <w:p w14:paraId="1A6DE171" w14:textId="77777777" w:rsidR="00BD5FF4" w:rsidRPr="00DC7175" w:rsidRDefault="00BD5FF4" w:rsidP="00BD5FF4">
                  <w:pPr>
                    <w:spacing w:after="75"/>
                    <w:rPr>
                      <w:rFonts w:ascii="Times New Roman" w:hAnsi="Times New Roman"/>
                      <w:sz w:val="18"/>
                      <w:szCs w:val="18"/>
                      <w:lang w:eastAsia="en-GB"/>
                    </w:rPr>
                  </w:pPr>
                  <w:r w:rsidRPr="00DC7175">
                    <w:rPr>
                      <w:rFonts w:ascii="Times New Roman" w:hAnsi="Times New Roman"/>
                      <w:sz w:val="18"/>
                      <w:szCs w:val="18"/>
                      <w:lang w:eastAsia="en-GB"/>
                    </w:rPr>
                    <w:t>[Comment]</w:t>
                  </w:r>
                </w:p>
              </w:tc>
            </w:tr>
          </w:tbl>
          <w:p w14:paraId="06F04141" w14:textId="61DEF3E3" w:rsidR="00BD5FF4" w:rsidRPr="00F55096" w:rsidRDefault="00BD5FF4" w:rsidP="00BD5FF4">
            <w:pPr>
              <w:pStyle w:val="Default"/>
              <w:spacing w:after="120"/>
              <w:rPr>
                <w:rFonts w:ascii="Calibri" w:hAnsi="Calibri" w:cs="Calibri"/>
                <w:sz w:val="22"/>
                <w:szCs w:val="22"/>
              </w:rPr>
            </w:pPr>
          </w:p>
        </w:tc>
      </w:tr>
    </w:tbl>
    <w:p w14:paraId="142BDB62" w14:textId="718BE82F" w:rsidR="00312B9E" w:rsidRPr="00312B9E" w:rsidRDefault="00312B9E" w:rsidP="00312B9E">
      <w:pPr>
        <w:tabs>
          <w:tab w:val="clear" w:pos="720"/>
          <w:tab w:val="clear" w:pos="1440"/>
          <w:tab w:val="clear" w:pos="2160"/>
          <w:tab w:val="clear" w:pos="2880"/>
          <w:tab w:val="clear" w:pos="4680"/>
          <w:tab w:val="clear" w:pos="5400"/>
          <w:tab w:val="clear" w:pos="9000"/>
        </w:tabs>
        <w:spacing w:before="0" w:after="160" w:line="259" w:lineRule="auto"/>
        <w:jc w:val="left"/>
      </w:pPr>
      <w:r>
        <w:lastRenderedPageBreak/>
        <w:br w:type="page"/>
      </w:r>
    </w:p>
    <w:p w14:paraId="0B25E143" w14:textId="379B0B6E" w:rsidR="00747A26" w:rsidRPr="00F55096" w:rsidRDefault="00747A26" w:rsidP="00747A26">
      <w:pPr>
        <w:pStyle w:val="Heading1"/>
      </w:pPr>
      <w:r w:rsidRPr="00F55096">
        <w:lastRenderedPageBreak/>
        <w:t>Thematic Metadata</w:t>
      </w:r>
    </w:p>
    <w:tbl>
      <w:tblPr>
        <w:tblStyle w:val="TableGrid"/>
        <w:tblW w:w="0" w:type="auto"/>
        <w:tblLook w:val="04A0" w:firstRow="1" w:lastRow="0" w:firstColumn="1" w:lastColumn="0" w:noHBand="0" w:noVBand="1"/>
      </w:tblPr>
      <w:tblGrid>
        <w:gridCol w:w="2122"/>
        <w:gridCol w:w="1275"/>
        <w:gridCol w:w="6231"/>
      </w:tblGrid>
      <w:tr w:rsidR="00747A26" w:rsidRPr="00F55096" w14:paraId="212FCE25" w14:textId="77777777" w:rsidTr="004C6287">
        <w:trPr>
          <w:trHeight w:val="354"/>
        </w:trPr>
        <w:tc>
          <w:tcPr>
            <w:tcW w:w="2122" w:type="dxa"/>
            <w:shd w:val="clear" w:color="auto" w:fill="A6A6A6" w:themeFill="background1" w:themeFillShade="A6"/>
          </w:tcPr>
          <w:p w14:paraId="473F7C77"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b/>
                <w:bCs/>
              </w:rPr>
            </w:pPr>
            <w:r w:rsidRPr="00F55096">
              <w:rPr>
                <w:rFonts w:cs="Calibri"/>
                <w:b/>
                <w:bCs/>
              </w:rPr>
              <w:t>Field</w:t>
            </w:r>
          </w:p>
        </w:tc>
        <w:tc>
          <w:tcPr>
            <w:tcW w:w="1275" w:type="dxa"/>
            <w:shd w:val="clear" w:color="auto" w:fill="A6A6A6" w:themeFill="background1" w:themeFillShade="A6"/>
          </w:tcPr>
          <w:p w14:paraId="6996B2C0"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b/>
                <w:bCs/>
              </w:rPr>
            </w:pPr>
            <w:r w:rsidRPr="00F55096">
              <w:rPr>
                <w:rFonts w:cs="Calibri"/>
                <w:b/>
                <w:bCs/>
              </w:rPr>
              <w:t xml:space="preserve">Data Type </w:t>
            </w:r>
          </w:p>
        </w:tc>
        <w:tc>
          <w:tcPr>
            <w:tcW w:w="6231" w:type="dxa"/>
            <w:shd w:val="clear" w:color="auto" w:fill="A6A6A6" w:themeFill="background1" w:themeFillShade="A6"/>
          </w:tcPr>
          <w:p w14:paraId="55546191"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b/>
                <w:bCs/>
                <w:szCs w:val="22"/>
              </w:rPr>
            </w:pPr>
            <w:r w:rsidRPr="00F55096">
              <w:rPr>
                <w:b/>
                <w:bCs/>
                <w:szCs w:val="22"/>
              </w:rPr>
              <w:t>Explanation</w:t>
            </w:r>
          </w:p>
        </w:tc>
      </w:tr>
      <w:tr w:rsidR="00747A26" w:rsidRPr="00F55096" w14:paraId="1DE49BDC" w14:textId="77777777" w:rsidTr="004C6287">
        <w:trPr>
          <w:trHeight w:val="801"/>
        </w:trPr>
        <w:tc>
          <w:tcPr>
            <w:tcW w:w="2122" w:type="dxa"/>
          </w:tcPr>
          <w:p w14:paraId="42042C72"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Summary Results (template Addendum 1)</w:t>
            </w:r>
          </w:p>
        </w:tc>
        <w:tc>
          <w:tcPr>
            <w:tcW w:w="1275" w:type="dxa"/>
          </w:tcPr>
          <w:p w14:paraId="3529E470"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URL</w:t>
            </w:r>
          </w:p>
        </w:tc>
        <w:tc>
          <w:tcPr>
            <w:tcW w:w="6231" w:type="dxa"/>
          </w:tcPr>
          <w:p w14:paraId="232D5A0E"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t>Link to MSFD results table,including: Descriptor, Criterion, GESComponent, Feature, Marine Reporting Units, etc.</w:t>
            </w:r>
          </w:p>
        </w:tc>
      </w:tr>
      <w:tr w:rsidR="00747A26" w:rsidRPr="00F55096" w14:paraId="3074838A" w14:textId="77777777" w:rsidTr="004C6287">
        <w:trPr>
          <w:trHeight w:val="539"/>
        </w:trPr>
        <w:tc>
          <w:tcPr>
            <w:tcW w:w="2122" w:type="dxa"/>
          </w:tcPr>
          <w:p w14:paraId="663C196A"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Contributor</w:t>
            </w:r>
          </w:p>
        </w:tc>
        <w:tc>
          <w:tcPr>
            <w:tcW w:w="1275" w:type="dxa"/>
          </w:tcPr>
          <w:p w14:paraId="2AA7F730"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Text</w:t>
            </w:r>
          </w:p>
        </w:tc>
        <w:tc>
          <w:tcPr>
            <w:tcW w:w="6231" w:type="dxa"/>
          </w:tcPr>
          <w:p w14:paraId="08C2B3B3" w14:textId="77777777" w:rsidR="00747A26" w:rsidRPr="00F55096" w:rsidRDefault="00747A26" w:rsidP="004C6287">
            <w:pPr>
              <w:spacing w:line="240" w:lineRule="auto"/>
              <w:rPr>
                <w:rFonts w:cs="Calibri"/>
              </w:rPr>
            </w:pPr>
            <w:r w:rsidRPr="00F55096">
              <w:t>Lead author organisation / Individual name</w:t>
            </w:r>
          </w:p>
        </w:tc>
      </w:tr>
      <w:tr w:rsidR="00747A26" w:rsidRPr="00F55096" w14:paraId="60801E92" w14:textId="77777777" w:rsidTr="004C6287">
        <w:trPr>
          <w:trHeight w:val="258"/>
        </w:trPr>
        <w:tc>
          <w:tcPr>
            <w:tcW w:w="2122" w:type="dxa"/>
          </w:tcPr>
          <w:p w14:paraId="00E710BD"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rPr>
                <w:rFonts w:cs="Calibri"/>
              </w:rPr>
            </w:pPr>
            <w:r w:rsidRPr="00F55096">
              <w:rPr>
                <w:rFonts w:cs="Calibri"/>
              </w:rPr>
              <w:t>Linkage</w:t>
            </w:r>
          </w:p>
        </w:tc>
        <w:tc>
          <w:tcPr>
            <w:tcW w:w="1275" w:type="dxa"/>
          </w:tcPr>
          <w:p w14:paraId="3B79E0B4"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URL</w:t>
            </w:r>
          </w:p>
        </w:tc>
        <w:tc>
          <w:tcPr>
            <w:tcW w:w="6231" w:type="dxa"/>
          </w:tcPr>
          <w:p w14:paraId="4DAE1C27"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pPr>
            <w:r w:rsidRPr="00F55096">
              <w:t xml:space="preserve">Weblinks to additional information about the assessment e.g. link to Publication, common indicator agreement </w:t>
            </w:r>
          </w:p>
          <w:p w14:paraId="2B7AE367"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pPr>
            <w:r w:rsidRPr="00F55096">
              <w:t xml:space="preserve">Where available links to other references, e.g. scientific journal papers, can be provided. </w:t>
            </w:r>
          </w:p>
          <w:p w14:paraId="2472BB17"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t>The items in the list should be line-separated</w:t>
            </w:r>
          </w:p>
        </w:tc>
      </w:tr>
      <w:tr w:rsidR="00747A26" w:rsidRPr="00F55096" w14:paraId="24BD7EBF" w14:textId="77777777" w:rsidTr="004C6287">
        <w:trPr>
          <w:trHeight w:val="703"/>
        </w:trPr>
        <w:tc>
          <w:tcPr>
            <w:tcW w:w="2122" w:type="dxa"/>
          </w:tcPr>
          <w:p w14:paraId="2E21B03D"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rPr>
                <w:rFonts w:cs="Calibri"/>
              </w:rPr>
            </w:pPr>
            <w:r w:rsidRPr="00F55096">
              <w:rPr>
                <w:rFonts w:cs="Calibri"/>
              </w:rPr>
              <w:t>Relevant OSPAR Documentation</w:t>
            </w:r>
          </w:p>
        </w:tc>
        <w:tc>
          <w:tcPr>
            <w:tcW w:w="1275" w:type="dxa"/>
          </w:tcPr>
          <w:p w14:paraId="5D72EEE6" w14:textId="77777777" w:rsidR="00747A26" w:rsidRPr="00F55096" w:rsidRDefault="00747A26" w:rsidP="004C6287">
            <w:pPr>
              <w:tabs>
                <w:tab w:val="clear" w:pos="720"/>
                <w:tab w:val="clear" w:pos="1440"/>
                <w:tab w:val="clear" w:pos="2160"/>
                <w:tab w:val="clear" w:pos="2880"/>
                <w:tab w:val="clear" w:pos="4680"/>
                <w:tab w:val="clear" w:pos="5400"/>
                <w:tab w:val="clear" w:pos="9000"/>
              </w:tabs>
              <w:spacing w:after="160" w:line="240" w:lineRule="auto"/>
              <w:jc w:val="left"/>
              <w:rPr>
                <w:rFonts w:cs="Calibri"/>
              </w:rPr>
            </w:pPr>
            <w:r w:rsidRPr="00F55096">
              <w:rPr>
                <w:rFonts w:cs="Calibri"/>
              </w:rPr>
              <w:t>Text</w:t>
            </w:r>
          </w:p>
        </w:tc>
        <w:tc>
          <w:tcPr>
            <w:tcW w:w="6231" w:type="dxa"/>
          </w:tcPr>
          <w:p w14:paraId="1D43C61F" w14:textId="77777777" w:rsidR="00747A26" w:rsidRPr="00F55096" w:rsidRDefault="00747A26" w:rsidP="004C6287">
            <w:pPr>
              <w:spacing w:before="0" w:after="120" w:line="240" w:lineRule="auto"/>
              <w:jc w:val="left"/>
            </w:pPr>
            <w:r w:rsidRPr="00F55096">
              <w:t xml:space="preserve">OSPAR-relevant Publication, Decision, Recommendation or Other Agreement. </w:t>
            </w:r>
          </w:p>
          <w:p w14:paraId="4C146190" w14:textId="77777777" w:rsidR="00747A26" w:rsidRPr="00F55096" w:rsidRDefault="00747A26" w:rsidP="004C6287">
            <w:pPr>
              <w:spacing w:before="0" w:after="120" w:line="240" w:lineRule="auto"/>
              <w:jc w:val="left"/>
            </w:pPr>
            <w:r w:rsidRPr="00F55096">
              <w:t xml:space="preserve">Use the following naming protocols: </w:t>
            </w:r>
          </w:p>
          <w:p w14:paraId="44EFA409" w14:textId="77777777" w:rsidR="00747A26" w:rsidRPr="00F55096" w:rsidRDefault="00747A26" w:rsidP="004C6287">
            <w:pPr>
              <w:spacing w:before="0" w:after="120" w:line="240" w:lineRule="auto"/>
              <w:ind w:left="720"/>
              <w:jc w:val="left"/>
            </w:pPr>
            <w:r w:rsidRPr="00F55096">
              <w:t>[OSPAR Publication] [YYYY]-</w:t>
            </w:r>
          </w:p>
          <w:p w14:paraId="3874B520" w14:textId="77777777" w:rsidR="00747A26" w:rsidRPr="00F55096" w:rsidRDefault="00747A26" w:rsidP="004C6287">
            <w:pPr>
              <w:spacing w:before="0" w:after="120" w:line="240" w:lineRule="auto"/>
              <w:ind w:left="720"/>
              <w:jc w:val="left"/>
            </w:pPr>
            <w:r w:rsidRPr="00F55096">
              <w:t xml:space="preserve">[publication number] [title] [OSPAR Recommendation] [YYYY]-[number] [title] [OSPAR Decision] [YYYY]-[number] [title] </w:t>
            </w:r>
          </w:p>
          <w:p w14:paraId="70556DE1" w14:textId="77777777" w:rsidR="00747A26" w:rsidRPr="00F55096" w:rsidRDefault="00747A26" w:rsidP="004C6287">
            <w:pPr>
              <w:spacing w:before="0" w:after="120" w:line="240" w:lineRule="auto"/>
              <w:ind w:left="720"/>
              <w:jc w:val="left"/>
            </w:pPr>
            <w:r w:rsidRPr="00F55096">
              <w:t xml:space="preserve">[OSPAR Agreement] [YYYY]-[number] [title] </w:t>
            </w:r>
          </w:p>
          <w:p w14:paraId="1865481A" w14:textId="77777777" w:rsidR="00747A26" w:rsidRPr="00F55096" w:rsidRDefault="00747A26" w:rsidP="004C6287">
            <w:pPr>
              <w:spacing w:before="0" w:after="120" w:line="240" w:lineRule="auto"/>
              <w:jc w:val="left"/>
              <w:rPr>
                <w:u w:val="single"/>
              </w:rPr>
            </w:pPr>
            <w:r w:rsidRPr="00F55096">
              <w:rPr>
                <w:u w:val="single"/>
              </w:rPr>
              <w:t xml:space="preserve">For example: </w:t>
            </w:r>
          </w:p>
          <w:p w14:paraId="008BCE90" w14:textId="77777777" w:rsidR="00747A26" w:rsidRPr="00F55096" w:rsidRDefault="00747A26" w:rsidP="004C6287">
            <w:pPr>
              <w:spacing w:before="0" w:after="120" w:line="240" w:lineRule="auto"/>
              <w:jc w:val="left"/>
            </w:pPr>
            <w:r w:rsidRPr="00F55096">
              <w:t xml:space="preserve">OSPAR CEMP Guidelines e.g. Agreement 2016-09 CEMP Guideline: Common Indicator – Marine Bird Abundance (B1) </w:t>
            </w:r>
          </w:p>
          <w:p w14:paraId="0E8017DF" w14:textId="77777777" w:rsidR="00747A26" w:rsidRPr="00F55096" w:rsidRDefault="00747A26" w:rsidP="004C6287">
            <w:pPr>
              <w:spacing w:before="0" w:after="120" w:line="240" w:lineRule="auto"/>
              <w:jc w:val="left"/>
            </w:pPr>
            <w:r w:rsidRPr="00F55096">
              <w:t>OSPAR Publication 2008-379 CEMP Assessment Manual: Coordinated Environmental Monitoring Programme Assessment Manual for contaminants in sediment and biota</w:t>
            </w:r>
          </w:p>
          <w:p w14:paraId="63208A45" w14:textId="77777777" w:rsidR="00747A26" w:rsidRPr="00F55096" w:rsidRDefault="00747A26" w:rsidP="004C6287">
            <w:pPr>
              <w:spacing w:before="0" w:after="120" w:line="240" w:lineRule="auto"/>
              <w:jc w:val="left"/>
            </w:pPr>
            <w:r w:rsidRPr="00F55096">
              <w:t xml:space="preserve">OSPAR Recommendation 2015-04 on furthering the protection and conservation of the Allis shad (Alosa alosa) in Regions II, III and IV of the OSPAR maritime area </w:t>
            </w:r>
          </w:p>
          <w:p w14:paraId="7265709D" w14:textId="77777777" w:rsidR="00747A26" w:rsidRPr="00F55096" w:rsidRDefault="00747A26" w:rsidP="004C6287">
            <w:pPr>
              <w:spacing w:before="0" w:after="120" w:line="240" w:lineRule="auto"/>
              <w:jc w:val="left"/>
            </w:pPr>
            <w:r w:rsidRPr="00F55096">
              <w:t xml:space="preserve">OSPAR Decision 2012-1 on the establishment of the Charlie-Gibbs North High Seas Marine Protected Area </w:t>
            </w:r>
          </w:p>
          <w:p w14:paraId="389E1CA4" w14:textId="77777777" w:rsidR="00747A26" w:rsidRPr="00F55096" w:rsidRDefault="00747A26" w:rsidP="004C6287">
            <w:pPr>
              <w:spacing w:before="0" w:after="120" w:line="240" w:lineRule="auto"/>
              <w:jc w:val="left"/>
              <w:rPr>
                <w:rFonts w:asciiTheme="minorHAnsi" w:hAnsiTheme="minorHAnsi" w:cstheme="minorHAnsi"/>
                <w:szCs w:val="22"/>
              </w:rPr>
            </w:pPr>
            <w:r w:rsidRPr="00F55096">
              <w:t>OSPAR Agreement 2004-15 Provisional JAMP Assessment Criteria for TBT – Specific Biological Effects. Amendments agreed by ASMO 2008</w:t>
            </w:r>
          </w:p>
        </w:tc>
      </w:tr>
    </w:tbl>
    <w:p w14:paraId="14B41D96" w14:textId="77777777" w:rsidR="00747A26" w:rsidRPr="00F55096" w:rsidRDefault="00747A26" w:rsidP="00747A26"/>
    <w:p w14:paraId="5CDFBFCF" w14:textId="77777777" w:rsidR="00747A26" w:rsidRPr="00F55096" w:rsidRDefault="00747A26" w:rsidP="00747A26">
      <w:pPr>
        <w:rPr>
          <w:i/>
          <w:iCs/>
          <w:sz w:val="24"/>
          <w:szCs w:val="24"/>
        </w:rPr>
      </w:pPr>
      <w:r w:rsidRPr="00F55096">
        <w:rPr>
          <w:i/>
          <w:iCs/>
          <w:sz w:val="24"/>
          <w:szCs w:val="24"/>
        </w:rPr>
        <w:t xml:space="preserve">Additional Guidance for completion </w:t>
      </w:r>
    </w:p>
    <w:p w14:paraId="0ECE4A82" w14:textId="77777777" w:rsidR="00747A26" w:rsidRPr="00F55096" w:rsidRDefault="00747A26" w:rsidP="00747A26">
      <w:pPr>
        <w:rPr>
          <w:b/>
          <w:bCs/>
        </w:rPr>
      </w:pPr>
      <w:r w:rsidRPr="00F55096">
        <w:rPr>
          <w:b/>
          <w:bCs/>
        </w:rPr>
        <w:lastRenderedPageBreak/>
        <w:t xml:space="preserve">Figure/Table naming </w:t>
      </w:r>
    </w:p>
    <w:p w14:paraId="1B0D1CB2" w14:textId="77777777" w:rsidR="00747A26" w:rsidRPr="00F55096" w:rsidRDefault="00747A26" w:rsidP="00747A26">
      <w:r w:rsidRPr="00F55096">
        <w:t xml:space="preserve">The numbering of the figures/tables/formulae/charts etc. in the “brief” sections, will follow a Figure 1, Figure 2, Figure 3, etc. structure; </w:t>
      </w:r>
    </w:p>
    <w:p w14:paraId="6112865E" w14:textId="77777777" w:rsidR="00747A26" w:rsidRPr="00F55096" w:rsidRDefault="00747A26" w:rsidP="00747A26">
      <w:r w:rsidRPr="00F55096">
        <w:t xml:space="preserve">For the online only “extended” sections, the figure/table numbering will follow a Figure a, Figure b, Figure c, Table a, Table b, etc. structure. </w:t>
      </w:r>
    </w:p>
    <w:p w14:paraId="1EB9BCB6" w14:textId="77777777" w:rsidR="00747A26" w:rsidRPr="00F55096" w:rsidRDefault="00747A26" w:rsidP="00747A26">
      <w:r w:rsidRPr="00F55096">
        <w:t xml:space="preserve">To be supplied to the Secretariat in a zip file. </w:t>
      </w:r>
    </w:p>
    <w:p w14:paraId="56894F8F" w14:textId="77777777" w:rsidR="00747A26" w:rsidRPr="00F55096" w:rsidRDefault="00747A26" w:rsidP="00747A26">
      <w:pPr>
        <w:rPr>
          <w:b/>
          <w:bCs/>
        </w:rPr>
      </w:pPr>
      <w:r w:rsidRPr="00F55096">
        <w:rPr>
          <w:b/>
          <w:bCs/>
        </w:rPr>
        <w:t xml:space="preserve">Photos </w:t>
      </w:r>
    </w:p>
    <w:p w14:paraId="6CBDF8B0" w14:textId="77777777" w:rsidR="00747A26" w:rsidRPr="00F55096" w:rsidRDefault="00747A26" w:rsidP="00747A26">
      <w:r w:rsidRPr="00F55096">
        <w:t xml:space="preserve">As jpeg A minimum of 2 photographs should be supplied and all photos must be fully accredited with permission for publication and online use. If no accreditation is necessary, please make this clear. Images must be at a resolution of 300dpi and in jpeg format – screenshots are not suitable </w:t>
      </w:r>
    </w:p>
    <w:p w14:paraId="4EFA6CAD" w14:textId="77777777" w:rsidR="00747A26" w:rsidRPr="00F55096" w:rsidRDefault="00747A26" w:rsidP="00747A26">
      <w:pPr>
        <w:rPr>
          <w:b/>
          <w:bCs/>
        </w:rPr>
      </w:pPr>
      <w:r w:rsidRPr="00F55096">
        <w:rPr>
          <w:b/>
          <w:bCs/>
        </w:rPr>
        <w:t xml:space="preserve">Graphs </w:t>
      </w:r>
    </w:p>
    <w:p w14:paraId="782802AF" w14:textId="77777777" w:rsidR="00747A26" w:rsidRPr="00F55096" w:rsidRDefault="00747A26" w:rsidP="00747A26">
      <w:r w:rsidRPr="00F55096">
        <w:t xml:space="preserve">As jpeg All graphs need to have clear, brief titles and be provided as a high-resolution jpeg. All data used to make the graph must be supplied in Excel or readily accessible format </w:t>
      </w:r>
    </w:p>
    <w:p w14:paraId="31FBEB9C" w14:textId="77777777" w:rsidR="00747A26" w:rsidRPr="00F55096" w:rsidRDefault="00747A26" w:rsidP="00747A26">
      <w:pPr>
        <w:rPr>
          <w:b/>
          <w:bCs/>
        </w:rPr>
      </w:pPr>
      <w:r w:rsidRPr="00F55096">
        <w:rPr>
          <w:b/>
          <w:bCs/>
        </w:rPr>
        <w:t xml:space="preserve">Formulae </w:t>
      </w:r>
    </w:p>
    <w:p w14:paraId="288A9937" w14:textId="77777777" w:rsidR="00747A26" w:rsidRPr="00F55096" w:rsidRDefault="00747A26" w:rsidP="00747A26">
      <w:r w:rsidRPr="00F55096">
        <w:t>As jpeg For example</w:t>
      </w:r>
    </w:p>
    <w:p w14:paraId="682488C7" w14:textId="77777777" w:rsidR="00747A26" w:rsidRPr="00F55096" w:rsidRDefault="00747A26" w:rsidP="00747A26">
      <w:r w:rsidRPr="00F55096">
        <w:rPr>
          <w:noProof/>
        </w:rPr>
        <w:drawing>
          <wp:inline distT="0" distB="0" distL="0" distR="0" wp14:anchorId="2D125061" wp14:editId="32A2746D">
            <wp:extent cx="1133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3475" cy="704850"/>
                    </a:xfrm>
                    <a:prstGeom prst="rect">
                      <a:avLst/>
                    </a:prstGeom>
                  </pic:spPr>
                </pic:pic>
              </a:graphicData>
            </a:graphic>
          </wp:inline>
        </w:drawing>
      </w:r>
    </w:p>
    <w:p w14:paraId="5CA0242A" w14:textId="77777777" w:rsidR="00747A26" w:rsidRPr="00F55096" w:rsidRDefault="00747A26" w:rsidP="00747A26">
      <w:pPr>
        <w:rPr>
          <w:b/>
          <w:bCs/>
        </w:rPr>
      </w:pPr>
      <w:r w:rsidRPr="00F55096">
        <w:rPr>
          <w:b/>
          <w:bCs/>
        </w:rPr>
        <w:t xml:space="preserve">Tables </w:t>
      </w:r>
    </w:p>
    <w:p w14:paraId="0698525A" w14:textId="77777777" w:rsidR="00747A26" w:rsidRPr="00F55096" w:rsidRDefault="00747A26" w:rsidP="00747A26">
      <w:r w:rsidRPr="00F55096">
        <w:t>As Excel file</w:t>
      </w:r>
    </w:p>
    <w:p w14:paraId="1C9BFA2C" w14:textId="77777777" w:rsidR="00747A26" w:rsidRPr="00F55096" w:rsidRDefault="00747A26" w:rsidP="00747A26">
      <w:r w:rsidRPr="00F55096">
        <w:t xml:space="preserve">All tables need to have a clear, brief title. All data used to make the table must be supplied in Excel or Word format. </w:t>
      </w:r>
    </w:p>
    <w:p w14:paraId="26D93BA8" w14:textId="77777777" w:rsidR="00747A26" w:rsidRPr="00F55096" w:rsidRDefault="00747A26" w:rsidP="00747A26">
      <w:pPr>
        <w:rPr>
          <w:b/>
          <w:bCs/>
        </w:rPr>
      </w:pPr>
      <w:r w:rsidRPr="00F55096">
        <w:rPr>
          <w:b/>
          <w:bCs/>
        </w:rPr>
        <w:t xml:space="preserve">Infographics </w:t>
      </w:r>
    </w:p>
    <w:p w14:paraId="76D2756B" w14:textId="77777777" w:rsidR="00747A26" w:rsidRPr="00F55096" w:rsidRDefault="00747A26" w:rsidP="00747A26">
      <w:r w:rsidRPr="00F55096">
        <w:t>As jpeg All infographics need to have a clear, brief title and be provided as a high resolution jpeg. All information used to make the infographic must be provided in a suitable and accessible format.</w:t>
      </w:r>
    </w:p>
    <w:p w14:paraId="02EF7E77" w14:textId="77777777" w:rsidR="00747A26" w:rsidRPr="00F55096" w:rsidRDefault="00747A26" w:rsidP="00747A26">
      <w:pPr>
        <w:rPr>
          <w:b/>
          <w:bCs/>
        </w:rPr>
      </w:pPr>
      <w:r w:rsidRPr="00F55096">
        <w:rPr>
          <w:b/>
          <w:bCs/>
        </w:rPr>
        <w:t xml:space="preserve">Maps </w:t>
      </w:r>
    </w:p>
    <w:p w14:paraId="38D3409F" w14:textId="77777777" w:rsidR="00747A26" w:rsidRPr="00F55096" w:rsidRDefault="00747A26" w:rsidP="00747A26">
      <w:r w:rsidRPr="00F55096">
        <w:t xml:space="preserve">As jpeg </w:t>
      </w:r>
    </w:p>
    <w:p w14:paraId="1B62DFBE" w14:textId="77777777" w:rsidR="00747A26" w:rsidRPr="00F55096" w:rsidRDefault="00747A26" w:rsidP="00747A26">
      <w:r w:rsidRPr="00F55096">
        <w:t xml:space="preserve">All maps need to have a clear, brief title. All background data used to make the maps, such as shapefiles, need to be supplied in the assessment snapshot data package. </w:t>
      </w:r>
    </w:p>
    <w:p w14:paraId="3B2E4D8C" w14:textId="77777777" w:rsidR="00747A26" w:rsidRPr="00F55096" w:rsidRDefault="00747A26" w:rsidP="00747A26">
      <w:pPr>
        <w:rPr>
          <w:b/>
          <w:bCs/>
        </w:rPr>
      </w:pPr>
      <w:r w:rsidRPr="00F55096">
        <w:rPr>
          <w:b/>
          <w:bCs/>
        </w:rPr>
        <w:t xml:space="preserve">Use of language </w:t>
      </w:r>
    </w:p>
    <w:p w14:paraId="7A61BF4F" w14:textId="77777777" w:rsidR="00747A26" w:rsidRPr="00F55096" w:rsidRDefault="00747A26" w:rsidP="00747A26">
      <w:r w:rsidRPr="00F55096">
        <w:t xml:space="preserve">Scientific names – try to avoid using scientific names if at all possible. If this is not possible, be consistent e.g. do not use scientific names in tables and common names in text. Scientific names can be used in the extended online text, provided the common name is referenced in the first instance it is used. In translating between </w:t>
      </w:r>
      <w:r w:rsidRPr="00F55096">
        <w:lastRenderedPageBreak/>
        <w:t xml:space="preserve">scientific and common names use the World Register of Marine Species, available from </w:t>
      </w:r>
      <w:hyperlink r:id="rId20" w:history="1">
        <w:r w:rsidRPr="00F55096">
          <w:rPr>
            <w:rStyle w:val="Hyperlink"/>
          </w:rPr>
          <w:t>http://www.marinespecies.org/</w:t>
        </w:r>
      </w:hyperlink>
      <w:r w:rsidRPr="00F55096">
        <w:t xml:space="preserve">. </w:t>
      </w:r>
    </w:p>
    <w:p w14:paraId="12F53688" w14:textId="77777777" w:rsidR="00747A26" w:rsidRPr="00F55096" w:rsidRDefault="00747A26" w:rsidP="00747A26">
      <w:r w:rsidRPr="00F55096">
        <w:t xml:space="preserve">Avoid acronyms or explain them – avoid the use of acronyms in the summary text, in the extended text they can be used but written in full in their first instance. </w:t>
      </w:r>
    </w:p>
    <w:p w14:paraId="6439CA8F" w14:textId="77777777" w:rsidR="00747A26" w:rsidRPr="00F55096" w:rsidRDefault="00747A26" w:rsidP="00747A26">
      <w:pPr>
        <w:rPr>
          <w:b/>
          <w:bCs/>
        </w:rPr>
      </w:pPr>
      <w:r w:rsidRPr="00F55096">
        <w:rPr>
          <w:b/>
          <w:bCs/>
        </w:rPr>
        <w:t xml:space="preserve">Referencing </w:t>
      </w:r>
    </w:p>
    <w:p w14:paraId="181CB0E9" w14:textId="77777777" w:rsidR="00747A26" w:rsidRPr="00F55096" w:rsidRDefault="00747A26" w:rsidP="00747A26">
      <w:r w:rsidRPr="00F55096">
        <w:t xml:space="preserve">References should be placed within the references section using the following layouts for peer reviewed and grey literature publications respectively: </w:t>
      </w:r>
    </w:p>
    <w:p w14:paraId="1FBB8FC5" w14:textId="77777777" w:rsidR="00747A26" w:rsidRPr="00F55096" w:rsidRDefault="00747A26" w:rsidP="00747A26">
      <w:r w:rsidRPr="00F55096">
        <w:t xml:space="preserve">Author, X.Y., Date YYYY, Title. Organisation or Journal, Location, Number of pages (e.g. 123 pp) or pages (12- 15) </w:t>
      </w:r>
    </w:p>
    <w:p w14:paraId="79874A16" w14:textId="77777777" w:rsidR="00747A26" w:rsidRPr="00F55096" w:rsidRDefault="00747A26" w:rsidP="00747A26">
      <w:r w:rsidRPr="00F55096">
        <w:t>Title. Organisation, Location, date YYYY. Publication Ref. Number of Pages</w:t>
      </w:r>
    </w:p>
    <w:p w14:paraId="1477BCA2" w14:textId="77777777" w:rsidR="00FF34CD" w:rsidRDefault="00FF34CD"/>
    <w:sectPr w:rsidR="00FF34CD" w:rsidSect="00255510">
      <w:footerReference w:type="default" r:id="rId21"/>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E850" w14:textId="77777777" w:rsidR="00747A26" w:rsidRDefault="00747A26" w:rsidP="00747A26">
      <w:pPr>
        <w:spacing w:before="0" w:line="240" w:lineRule="auto"/>
      </w:pPr>
      <w:r>
        <w:separator/>
      </w:r>
    </w:p>
  </w:endnote>
  <w:endnote w:type="continuationSeparator" w:id="0">
    <w:p w14:paraId="6FD67DDF" w14:textId="77777777" w:rsidR="00747A26" w:rsidRDefault="00747A26" w:rsidP="00747A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69894"/>
      <w:docPartObj>
        <w:docPartGallery w:val="Page Numbers (Bottom of Page)"/>
        <w:docPartUnique/>
      </w:docPartObj>
    </w:sdtPr>
    <w:sdtEndPr/>
    <w:sdtContent>
      <w:p w14:paraId="7204DEA2" w14:textId="77777777" w:rsidR="00255510" w:rsidRDefault="00D56BD1" w:rsidP="00255510">
        <w:pPr>
          <w:pStyle w:val="Footer"/>
          <w:jc w:val="right"/>
        </w:pPr>
      </w:p>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255510" w:rsidRPr="00F05A15" w14:paraId="3C2D2E41" w14:textId="77777777" w:rsidTr="00F960FB">
          <w:trPr>
            <w:cantSplit/>
            <w:trHeight w:hRule="exact" w:val="284"/>
          </w:trPr>
          <w:tc>
            <w:tcPr>
              <w:tcW w:w="9647" w:type="dxa"/>
              <w:gridSpan w:val="3"/>
              <w:tcBorders>
                <w:bottom w:val="single" w:sz="4" w:space="0" w:color="auto"/>
              </w:tcBorders>
            </w:tcPr>
            <w:p w14:paraId="3FDDD47A" w14:textId="77777777" w:rsidR="00255510" w:rsidRPr="00F05A15" w:rsidRDefault="00747A26" w:rsidP="00F05A15">
              <w:pPr>
                <w:spacing w:before="0" w:line="240" w:lineRule="auto"/>
                <w:jc w:val="right"/>
                <w:rPr>
                  <w:sz w:val="20"/>
                  <w:lang w:eastAsia="en-GB"/>
                </w:rPr>
              </w:pPr>
              <w:r w:rsidRPr="00F05A15">
                <w:rPr>
                  <w:sz w:val="20"/>
                  <w:lang w:eastAsia="en-GB"/>
                </w:rPr>
                <w:fldChar w:fldCharType="begin"/>
              </w:r>
              <w:r w:rsidRPr="00F05A15">
                <w:rPr>
                  <w:sz w:val="20"/>
                  <w:lang w:eastAsia="en-GB"/>
                </w:rPr>
                <w:instrText xml:space="preserve"> PAGE </w:instrText>
              </w:r>
              <w:r w:rsidRPr="00F05A15">
                <w:rPr>
                  <w:sz w:val="20"/>
                  <w:lang w:eastAsia="en-GB"/>
                </w:rPr>
                <w:fldChar w:fldCharType="separate"/>
              </w:r>
              <w:r w:rsidRPr="00F05A15">
                <w:rPr>
                  <w:noProof/>
                  <w:sz w:val="20"/>
                  <w:lang w:eastAsia="en-GB"/>
                </w:rPr>
                <w:t>1</w:t>
              </w:r>
              <w:r w:rsidRPr="00F05A15">
                <w:rPr>
                  <w:sz w:val="20"/>
                  <w:lang w:eastAsia="en-GB"/>
                </w:rPr>
                <w:fldChar w:fldCharType="end"/>
              </w:r>
              <w:r w:rsidRPr="00F05A15">
                <w:rPr>
                  <w:sz w:val="20"/>
                  <w:lang w:eastAsia="en-GB"/>
                </w:rPr>
                <w:t xml:space="preserve"> of </w:t>
              </w:r>
              <w:r w:rsidRPr="00F05A15">
                <w:rPr>
                  <w:sz w:val="20"/>
                  <w:lang w:eastAsia="en-GB"/>
                </w:rPr>
                <w:fldChar w:fldCharType="begin"/>
              </w:r>
              <w:r w:rsidRPr="00F05A15">
                <w:rPr>
                  <w:sz w:val="20"/>
                  <w:lang w:eastAsia="en-GB"/>
                </w:rPr>
                <w:instrText xml:space="preserve"> NUMPAGES </w:instrText>
              </w:r>
              <w:r w:rsidRPr="00F05A15">
                <w:rPr>
                  <w:sz w:val="20"/>
                  <w:lang w:eastAsia="en-GB"/>
                </w:rPr>
                <w:fldChar w:fldCharType="separate"/>
              </w:r>
              <w:r w:rsidRPr="00F05A15">
                <w:rPr>
                  <w:noProof/>
                  <w:sz w:val="20"/>
                  <w:lang w:eastAsia="en-GB"/>
                </w:rPr>
                <w:t>19</w:t>
              </w:r>
              <w:r w:rsidRPr="00F05A15">
                <w:rPr>
                  <w:sz w:val="20"/>
                  <w:lang w:eastAsia="en-GB"/>
                </w:rPr>
                <w:fldChar w:fldCharType="end"/>
              </w:r>
              <w:r w:rsidRPr="00F05A15">
                <w:rPr>
                  <w:sz w:val="20"/>
                  <w:lang w:eastAsia="en-GB"/>
                </w:rPr>
                <w:t xml:space="preserve"> </w:t>
              </w:r>
            </w:p>
          </w:tc>
        </w:tr>
        <w:tr w:rsidR="00255510" w:rsidRPr="00F05A15" w14:paraId="6905D105" w14:textId="77777777" w:rsidTr="00F960FB">
          <w:trPr>
            <w:cantSplit/>
            <w:trHeight w:hRule="exact" w:val="284"/>
          </w:trPr>
          <w:tc>
            <w:tcPr>
              <w:tcW w:w="3215" w:type="dxa"/>
              <w:tcBorders>
                <w:top w:val="single" w:sz="4" w:space="0" w:color="auto"/>
              </w:tcBorders>
            </w:tcPr>
            <w:p w14:paraId="2C54369A" w14:textId="77777777" w:rsidR="00255510" w:rsidRPr="00F05A15" w:rsidRDefault="00747A26" w:rsidP="00F05A15">
              <w:pPr>
                <w:spacing w:before="0" w:line="240" w:lineRule="auto"/>
                <w:rPr>
                  <w:sz w:val="20"/>
                  <w:lang w:eastAsia="en-GB"/>
                </w:rPr>
              </w:pPr>
              <w:r w:rsidRPr="00F05A15">
                <w:rPr>
                  <w:sz w:val="20"/>
                  <w:lang w:eastAsia="en-GB"/>
                </w:rPr>
                <w:t>OSPAR Commission</w:t>
              </w:r>
            </w:p>
          </w:tc>
          <w:tc>
            <w:tcPr>
              <w:tcW w:w="3216" w:type="dxa"/>
              <w:tcBorders>
                <w:top w:val="single" w:sz="4" w:space="0" w:color="auto"/>
              </w:tcBorders>
            </w:tcPr>
            <w:p w14:paraId="35BF7442" w14:textId="77777777" w:rsidR="00255510" w:rsidRPr="00F05A15" w:rsidRDefault="00D56BD1" w:rsidP="00F05A15">
              <w:pPr>
                <w:spacing w:before="0" w:line="240" w:lineRule="auto"/>
                <w:rPr>
                  <w:sz w:val="20"/>
                  <w:lang w:eastAsia="en-GB"/>
                </w:rPr>
              </w:pPr>
            </w:p>
          </w:tc>
          <w:tc>
            <w:tcPr>
              <w:tcW w:w="3216" w:type="dxa"/>
              <w:tcBorders>
                <w:top w:val="single" w:sz="4" w:space="0" w:color="auto"/>
              </w:tcBorders>
            </w:tcPr>
            <w:p w14:paraId="0CDBD84E" w14:textId="77777777" w:rsidR="00255510" w:rsidRPr="00F46E8C" w:rsidRDefault="00747A26" w:rsidP="00F05A15">
              <w:pPr>
                <w:spacing w:before="0" w:line="240" w:lineRule="auto"/>
                <w:jc w:val="right"/>
                <w:rPr>
                  <w:sz w:val="20"/>
                  <w:szCs w:val="18"/>
                  <w:lang w:eastAsia="en-GB"/>
                </w:rPr>
              </w:pPr>
              <w:r w:rsidRPr="00F46E8C">
                <w:rPr>
                  <w:rFonts w:cs="Calibri"/>
                  <w:sz w:val="20"/>
                  <w:szCs w:val="18"/>
                </w:rPr>
                <w:t>ICG-QSR(2) 21/05/03</w:t>
              </w:r>
            </w:p>
          </w:tc>
        </w:tr>
      </w:tbl>
      <w:p w14:paraId="1D4B1200" w14:textId="4AA65CBE" w:rsidR="00312B9E" w:rsidRPr="00AF5ABF" w:rsidRDefault="00312B9E" w:rsidP="00312B9E">
        <w:pPr>
          <w:pStyle w:val="Footer"/>
          <w:jc w:val="right"/>
        </w:pPr>
        <w:r>
          <w:rPr>
            <w:lang w:val="en-GB"/>
          </w:rPr>
          <w:t>Updated version: 25/05/2021</w:t>
        </w:r>
        <w:r w:rsidR="00162FBF">
          <w:rPr>
            <w:lang w:val="en-GB"/>
          </w:rPr>
          <w:t>_V2</w:t>
        </w:r>
        <w:r>
          <w:rPr>
            <w:lang w:val="en-GB"/>
          </w:rPr>
          <w:t xml:space="preserve"> </w:t>
        </w:r>
        <w:r w:rsidR="00BD5FF4">
          <w:rPr>
            <w:lang w:val="en-GB"/>
          </w:rPr>
          <w:t>– Extended with tables</w:t>
        </w:r>
        <w:r w:rsidR="00162FBF">
          <w:rPr>
            <w:lang w:val="en-GB"/>
          </w:rPr>
          <w:t xml:space="preserve"> and updated links to the template guidance document. </w:t>
        </w:r>
      </w:p>
      <w:p w14:paraId="1F309EDC" w14:textId="77777777" w:rsidR="00255510" w:rsidRPr="00AF5ABF" w:rsidRDefault="00D56BD1" w:rsidP="0025551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6CDC" w14:textId="77777777" w:rsidR="00747A26" w:rsidRDefault="00747A26" w:rsidP="00747A26">
      <w:pPr>
        <w:spacing w:before="0" w:line="240" w:lineRule="auto"/>
      </w:pPr>
      <w:r>
        <w:separator/>
      </w:r>
    </w:p>
  </w:footnote>
  <w:footnote w:type="continuationSeparator" w:id="0">
    <w:p w14:paraId="0F3C3F2D" w14:textId="77777777" w:rsidR="00747A26" w:rsidRDefault="00747A26" w:rsidP="00747A26">
      <w:pPr>
        <w:spacing w:before="0" w:line="240" w:lineRule="auto"/>
      </w:pPr>
      <w:r>
        <w:continuationSeparator/>
      </w:r>
    </w:p>
  </w:footnote>
  <w:footnote w:id="1">
    <w:p w14:paraId="0DDA2D96" w14:textId="77777777" w:rsidR="00312B9E" w:rsidRPr="006E665D" w:rsidRDefault="00312B9E" w:rsidP="00312B9E">
      <w:pPr>
        <w:pStyle w:val="FootnoteText"/>
        <w:rPr>
          <w:lang w:val="en-GB"/>
        </w:rPr>
      </w:pPr>
      <w:r>
        <w:rPr>
          <w:rStyle w:val="FootnoteReference"/>
        </w:rPr>
        <w:footnoteRef/>
      </w:r>
      <w:r>
        <w:t xml:space="preserve"> </w:t>
      </w:r>
      <w:r w:rsidRPr="006E665D">
        <w:rPr>
          <w:b/>
          <w:bCs/>
          <w:sz w:val="18"/>
          <w:szCs w:val="18"/>
        </w:rPr>
        <w:t>(</w:t>
      </w:r>
      <w:r>
        <w:rPr>
          <w:b/>
          <w:bCs/>
          <w:sz w:val="18"/>
          <w:szCs w:val="18"/>
        </w:rPr>
        <w:t>D</w:t>
      </w:r>
      <w:r w:rsidRPr="006E665D">
        <w:rPr>
          <w:b/>
          <w:bCs/>
          <w:sz w:val="18"/>
          <w:szCs w:val="18"/>
        </w:rPr>
        <w:t>eveloped by Cefas (Judd &amp; Lonsdale, 2021) within the OSPAR ICG-EcoC - this amalgamates thinking from NCC</w:t>
      </w:r>
      <w:r w:rsidRPr="006E665D">
        <w:rPr>
          <w:rStyle w:val="FootnoteReference"/>
          <w:b/>
          <w:bCs/>
          <w:sz w:val="18"/>
          <w:szCs w:val="18"/>
        </w:rPr>
        <w:footnoteRef/>
      </w:r>
      <w:r w:rsidRPr="006E665D">
        <w:rPr>
          <w:b/>
          <w:bCs/>
          <w:sz w:val="18"/>
          <w:szCs w:val="18"/>
        </w:rPr>
        <w:t xml:space="preserve"> , UK NEA</w:t>
      </w:r>
      <w:r w:rsidRPr="006E665D">
        <w:rPr>
          <w:rStyle w:val="FootnoteReference"/>
          <w:b/>
          <w:bCs/>
          <w:sz w:val="18"/>
          <w:szCs w:val="18"/>
        </w:rPr>
        <w:footnoteRef/>
      </w:r>
      <w:r w:rsidRPr="006E665D">
        <w:rPr>
          <w:b/>
          <w:bCs/>
          <w:sz w:val="18"/>
          <w:szCs w:val="18"/>
        </w:rPr>
        <w:t xml:space="preserve"> , Elliot et al.,2017</w:t>
      </w:r>
      <w:r w:rsidRPr="006E665D">
        <w:rPr>
          <w:rStyle w:val="FootnoteReference"/>
          <w:b/>
          <w:bCs/>
          <w:sz w:val="18"/>
          <w:szCs w:val="18"/>
        </w:rPr>
        <w:footnoteRef/>
      </w:r>
      <w:r w:rsidRPr="006E665D">
        <w:rPr>
          <w:b/>
          <w:bCs/>
          <w:sz w:val="18"/>
          <w:szCs w:val="18"/>
        </w:rPr>
        <w:t xml:space="preserve"> , Hooper et al., 2019</w:t>
      </w:r>
      <w:r w:rsidRPr="006E665D">
        <w:rPr>
          <w:rStyle w:val="FootnoteReference"/>
          <w:b/>
          <w:bCs/>
          <w:sz w:val="18"/>
          <w:szCs w:val="18"/>
        </w:rPr>
        <w:footnoteRef/>
      </w:r>
      <w:r w:rsidRPr="006E665D">
        <w:rPr>
          <w:b/>
          <w:bCs/>
          <w:sz w:val="18"/>
          <w:szCs w:val="18"/>
        </w:rPr>
        <w:t xml:space="preserve"> , Maes et al., 2013</w:t>
      </w:r>
      <w:r w:rsidRPr="006E665D">
        <w:rPr>
          <w:rStyle w:val="FootnoteReference"/>
          <w:b/>
          <w:bCs/>
          <w:sz w:val="18"/>
          <w:szCs w:val="18"/>
        </w:rPr>
        <w:footnoteRef/>
      </w:r>
      <w:r w:rsidRPr="006E665D">
        <w:rPr>
          <w:b/>
          <w:bCs/>
          <w:sz w:val="18"/>
          <w:szCs w:val="18"/>
        </w:rPr>
        <w:t xml:space="preserve"> , CICES</w:t>
      </w:r>
      <w:r w:rsidRPr="006E665D">
        <w:rPr>
          <w:rStyle w:val="FootnoteReference"/>
          <w:b/>
          <w:bCs/>
          <w:sz w:val="18"/>
          <w:szCs w:val="18"/>
        </w:rPr>
        <w:footnoteRef/>
      </w:r>
      <w:r w:rsidRPr="006E665D">
        <w:rPr>
          <w:b/>
          <w:b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415"/>
    <w:multiLevelType w:val="hybridMultilevel"/>
    <w:tmpl w:val="38522934"/>
    <w:lvl w:ilvl="0" w:tplc="2202FB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73883"/>
    <w:multiLevelType w:val="hybridMultilevel"/>
    <w:tmpl w:val="6E64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20DC1"/>
    <w:multiLevelType w:val="hybridMultilevel"/>
    <w:tmpl w:val="C4744E92"/>
    <w:lvl w:ilvl="0" w:tplc="2202FB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A252B"/>
    <w:multiLevelType w:val="hybridMultilevel"/>
    <w:tmpl w:val="09D6C1A0"/>
    <w:lvl w:ilvl="0" w:tplc="2202FB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6"/>
    <w:rsid w:val="00162FBF"/>
    <w:rsid w:val="00312B9E"/>
    <w:rsid w:val="003D409F"/>
    <w:rsid w:val="004F0C52"/>
    <w:rsid w:val="00747A26"/>
    <w:rsid w:val="00A14F8E"/>
    <w:rsid w:val="00A16B0C"/>
    <w:rsid w:val="00BD5FF4"/>
    <w:rsid w:val="00C22D7B"/>
    <w:rsid w:val="00D56BD1"/>
    <w:rsid w:val="00F57B47"/>
    <w:rsid w:val="00FF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3E9E7"/>
  <w15:chartTrackingRefBased/>
  <w15:docId w15:val="{D8C8519D-A43D-4BDB-8B5B-31F8BDE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26"/>
    <w:pPr>
      <w:tabs>
        <w:tab w:val="left" w:pos="720"/>
        <w:tab w:val="left" w:pos="1440"/>
        <w:tab w:val="left" w:pos="2160"/>
        <w:tab w:val="left" w:pos="2880"/>
        <w:tab w:val="left" w:pos="4680"/>
        <w:tab w:val="left" w:pos="5400"/>
        <w:tab w:val="right" w:pos="9000"/>
      </w:tabs>
      <w:spacing w:before="120" w:after="0" w:line="276" w:lineRule="auto"/>
      <w:jc w:val="both"/>
    </w:pPr>
    <w:rPr>
      <w:rFonts w:ascii="Calibri" w:eastAsia="Times New Roman" w:hAnsi="Calibri" w:cs="Times New Roman"/>
      <w:szCs w:val="20"/>
    </w:rPr>
  </w:style>
  <w:style w:type="paragraph" w:styleId="Heading1">
    <w:name w:val="heading 1"/>
    <w:basedOn w:val="Normal"/>
    <w:next w:val="Normal"/>
    <w:link w:val="Heading1Char"/>
    <w:uiPriority w:val="9"/>
    <w:qFormat/>
    <w:rsid w:val="00747A26"/>
    <w:pPr>
      <w:spacing w:before="240" w:after="240"/>
      <w:outlineLvl w:val="0"/>
    </w:pPr>
    <w:rPr>
      <w:rFonts w:cs="Calibri"/>
      <w:sz w:val="26"/>
      <w:szCs w:val="26"/>
    </w:rPr>
  </w:style>
  <w:style w:type="paragraph" w:styleId="Heading2">
    <w:name w:val="heading 2"/>
    <w:aliases w:val="Outline2"/>
    <w:basedOn w:val="Normal"/>
    <w:next w:val="Normal"/>
    <w:link w:val="Heading2Char"/>
    <w:uiPriority w:val="9"/>
    <w:qFormat/>
    <w:rsid w:val="00747A26"/>
    <w:pPr>
      <w:tabs>
        <w:tab w:val="clear" w:pos="720"/>
        <w:tab w:val="left" w:pos="0"/>
      </w:tabs>
      <w:spacing w:after="60"/>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26"/>
    <w:rPr>
      <w:rFonts w:ascii="Calibri" w:eastAsia="Times New Roman" w:hAnsi="Calibri" w:cs="Calibri"/>
      <w:sz w:val="26"/>
      <w:szCs w:val="26"/>
    </w:rPr>
  </w:style>
  <w:style w:type="character" w:customStyle="1" w:styleId="Heading2Char">
    <w:name w:val="Heading 2 Char"/>
    <w:aliases w:val="Outline2 Char"/>
    <w:basedOn w:val="DefaultParagraphFont"/>
    <w:link w:val="Heading2"/>
    <w:uiPriority w:val="9"/>
    <w:rsid w:val="00747A26"/>
    <w:rPr>
      <w:rFonts w:ascii="Calibri" w:eastAsia="Times New Roman" w:hAnsi="Calibri" w:cs="Times New Roman"/>
      <w:i/>
      <w:sz w:val="24"/>
      <w:szCs w:val="24"/>
    </w:rPr>
  </w:style>
  <w:style w:type="paragraph" w:styleId="Header">
    <w:name w:val="header"/>
    <w:basedOn w:val="Normal"/>
    <w:link w:val="HeaderChar"/>
    <w:uiPriority w:val="99"/>
    <w:rsid w:val="00747A26"/>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rsid w:val="00747A26"/>
    <w:rPr>
      <w:rFonts w:ascii="Calibri" w:eastAsia="Times New Roman" w:hAnsi="Calibri" w:cs="Times New Roman"/>
      <w:szCs w:val="20"/>
    </w:rPr>
  </w:style>
  <w:style w:type="paragraph" w:styleId="Footer">
    <w:name w:val="footer"/>
    <w:basedOn w:val="Normal"/>
    <w:link w:val="FooterChar"/>
    <w:uiPriority w:val="99"/>
    <w:rsid w:val="00747A26"/>
    <w:pPr>
      <w:tabs>
        <w:tab w:val="clear" w:pos="720"/>
        <w:tab w:val="clear" w:pos="1440"/>
        <w:tab w:val="clear" w:pos="2160"/>
        <w:tab w:val="clear" w:pos="2880"/>
        <w:tab w:val="clear" w:pos="4680"/>
        <w:tab w:val="clear" w:pos="5400"/>
        <w:tab w:val="clear" w:pos="9000"/>
        <w:tab w:val="center" w:pos="4153"/>
        <w:tab w:val="right" w:pos="8306"/>
      </w:tabs>
    </w:pPr>
    <w:rPr>
      <w:sz w:val="20"/>
      <w:lang w:val="x-none"/>
    </w:rPr>
  </w:style>
  <w:style w:type="character" w:customStyle="1" w:styleId="FooterChar">
    <w:name w:val="Footer Char"/>
    <w:basedOn w:val="DefaultParagraphFont"/>
    <w:link w:val="Footer"/>
    <w:uiPriority w:val="99"/>
    <w:rsid w:val="00747A26"/>
    <w:rPr>
      <w:rFonts w:ascii="Calibri" w:eastAsia="Times New Roman" w:hAnsi="Calibri" w:cs="Times New Roman"/>
      <w:sz w:val="20"/>
      <w:szCs w:val="20"/>
      <w:lang w:val="x-none"/>
    </w:rPr>
  </w:style>
  <w:style w:type="paragraph" w:styleId="ListParagraph">
    <w:name w:val="List Paragraph"/>
    <w:basedOn w:val="Normal"/>
    <w:link w:val="ListParagraphChar"/>
    <w:uiPriority w:val="34"/>
    <w:qFormat/>
    <w:rsid w:val="00747A26"/>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paragraph" w:styleId="Title">
    <w:name w:val="Title"/>
    <w:basedOn w:val="Normal"/>
    <w:link w:val="TitleChar"/>
    <w:qFormat/>
    <w:rsid w:val="00747A26"/>
    <w:pPr>
      <w:spacing w:before="240"/>
    </w:pPr>
    <w:rPr>
      <w:rFonts w:cs="Calibri"/>
      <w:sz w:val="40"/>
      <w:szCs w:val="40"/>
    </w:rPr>
  </w:style>
  <w:style w:type="character" w:customStyle="1" w:styleId="TitleChar">
    <w:name w:val="Title Char"/>
    <w:basedOn w:val="DefaultParagraphFont"/>
    <w:link w:val="Title"/>
    <w:rsid w:val="00747A26"/>
    <w:rPr>
      <w:rFonts w:ascii="Calibri" w:eastAsia="Times New Roman" w:hAnsi="Calibri" w:cs="Calibri"/>
      <w:sz w:val="40"/>
      <w:szCs w:val="40"/>
    </w:rPr>
  </w:style>
  <w:style w:type="character" w:styleId="Hyperlink">
    <w:name w:val="Hyperlink"/>
    <w:basedOn w:val="DefaultParagraphFont"/>
    <w:uiPriority w:val="99"/>
    <w:unhideWhenUsed/>
    <w:rsid w:val="00747A26"/>
    <w:rPr>
      <w:color w:val="0000FF"/>
      <w:u w:val="single"/>
    </w:rPr>
  </w:style>
  <w:style w:type="table" w:styleId="TableGrid">
    <w:name w:val="Table Grid"/>
    <w:basedOn w:val="TableNormal"/>
    <w:uiPriority w:val="59"/>
    <w:rsid w:val="00747A2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7A26"/>
    <w:pPr>
      <w:tabs>
        <w:tab w:val="clear" w:pos="720"/>
        <w:tab w:val="clear" w:pos="1440"/>
        <w:tab w:val="clear" w:pos="2160"/>
        <w:tab w:val="clear" w:pos="2880"/>
        <w:tab w:val="clear" w:pos="4680"/>
        <w:tab w:val="clear" w:pos="5400"/>
        <w:tab w:val="clear" w:pos="9000"/>
      </w:tabs>
      <w:spacing w:line="240" w:lineRule="auto"/>
    </w:pPr>
    <w:rPr>
      <w:rFonts w:eastAsiaTheme="minorHAnsi" w:cstheme="minorBidi"/>
      <w:sz w:val="20"/>
      <w:lang w:val="en-IE"/>
    </w:rPr>
  </w:style>
  <w:style w:type="character" w:customStyle="1" w:styleId="FootnoteTextChar">
    <w:name w:val="Footnote Text Char"/>
    <w:basedOn w:val="DefaultParagraphFont"/>
    <w:link w:val="FootnoteText"/>
    <w:uiPriority w:val="99"/>
    <w:rsid w:val="00747A26"/>
    <w:rPr>
      <w:rFonts w:ascii="Calibri" w:hAnsi="Calibri"/>
      <w:sz w:val="20"/>
      <w:szCs w:val="20"/>
      <w:lang w:val="en-IE"/>
    </w:rPr>
  </w:style>
  <w:style w:type="character" w:styleId="FootnoteReference">
    <w:name w:val="footnote reference"/>
    <w:basedOn w:val="DefaultParagraphFont"/>
    <w:uiPriority w:val="99"/>
    <w:unhideWhenUsed/>
    <w:rsid w:val="00747A26"/>
    <w:rPr>
      <w:vertAlign w:val="superscript"/>
    </w:rPr>
  </w:style>
  <w:style w:type="paragraph" w:customStyle="1" w:styleId="Default">
    <w:name w:val="Default"/>
    <w:rsid w:val="00747A2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istParagraphChar">
    <w:name w:val="List Paragraph Char"/>
    <w:basedOn w:val="DefaultParagraphFont"/>
    <w:link w:val="ListParagraph"/>
    <w:uiPriority w:val="34"/>
    <w:rsid w:val="00747A26"/>
    <w:rPr>
      <w:rFonts w:ascii="Calibri" w:eastAsia="MS Mincho" w:hAnsi="Calibri" w:cs="Times New Roman"/>
    </w:rPr>
  </w:style>
  <w:style w:type="character" w:styleId="UnresolvedMention">
    <w:name w:val="Unresolved Mention"/>
    <w:basedOn w:val="DefaultParagraphFont"/>
    <w:uiPriority w:val="99"/>
    <w:semiHidden/>
    <w:unhideWhenUsed/>
    <w:rsid w:val="00A14F8E"/>
    <w:rPr>
      <w:color w:val="605E5C"/>
      <w:shd w:val="clear" w:color="auto" w:fill="E1DFDD"/>
    </w:rPr>
  </w:style>
  <w:style w:type="character" w:styleId="CommentReference">
    <w:name w:val="annotation reference"/>
    <w:basedOn w:val="DefaultParagraphFont"/>
    <w:uiPriority w:val="99"/>
    <w:semiHidden/>
    <w:unhideWhenUsed/>
    <w:rsid w:val="00A14F8E"/>
    <w:rPr>
      <w:sz w:val="16"/>
      <w:szCs w:val="16"/>
    </w:rPr>
  </w:style>
  <w:style w:type="paragraph" w:styleId="CommentText">
    <w:name w:val="annotation text"/>
    <w:basedOn w:val="Normal"/>
    <w:link w:val="CommentTextChar"/>
    <w:uiPriority w:val="99"/>
    <w:semiHidden/>
    <w:unhideWhenUsed/>
    <w:rsid w:val="00A14F8E"/>
    <w:pPr>
      <w:spacing w:line="240" w:lineRule="auto"/>
    </w:pPr>
    <w:rPr>
      <w:sz w:val="20"/>
    </w:rPr>
  </w:style>
  <w:style w:type="character" w:customStyle="1" w:styleId="CommentTextChar">
    <w:name w:val="Comment Text Char"/>
    <w:basedOn w:val="DefaultParagraphFont"/>
    <w:link w:val="CommentText"/>
    <w:uiPriority w:val="99"/>
    <w:semiHidden/>
    <w:rsid w:val="00A14F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4F8E"/>
    <w:rPr>
      <w:b/>
      <w:bCs/>
    </w:rPr>
  </w:style>
  <w:style w:type="character" w:customStyle="1" w:styleId="CommentSubjectChar">
    <w:name w:val="Comment Subject Char"/>
    <w:basedOn w:val="CommentTextChar"/>
    <w:link w:val="CommentSubject"/>
    <w:uiPriority w:val="99"/>
    <w:semiHidden/>
    <w:rsid w:val="00A14F8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14F8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par.org/site/assets/files/44049/qsr_guidance_thematic_assessments_updated_25may2021_final_1.pdf" TargetMode="External"/><Relationship Id="rId18" Type="http://schemas.openxmlformats.org/officeDocument/2006/relationships/hyperlink" Target="https://qsr2010.ospar.org/en/ch03_01.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ospar.org/site/assets/files/44049/qsr_guidance_thematic_assessments_updated_25may2021_final_1.pdf" TargetMode="External"/><Relationship Id="rId17" Type="http://schemas.openxmlformats.org/officeDocument/2006/relationships/hyperlink" Target="https://www.ospar.org/site/assets/files/44049/qsr_guidance_thematic_assessments_updated_25may2021_final_1.pdf" TargetMode="External"/><Relationship Id="rId2" Type="http://schemas.openxmlformats.org/officeDocument/2006/relationships/styles" Target="styles.xml"/><Relationship Id="rId16" Type="http://schemas.openxmlformats.org/officeDocument/2006/relationships/hyperlink" Target="https://www.ospar.org/site/assets/files/44049/qsr_guidance_thematic_assessments_updated_25may2021_final_1.pdf" TargetMode="External"/><Relationship Id="rId20" Type="http://schemas.openxmlformats.org/officeDocument/2006/relationships/hyperlink" Target="http://www.marinespec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par.org/site/assets/files/44049/qsr_guidance_thematic_assessments_updated_25may2021_final_1.pdf" TargetMode="External"/><Relationship Id="rId5" Type="http://schemas.openxmlformats.org/officeDocument/2006/relationships/footnotes" Target="footnotes.xml"/><Relationship Id="rId15" Type="http://schemas.openxmlformats.org/officeDocument/2006/relationships/hyperlink" Target="https://www.ospar.org/site/assets/files/44049/qsr_guidance_thematic_assessments_updated_25may2021_final_1.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spar.org/site/assets/files/44049/qsr_guidance_thematic_assessments_updated_25may2021_final_1.pdf" TargetMode="External"/><Relationship Id="rId14" Type="http://schemas.openxmlformats.org/officeDocument/2006/relationships/hyperlink" Target="https://www.ospar.org/site/assets/files/44049/qsr_guidance_thematic_assessments_updated_25may2021_final_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Favier</dc:creator>
  <cp:keywords/>
  <dc:description/>
  <cp:lastModifiedBy>Julien Favier</cp:lastModifiedBy>
  <cp:revision>7</cp:revision>
  <dcterms:created xsi:type="dcterms:W3CDTF">2021-05-28T11:10:00Z</dcterms:created>
  <dcterms:modified xsi:type="dcterms:W3CDTF">2021-06-15T14:55:00Z</dcterms:modified>
</cp:coreProperties>
</file>