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4" w:type="dxa"/>
        <w:tblCellMar>
          <w:top w:w="85" w:type="dxa"/>
          <w:left w:w="0" w:type="dxa"/>
          <w:bottom w:w="85" w:type="dxa"/>
          <w:right w:w="0" w:type="dxa"/>
        </w:tblCellMar>
        <w:tblLook w:val="01E0" w:firstRow="1" w:lastRow="1" w:firstColumn="1" w:lastColumn="1" w:noHBand="0" w:noVBand="0"/>
      </w:tblPr>
      <w:tblGrid>
        <w:gridCol w:w="5203"/>
        <w:gridCol w:w="4521"/>
      </w:tblGrid>
      <w:tr w:rsidR="00263CDB" w:rsidRPr="00263CDB" w14:paraId="3EBA3ED9" w14:textId="77777777" w:rsidTr="005B4006">
        <w:trPr>
          <w:trHeight w:val="284"/>
        </w:trPr>
        <w:tc>
          <w:tcPr>
            <w:tcW w:w="5203" w:type="dxa"/>
          </w:tcPr>
          <w:p w14:paraId="4422C382" w14:textId="77777777" w:rsidR="00263CDB" w:rsidRPr="00263CDB" w:rsidRDefault="00263CDB" w:rsidP="005B4006">
            <w:pPr>
              <w:pStyle w:val="Docheader"/>
              <w:spacing w:line="240" w:lineRule="auto"/>
              <w:rPr>
                <w:rFonts w:ascii="Calibri" w:hAnsi="Calibri" w:cs="Calibri"/>
                <w:sz w:val="28"/>
                <w:szCs w:val="28"/>
              </w:rPr>
            </w:pPr>
            <w:bookmarkStart w:id="0" w:name="_Hlk179382697"/>
            <w:r w:rsidRPr="00263CDB">
              <w:rPr>
                <w:rFonts w:ascii="Calibri" w:hAnsi="Calibri" w:cs="Calibri"/>
                <w:szCs w:val="24"/>
              </w:rPr>
              <w:t>Agenda Item 11</w:t>
            </w:r>
          </w:p>
        </w:tc>
        <w:tc>
          <w:tcPr>
            <w:tcW w:w="4521" w:type="dxa"/>
          </w:tcPr>
          <w:p w14:paraId="04B32F11" w14:textId="77777777" w:rsidR="00263CDB" w:rsidRPr="00263CDB" w:rsidRDefault="00263CDB" w:rsidP="005B4006">
            <w:pPr>
              <w:spacing w:after="0"/>
              <w:jc w:val="right"/>
              <w:outlineLvl w:val="0"/>
              <w:rPr>
                <w:kern w:val="28"/>
                <w:sz w:val="24"/>
                <w:szCs w:val="24"/>
                <w:lang w:eastAsia="en-GB"/>
              </w:rPr>
            </w:pPr>
            <w:r w:rsidRPr="00263CDB">
              <w:rPr>
                <w:kern w:val="28"/>
                <w:sz w:val="24"/>
                <w:szCs w:val="24"/>
                <w:lang w:eastAsia="en-GB"/>
              </w:rPr>
              <w:t>EIHA 26/11/01-Annex.03</w:t>
            </w:r>
          </w:p>
          <w:p w14:paraId="692154AC" w14:textId="77777777" w:rsidR="00263CDB" w:rsidRPr="00263CDB" w:rsidRDefault="00263CDB" w:rsidP="005B4006">
            <w:pPr>
              <w:pStyle w:val="Docheader"/>
              <w:spacing w:line="240" w:lineRule="auto"/>
              <w:jc w:val="right"/>
              <w:rPr>
                <w:rFonts w:ascii="Calibri" w:hAnsi="Calibri" w:cs="Calibri"/>
                <w:sz w:val="28"/>
                <w:szCs w:val="28"/>
              </w:rPr>
            </w:pPr>
          </w:p>
        </w:tc>
      </w:tr>
      <w:tr w:rsidR="00263CDB" w:rsidRPr="00263CDB" w14:paraId="3917C656" w14:textId="77777777" w:rsidTr="005B4006">
        <w:trPr>
          <w:trHeight w:val="284"/>
        </w:trPr>
        <w:tc>
          <w:tcPr>
            <w:tcW w:w="9724" w:type="dxa"/>
            <w:gridSpan w:val="2"/>
          </w:tcPr>
          <w:p w14:paraId="0A09E80C" w14:textId="77777777" w:rsidR="00263CDB" w:rsidRPr="00263CDB" w:rsidRDefault="00263CDB" w:rsidP="005B4006">
            <w:pPr>
              <w:pStyle w:val="Docheader"/>
              <w:spacing w:line="240" w:lineRule="auto"/>
              <w:rPr>
                <w:rFonts w:ascii="Calibri" w:hAnsi="Calibri" w:cs="Calibri"/>
                <w:i/>
                <w:sz w:val="26"/>
                <w:szCs w:val="26"/>
              </w:rPr>
            </w:pPr>
            <w:r w:rsidRPr="00263CDB">
              <w:rPr>
                <w:rFonts w:ascii="Calibri" w:hAnsi="Calibri" w:cs="Calibri"/>
                <w:sz w:val="26"/>
                <w:szCs w:val="26"/>
              </w:rPr>
              <w:t>OSPAR Convention for the Protection of the Marine Environment of the North-East Atlantic</w:t>
            </w:r>
          </w:p>
        </w:tc>
      </w:tr>
      <w:tr w:rsidR="00263CDB" w:rsidRPr="00263CDB" w14:paraId="032F0EBB" w14:textId="77777777" w:rsidTr="005B4006">
        <w:trPr>
          <w:trHeight w:val="284"/>
        </w:trPr>
        <w:tc>
          <w:tcPr>
            <w:tcW w:w="9724" w:type="dxa"/>
            <w:gridSpan w:val="2"/>
            <w:tcBorders>
              <w:bottom w:val="single" w:sz="4" w:space="0" w:color="808080"/>
            </w:tcBorders>
          </w:tcPr>
          <w:p w14:paraId="6020B100" w14:textId="77777777" w:rsidR="00263CDB" w:rsidRPr="00263CDB" w:rsidRDefault="00263CDB" w:rsidP="005B4006">
            <w:pPr>
              <w:pStyle w:val="Docheader"/>
              <w:spacing w:line="240" w:lineRule="auto"/>
              <w:rPr>
                <w:rFonts w:ascii="Calibri" w:hAnsi="Calibri" w:cs="Calibri"/>
                <w:sz w:val="26"/>
                <w:szCs w:val="26"/>
              </w:rPr>
            </w:pPr>
            <w:r w:rsidRPr="00263CDB">
              <w:rPr>
                <w:rFonts w:ascii="Calibri" w:hAnsi="Calibri" w:cs="Calibri"/>
                <w:sz w:val="26"/>
                <w:szCs w:val="26"/>
              </w:rPr>
              <w:t>Meeting of the Environmental Impacts of Human Activities Committee (EIHA)</w:t>
            </w:r>
          </w:p>
          <w:p w14:paraId="61332C15" w14:textId="77777777" w:rsidR="00263CDB" w:rsidRPr="00263CDB" w:rsidRDefault="00263CDB" w:rsidP="005B4006">
            <w:pPr>
              <w:pStyle w:val="Docheader"/>
              <w:spacing w:before="120" w:line="240" w:lineRule="auto"/>
              <w:rPr>
                <w:rFonts w:ascii="Calibri" w:hAnsi="Calibri" w:cs="Calibri"/>
                <w:sz w:val="26"/>
                <w:szCs w:val="26"/>
              </w:rPr>
            </w:pPr>
            <w:r w:rsidRPr="00263CDB">
              <w:rPr>
                <w:rFonts w:ascii="Calibri" w:hAnsi="Calibri" w:cs="Calibri"/>
                <w:sz w:val="26"/>
                <w:szCs w:val="26"/>
              </w:rPr>
              <w:t>Sweden (Helsingborg) and online: 13-16 April 2026</w:t>
            </w:r>
          </w:p>
        </w:tc>
      </w:tr>
      <w:bookmarkEnd w:id="0"/>
    </w:tbl>
    <w:p w14:paraId="089664C7" w14:textId="77777777" w:rsidR="00263CDB" w:rsidRDefault="00263CDB" w:rsidP="00263CDB">
      <w:pPr>
        <w:tabs>
          <w:tab w:val="left" w:pos="1387"/>
        </w:tabs>
        <w:spacing w:before="120" w:after="140" w:line="280" w:lineRule="atLeast"/>
        <w:jc w:val="left"/>
        <w:rPr>
          <w:sz w:val="40"/>
          <w:szCs w:val="40"/>
        </w:rPr>
      </w:pPr>
    </w:p>
    <w:p w14:paraId="4A122F53" w14:textId="5B87ECDB" w:rsidR="00263CDB" w:rsidRPr="00263CDB" w:rsidRDefault="00263CDB" w:rsidP="00263CDB">
      <w:pPr>
        <w:tabs>
          <w:tab w:val="left" w:pos="1387"/>
        </w:tabs>
        <w:spacing w:before="120" w:after="140" w:line="280" w:lineRule="atLeast"/>
        <w:jc w:val="left"/>
        <w:rPr>
          <w:lang w:eastAsia="en-GB"/>
        </w:rPr>
      </w:pPr>
      <w:r w:rsidRPr="00263CDB">
        <w:rPr>
          <w:sz w:val="40"/>
          <w:szCs w:val="40"/>
        </w:rPr>
        <w:t xml:space="preserve">Terms of reference for ICG-Marine Litter (ICG-ML) </w:t>
      </w:r>
      <w:r w:rsidRPr="00263CDB">
        <w:rPr>
          <w:rFonts w:eastAsia="Calibri"/>
          <w:sz w:val="40"/>
          <w:szCs w:val="40"/>
          <w:lang w:val="en-US"/>
        </w:rPr>
        <w:t>2026</w:t>
      </w:r>
      <w:r w:rsidRPr="00263CDB">
        <w:rPr>
          <w:rFonts w:ascii="Cambria Math" w:eastAsia="Calibri" w:hAnsi="Cambria Math" w:cs="Cambria Math"/>
          <w:sz w:val="40"/>
          <w:szCs w:val="40"/>
          <w:lang w:val="en-US"/>
        </w:rPr>
        <w:t>‑</w:t>
      </w:r>
      <w:r w:rsidRPr="00263CDB">
        <w:rPr>
          <w:rFonts w:eastAsia="Calibri"/>
          <w:sz w:val="40"/>
          <w:szCs w:val="40"/>
          <w:lang w:val="en-US"/>
        </w:rPr>
        <w:t>2027</w:t>
      </w:r>
    </w:p>
    <w:p w14:paraId="36AE4D8F" w14:textId="77777777" w:rsidR="00263CDB" w:rsidRPr="00263CDB" w:rsidRDefault="00263CDB" w:rsidP="00263CDB">
      <w:pPr>
        <w:suppressAutoHyphens w:val="0"/>
        <w:spacing w:after="140"/>
        <w:rPr>
          <w:rFonts w:eastAsia="Calibri"/>
          <w:i/>
          <w:iCs/>
          <w:sz w:val="24"/>
          <w:szCs w:val="24"/>
        </w:rPr>
      </w:pPr>
      <w:r w:rsidRPr="00263CDB">
        <w:rPr>
          <w:rFonts w:eastAsia="Calibri"/>
          <w:i/>
          <w:iCs/>
          <w:sz w:val="24"/>
          <w:szCs w:val="24"/>
        </w:rPr>
        <w:t>Participants</w:t>
      </w:r>
    </w:p>
    <w:p w14:paraId="57E22896" w14:textId="77777777" w:rsidR="00263CDB" w:rsidRPr="00263CDB" w:rsidRDefault="00263CDB" w:rsidP="00263CDB">
      <w:pPr>
        <w:suppressAutoHyphens w:val="0"/>
        <w:spacing w:after="140"/>
        <w:rPr>
          <w:rFonts w:eastAsia="Calibri"/>
          <w:szCs w:val="22"/>
        </w:rPr>
      </w:pPr>
      <w:r w:rsidRPr="00263CDB">
        <w:rPr>
          <w:rFonts w:eastAsia="Calibri"/>
          <w:szCs w:val="22"/>
        </w:rPr>
        <w:t>1.</w:t>
      </w:r>
      <w:r w:rsidRPr="00263CDB">
        <w:tab/>
      </w:r>
      <w:r w:rsidRPr="00263CDB">
        <w:rPr>
          <w:rFonts w:eastAsia="Calibri"/>
          <w:szCs w:val="22"/>
        </w:rPr>
        <w:t>ICG Marine Litter will be convened by Belgium (Senne Aertbeliën), the Netherlands (Marijke Boonstra) and the United Kingdom (Morag Campbell) and will be open to all Contracting Parties and Observers of OSPAR.</w:t>
      </w:r>
    </w:p>
    <w:p w14:paraId="1A3BE0D4" w14:textId="77777777" w:rsidR="00263CDB" w:rsidRPr="00263CDB" w:rsidRDefault="00263CDB" w:rsidP="00263CDB">
      <w:pPr>
        <w:suppressAutoHyphens w:val="0"/>
        <w:spacing w:after="140"/>
        <w:rPr>
          <w:rFonts w:eastAsia="Calibri"/>
          <w:i/>
          <w:iCs/>
          <w:sz w:val="24"/>
          <w:szCs w:val="24"/>
        </w:rPr>
      </w:pPr>
      <w:r w:rsidRPr="00263CDB">
        <w:rPr>
          <w:rFonts w:eastAsia="Calibri"/>
          <w:i/>
          <w:iCs/>
          <w:sz w:val="24"/>
          <w:szCs w:val="24"/>
        </w:rPr>
        <w:t>Organisation of work</w:t>
      </w:r>
    </w:p>
    <w:p w14:paraId="062CF2CC" w14:textId="790800CA" w:rsidR="00263CDB" w:rsidRPr="00263CDB" w:rsidRDefault="00263CDB" w:rsidP="00263CDB">
      <w:pPr>
        <w:suppressAutoHyphens w:val="0"/>
        <w:spacing w:after="140"/>
        <w:rPr>
          <w:rFonts w:eastAsia="Calibri"/>
          <w:szCs w:val="22"/>
        </w:rPr>
      </w:pPr>
      <w:r w:rsidRPr="00263CDB">
        <w:rPr>
          <w:rFonts w:eastAsia="Calibri"/>
          <w:szCs w:val="22"/>
        </w:rPr>
        <w:t>2.</w:t>
      </w:r>
      <w:r w:rsidRPr="00263CDB">
        <w:tab/>
      </w:r>
      <w:r w:rsidRPr="00263CDB">
        <w:rPr>
          <w:rFonts w:eastAsia="Calibri"/>
          <w:szCs w:val="22"/>
        </w:rPr>
        <w:t xml:space="preserve">ICG Marine Litter will have two meetings during the 2026/2027 intersessional period. The first meeting, on 9-12 June 2026 in </w:t>
      </w:r>
      <w:proofErr w:type="spellStart"/>
      <w:r w:rsidRPr="00263CDB">
        <w:rPr>
          <w:rFonts w:eastAsia="Calibri"/>
          <w:szCs w:val="22"/>
        </w:rPr>
        <w:t>Svolvær</w:t>
      </w:r>
      <w:proofErr w:type="spellEnd"/>
      <w:r w:rsidRPr="00263CDB">
        <w:rPr>
          <w:rFonts w:eastAsia="Calibri"/>
          <w:szCs w:val="22"/>
        </w:rPr>
        <w:t xml:space="preserve"> (Norway)</w:t>
      </w:r>
      <w:r w:rsidRPr="00263CDB">
        <w:rPr>
          <w:rFonts w:eastAsia="Calibri"/>
          <w:szCs w:val="22"/>
        </w:rPr>
        <w:t xml:space="preserve"> </w:t>
      </w:r>
      <w:r w:rsidRPr="00263CDB">
        <w:rPr>
          <w:rFonts w:eastAsia="Calibri"/>
          <w:szCs w:val="22"/>
        </w:rPr>
        <w:t xml:space="preserve">will be split between a segment on data, monitoring and assessment and a segment on the RAP ML2. The second meeting, to be held early December 2026 (on-line), will focus mainly on the RAP ML but including urgent items on monitoring and assessment if requiring agreement or discussion at EIHA 2027.  </w:t>
      </w:r>
    </w:p>
    <w:p w14:paraId="056B1E0E" w14:textId="77777777" w:rsidR="00263CDB" w:rsidRPr="00263CDB" w:rsidRDefault="00263CDB" w:rsidP="00263CDB">
      <w:pPr>
        <w:suppressAutoHyphens w:val="0"/>
        <w:spacing w:after="140"/>
        <w:rPr>
          <w:rFonts w:eastAsia="Calibri"/>
          <w:szCs w:val="22"/>
        </w:rPr>
      </w:pPr>
      <w:r w:rsidRPr="00263CDB">
        <w:rPr>
          <w:rFonts w:eastAsia="Calibri"/>
          <w:szCs w:val="22"/>
        </w:rPr>
        <w:t>3.</w:t>
      </w:r>
      <w:r w:rsidRPr="00263CDB">
        <w:rPr>
          <w:rFonts w:eastAsia="Calibri"/>
          <w:szCs w:val="22"/>
        </w:rPr>
        <w:tab/>
        <w:t xml:space="preserve">ICG Marine Litter will strive to strengthen its cooperation with other Regional Seas Conventions and other relevant international organizations such as the UN, ICES, the IMO and Arctic Council to the extent possible considering the available resources. Where appropriate it will provide supporting information to meetings of the Intergovernmental Negotiating Committee to develop an international legally binding instrument on plastic pollution.  It will coordinate with MSFD TG ML, with a view to improving monitoring, assessment and effectiveness of measures against litter in the North-East Atlantic and support coordinated implementation of the MSFD </w:t>
      </w:r>
      <w:proofErr w:type="gramStart"/>
      <w:r w:rsidRPr="00263CDB">
        <w:rPr>
          <w:rFonts w:eastAsia="Calibri"/>
          <w:szCs w:val="22"/>
        </w:rPr>
        <w:t>and also</w:t>
      </w:r>
      <w:proofErr w:type="gramEnd"/>
      <w:r w:rsidRPr="00263CDB">
        <w:rPr>
          <w:rFonts w:eastAsia="Calibri"/>
          <w:szCs w:val="22"/>
        </w:rPr>
        <w:t xml:space="preserve"> actions against litter by OSPAR Contracting Parties which are also EU Member States.  TG-ML are actively collecting research reports; these can be made available to ICG-ML.</w:t>
      </w:r>
    </w:p>
    <w:p w14:paraId="796CBD6C" w14:textId="77777777" w:rsidR="00263CDB" w:rsidRPr="00263CDB" w:rsidRDefault="00263CDB" w:rsidP="00263CDB">
      <w:pPr>
        <w:suppressAutoHyphens w:val="0"/>
        <w:spacing w:after="140"/>
        <w:rPr>
          <w:rFonts w:eastAsia="Calibri"/>
          <w:szCs w:val="22"/>
        </w:rPr>
      </w:pPr>
      <w:r w:rsidRPr="00263CDB">
        <w:rPr>
          <w:rFonts w:eastAsia="Calibri"/>
          <w:szCs w:val="22"/>
        </w:rPr>
        <w:t>4.</w:t>
      </w:r>
      <w:r w:rsidRPr="00263CDB">
        <w:tab/>
      </w:r>
      <w:r w:rsidRPr="00263CDB">
        <w:rPr>
          <w:rFonts w:eastAsia="Calibri"/>
          <w:szCs w:val="22"/>
        </w:rPr>
        <w:t>ICG Marine Litter will be supported in its work by indicator expert groups covering each of the common indicators (beach litter, seafloor litter, ingestion of litter by sea turtles, plastic particles in fulmar stomachs, microplastics in sediments and plastic litter ingestion by fledglings of Cory’s shearwaters), candidate indicators (riverine litter) and other possible indicators on impacts on biota. The main roles of the groups are:</w:t>
      </w:r>
    </w:p>
    <w:p w14:paraId="5BABDD3B" w14:textId="7777777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to facilitate and advise on the monitoring programme (CEMP guidelines or under the JAMP</w:t>
      </w:r>
      <w:proofErr w:type="gramStart"/>
      <w:r w:rsidRPr="00263CDB">
        <w:rPr>
          <w:rFonts w:eastAsia="Calibri"/>
        </w:rPr>
        <w:t>);</w:t>
      </w:r>
      <w:proofErr w:type="gramEnd"/>
    </w:p>
    <w:p w14:paraId="6B530A28" w14:textId="7777777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to improve and develop methodologies for the </w:t>
      </w:r>
      <w:proofErr w:type="gramStart"/>
      <w:r w:rsidRPr="00263CDB">
        <w:rPr>
          <w:rFonts w:eastAsia="Calibri"/>
        </w:rPr>
        <w:t>indicator;</w:t>
      </w:r>
      <w:proofErr w:type="gramEnd"/>
    </w:p>
    <w:p w14:paraId="6BB985AF" w14:textId="7777777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to secure and if </w:t>
      </w:r>
      <w:proofErr w:type="gramStart"/>
      <w:r w:rsidRPr="00263CDB">
        <w:rPr>
          <w:rFonts w:eastAsia="Calibri"/>
        </w:rPr>
        <w:t>necessary</w:t>
      </w:r>
      <w:proofErr w:type="gramEnd"/>
      <w:r w:rsidRPr="00263CDB">
        <w:rPr>
          <w:rFonts w:eastAsia="Calibri"/>
        </w:rPr>
        <w:t xml:space="preserve"> improve data quality in cooperation with the OSPAR </w:t>
      </w:r>
      <w:proofErr w:type="gramStart"/>
      <w:r w:rsidRPr="00263CDB">
        <w:rPr>
          <w:rFonts w:eastAsia="Calibri"/>
        </w:rPr>
        <w:t>Secretariat;</w:t>
      </w:r>
      <w:proofErr w:type="gramEnd"/>
    </w:p>
    <w:p w14:paraId="474A6CCE" w14:textId="7777777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to support the lead and possible co-lead(s) in doing assessments according to the ICG-ML </w:t>
      </w:r>
      <w:proofErr w:type="spellStart"/>
      <w:proofErr w:type="gramStart"/>
      <w:r w:rsidRPr="00263CDB">
        <w:rPr>
          <w:rFonts w:eastAsia="Calibri"/>
        </w:rPr>
        <w:t>ToR</w:t>
      </w:r>
      <w:proofErr w:type="spellEnd"/>
      <w:r w:rsidRPr="00263CDB">
        <w:rPr>
          <w:rFonts w:eastAsia="Calibri"/>
        </w:rPr>
        <w:t>;</w:t>
      </w:r>
      <w:proofErr w:type="gramEnd"/>
    </w:p>
    <w:p w14:paraId="0D3CF9C6" w14:textId="7777777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szCs w:val="18"/>
        </w:rPr>
      </w:pPr>
      <w:r w:rsidRPr="00263CDB">
        <w:rPr>
          <w:rFonts w:eastAsia="Calibri"/>
          <w:szCs w:val="18"/>
        </w:rPr>
        <w:t>to support the lead and possible co-lead(s) to contribute to the Intermediate Assessment 2029; and</w:t>
      </w:r>
    </w:p>
    <w:p w14:paraId="741B8245" w14:textId="620871F0"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to consider collaborative opportunities for improving the efficiency and effectiveness of the work, for example through other relevant fora.</w:t>
      </w:r>
    </w:p>
    <w:p w14:paraId="5E6178D7" w14:textId="77777777" w:rsidR="00263CDB" w:rsidRPr="00263CDB" w:rsidRDefault="00263CDB" w:rsidP="00263CDB">
      <w:pPr>
        <w:suppressAutoHyphens w:val="0"/>
        <w:spacing w:after="140"/>
        <w:rPr>
          <w:rFonts w:eastAsia="Calibri"/>
          <w:szCs w:val="22"/>
        </w:rPr>
      </w:pPr>
      <w:r w:rsidRPr="00263CDB">
        <w:rPr>
          <w:rFonts w:eastAsia="Calibri"/>
          <w:szCs w:val="22"/>
        </w:rPr>
        <w:lastRenderedPageBreak/>
        <w:t>5.</w:t>
      </w:r>
      <w:r w:rsidRPr="00263CDB">
        <w:tab/>
      </w:r>
      <w:r w:rsidRPr="00263CDB">
        <w:rPr>
          <w:rFonts w:eastAsia="Calibri"/>
          <w:szCs w:val="22"/>
        </w:rPr>
        <w:t>Based on these responsibilities the indicator expert groups will draft work programmes, which they report to ICG Marine Litter, including an indication of the workload. The indicator expert groups are encouraged to hold meeting(s) outside of the main ICG meeting on-line or face to face in accordance with the demands of the work and resource availability.</w:t>
      </w:r>
    </w:p>
    <w:p w14:paraId="5C65BFF9" w14:textId="77777777" w:rsidR="00263CDB" w:rsidRPr="00263CDB" w:rsidRDefault="00263CDB" w:rsidP="00263CDB">
      <w:pPr>
        <w:suppressAutoHyphens w:val="0"/>
        <w:spacing w:after="140"/>
        <w:rPr>
          <w:rFonts w:eastAsia="Calibri"/>
          <w:szCs w:val="22"/>
        </w:rPr>
      </w:pPr>
      <w:r w:rsidRPr="00263CDB">
        <w:rPr>
          <w:rFonts w:eastAsia="Calibri"/>
          <w:szCs w:val="22"/>
        </w:rPr>
        <w:t>6.</w:t>
      </w:r>
      <w:r w:rsidRPr="00263CDB">
        <w:tab/>
      </w:r>
      <w:r w:rsidRPr="00263CDB">
        <w:rPr>
          <w:rFonts w:eastAsia="Calibri"/>
          <w:szCs w:val="22"/>
        </w:rPr>
        <w:t xml:space="preserve">The indicator expert groups will be led by the relevant indicator task lead but should aim to have at least one co-lead. The leads will ensure the active involvement of the members of their group including through correspondence and on-line meetings. In turn, the members of the group will actively support the leads in their work. ICG Marine Litter will review the membership and leadership of the expert groups annually, with the aim of securing the necessary expertise in the groups. </w:t>
      </w:r>
    </w:p>
    <w:p w14:paraId="46829490" w14:textId="77777777" w:rsidR="00263CDB" w:rsidRPr="00263CDB" w:rsidRDefault="00263CDB" w:rsidP="00263CDB">
      <w:pPr>
        <w:suppressAutoHyphens w:val="0"/>
        <w:spacing w:after="140"/>
        <w:rPr>
          <w:rFonts w:eastAsia="Calibri"/>
          <w:i/>
          <w:iCs/>
          <w:sz w:val="24"/>
          <w:szCs w:val="24"/>
        </w:rPr>
      </w:pPr>
      <w:r w:rsidRPr="00263CDB">
        <w:rPr>
          <w:rFonts w:eastAsia="Calibri"/>
          <w:i/>
          <w:iCs/>
          <w:sz w:val="24"/>
          <w:szCs w:val="24"/>
        </w:rPr>
        <w:t>Scope of work</w:t>
      </w:r>
    </w:p>
    <w:p w14:paraId="1A8A41BD" w14:textId="77777777" w:rsidR="00263CDB" w:rsidRPr="00263CDB" w:rsidRDefault="00263CDB" w:rsidP="00263CDB">
      <w:pPr>
        <w:suppressAutoHyphens w:val="0"/>
        <w:spacing w:after="140"/>
        <w:rPr>
          <w:rFonts w:eastAsia="Calibri"/>
          <w:szCs w:val="22"/>
        </w:rPr>
      </w:pPr>
      <w:r w:rsidRPr="00263CDB">
        <w:rPr>
          <w:rFonts w:eastAsia="Calibri"/>
          <w:szCs w:val="22"/>
        </w:rPr>
        <w:t xml:space="preserve">9.  </w:t>
      </w:r>
      <w:r w:rsidRPr="00263CDB">
        <w:tab/>
      </w:r>
      <w:r w:rsidRPr="00263CDB">
        <w:rPr>
          <w:rFonts w:eastAsia="Calibri"/>
          <w:szCs w:val="22"/>
        </w:rPr>
        <w:t>For the effective delivery of its terms of reference and in particular the RAP ML2 it is recognised that ICG-ML should be supported by additional dedicated resource.</w:t>
      </w:r>
    </w:p>
    <w:p w14:paraId="4508B8F1" w14:textId="77777777" w:rsidR="00263CDB" w:rsidRPr="00263CDB" w:rsidRDefault="00263CDB" w:rsidP="00263CDB">
      <w:pPr>
        <w:suppressAutoHyphens w:val="0"/>
        <w:spacing w:after="140"/>
        <w:rPr>
          <w:rFonts w:eastAsia="Calibri"/>
          <w:szCs w:val="22"/>
        </w:rPr>
      </w:pPr>
      <w:r w:rsidRPr="00263CDB">
        <w:rPr>
          <w:rFonts w:eastAsia="Calibri"/>
          <w:szCs w:val="22"/>
        </w:rPr>
        <w:t>10.</w:t>
      </w:r>
      <w:r w:rsidRPr="00263CDB">
        <w:tab/>
      </w:r>
      <w:r w:rsidRPr="00263CDB">
        <w:rPr>
          <w:rFonts w:eastAsia="Calibri"/>
          <w:szCs w:val="22"/>
        </w:rPr>
        <w:t>ICG Marine Litter will prioritise work on the Common Indicator Assessments and the RAP ML2, and will coordinate the following specific marine litter issues as identified below:</w:t>
      </w:r>
    </w:p>
    <w:p w14:paraId="7AABC1C0" w14:textId="77777777" w:rsidR="00263CDB" w:rsidRPr="00263CDB" w:rsidRDefault="00263CDB" w:rsidP="00263CDB">
      <w:pPr>
        <w:suppressAutoHyphens w:val="0"/>
        <w:spacing w:after="140"/>
        <w:rPr>
          <w:rFonts w:eastAsia="Calibri"/>
          <w:i/>
          <w:iCs/>
          <w:szCs w:val="22"/>
        </w:rPr>
      </w:pPr>
      <w:r w:rsidRPr="00263CDB">
        <w:rPr>
          <w:rFonts w:eastAsia="Calibri"/>
          <w:i/>
          <w:iCs/>
          <w:szCs w:val="22"/>
        </w:rPr>
        <w:t>Beach Litter Monitoring (Common Indicator)</w:t>
      </w:r>
    </w:p>
    <w:p w14:paraId="4863EE4A" w14:textId="17179015"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facilitate the monitoring programme for beach litter, including as necessary updating the CEMP appendix and data quality </w:t>
      </w:r>
      <w:proofErr w:type="gramStart"/>
      <w:r w:rsidRPr="00263CDB">
        <w:rPr>
          <w:rFonts w:eastAsia="Calibri"/>
        </w:rPr>
        <w:t>control;</w:t>
      </w:r>
      <w:proofErr w:type="gramEnd"/>
    </w:p>
    <w:p w14:paraId="3CB963A6" w14:textId="63F9FEAB"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oversee a rebuild of the database for beach litter monitoring data and submission of data to </w:t>
      </w:r>
      <w:proofErr w:type="gramStart"/>
      <w:r w:rsidRPr="00263CDB">
        <w:rPr>
          <w:rFonts w:eastAsia="Calibri"/>
        </w:rPr>
        <w:t>ODIMS;</w:t>
      </w:r>
      <w:proofErr w:type="gramEnd"/>
    </w:p>
    <w:p w14:paraId="2F30BE2F" w14:textId="5FD9D18B"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continue the work on litter source identification initiated by Germany and </w:t>
      </w:r>
      <w:proofErr w:type="gramStart"/>
      <w:r w:rsidRPr="00263CDB">
        <w:rPr>
          <w:rFonts w:eastAsia="Calibri"/>
        </w:rPr>
        <w:t>Spain;</w:t>
      </w:r>
      <w:proofErr w:type="gramEnd"/>
    </w:p>
    <w:p w14:paraId="7BFCD39B" w14:textId="20497A6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provide supporting analysis to enable the monitoring of progress against NEAES operational objective S4.03 and the development and monitoring of additional regionally coordinated reduction targets under objective S4.</w:t>
      </w:r>
      <w:proofErr w:type="gramStart"/>
      <w:r w:rsidRPr="00263CDB">
        <w:rPr>
          <w:rFonts w:eastAsia="Calibri"/>
        </w:rPr>
        <w:t>04;</w:t>
      </w:r>
      <w:proofErr w:type="gramEnd"/>
    </w:p>
    <w:p w14:paraId="2D4EECE7" w14:textId="7EF20F85"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provide support to RAP actions, including data </w:t>
      </w:r>
      <w:proofErr w:type="gramStart"/>
      <w:r w:rsidRPr="00263CDB">
        <w:rPr>
          <w:rFonts w:eastAsia="Calibri"/>
        </w:rPr>
        <w:t>analyses;</w:t>
      </w:r>
      <w:proofErr w:type="gramEnd"/>
    </w:p>
    <w:p w14:paraId="47E31CAE" w14:textId="2B507B38"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work in collaboration with ICG MSFD on the development of coherent environmental targets among Contracting Parties in view of the third cycle of the </w:t>
      </w:r>
      <w:proofErr w:type="gramStart"/>
      <w:r w:rsidRPr="00263CDB">
        <w:rPr>
          <w:rFonts w:eastAsia="Calibri"/>
        </w:rPr>
        <w:t>MSFD;</w:t>
      </w:r>
      <w:proofErr w:type="gramEnd"/>
    </w:p>
    <w:p w14:paraId="6ED012FA" w14:textId="6D270566"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produce an updated indicator assessment for consideration at EIHA </w:t>
      </w:r>
      <w:proofErr w:type="gramStart"/>
      <w:r w:rsidRPr="00263CDB">
        <w:rPr>
          <w:rFonts w:eastAsia="Calibri"/>
        </w:rPr>
        <w:t>2028;</w:t>
      </w:r>
      <w:proofErr w:type="gramEnd"/>
    </w:p>
    <w:p w14:paraId="07225004" w14:textId="126981C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work on the proposal for a candidate indicator for pellets and </w:t>
      </w:r>
      <w:proofErr w:type="spellStart"/>
      <w:r w:rsidRPr="00263CDB">
        <w:rPr>
          <w:rFonts w:eastAsia="Calibri"/>
        </w:rPr>
        <w:t>mesoplastic</w:t>
      </w:r>
      <w:proofErr w:type="spellEnd"/>
      <w:r w:rsidRPr="00263CDB">
        <w:rPr>
          <w:rFonts w:eastAsia="Calibri"/>
        </w:rPr>
        <w:t xml:space="preserve"> fragments on beaches and produce a pilot assessment for consideration at EIHA </w:t>
      </w:r>
      <w:proofErr w:type="gramStart"/>
      <w:r w:rsidRPr="00263CDB">
        <w:rPr>
          <w:rFonts w:eastAsia="Calibri"/>
        </w:rPr>
        <w:t>2028;</w:t>
      </w:r>
      <w:proofErr w:type="gramEnd"/>
    </w:p>
    <w:p w14:paraId="4A64604D" w14:textId="77777777" w:rsidR="00263CDB" w:rsidRPr="00263CDB" w:rsidRDefault="00263CDB" w:rsidP="00263CDB">
      <w:pPr>
        <w:suppressAutoHyphens w:val="0"/>
        <w:spacing w:after="140"/>
        <w:rPr>
          <w:rFonts w:eastAsia="Calibri"/>
          <w:i/>
          <w:iCs/>
          <w:szCs w:val="22"/>
        </w:rPr>
      </w:pPr>
      <w:r w:rsidRPr="00263CDB">
        <w:rPr>
          <w:rFonts w:eastAsia="Calibri"/>
          <w:i/>
          <w:iCs/>
          <w:szCs w:val="22"/>
        </w:rPr>
        <w:t>Floating Litter (Common Indicator Plastic Particles in Sea bird Stomachs for Region II and V and Common Indicator on Turtles for Region IV)</w:t>
      </w:r>
    </w:p>
    <w:p w14:paraId="45F48062" w14:textId="09CA9F5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facilitate the monitoring programme, including updating the CEMP appendix and data quality control, for the fulmar Common Indicator in the Greater North Sea area</w:t>
      </w:r>
    </w:p>
    <w:p w14:paraId="352FD6D2" w14:textId="60B343A3"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Facilitate the monitoring programme, including a first draft assessment by 2027, for the Cory’s Shearwaters Common Indicator in the Wider Atlantic </w:t>
      </w:r>
      <w:proofErr w:type="gramStart"/>
      <w:r w:rsidRPr="00263CDB">
        <w:rPr>
          <w:rFonts w:eastAsia="Calibri"/>
        </w:rPr>
        <w:t>area;</w:t>
      </w:r>
      <w:proofErr w:type="gramEnd"/>
    </w:p>
    <w:p w14:paraId="07511560" w14:textId="5ACD75F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Consolidate monitoring data on marine litter ingestion by sea turtles via the DALI database.</w:t>
      </w:r>
    </w:p>
    <w:p w14:paraId="4CADCA9B" w14:textId="00CD6326"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Develop thresholds and refine indicators for turtle litter ingestion, incorporating aspects such as animal health and spatial resolution.</w:t>
      </w:r>
    </w:p>
    <w:p w14:paraId="42428821" w14:textId="4E658D93"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Identify data gaps and provide policy-relevant recommendations, including measures to reduce entanglement risks (e.g. RAP ML 2B 4.6).</w:t>
      </w:r>
    </w:p>
    <w:p w14:paraId="0D6D4271" w14:textId="60BFAE6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Coordinate with relevant regional and international frameworks (e.g. Barcelona Convention, JRC, UNEP/MAP).</w:t>
      </w:r>
    </w:p>
    <w:p w14:paraId="4EA46B01" w14:textId="53E640B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Contribute to OSPAR assessments, including the Quality Status Report (QSR).</w:t>
      </w:r>
    </w:p>
    <w:p w14:paraId="14A9F648" w14:textId="77777777" w:rsidR="00263CDB" w:rsidRPr="00263CDB" w:rsidRDefault="00263CDB" w:rsidP="00263CDB">
      <w:pPr>
        <w:suppressAutoHyphens w:val="0"/>
        <w:spacing w:after="140"/>
        <w:rPr>
          <w:rFonts w:eastAsia="Calibri"/>
          <w:i/>
          <w:iCs/>
          <w:szCs w:val="22"/>
        </w:rPr>
      </w:pPr>
      <w:r w:rsidRPr="00263CDB">
        <w:rPr>
          <w:rFonts w:eastAsia="Calibri"/>
          <w:i/>
          <w:iCs/>
          <w:szCs w:val="22"/>
        </w:rPr>
        <w:t>Seafloor Litter Common Indicator</w:t>
      </w:r>
    </w:p>
    <w:p w14:paraId="5759F7BB" w14:textId="74802345"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lastRenderedPageBreak/>
        <w:t xml:space="preserve">facilitate the monitoring programme, including updating the CEMP appendix and data quality </w:t>
      </w:r>
      <w:r w:rsidRPr="00263CDB">
        <w:rPr>
          <w:rFonts w:eastAsia="Calibri"/>
        </w:rPr>
        <w:tab/>
        <w:t xml:space="preserve">control, and follow up on data submission to ICES DATRAS </w:t>
      </w:r>
      <w:proofErr w:type="gramStart"/>
      <w:r w:rsidRPr="00263CDB">
        <w:rPr>
          <w:rFonts w:eastAsia="Calibri"/>
        </w:rPr>
        <w:t>database;</w:t>
      </w:r>
      <w:proofErr w:type="gramEnd"/>
    </w:p>
    <w:p w14:paraId="31819707" w14:textId="45EA02B0"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improve Quality Assurance / Control of the data in conjunction with </w:t>
      </w:r>
      <w:proofErr w:type="gramStart"/>
      <w:r w:rsidRPr="00263CDB">
        <w:rPr>
          <w:rFonts w:eastAsia="Calibri"/>
        </w:rPr>
        <w:t>ICES;</w:t>
      </w:r>
      <w:proofErr w:type="gramEnd"/>
    </w:p>
    <w:p w14:paraId="538BB611" w14:textId="67838532"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produce an updated indicator assessment for consideration at EIHA 2026.</w:t>
      </w:r>
    </w:p>
    <w:p w14:paraId="31D491CE" w14:textId="77777777" w:rsidR="00263CDB" w:rsidRPr="00263CDB" w:rsidRDefault="00263CDB" w:rsidP="00263CDB">
      <w:pPr>
        <w:suppressAutoHyphens w:val="0"/>
        <w:spacing w:after="140"/>
        <w:rPr>
          <w:rFonts w:eastAsia="Calibri"/>
          <w:i/>
          <w:iCs/>
          <w:szCs w:val="22"/>
        </w:rPr>
      </w:pPr>
      <w:r w:rsidRPr="00263CDB">
        <w:rPr>
          <w:rFonts w:eastAsia="Calibri"/>
          <w:i/>
          <w:iCs/>
          <w:szCs w:val="22"/>
        </w:rPr>
        <w:t>Microplastics</w:t>
      </w:r>
    </w:p>
    <w:p w14:paraId="42EA4754" w14:textId="52D3437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implement the Common Indicator on microplastics in sediments including the development of CEMP appendix and preparations for a first baseline assessment for consideration at EIHA </w:t>
      </w:r>
      <w:proofErr w:type="gramStart"/>
      <w:r w:rsidRPr="00263CDB">
        <w:rPr>
          <w:rFonts w:eastAsia="Calibri"/>
        </w:rPr>
        <w:t>2027;</w:t>
      </w:r>
      <w:proofErr w:type="gramEnd"/>
    </w:p>
    <w:p w14:paraId="349C94FD" w14:textId="132618D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further develop other microplastics candidate indicators in line with advice from EIHA (e.g. microplastics in mussels)</w:t>
      </w:r>
      <w:r w:rsidRPr="00263CDB">
        <w:rPr>
          <w:rFonts w:eastAsia="Calibri"/>
        </w:rPr>
        <w:t>.</w:t>
      </w:r>
    </w:p>
    <w:p w14:paraId="760C7DDB" w14:textId="77777777" w:rsidR="00263CDB" w:rsidRPr="00263CDB" w:rsidRDefault="00263CDB" w:rsidP="00263CDB">
      <w:pPr>
        <w:suppressAutoHyphens w:val="0"/>
        <w:spacing w:after="140"/>
        <w:rPr>
          <w:rFonts w:eastAsia="Calibri"/>
          <w:i/>
          <w:iCs/>
          <w:szCs w:val="22"/>
        </w:rPr>
      </w:pPr>
      <w:r w:rsidRPr="00263CDB">
        <w:rPr>
          <w:rFonts w:eastAsia="Calibri"/>
          <w:i/>
          <w:iCs/>
          <w:szCs w:val="22"/>
        </w:rPr>
        <w:t>Other indicator and assessment work – impacts on biota, riverine litter</w:t>
      </w:r>
    </w:p>
    <w:p w14:paraId="5845337E" w14:textId="1335DEF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identify other biota and other assessment criteria for defining further impact indicators for    ingestion of marine </w:t>
      </w:r>
      <w:proofErr w:type="gramStart"/>
      <w:r w:rsidRPr="00263CDB">
        <w:rPr>
          <w:rFonts w:eastAsia="Calibri"/>
        </w:rPr>
        <w:t>litter;</w:t>
      </w:r>
      <w:proofErr w:type="gramEnd"/>
    </w:p>
    <w:p w14:paraId="71D54934" w14:textId="0A153282"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investigate indicators for other relevant impacts, especially for the entanglement of biota in marine </w:t>
      </w:r>
      <w:proofErr w:type="gramStart"/>
      <w:r w:rsidRPr="00263CDB">
        <w:rPr>
          <w:rFonts w:eastAsia="Calibri"/>
        </w:rPr>
        <w:t>litter;</w:t>
      </w:r>
      <w:proofErr w:type="gramEnd"/>
    </w:p>
    <w:p w14:paraId="54CB29AC" w14:textId="709DB0AE"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develop a proposal for a candidate indicator to pilot an approach on riverine litter monitoring.</w:t>
      </w:r>
    </w:p>
    <w:p w14:paraId="110A8241" w14:textId="77777777" w:rsidR="00263CDB" w:rsidRPr="00263CDB" w:rsidRDefault="00263CDB" w:rsidP="00263CDB">
      <w:pPr>
        <w:suppressAutoHyphens w:val="0"/>
        <w:spacing w:after="140"/>
        <w:rPr>
          <w:rFonts w:eastAsia="Calibri"/>
          <w:i/>
          <w:iCs/>
          <w:szCs w:val="22"/>
        </w:rPr>
      </w:pPr>
      <w:r w:rsidRPr="00263CDB">
        <w:rPr>
          <w:rFonts w:eastAsia="Calibri"/>
          <w:i/>
          <w:iCs/>
          <w:szCs w:val="22"/>
        </w:rPr>
        <w:t>Regional Action Plan</w:t>
      </w:r>
    </w:p>
    <w:p w14:paraId="5B33B820" w14:textId="39B4A404"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carry out the actions agreed under the RAP ML 2 and adopted as NEAES tasks, subject to the availability of resources and report on their progress to EIHA</w:t>
      </w:r>
    </w:p>
    <w:p w14:paraId="6A2B8C86" w14:textId="081B6001"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oversee the RAP-ML2 programme management plan, consistent with the requirements of the NEAES 2030, taking account of the NEAES strategic and operational objectives and Agreement 2021-02 on an NEAES Implementation </w:t>
      </w:r>
      <w:proofErr w:type="gramStart"/>
      <w:r w:rsidRPr="00263CDB">
        <w:rPr>
          <w:rFonts w:eastAsia="Calibri"/>
        </w:rPr>
        <w:t>Plan;</w:t>
      </w:r>
      <w:proofErr w:type="gramEnd"/>
    </w:p>
    <w:p w14:paraId="23BAD5E9" w14:textId="5BC079C8"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the recommendations of the interim review and evaluation of the RAP (next review ICG-ML (1) 2027)</w:t>
      </w:r>
    </w:p>
    <w:p w14:paraId="51AD0E54" w14:textId="60BD7605"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develop additional actions as NEAES tasks in support of the RAP-ML2 and NEAES 2030 taking account of latest evidence on harm to be reviewed by 2025, to be submitted to </w:t>
      </w:r>
      <w:proofErr w:type="gramStart"/>
      <w:r w:rsidRPr="00263CDB">
        <w:rPr>
          <w:rFonts w:eastAsia="Calibri"/>
        </w:rPr>
        <w:t>EIHA  for</w:t>
      </w:r>
      <w:proofErr w:type="gramEnd"/>
      <w:r w:rsidRPr="00263CDB">
        <w:rPr>
          <w:rFonts w:eastAsia="Calibri"/>
        </w:rPr>
        <w:t xml:space="preserve"> inclusion into the NEAES Implementation </w:t>
      </w:r>
      <w:proofErr w:type="gramStart"/>
      <w:r w:rsidRPr="00263CDB">
        <w:rPr>
          <w:rFonts w:eastAsia="Calibri"/>
        </w:rPr>
        <w:t>Plan;</w:t>
      </w:r>
      <w:proofErr w:type="gramEnd"/>
    </w:p>
    <w:p w14:paraId="13F9B705" w14:textId="217595FD"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maintain cooperation with the implementation of Marine Litter Action Plans of other Regional Seas Conventions and other relevant international organizations such as the IMO, Arctic Council with the aim of prioritising and rationalising </w:t>
      </w:r>
      <w:proofErr w:type="gramStart"/>
      <w:r w:rsidRPr="00263CDB">
        <w:rPr>
          <w:rFonts w:eastAsia="Calibri"/>
        </w:rPr>
        <w:t>work;</w:t>
      </w:r>
      <w:proofErr w:type="gramEnd"/>
    </w:p>
    <w:p w14:paraId="6DEF085D" w14:textId="77777777" w:rsidR="00263CDB" w:rsidRPr="00263CDB" w:rsidRDefault="00263CDB" w:rsidP="00263CDB">
      <w:pPr>
        <w:tabs>
          <w:tab w:val="left" w:pos="708"/>
        </w:tabs>
        <w:suppressAutoHyphens w:val="0"/>
        <w:spacing w:after="200" w:line="276" w:lineRule="auto"/>
        <w:jc w:val="left"/>
        <w:rPr>
          <w:rFonts w:eastAsia="Calibri"/>
          <w:i/>
          <w:iCs/>
          <w:szCs w:val="22"/>
        </w:rPr>
      </w:pPr>
      <w:r w:rsidRPr="00263CDB">
        <w:rPr>
          <w:rFonts w:eastAsia="Calibri"/>
          <w:i/>
          <w:iCs/>
          <w:szCs w:val="22"/>
        </w:rPr>
        <w:t>Implementation of OSPAR Decisions and Recommendations</w:t>
      </w:r>
    </w:p>
    <w:p w14:paraId="0620D7EB" w14:textId="08FFC9EB"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facilitate the implementation of Recommendation 2016/01 on the reduction of marine litter through fishing for litter initiatives, including the submission of data, and investigating </w:t>
      </w:r>
      <w:proofErr w:type="gramStart"/>
      <w:r w:rsidRPr="00263CDB">
        <w:rPr>
          <w:rFonts w:eastAsia="Calibri"/>
        </w:rPr>
        <w:t>targets;</w:t>
      </w:r>
      <w:proofErr w:type="gramEnd"/>
    </w:p>
    <w:p w14:paraId="3507F6DD" w14:textId="7BB66E07"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 xml:space="preserve">facilitate the implementation of Recommendation 2019/01 on Education Programmes for Fishers, including follow up to the 2022 overview assessment of Contracting Party implementation </w:t>
      </w:r>
      <w:proofErr w:type="gramStart"/>
      <w:r w:rsidRPr="00263CDB">
        <w:rPr>
          <w:rFonts w:eastAsia="Calibri"/>
        </w:rPr>
        <w:t>reports;</w:t>
      </w:r>
      <w:proofErr w:type="gramEnd"/>
    </w:p>
    <w:p w14:paraId="0D96415F" w14:textId="7F9CF4F3"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facilitate the implementation of Recommendation 2021/6 on the reduction of plastic pellet loss into the marine environment including a next reporting round to be concluded by 31 January 2025.</w:t>
      </w:r>
    </w:p>
    <w:p w14:paraId="58569F1E" w14:textId="4A4510FB"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lastRenderedPageBreak/>
        <w:t>facilitate the implementation of Recommendation 2025/02 on the application of best practice to reduce marine litter in the OSPAR Maritime Area and associated best practice documents within Agreement 2025-13.</w:t>
      </w:r>
    </w:p>
    <w:p w14:paraId="7833220E" w14:textId="36D86AD5" w:rsidR="00263CDB" w:rsidRPr="00263CDB" w:rsidRDefault="00263CDB" w:rsidP="00263CDB">
      <w:pPr>
        <w:pStyle w:val="ListParagraph"/>
        <w:numPr>
          <w:ilvl w:val="0"/>
          <w:numId w:val="1"/>
        </w:numPr>
        <w:tabs>
          <w:tab w:val="clear" w:pos="567"/>
          <w:tab w:val="clear" w:pos="1134"/>
          <w:tab w:val="clear" w:pos="1701"/>
          <w:tab w:val="clear" w:pos="2268"/>
        </w:tabs>
        <w:suppressAutoHyphens w:val="0"/>
        <w:spacing w:after="0" w:line="276" w:lineRule="auto"/>
        <w:ind w:left="1287"/>
        <w:jc w:val="left"/>
        <w:rPr>
          <w:rFonts w:eastAsia="Calibri"/>
        </w:rPr>
      </w:pPr>
      <w:r w:rsidRPr="00263CDB">
        <w:rPr>
          <w:rFonts w:eastAsia="Calibri"/>
        </w:rPr>
        <w:t>facilitate the implementation of Decision 2025/02 on the restriction of non-coated expanded polystyrene (EPS), non-coated extruded polystyrene (XPS), and any other form of non-coated foamed plastic in pontoons and buoys.</w:t>
      </w:r>
    </w:p>
    <w:p w14:paraId="5CAE759C" w14:textId="77777777" w:rsidR="00263CDB" w:rsidRPr="00263CDB" w:rsidRDefault="00263CDB" w:rsidP="00263CDB">
      <w:pPr>
        <w:suppressAutoHyphens w:val="0"/>
        <w:spacing w:after="140"/>
        <w:rPr>
          <w:rFonts w:eastAsia="Calibri"/>
          <w:i/>
          <w:iCs/>
          <w:sz w:val="24"/>
          <w:szCs w:val="24"/>
        </w:rPr>
      </w:pPr>
      <w:r w:rsidRPr="00263CDB">
        <w:rPr>
          <w:rFonts w:eastAsia="Calibri"/>
          <w:i/>
          <w:iCs/>
          <w:sz w:val="24"/>
          <w:szCs w:val="24"/>
        </w:rPr>
        <w:t>Other Actions</w:t>
      </w:r>
    </w:p>
    <w:p w14:paraId="2BE2CBB2" w14:textId="77777777" w:rsidR="00263CDB" w:rsidRPr="00263CDB" w:rsidRDefault="00263CDB" w:rsidP="00263CDB">
      <w:pPr>
        <w:suppressAutoHyphens w:val="0"/>
        <w:spacing w:after="140"/>
        <w:rPr>
          <w:rFonts w:eastAsia="Calibri"/>
        </w:rPr>
      </w:pPr>
      <w:r w:rsidRPr="00263CDB">
        <w:rPr>
          <w:rFonts w:eastAsia="Calibri"/>
        </w:rPr>
        <w:t>11.</w:t>
      </w:r>
      <w:r w:rsidRPr="00263CDB">
        <w:tab/>
      </w:r>
      <w:r w:rsidRPr="00263CDB">
        <w:rPr>
          <w:rFonts w:eastAsia="Calibri"/>
        </w:rPr>
        <w:t>Contribute and support implementation of the JAMP and the Intermediate Assessment 2029.</w:t>
      </w:r>
    </w:p>
    <w:p w14:paraId="36AD4654" w14:textId="77777777" w:rsidR="00263CDB" w:rsidRPr="00263CDB" w:rsidRDefault="00263CDB" w:rsidP="00263CDB">
      <w:pPr>
        <w:spacing w:after="140"/>
        <w:rPr>
          <w:rFonts w:eastAsia="Calibri"/>
        </w:rPr>
      </w:pPr>
      <w:r w:rsidRPr="00263CDB">
        <w:rPr>
          <w:rFonts w:eastAsia="Calibri"/>
        </w:rPr>
        <w:t>14.</w:t>
      </w:r>
      <w:r w:rsidRPr="00263CDB">
        <w:tab/>
      </w:r>
      <w:r w:rsidRPr="00263CDB">
        <w:rPr>
          <w:rFonts w:eastAsia="Calibri"/>
        </w:rPr>
        <w:t>ICG-ML, with the support of its expert groups, will periodically review, and update as necessary, the status and scoring of the knowledge gaps and science needs in the OSPAR Science Agenda that fall under its responsibility, prioritising those that are more relevant to its work and identifying the need for external resources and implementing the OSPAR Project Mechanism as appropriate. ICG-ML will also add, if relevant, any new knowledge gaps and science needs to the OSPAR Science Agenda.</w:t>
      </w:r>
    </w:p>
    <w:p w14:paraId="306FD61D" w14:textId="77777777" w:rsidR="00263CDB" w:rsidRPr="00263CDB" w:rsidRDefault="00263CDB" w:rsidP="00263CDB">
      <w:pPr>
        <w:spacing w:after="140"/>
        <w:rPr>
          <w:rFonts w:eastAsia="Calibri"/>
        </w:rPr>
      </w:pPr>
      <w:r w:rsidRPr="00263CDB">
        <w:rPr>
          <w:rFonts w:eastAsia="Calibri"/>
        </w:rPr>
        <w:t>15.</w:t>
      </w:r>
      <w:r w:rsidRPr="00263CDB">
        <w:tab/>
      </w:r>
      <w:r w:rsidRPr="00263CDB">
        <w:rPr>
          <w:rFonts w:eastAsia="Calibri"/>
        </w:rPr>
        <w:t>ICG-ML will first review and update the OSPAR Science Agenda at its in-person meeting in 2027 and subsequently every two years.</w:t>
      </w:r>
    </w:p>
    <w:p w14:paraId="3F76D15A" w14:textId="651FFBD9" w:rsidR="00263CDB" w:rsidRPr="00263CDB" w:rsidRDefault="00263CDB" w:rsidP="00263CDB">
      <w:pPr>
        <w:suppressAutoHyphens w:val="0"/>
        <w:spacing w:after="140"/>
        <w:rPr>
          <w:rFonts w:eastAsia="Calibri"/>
        </w:rPr>
      </w:pPr>
      <w:r w:rsidRPr="00263CDB">
        <w:rPr>
          <w:rFonts w:eastAsia="Calibri"/>
        </w:rPr>
        <w:t>16.</w:t>
      </w:r>
      <w:r w:rsidRPr="00263CDB">
        <w:tab/>
      </w:r>
      <w:r w:rsidRPr="00263CDB">
        <w:rPr>
          <w:rFonts w:eastAsia="Calibri"/>
        </w:rPr>
        <w:t>ICG- ML will report to EIHA 2027 on progress in relation to the Terms of Reference.</w:t>
      </w:r>
    </w:p>
    <w:p w14:paraId="6565547F" w14:textId="77777777" w:rsidR="002F3505" w:rsidRPr="00263CDB" w:rsidRDefault="002F3505"/>
    <w:sectPr w:rsidR="002F3505" w:rsidRPr="00263CDB" w:rsidSect="00263CDB">
      <w:foot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D2953" w14:textId="77777777" w:rsidR="00D00900" w:rsidRDefault="00D00900" w:rsidP="00263CDB">
      <w:pPr>
        <w:spacing w:after="0"/>
      </w:pPr>
      <w:r>
        <w:separator/>
      </w:r>
    </w:p>
  </w:endnote>
  <w:endnote w:type="continuationSeparator" w:id="0">
    <w:p w14:paraId="7239EDEE" w14:textId="77777777" w:rsidR="00D00900" w:rsidRDefault="00D00900" w:rsidP="00263CD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70" w:type="dxa"/>
      <w:tblCellMar>
        <w:top w:w="57" w:type="dxa"/>
        <w:left w:w="0" w:type="dxa"/>
        <w:bottom w:w="57" w:type="dxa"/>
        <w:right w:w="0" w:type="dxa"/>
      </w:tblCellMar>
      <w:tblLook w:val="0000" w:firstRow="0" w:lastRow="0" w:firstColumn="0" w:lastColumn="0" w:noHBand="0" w:noVBand="0"/>
    </w:tblPr>
    <w:tblGrid>
      <w:gridCol w:w="4948"/>
      <w:gridCol w:w="4722"/>
    </w:tblGrid>
    <w:tr w:rsidR="00263CDB" w:rsidRPr="000E2E38" w14:paraId="5BAC68C5" w14:textId="77777777" w:rsidTr="00263CDB">
      <w:trPr>
        <w:cantSplit/>
        <w:trHeight w:hRule="exact" w:val="254"/>
      </w:trPr>
      <w:tc>
        <w:tcPr>
          <w:tcW w:w="9670" w:type="dxa"/>
          <w:gridSpan w:val="2"/>
          <w:tcBorders>
            <w:bottom w:val="single" w:sz="4" w:space="0" w:color="auto"/>
          </w:tcBorders>
        </w:tcPr>
        <w:p w14:paraId="29206AC2" w14:textId="77777777" w:rsidR="00263CDB" w:rsidRPr="000E2E38" w:rsidRDefault="00263CDB" w:rsidP="00263CDB">
          <w:pPr>
            <w:pStyle w:val="Footer"/>
            <w:tabs>
              <w:tab w:val="left" w:pos="272"/>
            </w:tabs>
            <w:jc w:val="right"/>
            <w:rPr>
              <w:rFonts w:asciiTheme="minorHAnsi" w:hAnsiTheme="minorHAnsi" w:cstheme="minorHAnsi"/>
              <w:sz w:val="20"/>
            </w:rPr>
          </w:pPr>
          <w:r w:rsidRPr="000E2E38">
            <w:rPr>
              <w:rStyle w:val="PageNumber"/>
              <w:rFonts w:asciiTheme="minorHAnsi" w:eastAsiaTheme="majorEastAsia" w:hAnsiTheme="minorHAnsi" w:cstheme="minorHAnsi"/>
              <w:sz w:val="20"/>
            </w:rPr>
            <w:fldChar w:fldCharType="begin"/>
          </w:r>
          <w:r w:rsidRPr="000E2E38">
            <w:rPr>
              <w:rStyle w:val="PageNumber"/>
              <w:rFonts w:asciiTheme="minorHAnsi" w:eastAsiaTheme="majorEastAsia" w:hAnsiTheme="minorHAnsi" w:cstheme="minorHAnsi"/>
              <w:sz w:val="20"/>
            </w:rPr>
            <w:instrText xml:space="preserve"> PAGE </w:instrText>
          </w:r>
          <w:r w:rsidRPr="000E2E38">
            <w:rPr>
              <w:rStyle w:val="PageNumber"/>
              <w:rFonts w:asciiTheme="minorHAnsi" w:eastAsiaTheme="majorEastAsia" w:hAnsiTheme="minorHAnsi" w:cstheme="minorHAnsi"/>
              <w:sz w:val="20"/>
            </w:rPr>
            <w:fldChar w:fldCharType="separate"/>
          </w:r>
          <w:r w:rsidRPr="000E2E38">
            <w:rPr>
              <w:rStyle w:val="PageNumber"/>
              <w:rFonts w:asciiTheme="minorHAnsi" w:eastAsiaTheme="majorEastAsia" w:hAnsiTheme="minorHAnsi" w:cstheme="minorHAnsi"/>
              <w:noProof/>
              <w:sz w:val="20"/>
            </w:rPr>
            <w:t>1</w:t>
          </w:r>
          <w:r w:rsidRPr="000E2E38">
            <w:rPr>
              <w:rStyle w:val="PageNumber"/>
              <w:rFonts w:asciiTheme="minorHAnsi" w:eastAsiaTheme="majorEastAsia" w:hAnsiTheme="minorHAnsi" w:cstheme="minorHAnsi"/>
              <w:sz w:val="20"/>
            </w:rPr>
            <w:fldChar w:fldCharType="end"/>
          </w:r>
          <w:r w:rsidRPr="000E2E38">
            <w:rPr>
              <w:rStyle w:val="PageNumber"/>
              <w:rFonts w:asciiTheme="minorHAnsi" w:eastAsiaTheme="majorEastAsia" w:hAnsiTheme="minorHAnsi" w:cstheme="minorHAnsi"/>
              <w:sz w:val="20"/>
            </w:rPr>
            <w:t xml:space="preserve"> of </w:t>
          </w:r>
          <w:r w:rsidRPr="000E2E38">
            <w:rPr>
              <w:rStyle w:val="PageNumber"/>
              <w:rFonts w:asciiTheme="minorHAnsi" w:eastAsiaTheme="majorEastAsia" w:hAnsiTheme="minorHAnsi" w:cstheme="minorHAnsi"/>
              <w:sz w:val="20"/>
            </w:rPr>
            <w:fldChar w:fldCharType="begin"/>
          </w:r>
          <w:r w:rsidRPr="000E2E38">
            <w:rPr>
              <w:rStyle w:val="PageNumber"/>
              <w:rFonts w:asciiTheme="minorHAnsi" w:eastAsiaTheme="majorEastAsia" w:hAnsiTheme="minorHAnsi" w:cstheme="minorHAnsi"/>
              <w:sz w:val="20"/>
            </w:rPr>
            <w:instrText xml:space="preserve"> NUMPAGES </w:instrText>
          </w:r>
          <w:r w:rsidRPr="000E2E38">
            <w:rPr>
              <w:rStyle w:val="PageNumber"/>
              <w:rFonts w:asciiTheme="minorHAnsi" w:eastAsiaTheme="majorEastAsia" w:hAnsiTheme="minorHAnsi" w:cstheme="minorHAnsi"/>
              <w:sz w:val="20"/>
            </w:rPr>
            <w:fldChar w:fldCharType="separate"/>
          </w:r>
          <w:r w:rsidRPr="000E2E38">
            <w:rPr>
              <w:rStyle w:val="PageNumber"/>
              <w:rFonts w:asciiTheme="minorHAnsi" w:eastAsiaTheme="majorEastAsia" w:hAnsiTheme="minorHAnsi" w:cstheme="minorHAnsi"/>
              <w:noProof/>
              <w:sz w:val="20"/>
            </w:rPr>
            <w:t>2</w:t>
          </w:r>
          <w:r w:rsidRPr="000E2E38">
            <w:rPr>
              <w:rStyle w:val="PageNumber"/>
              <w:rFonts w:asciiTheme="minorHAnsi" w:eastAsiaTheme="majorEastAsia" w:hAnsiTheme="minorHAnsi" w:cstheme="minorHAnsi"/>
              <w:sz w:val="20"/>
            </w:rPr>
            <w:fldChar w:fldCharType="end"/>
          </w:r>
          <w:r w:rsidRPr="000E2E38">
            <w:rPr>
              <w:rStyle w:val="PageNumber"/>
              <w:rFonts w:asciiTheme="minorHAnsi" w:eastAsiaTheme="majorEastAsia" w:hAnsiTheme="minorHAnsi" w:cstheme="minorHAnsi"/>
              <w:sz w:val="20"/>
            </w:rPr>
            <w:t xml:space="preserve"> </w:t>
          </w:r>
        </w:p>
      </w:tc>
    </w:tr>
    <w:tr w:rsidR="00263CDB" w:rsidRPr="000E2E38" w14:paraId="1B6E7C2E" w14:textId="77777777" w:rsidTr="00263CDB">
      <w:trPr>
        <w:cantSplit/>
        <w:trHeight w:hRule="exact" w:val="381"/>
      </w:trPr>
      <w:tc>
        <w:tcPr>
          <w:tcW w:w="4948" w:type="dxa"/>
          <w:tcBorders>
            <w:top w:val="single" w:sz="4" w:space="0" w:color="auto"/>
          </w:tcBorders>
        </w:tcPr>
        <w:p w14:paraId="003C34AC" w14:textId="77777777" w:rsidR="00263CDB" w:rsidRPr="000E2E38" w:rsidRDefault="00263CDB" w:rsidP="00263CDB">
          <w:pPr>
            <w:pStyle w:val="Footer"/>
            <w:rPr>
              <w:rFonts w:asciiTheme="minorHAnsi" w:hAnsiTheme="minorHAnsi" w:cstheme="minorHAnsi"/>
              <w:sz w:val="20"/>
            </w:rPr>
          </w:pPr>
          <w:r w:rsidRPr="000E2E38">
            <w:rPr>
              <w:rFonts w:asciiTheme="minorHAnsi" w:hAnsiTheme="minorHAnsi" w:cstheme="minorHAnsi"/>
              <w:sz w:val="20"/>
            </w:rPr>
            <w:t>OSPAR Commission</w:t>
          </w:r>
        </w:p>
      </w:tc>
      <w:tc>
        <w:tcPr>
          <w:tcW w:w="4721" w:type="dxa"/>
          <w:tcBorders>
            <w:top w:val="single" w:sz="4" w:space="0" w:color="auto"/>
          </w:tcBorders>
        </w:tcPr>
        <w:p w14:paraId="20BD5B91" w14:textId="77777777" w:rsidR="00263CDB" w:rsidRPr="000E2E38" w:rsidRDefault="00263CDB" w:rsidP="00263CDB">
          <w:pPr>
            <w:pStyle w:val="Footer"/>
            <w:tabs>
              <w:tab w:val="left" w:pos="272"/>
            </w:tabs>
            <w:jc w:val="right"/>
            <w:rPr>
              <w:rFonts w:asciiTheme="minorHAnsi" w:hAnsiTheme="minorHAnsi" w:cstheme="minorHAnsi"/>
              <w:sz w:val="20"/>
            </w:rPr>
          </w:pPr>
          <w:bookmarkStart w:id="1" w:name="_Hlk179382788"/>
          <w:r w:rsidRPr="000E2E38">
            <w:rPr>
              <w:rFonts w:asciiTheme="minorHAnsi" w:hAnsiTheme="minorHAnsi" w:cstheme="minorHAnsi"/>
              <w:sz w:val="20"/>
              <w:lang w:val="fr-FR"/>
            </w:rPr>
            <w:t>EIHA 26/11/01-Annex.03</w:t>
          </w:r>
          <w:r w:rsidRPr="000E2E38">
            <w:rPr>
              <w:rFonts w:asciiTheme="minorHAnsi" w:hAnsiTheme="minorHAnsi" w:cstheme="minorHAnsi"/>
              <w:sz w:val="20"/>
            </w:rPr>
            <w:t xml:space="preserve"> </w:t>
          </w:r>
          <w:bookmarkEnd w:id="1"/>
        </w:p>
      </w:tc>
    </w:tr>
  </w:tbl>
  <w:p w14:paraId="486BD2B9" w14:textId="77777777" w:rsidR="00263CDB" w:rsidRDefault="00263CDB" w:rsidP="00263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8931B" w14:textId="77777777" w:rsidR="00D00900" w:rsidRDefault="00D00900" w:rsidP="00263CDB">
      <w:pPr>
        <w:spacing w:after="0"/>
      </w:pPr>
      <w:r>
        <w:separator/>
      </w:r>
    </w:p>
  </w:footnote>
  <w:footnote w:type="continuationSeparator" w:id="0">
    <w:p w14:paraId="1624AC6E" w14:textId="77777777" w:rsidR="00D00900" w:rsidRDefault="00D00900" w:rsidP="00263CD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276B5"/>
    <w:multiLevelType w:val="hybridMultilevel"/>
    <w:tmpl w:val="0CFA2954"/>
    <w:lvl w:ilvl="0" w:tplc="DAD84D58">
      <w:start w:val="1"/>
      <w:numFmt w:val="lowerRoman"/>
      <w:lvlText w:val="%1."/>
      <w:lvlJc w:val="left"/>
      <w:pPr>
        <w:ind w:left="1287" w:hanging="720"/>
      </w:pPr>
      <w:rPr>
        <w:rFonts w:ascii="Calibri" w:eastAsia="Calibri" w:hAnsi="Calibri" w:cs="Calibr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310FC7E0"/>
    <w:multiLevelType w:val="hybridMultilevel"/>
    <w:tmpl w:val="535A2782"/>
    <w:lvl w:ilvl="0" w:tplc="19008FF4">
      <w:start w:val="1"/>
      <w:numFmt w:val="lowerLetter"/>
      <w:lvlText w:val="%1."/>
      <w:lvlJc w:val="left"/>
      <w:pPr>
        <w:ind w:left="720" w:hanging="360"/>
      </w:pPr>
    </w:lvl>
    <w:lvl w:ilvl="1" w:tplc="1870C320">
      <w:start w:val="1"/>
      <w:numFmt w:val="lowerLetter"/>
      <w:lvlText w:val="%2."/>
      <w:lvlJc w:val="left"/>
      <w:pPr>
        <w:ind w:left="1440" w:hanging="360"/>
      </w:pPr>
    </w:lvl>
    <w:lvl w:ilvl="2" w:tplc="4F54DD74">
      <w:start w:val="1"/>
      <w:numFmt w:val="lowerRoman"/>
      <w:lvlText w:val="%3."/>
      <w:lvlJc w:val="right"/>
      <w:pPr>
        <w:ind w:left="2160" w:hanging="180"/>
      </w:pPr>
    </w:lvl>
    <w:lvl w:ilvl="3" w:tplc="27984CCC">
      <w:start w:val="1"/>
      <w:numFmt w:val="decimal"/>
      <w:lvlText w:val="%4."/>
      <w:lvlJc w:val="left"/>
      <w:pPr>
        <w:ind w:left="2880" w:hanging="360"/>
      </w:pPr>
    </w:lvl>
    <w:lvl w:ilvl="4" w:tplc="9A46DD1C">
      <w:start w:val="1"/>
      <w:numFmt w:val="lowerLetter"/>
      <w:lvlText w:val="%5."/>
      <w:lvlJc w:val="left"/>
      <w:pPr>
        <w:ind w:left="3600" w:hanging="360"/>
      </w:pPr>
    </w:lvl>
    <w:lvl w:ilvl="5" w:tplc="05A86C6E">
      <w:start w:val="1"/>
      <w:numFmt w:val="lowerRoman"/>
      <w:lvlText w:val="%6."/>
      <w:lvlJc w:val="right"/>
      <w:pPr>
        <w:ind w:left="4320" w:hanging="180"/>
      </w:pPr>
    </w:lvl>
    <w:lvl w:ilvl="6" w:tplc="4DA63130">
      <w:start w:val="1"/>
      <w:numFmt w:val="decimal"/>
      <w:lvlText w:val="%7."/>
      <w:lvlJc w:val="left"/>
      <w:pPr>
        <w:ind w:left="5040" w:hanging="360"/>
      </w:pPr>
    </w:lvl>
    <w:lvl w:ilvl="7" w:tplc="5C0ED97E">
      <w:start w:val="1"/>
      <w:numFmt w:val="lowerLetter"/>
      <w:lvlText w:val="%8."/>
      <w:lvlJc w:val="left"/>
      <w:pPr>
        <w:ind w:left="5760" w:hanging="360"/>
      </w:pPr>
    </w:lvl>
    <w:lvl w:ilvl="8" w:tplc="7A8CC926">
      <w:start w:val="1"/>
      <w:numFmt w:val="lowerRoman"/>
      <w:lvlText w:val="%9."/>
      <w:lvlJc w:val="right"/>
      <w:pPr>
        <w:ind w:left="6480" w:hanging="180"/>
      </w:pPr>
    </w:lvl>
  </w:abstractNum>
  <w:abstractNum w:abstractNumId="2" w15:restartNumberingAfterBreak="0">
    <w:nsid w:val="54C2659B"/>
    <w:multiLevelType w:val="hybridMultilevel"/>
    <w:tmpl w:val="F58A440E"/>
    <w:lvl w:ilvl="0" w:tplc="FFFFFFFF">
      <w:start w:val="1"/>
      <w:numFmt w:val="lowerRoman"/>
      <w:lvlText w:val="%1."/>
      <w:lvlJc w:val="left"/>
      <w:pPr>
        <w:ind w:left="1287" w:hanging="720"/>
      </w:pPr>
      <w:rPr>
        <w:rFonts w:ascii="Calibri" w:eastAsia="Calibri" w:hAnsi="Calibri" w:cs="Calibri"/>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7261462D"/>
    <w:multiLevelType w:val="hybridMultilevel"/>
    <w:tmpl w:val="28A4A9C0"/>
    <w:lvl w:ilvl="0" w:tplc="08090019">
      <w:start w:val="10"/>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B67E34"/>
    <w:multiLevelType w:val="hybridMultilevel"/>
    <w:tmpl w:val="EE246C98"/>
    <w:lvl w:ilvl="0" w:tplc="9500CE54">
      <w:start w:val="1"/>
      <w:numFmt w:val="bullet"/>
      <w:lvlText w:val=""/>
      <w:lvlJc w:val="left"/>
      <w:pPr>
        <w:ind w:left="927" w:hanging="360"/>
      </w:pPr>
      <w:rPr>
        <w:rFonts w:ascii="Symbol" w:hAnsi="Symbol" w:hint="default"/>
      </w:rPr>
    </w:lvl>
    <w:lvl w:ilvl="1" w:tplc="0C28B316">
      <w:start w:val="1"/>
      <w:numFmt w:val="bullet"/>
      <w:lvlText w:val="o"/>
      <w:lvlJc w:val="left"/>
      <w:pPr>
        <w:ind w:left="1647" w:hanging="360"/>
      </w:pPr>
      <w:rPr>
        <w:rFonts w:ascii="Courier New" w:hAnsi="Courier New" w:hint="default"/>
      </w:rPr>
    </w:lvl>
    <w:lvl w:ilvl="2" w:tplc="DEC841C2">
      <w:start w:val="1"/>
      <w:numFmt w:val="bullet"/>
      <w:lvlText w:val=""/>
      <w:lvlJc w:val="left"/>
      <w:pPr>
        <w:ind w:left="2367" w:hanging="360"/>
      </w:pPr>
      <w:rPr>
        <w:rFonts w:ascii="Wingdings" w:hAnsi="Wingdings" w:hint="default"/>
      </w:rPr>
    </w:lvl>
    <w:lvl w:ilvl="3" w:tplc="2E028742">
      <w:start w:val="1"/>
      <w:numFmt w:val="bullet"/>
      <w:lvlText w:val=""/>
      <w:lvlJc w:val="left"/>
      <w:pPr>
        <w:ind w:left="3087" w:hanging="360"/>
      </w:pPr>
      <w:rPr>
        <w:rFonts w:ascii="Symbol" w:hAnsi="Symbol" w:hint="default"/>
      </w:rPr>
    </w:lvl>
    <w:lvl w:ilvl="4" w:tplc="7CFC51DA">
      <w:start w:val="1"/>
      <w:numFmt w:val="bullet"/>
      <w:lvlText w:val="o"/>
      <w:lvlJc w:val="left"/>
      <w:pPr>
        <w:ind w:left="3807" w:hanging="360"/>
      </w:pPr>
      <w:rPr>
        <w:rFonts w:ascii="Courier New" w:hAnsi="Courier New" w:hint="default"/>
      </w:rPr>
    </w:lvl>
    <w:lvl w:ilvl="5" w:tplc="87C65390">
      <w:start w:val="1"/>
      <w:numFmt w:val="bullet"/>
      <w:lvlText w:val=""/>
      <w:lvlJc w:val="left"/>
      <w:pPr>
        <w:ind w:left="4527" w:hanging="360"/>
      </w:pPr>
      <w:rPr>
        <w:rFonts w:ascii="Wingdings" w:hAnsi="Wingdings" w:hint="default"/>
      </w:rPr>
    </w:lvl>
    <w:lvl w:ilvl="6" w:tplc="23F4AEB6">
      <w:start w:val="1"/>
      <w:numFmt w:val="bullet"/>
      <w:lvlText w:val=""/>
      <w:lvlJc w:val="left"/>
      <w:pPr>
        <w:ind w:left="5247" w:hanging="360"/>
      </w:pPr>
      <w:rPr>
        <w:rFonts w:ascii="Symbol" w:hAnsi="Symbol" w:hint="default"/>
      </w:rPr>
    </w:lvl>
    <w:lvl w:ilvl="7" w:tplc="15C2200C">
      <w:start w:val="1"/>
      <w:numFmt w:val="bullet"/>
      <w:lvlText w:val="o"/>
      <w:lvlJc w:val="left"/>
      <w:pPr>
        <w:ind w:left="5967" w:hanging="360"/>
      </w:pPr>
      <w:rPr>
        <w:rFonts w:ascii="Courier New" w:hAnsi="Courier New" w:hint="default"/>
      </w:rPr>
    </w:lvl>
    <w:lvl w:ilvl="8" w:tplc="C75E1EE6">
      <w:start w:val="1"/>
      <w:numFmt w:val="bullet"/>
      <w:lvlText w:val=""/>
      <w:lvlJc w:val="left"/>
      <w:pPr>
        <w:ind w:left="6687" w:hanging="360"/>
      </w:pPr>
      <w:rPr>
        <w:rFonts w:ascii="Wingdings" w:hAnsi="Wingdings" w:hint="default"/>
      </w:rPr>
    </w:lvl>
  </w:abstractNum>
  <w:num w:numId="1" w16cid:durableId="2010256155">
    <w:abstractNumId w:val="1"/>
  </w:num>
  <w:num w:numId="2" w16cid:durableId="544147280">
    <w:abstractNumId w:val="4"/>
  </w:num>
  <w:num w:numId="3" w16cid:durableId="941573531">
    <w:abstractNumId w:val="0"/>
  </w:num>
  <w:num w:numId="4" w16cid:durableId="654996140">
    <w:abstractNumId w:val="2"/>
  </w:num>
  <w:num w:numId="5" w16cid:durableId="13026170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CDB"/>
    <w:rsid w:val="00263CDB"/>
    <w:rsid w:val="002F3505"/>
    <w:rsid w:val="00562457"/>
    <w:rsid w:val="008D7691"/>
    <w:rsid w:val="00BC5787"/>
    <w:rsid w:val="00BF578D"/>
    <w:rsid w:val="00D00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A495"/>
  <w15:chartTrackingRefBased/>
  <w15:docId w15:val="{90BDB013-D364-4ECA-A20B-27242EFBC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CDB"/>
    <w:pPr>
      <w:tabs>
        <w:tab w:val="left" w:pos="567"/>
        <w:tab w:val="left" w:pos="1134"/>
        <w:tab w:val="left" w:pos="1701"/>
        <w:tab w:val="left" w:pos="2268"/>
      </w:tabs>
      <w:suppressAutoHyphens/>
      <w:spacing w:after="120" w:line="240" w:lineRule="auto"/>
      <w:jc w:val="both"/>
    </w:pPr>
    <w:rPr>
      <w:rFonts w:ascii="Calibri" w:eastAsia="Times New Roman" w:hAnsi="Calibri" w:cs="Calibri"/>
      <w:kern w:val="0"/>
      <w:sz w:val="22"/>
      <w:szCs w:val="20"/>
      <w:lang w:eastAsia="zh-CN"/>
      <w14:ligatures w14:val="none"/>
    </w:rPr>
  </w:style>
  <w:style w:type="paragraph" w:styleId="Heading1">
    <w:name w:val="heading 1"/>
    <w:basedOn w:val="Normal"/>
    <w:next w:val="Normal"/>
    <w:link w:val="Heading1Char"/>
    <w:uiPriority w:val="9"/>
    <w:qFormat/>
    <w:rsid w:val="00263C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C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C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C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C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C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C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C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C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C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C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C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C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C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C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C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C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CDB"/>
    <w:rPr>
      <w:rFonts w:eastAsiaTheme="majorEastAsia" w:cstheme="majorBidi"/>
      <w:color w:val="272727" w:themeColor="text1" w:themeTint="D8"/>
    </w:rPr>
  </w:style>
  <w:style w:type="paragraph" w:styleId="Title">
    <w:name w:val="Title"/>
    <w:basedOn w:val="Normal"/>
    <w:next w:val="Normal"/>
    <w:link w:val="TitleChar"/>
    <w:uiPriority w:val="10"/>
    <w:qFormat/>
    <w:rsid w:val="00263C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C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CDB"/>
    <w:pPr>
      <w:spacing w:before="160"/>
      <w:jc w:val="center"/>
    </w:pPr>
    <w:rPr>
      <w:i/>
      <w:iCs/>
      <w:color w:val="404040" w:themeColor="text1" w:themeTint="BF"/>
    </w:rPr>
  </w:style>
  <w:style w:type="character" w:customStyle="1" w:styleId="QuoteChar">
    <w:name w:val="Quote Char"/>
    <w:basedOn w:val="DefaultParagraphFont"/>
    <w:link w:val="Quote"/>
    <w:uiPriority w:val="29"/>
    <w:rsid w:val="00263CDB"/>
    <w:rPr>
      <w:i/>
      <w:iCs/>
      <w:color w:val="404040" w:themeColor="text1" w:themeTint="BF"/>
    </w:rPr>
  </w:style>
  <w:style w:type="paragraph" w:styleId="ListParagraph">
    <w:name w:val="List Paragraph"/>
    <w:aliases w:val="_Bullet,Lijstalinea,Heading 2_sj,List Paragraph1,Listenabsatz1,Normal bullet 2,Bullet list,Dot pt,Parágrafo da Lista,Liststycke,No Spacing1,List Paragraph Char Char Char,Indicator Text,Numbered Para 1,Bullet 1,Bullet Points,MAIN CONTENT"/>
    <w:basedOn w:val="Normal"/>
    <w:link w:val="ListParagraphChar"/>
    <w:uiPriority w:val="34"/>
    <w:qFormat/>
    <w:rsid w:val="00263CDB"/>
    <w:pPr>
      <w:ind w:left="720"/>
      <w:contextualSpacing/>
    </w:pPr>
  </w:style>
  <w:style w:type="character" w:styleId="IntenseEmphasis">
    <w:name w:val="Intense Emphasis"/>
    <w:basedOn w:val="DefaultParagraphFont"/>
    <w:uiPriority w:val="21"/>
    <w:qFormat/>
    <w:rsid w:val="00263CDB"/>
    <w:rPr>
      <w:i/>
      <w:iCs/>
      <w:color w:val="0F4761" w:themeColor="accent1" w:themeShade="BF"/>
    </w:rPr>
  </w:style>
  <w:style w:type="paragraph" w:styleId="IntenseQuote">
    <w:name w:val="Intense Quote"/>
    <w:basedOn w:val="Normal"/>
    <w:next w:val="Normal"/>
    <w:link w:val="IntenseQuoteChar"/>
    <w:uiPriority w:val="30"/>
    <w:qFormat/>
    <w:rsid w:val="00263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CDB"/>
    <w:rPr>
      <w:i/>
      <w:iCs/>
      <w:color w:val="0F4761" w:themeColor="accent1" w:themeShade="BF"/>
    </w:rPr>
  </w:style>
  <w:style w:type="character" w:styleId="IntenseReference">
    <w:name w:val="Intense Reference"/>
    <w:basedOn w:val="DefaultParagraphFont"/>
    <w:uiPriority w:val="32"/>
    <w:qFormat/>
    <w:rsid w:val="00263CDB"/>
    <w:rPr>
      <w:b/>
      <w:bCs/>
      <w:smallCaps/>
      <w:color w:val="0F4761" w:themeColor="accent1" w:themeShade="BF"/>
      <w:spacing w:val="5"/>
    </w:rPr>
  </w:style>
  <w:style w:type="character" w:customStyle="1" w:styleId="ListParagraphChar">
    <w:name w:val="List Paragraph Char"/>
    <w:aliases w:val="_Bullet Char,Lijstalinea Char,Heading 2_sj Char,List Paragraph1 Char,Listenabsatz1 Char,Normal bullet 2 Char,Bullet list Char,Dot pt Char,Parágrafo da Lista Char,Liststycke Char,No Spacing1 Char,List Paragraph Char Char Char Char"/>
    <w:link w:val="ListParagraph"/>
    <w:uiPriority w:val="34"/>
    <w:qFormat/>
    <w:rsid w:val="00263CDB"/>
  </w:style>
  <w:style w:type="paragraph" w:styleId="Header">
    <w:name w:val="header"/>
    <w:basedOn w:val="Normal"/>
    <w:link w:val="HeaderChar"/>
    <w:uiPriority w:val="99"/>
    <w:unhideWhenUsed/>
    <w:rsid w:val="00263CDB"/>
    <w:pPr>
      <w:tabs>
        <w:tab w:val="clear" w:pos="567"/>
        <w:tab w:val="clear" w:pos="1134"/>
        <w:tab w:val="clear" w:pos="1701"/>
        <w:tab w:val="clear" w:pos="2268"/>
        <w:tab w:val="center" w:pos="4513"/>
        <w:tab w:val="right" w:pos="9026"/>
      </w:tabs>
      <w:spacing w:after="0"/>
    </w:pPr>
  </w:style>
  <w:style w:type="character" w:customStyle="1" w:styleId="HeaderChar">
    <w:name w:val="Header Char"/>
    <w:basedOn w:val="DefaultParagraphFont"/>
    <w:link w:val="Header"/>
    <w:uiPriority w:val="99"/>
    <w:rsid w:val="00263CDB"/>
    <w:rPr>
      <w:rFonts w:ascii="Calibri" w:eastAsia="Times New Roman" w:hAnsi="Calibri" w:cs="Calibri"/>
      <w:kern w:val="0"/>
      <w:sz w:val="22"/>
      <w:szCs w:val="20"/>
      <w:lang w:eastAsia="zh-CN"/>
      <w14:ligatures w14:val="none"/>
    </w:rPr>
  </w:style>
  <w:style w:type="paragraph" w:styleId="Footer">
    <w:name w:val="footer"/>
    <w:basedOn w:val="Normal"/>
    <w:link w:val="FooterChar"/>
    <w:unhideWhenUsed/>
    <w:rsid w:val="00263CDB"/>
    <w:pPr>
      <w:tabs>
        <w:tab w:val="clear" w:pos="567"/>
        <w:tab w:val="clear" w:pos="1134"/>
        <w:tab w:val="clear" w:pos="1701"/>
        <w:tab w:val="clear" w:pos="2268"/>
        <w:tab w:val="center" w:pos="4513"/>
        <w:tab w:val="right" w:pos="9026"/>
      </w:tabs>
      <w:spacing w:after="0"/>
    </w:pPr>
  </w:style>
  <w:style w:type="character" w:customStyle="1" w:styleId="FooterChar">
    <w:name w:val="Footer Char"/>
    <w:basedOn w:val="DefaultParagraphFont"/>
    <w:link w:val="Footer"/>
    <w:rsid w:val="00263CDB"/>
    <w:rPr>
      <w:rFonts w:ascii="Calibri" w:eastAsia="Times New Roman" w:hAnsi="Calibri" w:cs="Calibri"/>
      <w:kern w:val="0"/>
      <w:sz w:val="22"/>
      <w:szCs w:val="20"/>
      <w:lang w:eastAsia="zh-CN"/>
      <w14:ligatures w14:val="none"/>
    </w:rPr>
  </w:style>
  <w:style w:type="character" w:styleId="PageNumber">
    <w:name w:val="page number"/>
    <w:rsid w:val="00263CDB"/>
    <w:rPr>
      <w:rFonts w:ascii="Arial" w:hAnsi="Arial"/>
      <w:sz w:val="18"/>
    </w:rPr>
  </w:style>
  <w:style w:type="paragraph" w:customStyle="1" w:styleId="Docheader">
    <w:name w:val="Doc header"/>
    <w:basedOn w:val="Normal"/>
    <w:rsid w:val="00263CDB"/>
    <w:pPr>
      <w:tabs>
        <w:tab w:val="clear" w:pos="1134"/>
        <w:tab w:val="clear" w:pos="1701"/>
        <w:tab w:val="clear" w:pos="2268"/>
      </w:tabs>
      <w:suppressAutoHyphens w:val="0"/>
      <w:spacing w:after="0" w:line="280" w:lineRule="exact"/>
      <w:jc w:val="left"/>
    </w:pPr>
    <w:rPr>
      <w:rFonts w:ascii="Arial" w:hAnsi="Arial"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1512</Words>
  <Characters>8483</Characters>
  <Application>Microsoft Office Word</Application>
  <DocSecurity>0</DocSecurity>
  <Lines>146</Lines>
  <Paragraphs>75</Paragraphs>
  <ScaleCrop>false</ScaleCrop>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Ritchie</dc:creator>
  <cp:keywords/>
  <dc:description/>
  <cp:lastModifiedBy>Lucy Ritchie</cp:lastModifiedBy>
  <cp:revision>1</cp:revision>
  <dcterms:created xsi:type="dcterms:W3CDTF">2026-04-16T14:04:00Z</dcterms:created>
  <dcterms:modified xsi:type="dcterms:W3CDTF">2026-04-16T14:14:00Z</dcterms:modified>
</cp:coreProperties>
</file>