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4" w:type="dxa"/>
        <w:tblCellMar>
          <w:top w:w="85" w:type="dxa"/>
          <w:left w:w="0" w:type="dxa"/>
          <w:bottom w:w="85" w:type="dxa"/>
          <w:right w:w="0" w:type="dxa"/>
        </w:tblCellMar>
        <w:tblLook w:val="01E0" w:firstRow="1" w:lastRow="1" w:firstColumn="1" w:lastColumn="1" w:noHBand="0" w:noVBand="0"/>
      </w:tblPr>
      <w:tblGrid>
        <w:gridCol w:w="5203"/>
        <w:gridCol w:w="4521"/>
      </w:tblGrid>
      <w:tr w:rsidR="00952EEE" w:rsidRPr="00952EEE" w14:paraId="386AE7F1" w14:textId="77777777" w:rsidTr="005B4006">
        <w:trPr>
          <w:trHeight w:val="284"/>
        </w:trPr>
        <w:tc>
          <w:tcPr>
            <w:tcW w:w="5203" w:type="dxa"/>
          </w:tcPr>
          <w:p w14:paraId="4237ED3A" w14:textId="77777777" w:rsidR="00952EEE" w:rsidRPr="00952EEE" w:rsidRDefault="00952EEE" w:rsidP="005B4006">
            <w:pPr>
              <w:pStyle w:val="Docheader"/>
              <w:spacing w:line="240" w:lineRule="auto"/>
              <w:rPr>
                <w:rFonts w:ascii="Calibri" w:hAnsi="Calibri" w:cs="Calibri"/>
                <w:sz w:val="22"/>
                <w:szCs w:val="22"/>
              </w:rPr>
            </w:pPr>
            <w:bookmarkStart w:id="0" w:name="_Hlk179382697"/>
            <w:r w:rsidRPr="00952EEE">
              <w:rPr>
                <w:rFonts w:ascii="Calibri" w:hAnsi="Calibri" w:cs="Calibri"/>
                <w:sz w:val="22"/>
                <w:szCs w:val="22"/>
              </w:rPr>
              <w:t>Agenda Item 11</w:t>
            </w:r>
          </w:p>
        </w:tc>
        <w:tc>
          <w:tcPr>
            <w:tcW w:w="4521" w:type="dxa"/>
          </w:tcPr>
          <w:p w14:paraId="7694AABA" w14:textId="77777777" w:rsidR="00952EEE" w:rsidRPr="00952EEE" w:rsidRDefault="00952EEE" w:rsidP="005B4006">
            <w:pPr>
              <w:spacing w:after="0"/>
              <w:jc w:val="right"/>
              <w:outlineLvl w:val="0"/>
              <w:rPr>
                <w:kern w:val="28"/>
                <w:szCs w:val="22"/>
                <w:lang w:eastAsia="en-GB"/>
              </w:rPr>
            </w:pPr>
            <w:r w:rsidRPr="00952EEE">
              <w:rPr>
                <w:kern w:val="28"/>
                <w:szCs w:val="22"/>
                <w:lang w:eastAsia="en-GB"/>
              </w:rPr>
              <w:t>EIHA 26/11/01-Annex.03</w:t>
            </w:r>
          </w:p>
          <w:p w14:paraId="4066878C" w14:textId="77777777" w:rsidR="00952EEE" w:rsidRPr="00952EEE" w:rsidRDefault="00952EEE" w:rsidP="005B4006">
            <w:pPr>
              <w:pStyle w:val="Docheader"/>
              <w:spacing w:line="240" w:lineRule="auto"/>
              <w:jc w:val="right"/>
              <w:rPr>
                <w:rFonts w:ascii="Calibri" w:hAnsi="Calibri" w:cs="Calibri"/>
                <w:sz w:val="22"/>
                <w:szCs w:val="22"/>
              </w:rPr>
            </w:pPr>
          </w:p>
        </w:tc>
      </w:tr>
      <w:tr w:rsidR="00952EEE" w:rsidRPr="000E2E38" w14:paraId="50B3D764" w14:textId="77777777" w:rsidTr="005B4006">
        <w:trPr>
          <w:trHeight w:val="284"/>
        </w:trPr>
        <w:tc>
          <w:tcPr>
            <w:tcW w:w="9724" w:type="dxa"/>
            <w:gridSpan w:val="2"/>
          </w:tcPr>
          <w:p w14:paraId="7850D978" w14:textId="77777777" w:rsidR="00952EEE" w:rsidRPr="00952EEE" w:rsidRDefault="00952EEE" w:rsidP="005B4006">
            <w:pPr>
              <w:pStyle w:val="Docheader"/>
              <w:spacing w:line="240" w:lineRule="auto"/>
              <w:rPr>
                <w:rFonts w:ascii="Calibri" w:hAnsi="Calibri" w:cs="Calibri"/>
                <w:i/>
                <w:sz w:val="22"/>
                <w:szCs w:val="22"/>
              </w:rPr>
            </w:pPr>
            <w:r w:rsidRPr="00952EEE">
              <w:rPr>
                <w:rFonts w:ascii="Calibri" w:hAnsi="Calibri" w:cs="Calibri"/>
                <w:sz w:val="22"/>
                <w:szCs w:val="22"/>
              </w:rPr>
              <w:t>OSPAR Convention for the Protection of the Marine Environment of the North-East Atlantic</w:t>
            </w:r>
          </w:p>
        </w:tc>
      </w:tr>
      <w:tr w:rsidR="00952EEE" w:rsidRPr="000E2E38" w14:paraId="1D75AB52" w14:textId="77777777" w:rsidTr="005B4006">
        <w:trPr>
          <w:trHeight w:val="284"/>
        </w:trPr>
        <w:tc>
          <w:tcPr>
            <w:tcW w:w="9724" w:type="dxa"/>
            <w:gridSpan w:val="2"/>
            <w:tcBorders>
              <w:bottom w:val="single" w:sz="4" w:space="0" w:color="808080"/>
            </w:tcBorders>
          </w:tcPr>
          <w:p w14:paraId="1E5AE87A" w14:textId="77777777" w:rsidR="00952EEE" w:rsidRPr="00952EEE" w:rsidRDefault="00952EEE" w:rsidP="005B4006">
            <w:pPr>
              <w:pStyle w:val="Docheader"/>
              <w:spacing w:line="240" w:lineRule="auto"/>
              <w:rPr>
                <w:rFonts w:ascii="Calibri" w:hAnsi="Calibri" w:cs="Calibri"/>
                <w:sz w:val="22"/>
                <w:szCs w:val="22"/>
              </w:rPr>
            </w:pPr>
            <w:r w:rsidRPr="00952EEE">
              <w:rPr>
                <w:rFonts w:ascii="Calibri" w:hAnsi="Calibri" w:cs="Calibri"/>
                <w:sz w:val="22"/>
                <w:szCs w:val="22"/>
              </w:rPr>
              <w:t>Meeting of the Environmental Impacts of Human Activities Committee (EIHA)</w:t>
            </w:r>
          </w:p>
          <w:p w14:paraId="20955F4C" w14:textId="77777777" w:rsidR="00952EEE" w:rsidRPr="00952EEE" w:rsidRDefault="00952EEE" w:rsidP="005B4006">
            <w:pPr>
              <w:pStyle w:val="Docheader"/>
              <w:spacing w:before="120" w:line="240" w:lineRule="auto"/>
              <w:rPr>
                <w:rFonts w:ascii="Calibri" w:hAnsi="Calibri" w:cs="Calibri"/>
                <w:sz w:val="22"/>
                <w:szCs w:val="22"/>
              </w:rPr>
            </w:pPr>
            <w:r w:rsidRPr="00952EEE">
              <w:rPr>
                <w:rFonts w:ascii="Calibri" w:hAnsi="Calibri" w:cs="Calibri"/>
                <w:sz w:val="22"/>
                <w:szCs w:val="22"/>
              </w:rPr>
              <w:t>Sweden (Helsingborg) and online: 13-16 April 2026</w:t>
            </w:r>
          </w:p>
        </w:tc>
      </w:tr>
      <w:bookmarkEnd w:id="0"/>
    </w:tbl>
    <w:p w14:paraId="47BD3F73" w14:textId="77777777" w:rsidR="00952EEE" w:rsidRDefault="00952EEE" w:rsidP="00952EEE">
      <w:pPr>
        <w:spacing w:after="140"/>
        <w:rPr>
          <w:noProof/>
          <w:kern w:val="32"/>
          <w:sz w:val="40"/>
          <w:szCs w:val="40"/>
          <w:lang w:val="en-US"/>
        </w:rPr>
      </w:pPr>
    </w:p>
    <w:p w14:paraId="7F0D9B5E" w14:textId="06997229" w:rsidR="00952EEE" w:rsidRPr="00952EEE" w:rsidRDefault="00952EEE" w:rsidP="00952EEE">
      <w:pPr>
        <w:spacing w:after="140"/>
        <w:rPr>
          <w:rFonts w:eastAsia="Calibri"/>
        </w:rPr>
      </w:pPr>
      <w:r w:rsidRPr="00952EEE">
        <w:rPr>
          <w:noProof/>
          <w:kern w:val="32"/>
          <w:sz w:val="40"/>
          <w:szCs w:val="40"/>
          <w:lang w:val="en-US"/>
        </w:rPr>
        <w:t xml:space="preserve">Terms of reference for ICG-Noise - 2026-2027 </w:t>
      </w:r>
    </w:p>
    <w:p w14:paraId="480E67F9" w14:textId="77777777" w:rsidR="00952EEE" w:rsidRDefault="00952EEE" w:rsidP="00952EEE">
      <w:pPr>
        <w:tabs>
          <w:tab w:val="clear" w:pos="567"/>
        </w:tabs>
        <w:spacing w:before="120" w:after="0"/>
        <w:rPr>
          <w:rFonts w:eastAsia="Calibri"/>
          <w:sz w:val="28"/>
          <w:szCs w:val="28"/>
        </w:rPr>
      </w:pPr>
      <w:r w:rsidRPr="00952EEE">
        <w:rPr>
          <w:rFonts w:eastAsia="Calibri"/>
          <w:sz w:val="28"/>
          <w:szCs w:val="28"/>
        </w:rPr>
        <w:t>Background and purpose</w:t>
      </w:r>
    </w:p>
    <w:p w14:paraId="744CABF5" w14:textId="77777777" w:rsidR="00952EEE" w:rsidRPr="00952EEE" w:rsidRDefault="00952EEE" w:rsidP="00952EEE">
      <w:pPr>
        <w:tabs>
          <w:tab w:val="clear" w:pos="567"/>
        </w:tabs>
        <w:spacing w:before="120" w:after="0"/>
        <w:rPr>
          <w:rFonts w:eastAsia="Calibri"/>
          <w:sz w:val="28"/>
          <w:szCs w:val="28"/>
        </w:rPr>
      </w:pPr>
    </w:p>
    <w:p w14:paraId="6BB79AFD" w14:textId="77777777" w:rsidR="00952EEE" w:rsidRPr="00952EEE" w:rsidRDefault="00952EEE" w:rsidP="00952EEE">
      <w:pPr>
        <w:numPr>
          <w:ilvl w:val="0"/>
          <w:numId w:val="3"/>
        </w:numPr>
        <w:spacing w:after="0"/>
        <w:ind w:left="284"/>
        <w:rPr>
          <w:rFonts w:eastAsia="Calibri"/>
        </w:rPr>
      </w:pPr>
      <w:r w:rsidRPr="00952EEE">
        <w:rPr>
          <w:rFonts w:eastAsia="Calibri"/>
        </w:rPr>
        <w:t xml:space="preserve">ICG-Noise should continue work in 2026-2027 on underwater noise to support the implementation of the </w:t>
      </w:r>
      <w:bookmarkStart w:id="1" w:name="_Hlk29298731"/>
      <w:r w:rsidRPr="00952EEE">
        <w:rPr>
          <w:rFonts w:eastAsia="Calibri"/>
        </w:rPr>
        <w:t xml:space="preserve">North-East Atlantic Environment Strategy </w:t>
      </w:r>
      <w:bookmarkEnd w:id="1"/>
      <w:r w:rsidRPr="00952EEE">
        <w:rPr>
          <w:rFonts w:eastAsia="Calibri"/>
        </w:rPr>
        <w:t xml:space="preserve">2030, the OSPAR Regional Action Plan to reduce underwater noise and the EU Marine Strategy Framework Directive. </w:t>
      </w:r>
    </w:p>
    <w:p w14:paraId="7DC1CC73" w14:textId="77777777" w:rsidR="00952EEE" w:rsidRPr="00952EEE" w:rsidRDefault="00952EEE" w:rsidP="00952EEE">
      <w:pPr>
        <w:spacing w:after="0"/>
        <w:rPr>
          <w:rFonts w:eastAsia="Calibri"/>
          <w:szCs w:val="22"/>
        </w:rPr>
      </w:pPr>
    </w:p>
    <w:p w14:paraId="0ECD5164" w14:textId="77777777" w:rsidR="00952EEE" w:rsidRPr="00952EEE" w:rsidRDefault="00952EEE" w:rsidP="00952EEE">
      <w:pPr>
        <w:numPr>
          <w:ilvl w:val="0"/>
          <w:numId w:val="3"/>
        </w:numPr>
        <w:spacing w:after="0"/>
        <w:ind w:left="284"/>
        <w:rPr>
          <w:rFonts w:eastAsia="Calibri"/>
        </w:rPr>
      </w:pPr>
      <w:r w:rsidRPr="00952EEE">
        <w:rPr>
          <w:rFonts w:eastAsia="Calibri"/>
        </w:rPr>
        <w:t xml:space="preserve">Work in 2026-2027 will include implementing noise-related tasks under the North-East Atlantic Environment Strategy 2030 and development of additional tasks as necessary;  implementing the regional action plan to reduce underwater noise; continued coordinated monitoring of continuous and impulsive noise; implementation of the OSPAR Joint Ambient Noise Monitoring Programme in the North Sea; and continued development of the inventory of noise mitigation techniques. </w:t>
      </w:r>
    </w:p>
    <w:p w14:paraId="75B8154F" w14:textId="77777777" w:rsidR="00952EEE" w:rsidRDefault="00952EEE" w:rsidP="00952EEE">
      <w:pPr>
        <w:tabs>
          <w:tab w:val="clear" w:pos="567"/>
        </w:tabs>
        <w:spacing w:before="120" w:after="0"/>
        <w:rPr>
          <w:rFonts w:eastAsia="Calibri"/>
          <w:sz w:val="28"/>
          <w:szCs w:val="28"/>
        </w:rPr>
      </w:pPr>
      <w:r w:rsidRPr="00952EEE">
        <w:rPr>
          <w:rFonts w:eastAsia="Calibri"/>
          <w:sz w:val="28"/>
          <w:szCs w:val="28"/>
        </w:rPr>
        <w:t>Participants</w:t>
      </w:r>
    </w:p>
    <w:p w14:paraId="2793B26D" w14:textId="77777777" w:rsidR="00952EEE" w:rsidRPr="00952EEE" w:rsidRDefault="00952EEE" w:rsidP="00952EEE">
      <w:pPr>
        <w:tabs>
          <w:tab w:val="clear" w:pos="567"/>
        </w:tabs>
        <w:spacing w:before="120" w:after="0"/>
        <w:rPr>
          <w:rFonts w:eastAsia="Calibri"/>
          <w:sz w:val="28"/>
          <w:szCs w:val="28"/>
        </w:rPr>
      </w:pPr>
    </w:p>
    <w:p w14:paraId="32166971" w14:textId="77777777" w:rsidR="00952EEE" w:rsidRPr="00952EEE" w:rsidRDefault="00952EEE" w:rsidP="00952EEE">
      <w:pPr>
        <w:numPr>
          <w:ilvl w:val="0"/>
          <w:numId w:val="3"/>
        </w:numPr>
        <w:spacing w:after="0"/>
        <w:ind w:left="284"/>
        <w:rPr>
          <w:rFonts w:eastAsia="Calibri"/>
        </w:rPr>
      </w:pPr>
      <w:r w:rsidRPr="00952EEE">
        <w:rPr>
          <w:rFonts w:eastAsia="Calibri"/>
        </w:rPr>
        <w:t xml:space="preserve">ICG-Noise will be convened by Germany (Klaus Lucke) </w:t>
      </w:r>
      <w:proofErr w:type="gramStart"/>
      <w:r w:rsidRPr="00952EEE">
        <w:rPr>
          <w:rFonts w:eastAsia="Calibri"/>
        </w:rPr>
        <w:t>and  the</w:t>
      </w:r>
      <w:proofErr w:type="gramEnd"/>
      <w:r w:rsidRPr="00952EEE">
        <w:rPr>
          <w:rFonts w:eastAsia="Calibri"/>
        </w:rPr>
        <w:t xml:space="preserve"> United Kingdom (Rosalyn </w:t>
      </w:r>
      <w:proofErr w:type="gramStart"/>
      <w:r w:rsidRPr="00952EEE">
        <w:rPr>
          <w:rFonts w:eastAsia="Calibri"/>
        </w:rPr>
        <w:t>Seddon )</w:t>
      </w:r>
      <w:proofErr w:type="gramEnd"/>
      <w:r w:rsidRPr="00952EEE">
        <w:rPr>
          <w:rFonts w:eastAsia="Calibri"/>
        </w:rPr>
        <w:t xml:space="preserve">  and is open to all OSPAR Contracting Parties and Observers. In view of the expansion in its scope of work, ICG-Noise should ensure representation from both policy and monitoring and assessment experts.</w:t>
      </w:r>
    </w:p>
    <w:p w14:paraId="20D7E3B4" w14:textId="77777777" w:rsidR="00952EEE" w:rsidRPr="00952EEE" w:rsidRDefault="00952EEE" w:rsidP="00952EEE">
      <w:pPr>
        <w:tabs>
          <w:tab w:val="clear" w:pos="567"/>
        </w:tabs>
        <w:spacing w:before="120"/>
        <w:rPr>
          <w:rFonts w:eastAsia="Calibri"/>
          <w:sz w:val="28"/>
          <w:szCs w:val="28"/>
        </w:rPr>
      </w:pPr>
      <w:r w:rsidRPr="00952EEE">
        <w:rPr>
          <w:rFonts w:eastAsia="Calibri"/>
          <w:sz w:val="28"/>
          <w:szCs w:val="28"/>
        </w:rPr>
        <w:t>Scope of Work</w:t>
      </w:r>
    </w:p>
    <w:p w14:paraId="15472717" w14:textId="77777777" w:rsidR="00952EEE" w:rsidRPr="00952EEE" w:rsidRDefault="00952EEE" w:rsidP="00952EEE">
      <w:pPr>
        <w:tabs>
          <w:tab w:val="clear" w:pos="567"/>
        </w:tabs>
        <w:spacing w:before="120"/>
        <w:rPr>
          <w:rFonts w:eastAsia="Calibri"/>
          <w:i/>
          <w:iCs/>
          <w:sz w:val="24"/>
          <w:szCs w:val="24"/>
        </w:rPr>
      </w:pPr>
      <w:r w:rsidRPr="00952EEE">
        <w:rPr>
          <w:rFonts w:eastAsia="Calibri"/>
          <w:bCs/>
          <w:i/>
          <w:iCs/>
          <w:noProof/>
          <w:sz w:val="24"/>
          <w:szCs w:val="24"/>
          <w:lang w:val="en"/>
        </w:rPr>
        <w:t>Regional action plan on underwater noise</w:t>
      </w:r>
    </w:p>
    <w:p w14:paraId="65B367C2" w14:textId="77777777" w:rsidR="00952EEE" w:rsidRPr="00952EEE" w:rsidRDefault="00952EEE" w:rsidP="00952EEE">
      <w:pPr>
        <w:numPr>
          <w:ilvl w:val="0"/>
          <w:numId w:val="3"/>
        </w:numPr>
        <w:spacing w:after="0"/>
        <w:ind w:left="284"/>
        <w:rPr>
          <w:rFonts w:eastAsia="Calibri"/>
        </w:rPr>
      </w:pPr>
      <w:r w:rsidRPr="00952EEE">
        <w:rPr>
          <w:rFonts w:eastAsia="Calibri"/>
        </w:rPr>
        <w:t xml:space="preserve">ICG-Noise will continue the implementation of the regional action plan on underwater noise setting out a series of collective actions and, as appropriate, OSPAR measures to reduce noise pollution, as agreed by OSPAR 2025. This work will involve the implementation of the actions of the RAP-noise, focusing </w:t>
      </w:r>
      <w:proofErr w:type="gramStart"/>
      <w:r w:rsidRPr="00952EEE">
        <w:rPr>
          <w:rFonts w:eastAsia="Calibri"/>
        </w:rPr>
        <w:t>in particular on</w:t>
      </w:r>
      <w:proofErr w:type="gramEnd"/>
      <w:r w:rsidRPr="00952EEE">
        <w:rPr>
          <w:rFonts w:eastAsia="Calibri"/>
        </w:rPr>
        <w:t>:</w:t>
      </w:r>
    </w:p>
    <w:p w14:paraId="2EA0657A" w14:textId="77777777" w:rsidR="00952EEE" w:rsidRPr="00952EEE" w:rsidRDefault="00952EEE" w:rsidP="00952EEE">
      <w:pPr>
        <w:numPr>
          <w:ilvl w:val="1"/>
          <w:numId w:val="3"/>
        </w:numPr>
        <w:tabs>
          <w:tab w:val="clear" w:pos="567"/>
        </w:tabs>
        <w:spacing w:before="120" w:after="200"/>
        <w:contextualSpacing/>
        <w:rPr>
          <w:rFonts w:eastAsia="Calibri"/>
          <w:noProof/>
          <w:lang w:val="en-US"/>
        </w:rPr>
      </w:pPr>
      <w:r w:rsidRPr="00952EEE">
        <w:rPr>
          <w:rFonts w:eastAsia="Calibri"/>
          <w:lang w:val="en-US"/>
        </w:rPr>
        <w:t xml:space="preserve">Developing threshold values to determine whether noise levels are having adverse effects on the marine </w:t>
      </w:r>
      <w:proofErr w:type="gramStart"/>
      <w:r w:rsidRPr="00952EEE">
        <w:rPr>
          <w:rFonts w:eastAsia="Calibri"/>
          <w:lang w:val="en-US"/>
        </w:rPr>
        <w:t>environment;</w:t>
      </w:r>
      <w:proofErr w:type="gramEnd"/>
    </w:p>
    <w:p w14:paraId="5A61D7A7" w14:textId="77777777" w:rsidR="00952EEE" w:rsidRPr="00952EEE" w:rsidRDefault="00952EEE" w:rsidP="00952EEE">
      <w:pPr>
        <w:numPr>
          <w:ilvl w:val="1"/>
          <w:numId w:val="3"/>
        </w:numPr>
        <w:tabs>
          <w:tab w:val="clear" w:pos="567"/>
        </w:tabs>
        <w:spacing w:before="120" w:after="200"/>
        <w:contextualSpacing/>
        <w:rPr>
          <w:rFonts w:eastAsia="Calibri"/>
          <w:noProof/>
          <w:lang w:val="en-US"/>
        </w:rPr>
      </w:pPr>
      <w:r w:rsidRPr="00952EEE">
        <w:rPr>
          <w:rFonts w:eastAsia="Calibri"/>
          <w:lang w:val="en-US"/>
        </w:rPr>
        <w:t xml:space="preserve">Adopting a report on marine spatial planning initiatives to highlight best practices to integrate underwater </w:t>
      </w:r>
      <w:proofErr w:type="gramStart"/>
      <w:r w:rsidRPr="00952EEE">
        <w:rPr>
          <w:rFonts w:eastAsia="Calibri"/>
          <w:lang w:val="en-US"/>
        </w:rPr>
        <w:t>noise;</w:t>
      </w:r>
      <w:proofErr w:type="gramEnd"/>
    </w:p>
    <w:p w14:paraId="769B15CE" w14:textId="77777777" w:rsidR="00952EEE" w:rsidRPr="00952EEE" w:rsidRDefault="00952EEE" w:rsidP="00952EEE">
      <w:pPr>
        <w:numPr>
          <w:ilvl w:val="1"/>
          <w:numId w:val="3"/>
        </w:numPr>
        <w:tabs>
          <w:tab w:val="clear" w:pos="567"/>
        </w:tabs>
        <w:spacing w:before="120" w:after="200"/>
        <w:contextualSpacing/>
        <w:rPr>
          <w:rFonts w:eastAsia="Calibri"/>
          <w:noProof/>
          <w:lang w:val="en-US"/>
        </w:rPr>
      </w:pPr>
      <w:r w:rsidRPr="00952EEE">
        <w:rPr>
          <w:rFonts w:eastAsia="Calibri"/>
          <w:lang w:val="en-US"/>
        </w:rPr>
        <w:t>Reporting to the IMO to contribute to the Experience Building Phase of the IMO noise guidelines; and</w:t>
      </w:r>
    </w:p>
    <w:p w14:paraId="36A06E82" w14:textId="77777777" w:rsidR="00952EEE" w:rsidRPr="00952EEE" w:rsidRDefault="00952EEE" w:rsidP="00952EEE">
      <w:pPr>
        <w:numPr>
          <w:ilvl w:val="1"/>
          <w:numId w:val="3"/>
        </w:numPr>
        <w:tabs>
          <w:tab w:val="clear" w:pos="567"/>
        </w:tabs>
        <w:spacing w:before="120" w:after="200"/>
        <w:rPr>
          <w:rFonts w:eastAsia="Calibri"/>
          <w:noProof/>
          <w:lang w:val="en-US"/>
        </w:rPr>
      </w:pPr>
      <w:r w:rsidRPr="00952EEE">
        <w:rPr>
          <w:rFonts w:eastAsia="Calibri"/>
          <w:lang w:val="en-US"/>
        </w:rPr>
        <w:t xml:space="preserve">Initiating the knowledge building phase of target development for seismic </w:t>
      </w:r>
      <w:proofErr w:type="spellStart"/>
      <w:r w:rsidRPr="00952EEE">
        <w:rPr>
          <w:rFonts w:eastAsia="Calibri"/>
          <w:lang w:val="en-US"/>
        </w:rPr>
        <w:t>airgun</w:t>
      </w:r>
      <w:proofErr w:type="spellEnd"/>
      <w:r w:rsidRPr="00952EEE">
        <w:rPr>
          <w:rFonts w:eastAsia="Calibri"/>
          <w:lang w:val="en-US"/>
        </w:rPr>
        <w:t xml:space="preserve"> survey, impact pile driving and UXO noise </w:t>
      </w:r>
      <w:proofErr w:type="gramStart"/>
      <w:r w:rsidRPr="00952EEE">
        <w:rPr>
          <w:rFonts w:eastAsia="Calibri"/>
          <w:lang w:val="en-US"/>
        </w:rPr>
        <w:t>reduction..</w:t>
      </w:r>
      <w:proofErr w:type="gramEnd"/>
      <w:r w:rsidRPr="00952EEE">
        <w:rPr>
          <w:rFonts w:eastAsia="Calibri"/>
          <w:lang w:val="en-US"/>
        </w:rPr>
        <w:t xml:space="preserve"> </w:t>
      </w:r>
    </w:p>
    <w:p w14:paraId="43BC2FA4" w14:textId="77777777" w:rsidR="00952EEE" w:rsidRPr="00952EEE" w:rsidRDefault="00952EEE" w:rsidP="00952EEE">
      <w:pPr>
        <w:tabs>
          <w:tab w:val="clear" w:pos="567"/>
        </w:tabs>
        <w:spacing w:before="120"/>
        <w:rPr>
          <w:rFonts w:eastAsia="Calibri"/>
          <w:sz w:val="28"/>
          <w:szCs w:val="28"/>
        </w:rPr>
      </w:pPr>
      <w:r w:rsidRPr="00952EEE">
        <w:rPr>
          <w:i/>
          <w:iCs/>
          <w:noProof/>
          <w:sz w:val="24"/>
          <w:szCs w:val="24"/>
          <w:lang w:val="en"/>
        </w:rPr>
        <w:t>Mitigation</w:t>
      </w:r>
      <w:r w:rsidRPr="00952EEE">
        <w:rPr>
          <w:rFonts w:eastAsia="Calibri"/>
        </w:rPr>
        <w:t xml:space="preserve"> </w:t>
      </w:r>
    </w:p>
    <w:p w14:paraId="257C8C2F" w14:textId="77777777" w:rsidR="00952EEE" w:rsidRPr="00952EEE" w:rsidRDefault="00952EEE" w:rsidP="00952EEE">
      <w:pPr>
        <w:numPr>
          <w:ilvl w:val="0"/>
          <w:numId w:val="3"/>
        </w:numPr>
        <w:spacing w:after="0"/>
        <w:ind w:left="284"/>
        <w:rPr>
          <w:rFonts w:eastAsia="Calibri"/>
        </w:rPr>
      </w:pPr>
      <w:r w:rsidRPr="00952EEE">
        <w:rPr>
          <w:rFonts w:eastAsia="Calibri"/>
        </w:rPr>
        <w:t xml:space="preserve">ICG-Noise will keep </w:t>
      </w:r>
      <w:proofErr w:type="gramStart"/>
      <w:r w:rsidRPr="00952EEE">
        <w:rPr>
          <w:rFonts w:eastAsia="Calibri"/>
        </w:rPr>
        <w:t>up-to-date</w:t>
      </w:r>
      <w:proofErr w:type="gramEnd"/>
      <w:r w:rsidRPr="00952EEE">
        <w:rPr>
          <w:rFonts w:eastAsia="Calibri"/>
        </w:rPr>
        <w:t xml:space="preserve"> an inventory of underwater noise mitigation measures that will provide OSPAR Contracting Parties with an overview of effectiveness and feasibility of mitigation options.</w:t>
      </w:r>
    </w:p>
    <w:p w14:paraId="376850B8" w14:textId="6BBDB2D5" w:rsidR="00952EEE" w:rsidRDefault="00952EEE" w:rsidP="00952EEE">
      <w:pPr>
        <w:numPr>
          <w:ilvl w:val="0"/>
          <w:numId w:val="3"/>
        </w:numPr>
        <w:spacing w:after="0"/>
        <w:ind w:left="284"/>
        <w:rPr>
          <w:rFonts w:eastAsia="Calibri"/>
        </w:rPr>
      </w:pPr>
      <w:r w:rsidRPr="00952EEE">
        <w:rPr>
          <w:rFonts w:eastAsia="Calibri"/>
        </w:rPr>
        <w:lastRenderedPageBreak/>
        <w:t xml:space="preserve">To date chapters have been developed on pile driving,seismic surveys, shipping and explosive use. . ICG-Noise will  update the chapter on piling and consider the addition of a new chapter on Acoustic Deterrent Devices (ADDs) at ICG-Noise 2027. Together with the implementation of Action 7 of the RAP-Noise, ICG-Noise will reconsider the need to  develop additional chapters for other sources such as high frequency impulsive sources (e.g. from echosounders) and dredging.  It is noted that for managing military activities (explosives and sonar) OSPAR action may have limited impact. ICG-Noise will provide the platform for the sharing of national experiences. </w:t>
      </w:r>
    </w:p>
    <w:p w14:paraId="302A47E0" w14:textId="77777777" w:rsidR="00952EEE" w:rsidRPr="00952EEE" w:rsidRDefault="00952EEE" w:rsidP="00952EEE">
      <w:pPr>
        <w:spacing w:after="0"/>
        <w:ind w:left="284"/>
        <w:rPr>
          <w:rFonts w:eastAsia="Calibri"/>
        </w:rPr>
      </w:pPr>
    </w:p>
    <w:p w14:paraId="37ED8586" w14:textId="77777777" w:rsidR="00952EEE" w:rsidRPr="00952EEE" w:rsidRDefault="00952EEE" w:rsidP="00952EEE">
      <w:pPr>
        <w:widowControl w:val="0"/>
        <w:outlineLvl w:val="2"/>
        <w:rPr>
          <w:i/>
          <w:iCs/>
          <w:noProof/>
          <w:sz w:val="24"/>
          <w:szCs w:val="24"/>
          <w:lang w:val="en"/>
        </w:rPr>
      </w:pPr>
      <w:r w:rsidRPr="00952EEE">
        <w:rPr>
          <w:i/>
          <w:iCs/>
          <w:noProof/>
          <w:sz w:val="24"/>
          <w:szCs w:val="24"/>
          <w:lang w:val="en"/>
        </w:rPr>
        <w:t>Monitoring and assessment</w:t>
      </w:r>
    </w:p>
    <w:p w14:paraId="2E2847FD" w14:textId="77777777" w:rsidR="00952EEE" w:rsidRPr="00952EEE" w:rsidRDefault="00952EEE" w:rsidP="00952EEE">
      <w:pPr>
        <w:numPr>
          <w:ilvl w:val="0"/>
          <w:numId w:val="3"/>
        </w:numPr>
        <w:spacing w:after="0"/>
        <w:ind w:left="284"/>
        <w:rPr>
          <w:rFonts w:eastAsia="Calibri"/>
        </w:rPr>
      </w:pPr>
      <w:r w:rsidRPr="00952EEE">
        <w:rPr>
          <w:rFonts w:eastAsia="Calibri"/>
        </w:rPr>
        <w:t>ICG-Noise will support ongoing delivery of the OSPAR Common Indicators for impulsive noise. This will include:</w:t>
      </w:r>
    </w:p>
    <w:p w14:paraId="5A5E7460" w14:textId="77777777" w:rsidR="00952EEE" w:rsidRPr="00952EEE" w:rsidRDefault="00952EEE" w:rsidP="00952EEE">
      <w:pPr>
        <w:widowControl w:val="0"/>
        <w:numPr>
          <w:ilvl w:val="0"/>
          <w:numId w:val="4"/>
        </w:numPr>
        <w:tabs>
          <w:tab w:val="clear" w:pos="567"/>
        </w:tabs>
        <w:spacing w:after="200"/>
        <w:ind w:left="1134" w:hanging="283"/>
        <w:outlineLvl w:val="2"/>
        <w:rPr>
          <w:noProof/>
        </w:rPr>
      </w:pPr>
      <w:r w:rsidRPr="00952EEE">
        <w:rPr>
          <w:noProof/>
        </w:rPr>
        <w:t>Further development of the Common Indicator on pressure of impulsive noise sources</w:t>
      </w:r>
      <w:bookmarkStart w:id="2" w:name="_Hlk154151758"/>
      <w:r w:rsidRPr="00952EEE">
        <w:rPr>
          <w:noProof/>
        </w:rPr>
        <w:t>, aiming for an updated indicator assessment in 2027</w:t>
      </w:r>
      <w:bookmarkEnd w:id="2"/>
      <w:r w:rsidRPr="00952EEE">
        <w:rPr>
          <w:noProof/>
        </w:rPr>
        <w:t>,for approval at EIHA 2028;</w:t>
      </w:r>
    </w:p>
    <w:p w14:paraId="74A35AF1" w14:textId="77777777" w:rsidR="00952EEE" w:rsidRPr="00952EEE" w:rsidRDefault="00952EEE" w:rsidP="00952EEE">
      <w:pPr>
        <w:widowControl w:val="0"/>
        <w:numPr>
          <w:ilvl w:val="0"/>
          <w:numId w:val="4"/>
        </w:numPr>
        <w:tabs>
          <w:tab w:val="clear" w:pos="567"/>
        </w:tabs>
        <w:spacing w:after="200"/>
        <w:ind w:left="1134" w:hanging="283"/>
        <w:outlineLvl w:val="2"/>
        <w:rPr>
          <w:noProof/>
        </w:rPr>
      </w:pPr>
      <w:r w:rsidRPr="00952EEE">
        <w:rPr>
          <w:noProof/>
        </w:rPr>
        <w:t>Further development of the Common Indicator on the risk of impact of impulsive noise on biota including consideration of additional sensitive species and habitats, aiming for an updated indicator assessment in 2027, for approval at EIHA 2028;</w:t>
      </w:r>
    </w:p>
    <w:p w14:paraId="39E4C81C" w14:textId="77777777" w:rsidR="00952EEE" w:rsidRPr="00952EEE" w:rsidRDefault="00952EEE" w:rsidP="00952EEE">
      <w:pPr>
        <w:widowControl w:val="0"/>
        <w:numPr>
          <w:ilvl w:val="0"/>
          <w:numId w:val="4"/>
        </w:numPr>
        <w:tabs>
          <w:tab w:val="clear" w:pos="567"/>
        </w:tabs>
        <w:spacing w:after="200"/>
        <w:ind w:left="1134" w:hanging="283"/>
        <w:outlineLvl w:val="2"/>
        <w:rPr>
          <w:bCs/>
          <w:noProof/>
          <w:szCs w:val="22"/>
        </w:rPr>
      </w:pPr>
      <w:r w:rsidRPr="00952EEE">
        <w:rPr>
          <w:bCs/>
          <w:noProof/>
          <w:szCs w:val="22"/>
        </w:rPr>
        <w:t>Supporting a more comprehensive submission of data into the OSPAR impulsive noise registry, including providing advice to CPs on priorities with respect to current data gaps in the impulsive noise register.</w:t>
      </w:r>
    </w:p>
    <w:p w14:paraId="18DDBE0E" w14:textId="77777777" w:rsidR="00952EEE" w:rsidRPr="00952EEE" w:rsidRDefault="00952EEE" w:rsidP="00952EEE">
      <w:pPr>
        <w:numPr>
          <w:ilvl w:val="0"/>
          <w:numId w:val="3"/>
        </w:numPr>
        <w:spacing w:after="0"/>
        <w:ind w:left="284"/>
        <w:rPr>
          <w:rFonts w:eastAsia="Calibri"/>
        </w:rPr>
      </w:pPr>
      <w:r w:rsidRPr="00952EEE">
        <w:rPr>
          <w:rFonts w:eastAsia="Calibri"/>
        </w:rPr>
        <w:t>ICG-Noise will implement the OSPAR Strategy for Ambient Noise Monitoring. This will include:</w:t>
      </w:r>
    </w:p>
    <w:p w14:paraId="0DD0D76F" w14:textId="77777777" w:rsidR="00952EEE" w:rsidRPr="00952EEE" w:rsidRDefault="00952EEE" w:rsidP="00952EEE">
      <w:pPr>
        <w:widowControl w:val="0"/>
        <w:numPr>
          <w:ilvl w:val="0"/>
          <w:numId w:val="2"/>
        </w:numPr>
        <w:tabs>
          <w:tab w:val="clear" w:pos="567"/>
        </w:tabs>
        <w:spacing w:before="120" w:after="200"/>
        <w:ind w:left="1134" w:hanging="425"/>
        <w:outlineLvl w:val="2"/>
      </w:pPr>
      <w:r w:rsidRPr="00952EEE">
        <w:rPr>
          <w:noProof/>
        </w:rPr>
        <w:t xml:space="preserve">Contributing to the implementation of a joint </w:t>
      </w:r>
      <w:r w:rsidRPr="00952EEE">
        <w:t xml:space="preserve">monitoring programme for continuous noise (including asking coordinating groups of projects, e.g. DEMASK for their contributions), identifying solutions for the hosting of project products and facilitating cost-effective joint </w:t>
      </w:r>
      <w:proofErr w:type="gramStart"/>
      <w:r w:rsidRPr="00952EEE">
        <w:t>monitoring;</w:t>
      </w:r>
      <w:proofErr w:type="gramEnd"/>
    </w:p>
    <w:p w14:paraId="1FE58795" w14:textId="77777777" w:rsidR="00952EEE" w:rsidRPr="00952EEE" w:rsidRDefault="00952EEE" w:rsidP="00952EEE">
      <w:pPr>
        <w:widowControl w:val="0"/>
        <w:numPr>
          <w:ilvl w:val="0"/>
          <w:numId w:val="2"/>
        </w:numPr>
        <w:tabs>
          <w:tab w:val="clear" w:pos="567"/>
        </w:tabs>
        <w:spacing w:before="120" w:after="200"/>
        <w:ind w:left="1134" w:hanging="425"/>
        <w:outlineLvl w:val="2"/>
      </w:pPr>
      <w:r w:rsidRPr="00952EEE">
        <w:t xml:space="preserve">Coordination (through the subgroup for continuous noise monitoring) of the OSPAR Joint Monitoring Programme for the Greater North Sea (region II), with EIHA deciding on policy-related matters (OSPAR Agreement 2022 – 06); a mid-term review of the Programme will be made in </w:t>
      </w:r>
      <w:proofErr w:type="gramStart"/>
      <w:r w:rsidRPr="00952EEE">
        <w:t>2025;</w:t>
      </w:r>
      <w:proofErr w:type="gramEnd"/>
    </w:p>
    <w:p w14:paraId="438F12D4" w14:textId="77777777" w:rsidR="00952EEE" w:rsidRPr="00952EEE" w:rsidRDefault="00952EEE" w:rsidP="00952EEE">
      <w:pPr>
        <w:widowControl w:val="0"/>
        <w:numPr>
          <w:ilvl w:val="0"/>
          <w:numId w:val="2"/>
        </w:numPr>
        <w:tabs>
          <w:tab w:val="clear" w:pos="567"/>
        </w:tabs>
        <w:spacing w:after="200"/>
        <w:ind w:left="1134" w:hanging="425"/>
        <w:outlineLvl w:val="2"/>
        <w:rPr>
          <w:bCs/>
          <w:noProof/>
          <w:szCs w:val="22"/>
        </w:rPr>
      </w:pPr>
      <w:r w:rsidRPr="00952EEE">
        <w:rPr>
          <w:bCs/>
          <w:noProof/>
          <w:szCs w:val="22"/>
        </w:rPr>
        <w:t>Continue developing coordinated monitoring programmes for OSPAR regions III-V;</w:t>
      </w:r>
    </w:p>
    <w:p w14:paraId="62D23597" w14:textId="77777777" w:rsidR="00952EEE" w:rsidRPr="00952EEE" w:rsidRDefault="00952EEE" w:rsidP="00952EEE">
      <w:pPr>
        <w:widowControl w:val="0"/>
        <w:numPr>
          <w:ilvl w:val="0"/>
          <w:numId w:val="2"/>
        </w:numPr>
        <w:tabs>
          <w:tab w:val="clear" w:pos="567"/>
        </w:tabs>
        <w:spacing w:after="200"/>
        <w:ind w:left="1134" w:hanging="425"/>
        <w:outlineLvl w:val="2"/>
        <w:rPr>
          <w:bCs/>
          <w:noProof/>
          <w:szCs w:val="22"/>
        </w:rPr>
      </w:pPr>
      <w:r w:rsidRPr="00952EEE">
        <w:rPr>
          <w:bCs/>
          <w:szCs w:val="22"/>
        </w:rPr>
        <w:t xml:space="preserve">Investigating possibilities for other areas that are not covered by current projects/proposals, e.g. OSPAR Region </w:t>
      </w:r>
      <w:proofErr w:type="gramStart"/>
      <w:r w:rsidRPr="00952EEE">
        <w:rPr>
          <w:bCs/>
          <w:szCs w:val="22"/>
        </w:rPr>
        <w:t>1;</w:t>
      </w:r>
      <w:proofErr w:type="gramEnd"/>
    </w:p>
    <w:p w14:paraId="355ED53F" w14:textId="67D9C88A" w:rsidR="00952EEE" w:rsidRPr="00952EEE" w:rsidRDefault="00952EEE" w:rsidP="00952EEE">
      <w:pPr>
        <w:widowControl w:val="0"/>
        <w:numPr>
          <w:ilvl w:val="0"/>
          <w:numId w:val="2"/>
        </w:numPr>
        <w:tabs>
          <w:tab w:val="clear" w:pos="567"/>
        </w:tabs>
        <w:spacing w:after="200"/>
        <w:ind w:left="1134" w:hanging="425"/>
        <w:outlineLvl w:val="2"/>
        <w:rPr>
          <w:noProof/>
        </w:rPr>
      </w:pPr>
      <w:r w:rsidRPr="00952EEE">
        <w:t xml:space="preserve">Further development work on the candidate Indicator on continuous noise, with the aim of reaching agreement to promote </w:t>
      </w:r>
      <w:proofErr w:type="spellStart"/>
      <w:r w:rsidRPr="00952EEE">
        <w:t>to</w:t>
      </w:r>
      <w:proofErr w:type="spellEnd"/>
      <w:r w:rsidRPr="00952EEE">
        <w:t xml:space="preserve"> Common by EIHA 2027 at the latest and producing a full indicator assessment by 2028, for approval at EIHA 2028.</w:t>
      </w:r>
    </w:p>
    <w:p w14:paraId="1561625A" w14:textId="1058D862" w:rsidR="00952EEE" w:rsidRDefault="00952EEE" w:rsidP="00952EEE">
      <w:pPr>
        <w:numPr>
          <w:ilvl w:val="0"/>
          <w:numId w:val="3"/>
        </w:numPr>
        <w:spacing w:after="0"/>
        <w:ind w:left="284"/>
        <w:rPr>
          <w:rFonts w:eastAsia="Calibri"/>
        </w:rPr>
      </w:pPr>
      <w:r w:rsidRPr="00952EEE">
        <w:rPr>
          <w:rFonts w:eastAsia="Calibri"/>
        </w:rPr>
        <w:t>Supporting a more comprehensive submission of data into the ICES continuous noise database, thus supporting data sharing across the OSPAR sea region.</w:t>
      </w:r>
    </w:p>
    <w:p w14:paraId="7BB40DC1" w14:textId="77777777" w:rsidR="00952EEE" w:rsidRPr="00952EEE" w:rsidRDefault="00952EEE" w:rsidP="00952EEE">
      <w:pPr>
        <w:spacing w:after="0"/>
        <w:ind w:left="284"/>
        <w:rPr>
          <w:rFonts w:eastAsia="Calibri"/>
        </w:rPr>
      </w:pPr>
    </w:p>
    <w:p w14:paraId="23AF09D9" w14:textId="3B71EB43" w:rsidR="00952EEE" w:rsidRPr="00952EEE" w:rsidRDefault="00952EEE" w:rsidP="00952EEE">
      <w:pPr>
        <w:widowControl w:val="0"/>
        <w:tabs>
          <w:tab w:val="clear" w:pos="567"/>
        </w:tabs>
        <w:outlineLvl w:val="2"/>
        <w:rPr>
          <w:bCs/>
          <w:i/>
          <w:noProof/>
          <w:sz w:val="24"/>
          <w:szCs w:val="24"/>
          <w:lang w:val="en"/>
        </w:rPr>
      </w:pPr>
      <w:r w:rsidRPr="00952EEE">
        <w:rPr>
          <w:bCs/>
          <w:i/>
          <w:noProof/>
          <w:sz w:val="24"/>
          <w:szCs w:val="24"/>
          <w:lang w:val="en"/>
        </w:rPr>
        <w:t>Marine Strategy Framework Directive</w:t>
      </w:r>
    </w:p>
    <w:p w14:paraId="28B1F14D" w14:textId="3821A31B" w:rsidR="00952EEE" w:rsidRPr="00952EEE" w:rsidRDefault="00952EEE" w:rsidP="00952EEE">
      <w:pPr>
        <w:numPr>
          <w:ilvl w:val="0"/>
          <w:numId w:val="3"/>
        </w:numPr>
        <w:spacing w:after="0"/>
        <w:ind w:left="284"/>
        <w:rPr>
          <w:rFonts w:eastAsia="Calibri"/>
        </w:rPr>
      </w:pPr>
      <w:r w:rsidRPr="00952EEE">
        <w:rPr>
          <w:rFonts w:eastAsia="Calibri"/>
        </w:rPr>
        <w:t xml:space="preserve">ICG-Noise will examine the threshold values developed within the EU MSFD and consider their implications for OSPAR and how to address outstanding issues (choice of LOBE and indicator species and regional </w:t>
      </w:r>
      <w:proofErr w:type="gramStart"/>
      <w:r w:rsidRPr="00952EEE">
        <w:rPr>
          <w:rFonts w:eastAsia="Calibri"/>
        </w:rPr>
        <w:t>adaption</w:t>
      </w:r>
      <w:proofErr w:type="gramEnd"/>
      <w:r w:rsidRPr="00952EEE">
        <w:rPr>
          <w:rFonts w:eastAsia="Calibri"/>
        </w:rPr>
        <w:t xml:space="preserve"> of TVs).  ICG-Noise will conduct several simulations </w:t>
      </w:r>
      <w:proofErr w:type="gramStart"/>
      <w:r w:rsidRPr="00952EEE">
        <w:rPr>
          <w:rFonts w:eastAsia="Calibri"/>
        </w:rPr>
        <w:t>in order to</w:t>
      </w:r>
      <w:proofErr w:type="gramEnd"/>
      <w:r w:rsidRPr="00952EEE">
        <w:rPr>
          <w:rFonts w:eastAsia="Calibri"/>
        </w:rPr>
        <w:t xml:space="preserve"> test the applicability of the threshold values under different conditions.  </w:t>
      </w:r>
    </w:p>
    <w:p w14:paraId="38BF08B5" w14:textId="27279099" w:rsidR="00952EEE" w:rsidRPr="00952EEE" w:rsidRDefault="00952EEE" w:rsidP="00952EEE">
      <w:pPr>
        <w:numPr>
          <w:ilvl w:val="0"/>
          <w:numId w:val="3"/>
        </w:numPr>
        <w:spacing w:after="0"/>
        <w:ind w:left="284"/>
        <w:rPr>
          <w:rFonts w:eastAsia="Calibri"/>
        </w:rPr>
      </w:pPr>
      <w:r w:rsidRPr="00952EEE">
        <w:rPr>
          <w:rFonts w:eastAsia="Calibri"/>
        </w:rPr>
        <w:t>A task group established under ICG-Noise and led by Germany and the United Kingdom will work on the implementation of the threshold values, including methodological issues.</w:t>
      </w:r>
    </w:p>
    <w:p w14:paraId="13BDCBF1" w14:textId="77777777" w:rsidR="00952EEE" w:rsidRPr="00952EEE" w:rsidRDefault="00952EEE" w:rsidP="00952EEE">
      <w:pPr>
        <w:numPr>
          <w:ilvl w:val="0"/>
          <w:numId w:val="3"/>
        </w:numPr>
        <w:spacing w:after="0"/>
        <w:ind w:left="284"/>
        <w:rPr>
          <w:rFonts w:eastAsia="Calibri"/>
        </w:rPr>
      </w:pPr>
      <w:r w:rsidRPr="00952EEE">
        <w:rPr>
          <w:rFonts w:eastAsia="Calibri"/>
        </w:rPr>
        <w:lastRenderedPageBreak/>
        <w:t>Where relevant, ICG-Noise will give advice to ICG-MSFD on the proposed approach for setting coherent and/or common environmental targets at the regional level for the EU MSFD third cycle that also contribute to reaching the NEAES 2030 objectives in a coordinated way, and provide feedback to ICG-MSFD on specific threshold numbers to be set at regional or subregional level.</w:t>
      </w:r>
    </w:p>
    <w:p w14:paraId="73459B43" w14:textId="77777777" w:rsidR="00952EEE" w:rsidRPr="00952EEE" w:rsidRDefault="00952EEE" w:rsidP="00952EEE">
      <w:pPr>
        <w:widowControl w:val="0"/>
        <w:tabs>
          <w:tab w:val="clear" w:pos="567"/>
        </w:tabs>
        <w:spacing w:after="200"/>
        <w:contextualSpacing/>
        <w:outlineLvl w:val="2"/>
        <w:rPr>
          <w:rFonts w:eastAsia="Calibri"/>
          <w:noProof/>
          <w:szCs w:val="22"/>
          <w:lang w:val="en"/>
        </w:rPr>
      </w:pPr>
    </w:p>
    <w:p w14:paraId="6842D8F8" w14:textId="679EE766" w:rsidR="00952EEE" w:rsidRPr="00952EEE" w:rsidRDefault="00952EEE" w:rsidP="00952EEE">
      <w:pPr>
        <w:widowControl w:val="0"/>
        <w:tabs>
          <w:tab w:val="clear" w:pos="567"/>
        </w:tabs>
        <w:outlineLvl w:val="2"/>
        <w:rPr>
          <w:bCs/>
          <w:i/>
          <w:noProof/>
          <w:sz w:val="24"/>
          <w:szCs w:val="24"/>
          <w:lang w:val="en"/>
        </w:rPr>
      </w:pPr>
      <w:r w:rsidRPr="00952EEE">
        <w:rPr>
          <w:bCs/>
          <w:i/>
          <w:noProof/>
          <w:sz w:val="24"/>
          <w:szCs w:val="24"/>
          <w:lang w:val="en"/>
        </w:rPr>
        <w:t>Regional cooperation</w:t>
      </w:r>
    </w:p>
    <w:p w14:paraId="678A8226" w14:textId="77777777" w:rsidR="00952EEE" w:rsidRPr="00952EEE" w:rsidRDefault="00952EEE" w:rsidP="00952EEE">
      <w:pPr>
        <w:numPr>
          <w:ilvl w:val="0"/>
          <w:numId w:val="3"/>
        </w:numPr>
        <w:spacing w:after="0"/>
        <w:ind w:left="284"/>
        <w:rPr>
          <w:rFonts w:eastAsia="Calibri"/>
        </w:rPr>
      </w:pPr>
      <w:r w:rsidRPr="00952EEE">
        <w:rPr>
          <w:rFonts w:eastAsia="Calibri"/>
        </w:rPr>
        <w:t>ICG-Noise will cooperate with other regional seas conventions on matters of mutual interest.  In relation to HELCOM, it will cooperate on the following issues identified at the third informal consultation session of 15 December 2025:</w:t>
      </w:r>
    </w:p>
    <w:p w14:paraId="47AFE6C3" w14:textId="77777777" w:rsidR="00952EEE" w:rsidRPr="00952EEE" w:rsidRDefault="00952EEE" w:rsidP="00952EEE">
      <w:pPr>
        <w:widowControl w:val="0"/>
        <w:tabs>
          <w:tab w:val="clear" w:pos="567"/>
        </w:tabs>
        <w:spacing w:after="200"/>
        <w:contextualSpacing/>
        <w:outlineLvl w:val="2"/>
        <w:rPr>
          <w:rFonts w:eastAsia="Calibri"/>
          <w:bCs/>
          <w:iCs/>
          <w:noProof/>
          <w:szCs w:val="22"/>
          <w:lang w:val="en"/>
        </w:rPr>
      </w:pPr>
    </w:p>
    <w:p w14:paraId="4234A374" w14:textId="77777777" w:rsidR="00952EEE" w:rsidRPr="00952EEE" w:rsidRDefault="00952EEE" w:rsidP="00952EEE">
      <w:pPr>
        <w:widowControl w:val="0"/>
        <w:numPr>
          <w:ilvl w:val="1"/>
          <w:numId w:val="3"/>
        </w:numPr>
        <w:tabs>
          <w:tab w:val="clear" w:pos="567"/>
          <w:tab w:val="clear" w:pos="1134"/>
          <w:tab w:val="clear" w:pos="1701"/>
          <w:tab w:val="clear" w:pos="2268"/>
        </w:tabs>
        <w:suppressAutoHyphens w:val="0"/>
        <w:spacing w:after="200"/>
        <w:contextualSpacing/>
        <w:jc w:val="left"/>
        <w:outlineLvl w:val="2"/>
        <w:rPr>
          <w:rFonts w:eastAsia="Calibri"/>
          <w:noProof/>
          <w:lang w:val="en" w:eastAsia="en-US"/>
        </w:rPr>
      </w:pPr>
      <w:r w:rsidRPr="00952EEE">
        <w:rPr>
          <w:rFonts w:eastAsia="Calibri"/>
          <w:noProof/>
          <w:lang w:val="en" w:eastAsia="en-US"/>
        </w:rPr>
        <w:t xml:space="preserve">further development of the joint registry of impulsive events and database on continuous sound; </w:t>
      </w:r>
    </w:p>
    <w:p w14:paraId="786F6018" w14:textId="77777777" w:rsidR="00952EEE" w:rsidRPr="00952EEE" w:rsidRDefault="00952EEE" w:rsidP="00952EEE">
      <w:pPr>
        <w:widowControl w:val="0"/>
        <w:tabs>
          <w:tab w:val="clear" w:pos="567"/>
        </w:tabs>
        <w:spacing w:after="200"/>
        <w:ind w:left="1134"/>
        <w:contextualSpacing/>
        <w:outlineLvl w:val="2"/>
        <w:rPr>
          <w:rFonts w:eastAsia="Calibri"/>
          <w:noProof/>
          <w:lang w:val="en"/>
        </w:rPr>
      </w:pPr>
    </w:p>
    <w:p w14:paraId="63C67972" w14:textId="77777777" w:rsidR="00952EEE" w:rsidRPr="00952EEE" w:rsidRDefault="00952EEE" w:rsidP="00952EEE">
      <w:pPr>
        <w:widowControl w:val="0"/>
        <w:tabs>
          <w:tab w:val="clear" w:pos="567"/>
        </w:tabs>
        <w:spacing w:after="200"/>
        <w:ind w:left="1134"/>
        <w:contextualSpacing/>
        <w:outlineLvl w:val="2"/>
        <w:rPr>
          <w:rFonts w:eastAsia="Calibri"/>
          <w:noProof/>
          <w:lang w:val="en"/>
        </w:rPr>
      </w:pPr>
      <w:r w:rsidRPr="00952EEE">
        <w:rPr>
          <w:rFonts w:eastAsia="Calibri"/>
          <w:noProof/>
          <w:lang w:val="en"/>
        </w:rPr>
        <w:t xml:space="preserve">b. further development of indicators, targets and threshold values; </w:t>
      </w:r>
    </w:p>
    <w:p w14:paraId="502DE6A6" w14:textId="77777777" w:rsidR="00952EEE" w:rsidRPr="00952EEE" w:rsidRDefault="00952EEE" w:rsidP="00952EEE">
      <w:pPr>
        <w:widowControl w:val="0"/>
        <w:tabs>
          <w:tab w:val="clear" w:pos="567"/>
        </w:tabs>
        <w:spacing w:after="200"/>
        <w:ind w:left="1134"/>
        <w:contextualSpacing/>
        <w:outlineLvl w:val="2"/>
        <w:rPr>
          <w:rFonts w:eastAsia="Calibri"/>
          <w:noProof/>
          <w:lang w:val="en"/>
        </w:rPr>
      </w:pPr>
      <w:r w:rsidRPr="00952EEE">
        <w:rPr>
          <w:rFonts w:eastAsia="Calibri"/>
          <w:noProof/>
          <w:lang w:val="en"/>
        </w:rPr>
        <w:t>c.</w:t>
      </w:r>
      <w:r w:rsidRPr="00952EEE">
        <w:tab/>
      </w:r>
      <w:r w:rsidRPr="00952EEE">
        <w:rPr>
          <w:rFonts w:eastAsia="Calibri"/>
          <w:noProof/>
          <w:lang w:val="en"/>
        </w:rPr>
        <w:t>incorporation of EU MSFD threshold values into OSPAR and HELCOM noise monitoring and assessment;</w:t>
      </w:r>
    </w:p>
    <w:p w14:paraId="0BF65F26" w14:textId="77777777" w:rsidR="00952EEE" w:rsidRPr="00952EEE" w:rsidRDefault="00952EEE" w:rsidP="00952EEE">
      <w:pPr>
        <w:widowControl w:val="0"/>
        <w:tabs>
          <w:tab w:val="clear" w:pos="567"/>
        </w:tabs>
        <w:spacing w:after="200"/>
        <w:ind w:left="1134"/>
        <w:contextualSpacing/>
        <w:outlineLvl w:val="2"/>
        <w:rPr>
          <w:rFonts w:eastAsia="Calibri"/>
          <w:noProof/>
          <w:lang w:val="en"/>
        </w:rPr>
      </w:pPr>
    </w:p>
    <w:p w14:paraId="58827F5B" w14:textId="4B1D4C74" w:rsidR="00952EEE" w:rsidRPr="00952EEE" w:rsidRDefault="00952EEE" w:rsidP="00952EEE">
      <w:pPr>
        <w:widowControl w:val="0"/>
        <w:tabs>
          <w:tab w:val="clear" w:pos="567"/>
        </w:tabs>
        <w:spacing w:after="200"/>
        <w:ind w:left="1134"/>
        <w:contextualSpacing/>
        <w:outlineLvl w:val="2"/>
        <w:rPr>
          <w:rFonts w:eastAsia="Calibri"/>
          <w:noProof/>
          <w:lang w:val="en"/>
        </w:rPr>
      </w:pPr>
      <w:r w:rsidRPr="00952EEE">
        <w:rPr>
          <w:rFonts w:eastAsia="Calibri"/>
          <w:noProof/>
          <w:lang w:val="en"/>
        </w:rPr>
        <w:t>d.</w:t>
      </w:r>
      <w:r w:rsidRPr="00952EEE">
        <w:tab/>
      </w:r>
      <w:r w:rsidRPr="00952EEE">
        <w:rPr>
          <w:rFonts w:eastAsia="Calibri"/>
          <w:noProof/>
          <w:lang w:val="en"/>
        </w:rPr>
        <w:t xml:space="preserve"> and  synergies between actions of the HELCOM and OSPAR action plans on underwater noise (RAP Noise).</w:t>
      </w:r>
    </w:p>
    <w:p w14:paraId="215CBA93" w14:textId="77777777" w:rsidR="00952EEE" w:rsidRPr="00952EEE" w:rsidRDefault="00952EEE" w:rsidP="00952EEE">
      <w:pPr>
        <w:widowControl w:val="0"/>
        <w:tabs>
          <w:tab w:val="clear" w:pos="567"/>
        </w:tabs>
        <w:spacing w:after="200"/>
        <w:ind w:left="426"/>
        <w:contextualSpacing/>
        <w:outlineLvl w:val="2"/>
        <w:rPr>
          <w:rFonts w:eastAsia="Calibri"/>
          <w:bCs/>
          <w:iCs/>
          <w:noProof/>
          <w:szCs w:val="22"/>
          <w:lang w:val="en"/>
        </w:rPr>
      </w:pPr>
    </w:p>
    <w:p w14:paraId="7D6E5E2F" w14:textId="77777777" w:rsidR="00952EEE" w:rsidRPr="00952EEE" w:rsidRDefault="00952EEE" w:rsidP="00952EEE">
      <w:pPr>
        <w:numPr>
          <w:ilvl w:val="0"/>
          <w:numId w:val="3"/>
        </w:numPr>
        <w:spacing w:after="0"/>
        <w:ind w:left="284"/>
        <w:rPr>
          <w:rFonts w:eastAsia="Calibri"/>
        </w:rPr>
      </w:pPr>
      <w:r w:rsidRPr="00952EEE">
        <w:rPr>
          <w:rFonts w:eastAsia="Calibri"/>
        </w:rPr>
        <w:t>ICG-Noise and HELCOM EG Noise will meet in autumn 2026 to discuss progress on these issues and other matters of joint interest.</w:t>
      </w:r>
    </w:p>
    <w:p w14:paraId="0E20278A" w14:textId="77777777" w:rsidR="00952EEE" w:rsidRPr="00952EEE" w:rsidRDefault="00952EEE" w:rsidP="00952EEE">
      <w:pPr>
        <w:numPr>
          <w:ilvl w:val="0"/>
          <w:numId w:val="3"/>
        </w:numPr>
        <w:spacing w:after="0"/>
        <w:ind w:left="284"/>
        <w:rPr>
          <w:rFonts w:eastAsia="Calibri"/>
        </w:rPr>
      </w:pPr>
      <w:r w:rsidRPr="00952EEE">
        <w:rPr>
          <w:rFonts w:eastAsia="Calibri"/>
        </w:rPr>
        <w:t>ICG-Noise will promote and facilitate the IMO guidelines on the reduction of underwater radiated noise from shipping (MEPC.1/Circ 906) in particular by contributing to the Experience Building Phase through the implementation of the OSPAR Regional Action Plan on underwater noise.</w:t>
      </w:r>
    </w:p>
    <w:p w14:paraId="0299935B" w14:textId="77777777" w:rsidR="00952EEE" w:rsidRPr="00952EEE" w:rsidRDefault="00952EEE" w:rsidP="00952EEE">
      <w:pPr>
        <w:widowControl w:val="0"/>
        <w:tabs>
          <w:tab w:val="clear" w:pos="567"/>
        </w:tabs>
        <w:spacing w:after="200"/>
        <w:contextualSpacing/>
        <w:outlineLvl w:val="2"/>
        <w:rPr>
          <w:rFonts w:eastAsia="Calibri"/>
          <w:noProof/>
          <w:lang w:val="en"/>
        </w:rPr>
      </w:pPr>
    </w:p>
    <w:p w14:paraId="58B6C2B4" w14:textId="77777777" w:rsidR="00952EEE" w:rsidRDefault="00952EEE" w:rsidP="00952EEE">
      <w:pPr>
        <w:tabs>
          <w:tab w:val="clear" w:pos="567"/>
        </w:tabs>
        <w:spacing w:after="200"/>
        <w:contextualSpacing/>
        <w:outlineLvl w:val="2"/>
        <w:rPr>
          <w:rFonts w:eastAsia="Calibri"/>
          <w:i/>
          <w:iCs/>
          <w:noProof/>
          <w:szCs w:val="22"/>
          <w:lang w:val="en"/>
        </w:rPr>
      </w:pPr>
      <w:r w:rsidRPr="00952EEE">
        <w:rPr>
          <w:rFonts w:eastAsia="Calibri"/>
          <w:i/>
          <w:iCs/>
          <w:noProof/>
          <w:szCs w:val="22"/>
          <w:lang w:val="en"/>
        </w:rPr>
        <w:t>OSPAR Science Agenda</w:t>
      </w:r>
    </w:p>
    <w:p w14:paraId="5F0C122D" w14:textId="77777777" w:rsidR="00952EEE" w:rsidRPr="00952EEE" w:rsidRDefault="00952EEE" w:rsidP="00952EEE">
      <w:pPr>
        <w:tabs>
          <w:tab w:val="clear" w:pos="567"/>
        </w:tabs>
        <w:spacing w:after="200"/>
        <w:contextualSpacing/>
        <w:outlineLvl w:val="2"/>
        <w:rPr>
          <w:rFonts w:eastAsia="Calibri"/>
          <w:i/>
          <w:iCs/>
          <w:noProof/>
          <w:szCs w:val="22"/>
          <w:lang w:val="en"/>
        </w:rPr>
      </w:pPr>
    </w:p>
    <w:p w14:paraId="76585984" w14:textId="77777777" w:rsidR="00952EEE" w:rsidRPr="00952EEE" w:rsidRDefault="00952EEE" w:rsidP="00952EEE">
      <w:pPr>
        <w:numPr>
          <w:ilvl w:val="0"/>
          <w:numId w:val="3"/>
        </w:numPr>
        <w:spacing w:after="0"/>
        <w:ind w:left="284"/>
        <w:rPr>
          <w:rFonts w:eastAsia="Calibri"/>
        </w:rPr>
      </w:pPr>
      <w:r w:rsidRPr="00952EEE">
        <w:rPr>
          <w:rFonts w:eastAsia="Calibri"/>
        </w:rPr>
        <w:t>ICG-Noise will periodically review, and update as necessary, the status and scoring of the knowledge gaps and science needs in the OSPAR Science Agenda that fall under its responsibility, prioritising those that are more relevant to its work and identifying the need for external resources and implementing the OSPAR Project Mechanism as appropriate. ICG-Noise will also add, if relevant, any new knowledge gaps and science needs to the OSPAR Science Agenda.</w:t>
      </w:r>
    </w:p>
    <w:p w14:paraId="366F23E6" w14:textId="77777777" w:rsidR="00952EEE" w:rsidRPr="00952EEE" w:rsidRDefault="00952EEE" w:rsidP="00952EEE">
      <w:pPr>
        <w:numPr>
          <w:ilvl w:val="0"/>
          <w:numId w:val="3"/>
        </w:numPr>
        <w:spacing w:after="0"/>
        <w:ind w:left="284"/>
        <w:rPr>
          <w:rFonts w:eastAsia="Calibri"/>
        </w:rPr>
      </w:pPr>
      <w:r w:rsidRPr="00952EEE">
        <w:rPr>
          <w:rFonts w:eastAsia="Calibri"/>
        </w:rPr>
        <w:t>ICG-Noise will first review and update the OSPAR Science Agenda at its in-person meeting in 2027 and subsequently every two years.</w:t>
      </w:r>
    </w:p>
    <w:p w14:paraId="6935134F" w14:textId="77777777" w:rsidR="00952EEE" w:rsidRPr="00952EEE" w:rsidRDefault="00952EEE" w:rsidP="00952EEE">
      <w:pPr>
        <w:tabs>
          <w:tab w:val="clear" w:pos="1134"/>
          <w:tab w:val="clear" w:pos="1701"/>
          <w:tab w:val="clear" w:pos="2268"/>
        </w:tabs>
        <w:suppressAutoHyphens w:val="0"/>
        <w:spacing w:after="140"/>
        <w:rPr>
          <w:szCs w:val="22"/>
          <w:lang w:eastAsia="en-US"/>
        </w:rPr>
      </w:pPr>
    </w:p>
    <w:p w14:paraId="3432A986" w14:textId="77777777" w:rsidR="00952EEE" w:rsidRPr="00952EEE" w:rsidRDefault="00952EEE" w:rsidP="00952EEE">
      <w:pPr>
        <w:widowControl w:val="0"/>
        <w:tabs>
          <w:tab w:val="clear" w:pos="567"/>
        </w:tabs>
        <w:outlineLvl w:val="2"/>
        <w:rPr>
          <w:bCs/>
          <w:i/>
          <w:noProof/>
          <w:sz w:val="24"/>
          <w:szCs w:val="24"/>
          <w:lang w:val="en"/>
        </w:rPr>
      </w:pPr>
      <w:r w:rsidRPr="00952EEE">
        <w:rPr>
          <w:bCs/>
          <w:i/>
          <w:noProof/>
          <w:sz w:val="24"/>
          <w:szCs w:val="24"/>
          <w:lang w:val="en"/>
        </w:rPr>
        <w:t>Organisation of work</w:t>
      </w:r>
    </w:p>
    <w:p w14:paraId="169E3BC5" w14:textId="77777777" w:rsidR="00952EEE" w:rsidRPr="00952EEE" w:rsidRDefault="00952EEE" w:rsidP="00952EEE">
      <w:pPr>
        <w:numPr>
          <w:ilvl w:val="0"/>
          <w:numId w:val="3"/>
        </w:numPr>
        <w:spacing w:after="0"/>
        <w:ind w:left="284"/>
        <w:rPr>
          <w:rFonts w:eastAsia="Calibri"/>
        </w:rPr>
      </w:pPr>
      <w:r w:rsidRPr="00952EEE">
        <w:rPr>
          <w:rFonts w:eastAsia="Calibri"/>
        </w:rPr>
        <w:t>ICG Noise will primarily work by correspondence, including web meetings, but meet physically once a year if circumstances allow.  It is anticipated that the main meeting of ICG-Noise will be held in January or February 2027 ; an “Extra” meeting may be planned if neededin autumn 2026.</w:t>
      </w:r>
    </w:p>
    <w:p w14:paraId="57D731F5" w14:textId="6668B4AA" w:rsidR="00952EEE" w:rsidRPr="00952EEE" w:rsidRDefault="00952EEE" w:rsidP="00952EEE">
      <w:pPr>
        <w:numPr>
          <w:ilvl w:val="0"/>
          <w:numId w:val="3"/>
        </w:numPr>
        <w:spacing w:after="0"/>
        <w:ind w:left="284"/>
        <w:rPr>
          <w:rFonts w:eastAsia="Calibri"/>
        </w:rPr>
      </w:pPr>
      <w:r w:rsidRPr="00952EEE">
        <w:rPr>
          <w:rFonts w:eastAsia="Calibri"/>
        </w:rPr>
        <w:t>The group may develop a more detailed work plan, coordinating with TG Noise, where applicable.</w:t>
      </w:r>
    </w:p>
    <w:p w14:paraId="4126514F" w14:textId="0D279ACD" w:rsidR="00952EEE" w:rsidRPr="00952EEE" w:rsidRDefault="00952EEE" w:rsidP="00952EEE">
      <w:pPr>
        <w:numPr>
          <w:ilvl w:val="0"/>
          <w:numId w:val="3"/>
        </w:numPr>
        <w:spacing w:after="0"/>
        <w:ind w:left="284"/>
        <w:rPr>
          <w:rFonts w:eastAsia="Calibri"/>
        </w:rPr>
      </w:pPr>
      <w:r w:rsidRPr="00952EEE">
        <w:rPr>
          <w:rFonts w:eastAsia="Calibri"/>
        </w:rPr>
        <w:t>The group will report to EIHA annually, including on the progress in implementation of NEAES tasks and the RAP-Noise.</w:t>
      </w:r>
    </w:p>
    <w:p w14:paraId="7C920F02" w14:textId="24FBB6C2" w:rsidR="00952EEE" w:rsidRPr="00952EEE" w:rsidRDefault="00952EEE" w:rsidP="00952EEE">
      <w:pPr>
        <w:numPr>
          <w:ilvl w:val="0"/>
          <w:numId w:val="3"/>
        </w:numPr>
        <w:spacing w:after="0"/>
        <w:ind w:left="284"/>
        <w:rPr>
          <w:rFonts w:eastAsia="Calibri"/>
        </w:rPr>
      </w:pPr>
      <w:r w:rsidRPr="00952EEE">
        <w:rPr>
          <w:rFonts w:eastAsia="Calibri"/>
        </w:rPr>
        <w:t>Continuation of the group and its mandate will be decided upon by EIHA on a yearly basis.</w:t>
      </w:r>
    </w:p>
    <w:p w14:paraId="0A56C5A1" w14:textId="77777777" w:rsidR="00952EEE" w:rsidRPr="00952EEE" w:rsidRDefault="00952EEE" w:rsidP="00952EEE">
      <w:pPr>
        <w:pStyle w:val="BodyText"/>
        <w:numPr>
          <w:ilvl w:val="0"/>
          <w:numId w:val="0"/>
        </w:numPr>
        <w:tabs>
          <w:tab w:val="clear" w:pos="1701"/>
          <w:tab w:val="left" w:pos="0"/>
        </w:tabs>
        <w:spacing w:after="120" w:line="240" w:lineRule="auto"/>
        <w:rPr>
          <w:rFonts w:ascii="Calibri" w:hAnsi="Calibri" w:cs="Calibri"/>
        </w:rPr>
      </w:pPr>
    </w:p>
    <w:p w14:paraId="12B208E5" w14:textId="77777777" w:rsidR="002F3505" w:rsidRPr="00952EEE" w:rsidRDefault="002F3505" w:rsidP="00952EEE"/>
    <w:sectPr w:rsidR="002F3505" w:rsidRPr="00952EEE" w:rsidSect="00952EEE">
      <w:footerReference w:type="default" r:id="rId7"/>
      <w:pgSz w:w="11906" w:h="16838"/>
      <w:pgMar w:top="1134" w:right="1134" w:bottom="1134" w:left="1134"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38AE0" w14:textId="77777777" w:rsidR="00C87FE3" w:rsidRDefault="00C87FE3" w:rsidP="00952EEE">
      <w:pPr>
        <w:spacing w:after="0"/>
      </w:pPr>
      <w:r>
        <w:separator/>
      </w:r>
    </w:p>
  </w:endnote>
  <w:endnote w:type="continuationSeparator" w:id="0">
    <w:p w14:paraId="45239554" w14:textId="77777777" w:rsidR="00C87FE3" w:rsidRDefault="00C87FE3" w:rsidP="00952E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09" w:type="dxa"/>
      <w:tblCellMar>
        <w:top w:w="57" w:type="dxa"/>
        <w:left w:w="0" w:type="dxa"/>
        <w:bottom w:w="57" w:type="dxa"/>
        <w:right w:w="0" w:type="dxa"/>
      </w:tblCellMar>
      <w:tblLook w:val="0000" w:firstRow="0" w:lastRow="0" w:firstColumn="0" w:lastColumn="0" w:noHBand="0" w:noVBand="0"/>
    </w:tblPr>
    <w:tblGrid>
      <w:gridCol w:w="4968"/>
      <w:gridCol w:w="4741"/>
    </w:tblGrid>
    <w:tr w:rsidR="00952EEE" w:rsidRPr="000E2E38" w14:paraId="6E0D4B14" w14:textId="77777777" w:rsidTr="00952EEE">
      <w:trPr>
        <w:cantSplit/>
        <w:trHeight w:hRule="exact" w:val="262"/>
      </w:trPr>
      <w:tc>
        <w:tcPr>
          <w:tcW w:w="9709" w:type="dxa"/>
          <w:gridSpan w:val="2"/>
          <w:tcBorders>
            <w:bottom w:val="single" w:sz="4" w:space="0" w:color="auto"/>
          </w:tcBorders>
        </w:tcPr>
        <w:p w14:paraId="7B2C5030" w14:textId="77777777" w:rsidR="00952EEE" w:rsidRPr="000E2E38" w:rsidRDefault="00952EEE" w:rsidP="00952EEE">
          <w:pPr>
            <w:pStyle w:val="Footer"/>
            <w:tabs>
              <w:tab w:val="left" w:pos="272"/>
            </w:tabs>
            <w:jc w:val="right"/>
            <w:rPr>
              <w:rFonts w:asciiTheme="minorHAnsi" w:hAnsiTheme="minorHAnsi" w:cstheme="minorHAnsi"/>
            </w:rPr>
          </w:pPr>
          <w:r w:rsidRPr="000E2E38">
            <w:rPr>
              <w:rStyle w:val="PageNumber"/>
              <w:rFonts w:asciiTheme="minorHAnsi" w:eastAsiaTheme="majorEastAsia" w:hAnsiTheme="minorHAnsi" w:cstheme="minorHAnsi"/>
              <w:sz w:val="20"/>
            </w:rPr>
            <w:fldChar w:fldCharType="begin"/>
          </w:r>
          <w:r w:rsidRPr="000E2E38">
            <w:rPr>
              <w:rStyle w:val="PageNumber"/>
              <w:rFonts w:asciiTheme="minorHAnsi" w:eastAsiaTheme="majorEastAsia" w:hAnsiTheme="minorHAnsi" w:cstheme="minorHAnsi"/>
              <w:sz w:val="20"/>
            </w:rPr>
            <w:instrText xml:space="preserve"> PAGE </w:instrText>
          </w:r>
          <w:r w:rsidRPr="000E2E38">
            <w:rPr>
              <w:rStyle w:val="PageNumber"/>
              <w:rFonts w:asciiTheme="minorHAnsi" w:eastAsiaTheme="majorEastAsia" w:hAnsiTheme="minorHAnsi" w:cstheme="minorHAnsi"/>
              <w:sz w:val="20"/>
            </w:rPr>
            <w:fldChar w:fldCharType="separate"/>
          </w:r>
          <w:r w:rsidRPr="000E2E38">
            <w:rPr>
              <w:rStyle w:val="PageNumber"/>
              <w:rFonts w:asciiTheme="minorHAnsi" w:eastAsiaTheme="majorEastAsia" w:hAnsiTheme="minorHAnsi" w:cstheme="minorHAnsi"/>
              <w:noProof/>
              <w:sz w:val="20"/>
            </w:rPr>
            <w:t>1</w:t>
          </w:r>
          <w:r w:rsidRPr="000E2E38">
            <w:rPr>
              <w:rStyle w:val="PageNumber"/>
              <w:rFonts w:asciiTheme="minorHAnsi" w:eastAsiaTheme="majorEastAsia" w:hAnsiTheme="minorHAnsi" w:cstheme="minorHAnsi"/>
              <w:sz w:val="20"/>
            </w:rPr>
            <w:fldChar w:fldCharType="end"/>
          </w:r>
          <w:r w:rsidRPr="000E2E38">
            <w:rPr>
              <w:rStyle w:val="PageNumber"/>
              <w:rFonts w:asciiTheme="minorHAnsi" w:eastAsiaTheme="majorEastAsia" w:hAnsiTheme="minorHAnsi" w:cstheme="minorHAnsi"/>
              <w:sz w:val="20"/>
            </w:rPr>
            <w:t xml:space="preserve"> of </w:t>
          </w:r>
          <w:r w:rsidRPr="000E2E38">
            <w:rPr>
              <w:rStyle w:val="PageNumber"/>
              <w:rFonts w:asciiTheme="minorHAnsi" w:eastAsiaTheme="majorEastAsia" w:hAnsiTheme="minorHAnsi" w:cstheme="minorHAnsi"/>
              <w:sz w:val="20"/>
            </w:rPr>
            <w:fldChar w:fldCharType="begin"/>
          </w:r>
          <w:r w:rsidRPr="000E2E38">
            <w:rPr>
              <w:rStyle w:val="PageNumber"/>
              <w:rFonts w:asciiTheme="minorHAnsi" w:eastAsiaTheme="majorEastAsia" w:hAnsiTheme="minorHAnsi" w:cstheme="minorHAnsi"/>
              <w:sz w:val="20"/>
            </w:rPr>
            <w:instrText xml:space="preserve"> NUMPAGES </w:instrText>
          </w:r>
          <w:r w:rsidRPr="000E2E38">
            <w:rPr>
              <w:rStyle w:val="PageNumber"/>
              <w:rFonts w:asciiTheme="minorHAnsi" w:eastAsiaTheme="majorEastAsia" w:hAnsiTheme="minorHAnsi" w:cstheme="minorHAnsi"/>
              <w:sz w:val="20"/>
            </w:rPr>
            <w:fldChar w:fldCharType="separate"/>
          </w:r>
          <w:r w:rsidRPr="000E2E38">
            <w:rPr>
              <w:rStyle w:val="PageNumber"/>
              <w:rFonts w:asciiTheme="minorHAnsi" w:eastAsiaTheme="majorEastAsia" w:hAnsiTheme="minorHAnsi" w:cstheme="minorHAnsi"/>
              <w:noProof/>
              <w:sz w:val="20"/>
            </w:rPr>
            <w:t>2</w:t>
          </w:r>
          <w:r w:rsidRPr="000E2E38">
            <w:rPr>
              <w:rStyle w:val="PageNumber"/>
              <w:rFonts w:asciiTheme="minorHAnsi" w:eastAsiaTheme="majorEastAsia" w:hAnsiTheme="minorHAnsi" w:cstheme="minorHAnsi"/>
              <w:sz w:val="20"/>
            </w:rPr>
            <w:fldChar w:fldCharType="end"/>
          </w:r>
          <w:r w:rsidRPr="000E2E38">
            <w:rPr>
              <w:rStyle w:val="PageNumber"/>
              <w:rFonts w:asciiTheme="minorHAnsi" w:eastAsiaTheme="majorEastAsia" w:hAnsiTheme="minorHAnsi" w:cstheme="minorHAnsi"/>
              <w:sz w:val="20"/>
            </w:rPr>
            <w:t xml:space="preserve"> </w:t>
          </w:r>
        </w:p>
      </w:tc>
    </w:tr>
    <w:tr w:rsidR="00952EEE" w:rsidRPr="000E2E38" w14:paraId="2FBC671D" w14:textId="77777777" w:rsidTr="00952EEE">
      <w:trPr>
        <w:cantSplit/>
        <w:trHeight w:hRule="exact" w:val="392"/>
      </w:trPr>
      <w:tc>
        <w:tcPr>
          <w:tcW w:w="4968" w:type="dxa"/>
          <w:tcBorders>
            <w:top w:val="single" w:sz="4" w:space="0" w:color="auto"/>
          </w:tcBorders>
        </w:tcPr>
        <w:p w14:paraId="0F063208" w14:textId="77777777" w:rsidR="00952EEE" w:rsidRPr="000E2E38" w:rsidRDefault="00952EEE" w:rsidP="00952EEE">
          <w:pPr>
            <w:pStyle w:val="Footer"/>
            <w:rPr>
              <w:rFonts w:asciiTheme="minorHAnsi" w:hAnsiTheme="minorHAnsi" w:cstheme="minorHAnsi"/>
            </w:rPr>
          </w:pPr>
          <w:r w:rsidRPr="000E2E38">
            <w:rPr>
              <w:rFonts w:asciiTheme="minorHAnsi" w:hAnsiTheme="minorHAnsi" w:cstheme="minorHAnsi"/>
            </w:rPr>
            <w:t>OSPAR Commission</w:t>
          </w:r>
        </w:p>
      </w:tc>
      <w:tc>
        <w:tcPr>
          <w:tcW w:w="4740" w:type="dxa"/>
          <w:tcBorders>
            <w:top w:val="single" w:sz="4" w:space="0" w:color="auto"/>
          </w:tcBorders>
        </w:tcPr>
        <w:p w14:paraId="7BBA28CE" w14:textId="77777777" w:rsidR="00952EEE" w:rsidRPr="000E2E38" w:rsidRDefault="00952EEE" w:rsidP="00952EEE">
          <w:pPr>
            <w:pStyle w:val="Footer"/>
            <w:tabs>
              <w:tab w:val="left" w:pos="272"/>
            </w:tabs>
            <w:jc w:val="right"/>
            <w:rPr>
              <w:rFonts w:asciiTheme="minorHAnsi" w:hAnsiTheme="minorHAnsi" w:cstheme="minorHAnsi"/>
            </w:rPr>
          </w:pPr>
          <w:bookmarkStart w:id="3" w:name="_Hlk179382788"/>
          <w:r w:rsidRPr="000E2E38">
            <w:rPr>
              <w:rFonts w:asciiTheme="minorHAnsi" w:hAnsiTheme="minorHAnsi" w:cstheme="minorHAnsi"/>
              <w:lang w:val="fr-FR"/>
            </w:rPr>
            <w:t>EIHA 26/11/01-Annex.03</w:t>
          </w:r>
          <w:r w:rsidRPr="000E2E38">
            <w:rPr>
              <w:rFonts w:asciiTheme="minorHAnsi" w:hAnsiTheme="minorHAnsi" w:cstheme="minorHAnsi"/>
            </w:rPr>
            <w:t xml:space="preserve"> </w:t>
          </w:r>
          <w:bookmarkEnd w:id="3"/>
        </w:p>
      </w:tc>
    </w:tr>
  </w:tbl>
  <w:p w14:paraId="3E7E571F" w14:textId="77777777" w:rsidR="00952EEE" w:rsidRDefault="00952EEE" w:rsidP="00952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0B6FC" w14:textId="77777777" w:rsidR="00C87FE3" w:rsidRDefault="00C87FE3" w:rsidP="00952EEE">
      <w:pPr>
        <w:spacing w:after="0"/>
      </w:pPr>
      <w:r>
        <w:separator/>
      </w:r>
    </w:p>
  </w:footnote>
  <w:footnote w:type="continuationSeparator" w:id="0">
    <w:p w14:paraId="62488D53" w14:textId="77777777" w:rsidR="00C87FE3" w:rsidRDefault="00C87FE3" w:rsidP="00952E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pStyle w:val="BodyText"/>
      <w:lvlText w:val="%1."/>
      <w:lvlJc w:val="left"/>
      <w:pPr>
        <w:tabs>
          <w:tab w:val="num" w:pos="1418"/>
        </w:tabs>
        <w:ind w:left="1418" w:hanging="1134"/>
      </w:pPr>
    </w:lvl>
    <w:lvl w:ilvl="1">
      <w:start w:val="1"/>
      <w:numFmt w:val="lowerLetter"/>
      <w:lvlText w:val="%2."/>
      <w:lvlJc w:val="left"/>
      <w:pPr>
        <w:tabs>
          <w:tab w:val="num" w:pos="1494"/>
        </w:tabs>
        <w:ind w:left="1418" w:hanging="284"/>
      </w:pPr>
    </w:lvl>
    <w:lvl w:ilvl="2">
      <w:start w:val="1"/>
      <w:numFmt w:val="lowerRoman"/>
      <w:lvlText w:val="%3."/>
      <w:lvlJc w:val="left"/>
      <w:pPr>
        <w:tabs>
          <w:tab w:val="num" w:pos="2138"/>
        </w:tabs>
        <w:ind w:left="1701" w:hanging="283"/>
      </w:pPr>
    </w:lvl>
    <w:lvl w:ilvl="3">
      <w:start w:val="1"/>
      <w:numFmt w:val="decimal"/>
      <w:lvlText w:val="(%4)"/>
      <w:lvlJc w:val="left"/>
      <w:pPr>
        <w:tabs>
          <w:tab w:val="num" w:pos="2574"/>
        </w:tabs>
        <w:ind w:left="2574" w:hanging="360"/>
      </w:pPr>
    </w:lvl>
    <w:lvl w:ilvl="4">
      <w:start w:val="1"/>
      <w:numFmt w:val="lowerLetter"/>
      <w:lvlText w:val="(%5)"/>
      <w:lvlJc w:val="left"/>
      <w:pPr>
        <w:tabs>
          <w:tab w:val="num" w:pos="2934"/>
        </w:tabs>
        <w:ind w:left="2934" w:hanging="360"/>
      </w:pPr>
    </w:lvl>
    <w:lvl w:ilvl="5">
      <w:start w:val="1"/>
      <w:numFmt w:val="lowerRoman"/>
      <w:lvlText w:val="(%6)"/>
      <w:lvlJc w:val="left"/>
      <w:pPr>
        <w:tabs>
          <w:tab w:val="num" w:pos="3294"/>
        </w:tabs>
        <w:ind w:left="3294" w:hanging="360"/>
      </w:pPr>
    </w:lvl>
    <w:lvl w:ilvl="6">
      <w:start w:val="1"/>
      <w:numFmt w:val="decimal"/>
      <w:lvlText w:val="%7."/>
      <w:lvlJc w:val="left"/>
      <w:pPr>
        <w:tabs>
          <w:tab w:val="num" w:pos="3654"/>
        </w:tabs>
        <w:ind w:left="3654" w:hanging="360"/>
      </w:pPr>
    </w:lvl>
    <w:lvl w:ilvl="7">
      <w:start w:val="1"/>
      <w:numFmt w:val="lowerLetter"/>
      <w:lvlText w:val="%8."/>
      <w:lvlJc w:val="left"/>
      <w:pPr>
        <w:tabs>
          <w:tab w:val="num" w:pos="4014"/>
        </w:tabs>
        <w:ind w:left="4014" w:hanging="360"/>
      </w:pPr>
    </w:lvl>
    <w:lvl w:ilvl="8">
      <w:start w:val="1"/>
      <w:numFmt w:val="lowerRoman"/>
      <w:lvlText w:val="%9."/>
      <w:lvlJc w:val="left"/>
      <w:pPr>
        <w:tabs>
          <w:tab w:val="num" w:pos="4374"/>
        </w:tabs>
        <w:ind w:left="4374" w:hanging="360"/>
      </w:pPr>
    </w:lvl>
  </w:abstractNum>
  <w:abstractNum w:abstractNumId="1" w15:restartNumberingAfterBreak="0">
    <w:nsid w:val="14C15438"/>
    <w:multiLevelType w:val="hybridMultilevel"/>
    <w:tmpl w:val="77F8C80A"/>
    <w:lvl w:ilvl="0" w:tplc="D97E3F66">
      <w:start w:val="1"/>
      <w:numFmt w:val="lowerLetter"/>
      <w:lvlText w:val="%1."/>
      <w:lvlJc w:val="left"/>
      <w:pPr>
        <w:ind w:left="720" w:hanging="360"/>
      </w:pPr>
    </w:lvl>
    <w:lvl w:ilvl="1" w:tplc="909E76F6" w:tentative="1">
      <w:start w:val="1"/>
      <w:numFmt w:val="lowerLetter"/>
      <w:lvlText w:val="%2."/>
      <w:lvlJc w:val="left"/>
      <w:pPr>
        <w:ind w:left="1440" w:hanging="360"/>
      </w:pPr>
    </w:lvl>
    <w:lvl w:ilvl="2" w:tplc="45F080E2" w:tentative="1">
      <w:start w:val="1"/>
      <w:numFmt w:val="lowerRoman"/>
      <w:lvlText w:val="%3."/>
      <w:lvlJc w:val="right"/>
      <w:pPr>
        <w:ind w:left="2160" w:hanging="180"/>
      </w:pPr>
    </w:lvl>
    <w:lvl w:ilvl="3" w:tplc="D980B01C" w:tentative="1">
      <w:start w:val="1"/>
      <w:numFmt w:val="decimal"/>
      <w:lvlText w:val="%4."/>
      <w:lvlJc w:val="left"/>
      <w:pPr>
        <w:ind w:left="2880" w:hanging="360"/>
      </w:pPr>
    </w:lvl>
    <w:lvl w:ilvl="4" w:tplc="C1404A8C" w:tentative="1">
      <w:start w:val="1"/>
      <w:numFmt w:val="lowerLetter"/>
      <w:lvlText w:val="%5."/>
      <w:lvlJc w:val="left"/>
      <w:pPr>
        <w:ind w:left="3600" w:hanging="360"/>
      </w:pPr>
    </w:lvl>
    <w:lvl w:ilvl="5" w:tplc="4C7A7B5C" w:tentative="1">
      <w:start w:val="1"/>
      <w:numFmt w:val="lowerRoman"/>
      <w:lvlText w:val="%6."/>
      <w:lvlJc w:val="right"/>
      <w:pPr>
        <w:ind w:left="4320" w:hanging="180"/>
      </w:pPr>
    </w:lvl>
    <w:lvl w:ilvl="6" w:tplc="F3EA166E" w:tentative="1">
      <w:start w:val="1"/>
      <w:numFmt w:val="decimal"/>
      <w:lvlText w:val="%7."/>
      <w:lvlJc w:val="left"/>
      <w:pPr>
        <w:ind w:left="5040" w:hanging="360"/>
      </w:pPr>
    </w:lvl>
    <w:lvl w:ilvl="7" w:tplc="C3B0B270" w:tentative="1">
      <w:start w:val="1"/>
      <w:numFmt w:val="lowerLetter"/>
      <w:lvlText w:val="%8."/>
      <w:lvlJc w:val="left"/>
      <w:pPr>
        <w:ind w:left="5760" w:hanging="360"/>
      </w:pPr>
    </w:lvl>
    <w:lvl w:ilvl="8" w:tplc="EA1A7D9A" w:tentative="1">
      <w:start w:val="1"/>
      <w:numFmt w:val="lowerRoman"/>
      <w:lvlText w:val="%9."/>
      <w:lvlJc w:val="right"/>
      <w:pPr>
        <w:ind w:left="6480" w:hanging="180"/>
      </w:pPr>
    </w:lvl>
  </w:abstractNum>
  <w:abstractNum w:abstractNumId="2" w15:restartNumberingAfterBreak="0">
    <w:nsid w:val="67A576B4"/>
    <w:multiLevelType w:val="hybridMultilevel"/>
    <w:tmpl w:val="79040FE0"/>
    <w:lvl w:ilvl="0" w:tplc="057CA860">
      <w:start w:val="1"/>
      <w:numFmt w:val="decimal"/>
      <w:lvlText w:val="%1."/>
      <w:lvlJc w:val="left"/>
      <w:pPr>
        <w:ind w:left="786" w:hanging="360"/>
      </w:pPr>
    </w:lvl>
    <w:lvl w:ilvl="1" w:tplc="DA988FE8">
      <w:start w:val="1"/>
      <w:numFmt w:val="lowerLetter"/>
      <w:lvlText w:val="%2."/>
      <w:lvlJc w:val="left"/>
      <w:pPr>
        <w:ind w:left="1506" w:hanging="360"/>
      </w:pPr>
    </w:lvl>
    <w:lvl w:ilvl="2" w:tplc="18B08094" w:tentative="1">
      <w:start w:val="1"/>
      <w:numFmt w:val="lowerRoman"/>
      <w:lvlText w:val="%3."/>
      <w:lvlJc w:val="right"/>
      <w:pPr>
        <w:ind w:left="2226" w:hanging="180"/>
      </w:pPr>
    </w:lvl>
    <w:lvl w:ilvl="3" w:tplc="465C985E" w:tentative="1">
      <w:start w:val="1"/>
      <w:numFmt w:val="decimal"/>
      <w:lvlText w:val="%4."/>
      <w:lvlJc w:val="left"/>
      <w:pPr>
        <w:ind w:left="2946" w:hanging="360"/>
      </w:pPr>
    </w:lvl>
    <w:lvl w:ilvl="4" w:tplc="BFC8F4BC" w:tentative="1">
      <w:start w:val="1"/>
      <w:numFmt w:val="lowerLetter"/>
      <w:lvlText w:val="%5."/>
      <w:lvlJc w:val="left"/>
      <w:pPr>
        <w:ind w:left="3666" w:hanging="360"/>
      </w:pPr>
    </w:lvl>
    <w:lvl w:ilvl="5" w:tplc="90A2192C" w:tentative="1">
      <w:start w:val="1"/>
      <w:numFmt w:val="lowerRoman"/>
      <w:lvlText w:val="%6."/>
      <w:lvlJc w:val="right"/>
      <w:pPr>
        <w:ind w:left="4386" w:hanging="180"/>
      </w:pPr>
    </w:lvl>
    <w:lvl w:ilvl="6" w:tplc="00CE58C0" w:tentative="1">
      <w:start w:val="1"/>
      <w:numFmt w:val="decimal"/>
      <w:lvlText w:val="%7."/>
      <w:lvlJc w:val="left"/>
      <w:pPr>
        <w:ind w:left="5106" w:hanging="360"/>
      </w:pPr>
    </w:lvl>
    <w:lvl w:ilvl="7" w:tplc="2F649C6E" w:tentative="1">
      <w:start w:val="1"/>
      <w:numFmt w:val="lowerLetter"/>
      <w:lvlText w:val="%8."/>
      <w:lvlJc w:val="left"/>
      <w:pPr>
        <w:ind w:left="5826" w:hanging="360"/>
      </w:pPr>
    </w:lvl>
    <w:lvl w:ilvl="8" w:tplc="ACD049A2" w:tentative="1">
      <w:start w:val="1"/>
      <w:numFmt w:val="lowerRoman"/>
      <w:lvlText w:val="%9."/>
      <w:lvlJc w:val="right"/>
      <w:pPr>
        <w:ind w:left="6546" w:hanging="180"/>
      </w:pPr>
    </w:lvl>
  </w:abstractNum>
  <w:abstractNum w:abstractNumId="3" w15:restartNumberingAfterBreak="0">
    <w:nsid w:val="77C21004"/>
    <w:multiLevelType w:val="hybridMultilevel"/>
    <w:tmpl w:val="173EFD40"/>
    <w:lvl w:ilvl="0" w:tplc="8B720C0A">
      <w:start w:val="1"/>
      <w:numFmt w:val="lowerLetter"/>
      <w:lvlText w:val="%1."/>
      <w:lvlJc w:val="left"/>
      <w:pPr>
        <w:ind w:left="3338" w:hanging="360"/>
      </w:pPr>
    </w:lvl>
    <w:lvl w:ilvl="1" w:tplc="5106CDA8" w:tentative="1">
      <w:start w:val="1"/>
      <w:numFmt w:val="lowerLetter"/>
      <w:lvlText w:val="%2."/>
      <w:lvlJc w:val="left"/>
      <w:pPr>
        <w:ind w:left="1467" w:hanging="360"/>
      </w:pPr>
    </w:lvl>
    <w:lvl w:ilvl="2" w:tplc="5204BA28" w:tentative="1">
      <w:start w:val="1"/>
      <w:numFmt w:val="lowerRoman"/>
      <w:lvlText w:val="%3."/>
      <w:lvlJc w:val="right"/>
      <w:pPr>
        <w:ind w:left="2187" w:hanging="180"/>
      </w:pPr>
    </w:lvl>
    <w:lvl w:ilvl="3" w:tplc="06C646FE" w:tentative="1">
      <w:start w:val="1"/>
      <w:numFmt w:val="decimal"/>
      <w:lvlText w:val="%4."/>
      <w:lvlJc w:val="left"/>
      <w:pPr>
        <w:ind w:left="2907" w:hanging="360"/>
      </w:pPr>
    </w:lvl>
    <w:lvl w:ilvl="4" w:tplc="10CE3412" w:tentative="1">
      <w:start w:val="1"/>
      <w:numFmt w:val="lowerLetter"/>
      <w:lvlText w:val="%5."/>
      <w:lvlJc w:val="left"/>
      <w:pPr>
        <w:ind w:left="3627" w:hanging="360"/>
      </w:pPr>
    </w:lvl>
    <w:lvl w:ilvl="5" w:tplc="F94A3ECA" w:tentative="1">
      <w:start w:val="1"/>
      <w:numFmt w:val="lowerRoman"/>
      <w:lvlText w:val="%6."/>
      <w:lvlJc w:val="right"/>
      <w:pPr>
        <w:ind w:left="4347" w:hanging="180"/>
      </w:pPr>
    </w:lvl>
    <w:lvl w:ilvl="6" w:tplc="273C7AC6" w:tentative="1">
      <w:start w:val="1"/>
      <w:numFmt w:val="decimal"/>
      <w:lvlText w:val="%7."/>
      <w:lvlJc w:val="left"/>
      <w:pPr>
        <w:ind w:left="5067" w:hanging="360"/>
      </w:pPr>
    </w:lvl>
    <w:lvl w:ilvl="7" w:tplc="A54A7E54" w:tentative="1">
      <w:start w:val="1"/>
      <w:numFmt w:val="lowerLetter"/>
      <w:lvlText w:val="%8."/>
      <w:lvlJc w:val="left"/>
      <w:pPr>
        <w:ind w:left="5787" w:hanging="360"/>
      </w:pPr>
    </w:lvl>
    <w:lvl w:ilvl="8" w:tplc="C5584790" w:tentative="1">
      <w:start w:val="1"/>
      <w:numFmt w:val="lowerRoman"/>
      <w:lvlText w:val="%9."/>
      <w:lvlJc w:val="right"/>
      <w:pPr>
        <w:ind w:left="6507" w:hanging="180"/>
      </w:pPr>
    </w:lvl>
  </w:abstractNum>
  <w:num w:numId="1" w16cid:durableId="1287814073">
    <w:abstractNumId w:val="0"/>
  </w:num>
  <w:num w:numId="2" w16cid:durableId="1694914335">
    <w:abstractNumId w:val="3"/>
  </w:num>
  <w:num w:numId="3" w16cid:durableId="338780712">
    <w:abstractNumId w:val="2"/>
  </w:num>
  <w:num w:numId="4" w16cid:durableId="174924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EE"/>
    <w:rsid w:val="002F3505"/>
    <w:rsid w:val="00562457"/>
    <w:rsid w:val="008D7691"/>
    <w:rsid w:val="00952EEE"/>
    <w:rsid w:val="00BC5787"/>
    <w:rsid w:val="00BF578D"/>
    <w:rsid w:val="00C8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8BF12"/>
  <w15:chartTrackingRefBased/>
  <w15:docId w15:val="{31024A88-CEB2-4654-922C-4184A8B4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EE"/>
    <w:pPr>
      <w:tabs>
        <w:tab w:val="left" w:pos="567"/>
        <w:tab w:val="left" w:pos="1134"/>
        <w:tab w:val="left" w:pos="1701"/>
        <w:tab w:val="left" w:pos="2268"/>
      </w:tabs>
      <w:suppressAutoHyphens/>
      <w:spacing w:after="120" w:line="240" w:lineRule="auto"/>
      <w:jc w:val="both"/>
    </w:pPr>
    <w:rPr>
      <w:rFonts w:ascii="Calibri" w:eastAsia="Times New Roman" w:hAnsi="Calibri" w:cs="Calibri"/>
      <w:kern w:val="0"/>
      <w:sz w:val="22"/>
      <w:szCs w:val="20"/>
      <w:lang w:eastAsia="zh-CN"/>
      <w14:ligatures w14:val="none"/>
    </w:rPr>
  </w:style>
  <w:style w:type="paragraph" w:styleId="Heading1">
    <w:name w:val="heading 1"/>
    <w:basedOn w:val="Normal"/>
    <w:next w:val="Normal"/>
    <w:link w:val="Heading1Char"/>
    <w:uiPriority w:val="9"/>
    <w:qFormat/>
    <w:rsid w:val="00952E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E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E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E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E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E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E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E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E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E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E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E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E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E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E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E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E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EEE"/>
    <w:rPr>
      <w:rFonts w:eastAsiaTheme="majorEastAsia" w:cstheme="majorBidi"/>
      <w:color w:val="272727" w:themeColor="text1" w:themeTint="D8"/>
    </w:rPr>
  </w:style>
  <w:style w:type="paragraph" w:styleId="Title">
    <w:name w:val="Title"/>
    <w:basedOn w:val="Normal"/>
    <w:next w:val="Normal"/>
    <w:link w:val="TitleChar"/>
    <w:uiPriority w:val="10"/>
    <w:qFormat/>
    <w:rsid w:val="00952E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E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E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EEE"/>
    <w:pPr>
      <w:spacing w:before="160"/>
      <w:jc w:val="center"/>
    </w:pPr>
    <w:rPr>
      <w:i/>
      <w:iCs/>
      <w:color w:val="404040" w:themeColor="text1" w:themeTint="BF"/>
    </w:rPr>
  </w:style>
  <w:style w:type="character" w:customStyle="1" w:styleId="QuoteChar">
    <w:name w:val="Quote Char"/>
    <w:basedOn w:val="DefaultParagraphFont"/>
    <w:link w:val="Quote"/>
    <w:uiPriority w:val="29"/>
    <w:rsid w:val="00952EEE"/>
    <w:rPr>
      <w:i/>
      <w:iCs/>
      <w:color w:val="404040" w:themeColor="text1" w:themeTint="BF"/>
    </w:rPr>
  </w:style>
  <w:style w:type="paragraph" w:styleId="ListParagraph">
    <w:name w:val="List Paragraph"/>
    <w:basedOn w:val="Normal"/>
    <w:uiPriority w:val="34"/>
    <w:qFormat/>
    <w:rsid w:val="00952EEE"/>
    <w:pPr>
      <w:ind w:left="720"/>
      <w:contextualSpacing/>
    </w:pPr>
  </w:style>
  <w:style w:type="character" w:styleId="IntenseEmphasis">
    <w:name w:val="Intense Emphasis"/>
    <w:basedOn w:val="DefaultParagraphFont"/>
    <w:uiPriority w:val="21"/>
    <w:qFormat/>
    <w:rsid w:val="00952EEE"/>
    <w:rPr>
      <w:i/>
      <w:iCs/>
      <w:color w:val="0F4761" w:themeColor="accent1" w:themeShade="BF"/>
    </w:rPr>
  </w:style>
  <w:style w:type="paragraph" w:styleId="IntenseQuote">
    <w:name w:val="Intense Quote"/>
    <w:basedOn w:val="Normal"/>
    <w:next w:val="Normal"/>
    <w:link w:val="IntenseQuoteChar"/>
    <w:uiPriority w:val="30"/>
    <w:qFormat/>
    <w:rsid w:val="00952E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EEE"/>
    <w:rPr>
      <w:i/>
      <w:iCs/>
      <w:color w:val="0F4761" w:themeColor="accent1" w:themeShade="BF"/>
    </w:rPr>
  </w:style>
  <w:style w:type="character" w:styleId="IntenseReference">
    <w:name w:val="Intense Reference"/>
    <w:basedOn w:val="DefaultParagraphFont"/>
    <w:uiPriority w:val="32"/>
    <w:qFormat/>
    <w:rsid w:val="00952EEE"/>
    <w:rPr>
      <w:b/>
      <w:bCs/>
      <w:smallCaps/>
      <w:color w:val="0F4761" w:themeColor="accent1" w:themeShade="BF"/>
      <w:spacing w:val="5"/>
    </w:rPr>
  </w:style>
  <w:style w:type="paragraph" w:styleId="BodyText">
    <w:name w:val="Body Text"/>
    <w:basedOn w:val="Normal"/>
    <w:link w:val="BodyTextChar"/>
    <w:rsid w:val="00952EEE"/>
    <w:pPr>
      <w:numPr>
        <w:numId w:val="1"/>
      </w:numPr>
      <w:tabs>
        <w:tab w:val="clear" w:pos="567"/>
        <w:tab w:val="clear" w:pos="1134"/>
        <w:tab w:val="clear" w:pos="2268"/>
      </w:tabs>
      <w:spacing w:after="140" w:line="280" w:lineRule="atLeast"/>
    </w:pPr>
    <w:rPr>
      <w:rFonts w:ascii="Arial" w:hAnsi="Arial" w:cs="Arial"/>
      <w:sz w:val="20"/>
    </w:rPr>
  </w:style>
  <w:style w:type="character" w:customStyle="1" w:styleId="BodyTextChar">
    <w:name w:val="Body Text Char"/>
    <w:basedOn w:val="DefaultParagraphFont"/>
    <w:link w:val="BodyText"/>
    <w:rsid w:val="00952EEE"/>
    <w:rPr>
      <w:rFonts w:ascii="Arial" w:eastAsia="Times New Roman" w:hAnsi="Arial" w:cs="Arial"/>
      <w:kern w:val="0"/>
      <w:sz w:val="20"/>
      <w:szCs w:val="20"/>
      <w:lang w:eastAsia="zh-CN"/>
      <w14:ligatures w14:val="none"/>
    </w:rPr>
  </w:style>
  <w:style w:type="paragraph" w:styleId="Footer">
    <w:name w:val="footer"/>
    <w:basedOn w:val="Normal"/>
    <w:link w:val="FooterChar"/>
    <w:rsid w:val="00952EEE"/>
    <w:pPr>
      <w:tabs>
        <w:tab w:val="left" w:pos="2552"/>
        <w:tab w:val="center" w:pos="3969"/>
        <w:tab w:val="center" w:pos="4536"/>
        <w:tab w:val="center" w:pos="5103"/>
        <w:tab w:val="left" w:pos="5670"/>
        <w:tab w:val="left" w:pos="6237"/>
        <w:tab w:val="left" w:pos="6804"/>
        <w:tab w:val="left" w:pos="7371"/>
        <w:tab w:val="left" w:pos="7938"/>
      </w:tabs>
      <w:spacing w:after="0"/>
    </w:pPr>
    <w:rPr>
      <w:sz w:val="20"/>
    </w:rPr>
  </w:style>
  <w:style w:type="character" w:customStyle="1" w:styleId="FooterChar">
    <w:name w:val="Footer Char"/>
    <w:basedOn w:val="DefaultParagraphFont"/>
    <w:link w:val="Footer"/>
    <w:rsid w:val="00952EEE"/>
    <w:rPr>
      <w:rFonts w:ascii="Calibri" w:eastAsia="Times New Roman" w:hAnsi="Calibri" w:cs="Calibri"/>
      <w:kern w:val="0"/>
      <w:sz w:val="20"/>
      <w:szCs w:val="20"/>
      <w:lang w:eastAsia="zh-CN"/>
      <w14:ligatures w14:val="none"/>
    </w:rPr>
  </w:style>
  <w:style w:type="paragraph" w:styleId="Header">
    <w:name w:val="header"/>
    <w:basedOn w:val="Normal"/>
    <w:link w:val="HeaderChar"/>
    <w:uiPriority w:val="99"/>
    <w:unhideWhenUsed/>
    <w:rsid w:val="00952EEE"/>
    <w:pPr>
      <w:tabs>
        <w:tab w:val="clear" w:pos="567"/>
        <w:tab w:val="clear" w:pos="1134"/>
        <w:tab w:val="clear" w:pos="1701"/>
        <w:tab w:val="clear" w:pos="2268"/>
        <w:tab w:val="center" w:pos="4513"/>
        <w:tab w:val="right" w:pos="9026"/>
      </w:tabs>
      <w:spacing w:after="0"/>
    </w:pPr>
  </w:style>
  <w:style w:type="character" w:customStyle="1" w:styleId="HeaderChar">
    <w:name w:val="Header Char"/>
    <w:basedOn w:val="DefaultParagraphFont"/>
    <w:link w:val="Header"/>
    <w:uiPriority w:val="99"/>
    <w:rsid w:val="00952EEE"/>
    <w:rPr>
      <w:rFonts w:ascii="Calibri" w:eastAsia="Times New Roman" w:hAnsi="Calibri" w:cs="Calibri"/>
      <w:kern w:val="0"/>
      <w:sz w:val="22"/>
      <w:szCs w:val="20"/>
      <w:lang w:eastAsia="zh-CN"/>
      <w14:ligatures w14:val="none"/>
    </w:rPr>
  </w:style>
  <w:style w:type="paragraph" w:customStyle="1" w:styleId="Docheader">
    <w:name w:val="Doc header"/>
    <w:basedOn w:val="Normal"/>
    <w:rsid w:val="00952EEE"/>
    <w:pPr>
      <w:tabs>
        <w:tab w:val="clear" w:pos="1134"/>
        <w:tab w:val="clear" w:pos="1701"/>
        <w:tab w:val="clear" w:pos="2268"/>
      </w:tabs>
      <w:suppressAutoHyphens w:val="0"/>
      <w:spacing w:after="0" w:line="280" w:lineRule="exact"/>
      <w:jc w:val="left"/>
    </w:pPr>
    <w:rPr>
      <w:rFonts w:ascii="Arial" w:hAnsi="Arial" w:cs="Times New Roman"/>
      <w:sz w:val="24"/>
      <w:lang w:val="en-US" w:eastAsia="en-US"/>
    </w:rPr>
  </w:style>
  <w:style w:type="character" w:styleId="PageNumber">
    <w:name w:val="page number"/>
    <w:rsid w:val="00952EEE"/>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1269</Words>
  <Characters>7005</Characters>
  <Application>Microsoft Office Word</Application>
  <DocSecurity>0</DocSecurity>
  <Lines>212</Lines>
  <Paragraphs>76</Paragraphs>
  <ScaleCrop>false</ScaleCrop>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Ritchie</dc:creator>
  <cp:keywords/>
  <dc:description/>
  <cp:lastModifiedBy>Lucy Ritchie</cp:lastModifiedBy>
  <cp:revision>1</cp:revision>
  <dcterms:created xsi:type="dcterms:W3CDTF">2026-04-16T13:53:00Z</dcterms:created>
  <dcterms:modified xsi:type="dcterms:W3CDTF">2026-04-16T14:00:00Z</dcterms:modified>
</cp:coreProperties>
</file>