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323FB" w14:textId="6CFA4270" w:rsidR="00572152" w:rsidRDefault="00572152">
      <w:pPr>
        <w:spacing w:after="200"/>
        <w:jc w:val="left"/>
        <w:rPr>
          <w:rFonts w:eastAsia="Calibri" w:cs="Arial"/>
        </w:rPr>
      </w:pPr>
    </w:p>
    <w:tbl>
      <w:tblPr>
        <w:tblW w:w="9639" w:type="dxa"/>
        <w:tblCellMar>
          <w:top w:w="85" w:type="dxa"/>
          <w:left w:w="0" w:type="dxa"/>
          <w:bottom w:w="85" w:type="dxa"/>
          <w:right w:w="0" w:type="dxa"/>
        </w:tblCellMar>
        <w:tblLook w:val="01E0" w:firstRow="1" w:lastRow="1" w:firstColumn="1" w:lastColumn="1" w:noHBand="0" w:noVBand="0"/>
      </w:tblPr>
      <w:tblGrid>
        <w:gridCol w:w="4049"/>
        <w:gridCol w:w="5590"/>
      </w:tblGrid>
      <w:tr w:rsidR="00572152" w:rsidRPr="001B24BA" w14:paraId="67A1D2B5" w14:textId="77777777" w:rsidTr="00482173">
        <w:trPr>
          <w:trHeight w:val="284"/>
        </w:trPr>
        <w:tc>
          <w:tcPr>
            <w:tcW w:w="4049" w:type="dxa"/>
          </w:tcPr>
          <w:p w14:paraId="184DE4D9" w14:textId="1E5FD6DD" w:rsidR="00572152" w:rsidRPr="001B24BA" w:rsidRDefault="00572152" w:rsidP="00482173">
            <w:pPr>
              <w:outlineLvl w:val="0"/>
              <w:rPr>
                <w:kern w:val="28"/>
                <w:sz w:val="24"/>
                <w:szCs w:val="24"/>
              </w:rPr>
            </w:pPr>
          </w:p>
        </w:tc>
        <w:tc>
          <w:tcPr>
            <w:tcW w:w="5590" w:type="dxa"/>
          </w:tcPr>
          <w:p w14:paraId="7F512914" w14:textId="424B3AF2" w:rsidR="00572152" w:rsidRPr="001B24BA" w:rsidRDefault="004746B7" w:rsidP="00482173">
            <w:pPr>
              <w:jc w:val="right"/>
              <w:outlineLvl w:val="0"/>
              <w:rPr>
                <w:kern w:val="28"/>
                <w:sz w:val="24"/>
                <w:szCs w:val="24"/>
              </w:rPr>
            </w:pPr>
            <w:r>
              <w:rPr>
                <w:kern w:val="28"/>
                <w:sz w:val="24"/>
                <w:szCs w:val="24"/>
              </w:rPr>
              <w:t>Annex 3</w:t>
            </w:r>
          </w:p>
        </w:tc>
      </w:tr>
      <w:tr w:rsidR="00572152" w:rsidRPr="001B24BA" w14:paraId="6FFB3EBF" w14:textId="77777777" w:rsidTr="00482173">
        <w:trPr>
          <w:trHeight w:val="284"/>
        </w:trPr>
        <w:tc>
          <w:tcPr>
            <w:tcW w:w="9639" w:type="dxa"/>
            <w:gridSpan w:val="2"/>
          </w:tcPr>
          <w:p w14:paraId="461D6011" w14:textId="03963422" w:rsidR="00572152" w:rsidRPr="001B24BA" w:rsidRDefault="00572152" w:rsidP="00482173">
            <w:pPr>
              <w:outlineLvl w:val="0"/>
              <w:rPr>
                <w:i/>
                <w:kern w:val="28"/>
                <w:sz w:val="24"/>
                <w:szCs w:val="24"/>
              </w:rPr>
            </w:pPr>
            <w:r w:rsidRPr="001B24BA">
              <w:rPr>
                <w:kern w:val="28"/>
                <w:sz w:val="24"/>
                <w:szCs w:val="24"/>
              </w:rPr>
              <w:t>OSPAR Convention for the Protection of the Marine Environment of the North-East Atlantic</w:t>
            </w:r>
          </w:p>
        </w:tc>
      </w:tr>
      <w:tr w:rsidR="00572152" w:rsidRPr="001B24BA" w14:paraId="7A2D35E1" w14:textId="77777777" w:rsidTr="00482173">
        <w:trPr>
          <w:trHeight w:val="284"/>
        </w:trPr>
        <w:tc>
          <w:tcPr>
            <w:tcW w:w="9639" w:type="dxa"/>
            <w:gridSpan w:val="2"/>
            <w:tcBorders>
              <w:bottom w:val="single" w:sz="4" w:space="0" w:color="808080"/>
            </w:tcBorders>
          </w:tcPr>
          <w:p w14:paraId="7D6B8616" w14:textId="77777777" w:rsidR="00572152" w:rsidRDefault="00572152" w:rsidP="004746B7">
            <w:pPr>
              <w:outlineLvl w:val="0"/>
              <w:rPr>
                <w:kern w:val="28"/>
                <w:sz w:val="24"/>
                <w:szCs w:val="24"/>
              </w:rPr>
            </w:pPr>
            <w:r w:rsidRPr="001B24BA">
              <w:rPr>
                <w:kern w:val="28"/>
                <w:sz w:val="24"/>
                <w:szCs w:val="24"/>
              </w:rPr>
              <w:t xml:space="preserve">Meeting of the </w:t>
            </w:r>
            <w:r w:rsidR="004746B7">
              <w:rPr>
                <w:kern w:val="28"/>
                <w:sz w:val="24"/>
                <w:szCs w:val="24"/>
              </w:rPr>
              <w:t>Coordination Group</w:t>
            </w:r>
          </w:p>
          <w:p w14:paraId="4D1D5AB2" w14:textId="3140CF5C" w:rsidR="004746B7" w:rsidRPr="001B24BA" w:rsidRDefault="004746B7" w:rsidP="004746B7">
            <w:pPr>
              <w:outlineLvl w:val="0"/>
              <w:rPr>
                <w:kern w:val="28"/>
                <w:sz w:val="24"/>
                <w:szCs w:val="24"/>
              </w:rPr>
            </w:pPr>
            <w:r>
              <w:rPr>
                <w:kern w:val="28"/>
                <w:sz w:val="24"/>
                <w:szCs w:val="24"/>
              </w:rPr>
              <w:t>London: 22-23 May 2023</w:t>
            </w:r>
          </w:p>
        </w:tc>
      </w:tr>
    </w:tbl>
    <w:p w14:paraId="3378E310" w14:textId="77777777" w:rsidR="00572152" w:rsidRPr="001367BD" w:rsidRDefault="00572152" w:rsidP="00572152">
      <w:pPr>
        <w:tabs>
          <w:tab w:val="left" w:pos="1560"/>
        </w:tabs>
        <w:spacing w:after="140" w:line="200" w:lineRule="atLeast"/>
        <w:jc w:val="center"/>
        <w:rPr>
          <w:sz w:val="24"/>
          <w:szCs w:val="24"/>
        </w:rPr>
      </w:pPr>
    </w:p>
    <w:p w14:paraId="3FABAD10" w14:textId="77777777" w:rsidR="00572152" w:rsidRPr="004233FE" w:rsidRDefault="00572152" w:rsidP="00572152">
      <w:pPr>
        <w:tabs>
          <w:tab w:val="left" w:pos="1560"/>
        </w:tabs>
        <w:spacing w:after="140" w:line="200" w:lineRule="atLeast"/>
        <w:rPr>
          <w:sz w:val="24"/>
          <w:szCs w:val="24"/>
        </w:rPr>
      </w:pPr>
      <w:r w:rsidRPr="00E10079">
        <w:rPr>
          <w:rFonts w:cs="Calibri"/>
          <w:sz w:val="40"/>
          <w:szCs w:val="40"/>
        </w:rPr>
        <w:t>Terms of Reference for ICG-</w:t>
      </w:r>
      <w:r>
        <w:rPr>
          <w:rFonts w:cs="Calibri"/>
          <w:sz w:val="40"/>
          <w:szCs w:val="40"/>
        </w:rPr>
        <w:t xml:space="preserve">Ecosystem Assessment Outlook - </w:t>
      </w:r>
      <w:r w:rsidRPr="00E10079">
        <w:rPr>
          <w:rFonts w:cs="Calibri"/>
          <w:sz w:val="40"/>
          <w:szCs w:val="40"/>
        </w:rPr>
        <w:t>Cumulative Effects</w:t>
      </w:r>
      <w:r>
        <w:rPr>
          <w:rFonts w:cs="Calibri"/>
          <w:sz w:val="40"/>
          <w:szCs w:val="40"/>
        </w:rPr>
        <w:t xml:space="preserve"> Assessment</w:t>
      </w:r>
      <w:r w:rsidRPr="00E10079">
        <w:rPr>
          <w:rFonts w:cs="Calibri"/>
          <w:sz w:val="40"/>
          <w:szCs w:val="40"/>
        </w:rPr>
        <w:t xml:space="preserve"> (ICG</w:t>
      </w:r>
      <w:r w:rsidRPr="00E10079">
        <w:rPr>
          <w:rFonts w:cs="Calibri"/>
          <w:sz w:val="40"/>
          <w:szCs w:val="40"/>
        </w:rPr>
        <w:noBreakHyphen/>
      </w:r>
      <w:r>
        <w:rPr>
          <w:rFonts w:cs="Calibri"/>
          <w:sz w:val="40"/>
          <w:szCs w:val="40"/>
        </w:rPr>
        <w:t>Eco-</w:t>
      </w:r>
      <w:r w:rsidRPr="00E10079">
        <w:rPr>
          <w:rFonts w:cs="Calibri"/>
          <w:sz w:val="40"/>
          <w:szCs w:val="40"/>
        </w:rPr>
        <w:t>C), 20</w:t>
      </w:r>
      <w:r>
        <w:rPr>
          <w:rFonts w:cs="Calibri"/>
          <w:sz w:val="40"/>
          <w:szCs w:val="40"/>
        </w:rPr>
        <w:t>23</w:t>
      </w:r>
      <w:r w:rsidRPr="00E10079">
        <w:rPr>
          <w:rFonts w:cs="Calibri"/>
          <w:sz w:val="40"/>
          <w:szCs w:val="40"/>
        </w:rPr>
        <w:t>-20</w:t>
      </w:r>
      <w:r>
        <w:rPr>
          <w:rFonts w:cs="Calibri"/>
          <w:sz w:val="40"/>
          <w:szCs w:val="40"/>
        </w:rPr>
        <w:t>25</w:t>
      </w:r>
    </w:p>
    <w:p w14:paraId="381B06E5" w14:textId="77777777" w:rsidR="00572152" w:rsidRDefault="00572152" w:rsidP="00572152">
      <w:pPr>
        <w:spacing w:before="120" w:line="360" w:lineRule="auto"/>
        <w:rPr>
          <w:rFonts w:cs="Calibri"/>
          <w:b/>
        </w:rPr>
      </w:pPr>
    </w:p>
    <w:p w14:paraId="7FE44EFD" w14:textId="77777777" w:rsidR="00572152" w:rsidRPr="00E10079" w:rsidRDefault="00572152" w:rsidP="00572152">
      <w:pPr>
        <w:spacing w:before="120" w:line="360" w:lineRule="auto"/>
        <w:rPr>
          <w:rFonts w:cs="Calibri"/>
          <w:b/>
        </w:rPr>
      </w:pPr>
      <w:r w:rsidRPr="00E10079">
        <w:rPr>
          <w:rFonts w:cs="Calibri"/>
          <w:b/>
        </w:rPr>
        <w:t>Background and purpose</w:t>
      </w:r>
    </w:p>
    <w:p w14:paraId="74B72AE8" w14:textId="77777777" w:rsidR="00572152" w:rsidRPr="00203376" w:rsidRDefault="00572152" w:rsidP="00572152">
      <w:pPr>
        <w:tabs>
          <w:tab w:val="left" w:pos="567"/>
          <w:tab w:val="left" w:pos="1560"/>
        </w:tabs>
        <w:spacing w:after="140" w:line="200" w:lineRule="atLeast"/>
        <w:rPr>
          <w:rFonts w:cs="Calibri"/>
        </w:rPr>
      </w:pPr>
      <w:r w:rsidRPr="00203376">
        <w:rPr>
          <w:rFonts w:cs="Calibri"/>
        </w:rPr>
        <w:t>1.</w:t>
      </w:r>
      <w:r w:rsidRPr="00203376">
        <w:rPr>
          <w:rFonts w:cs="Calibri"/>
        </w:rPr>
        <w:tab/>
        <w:t xml:space="preserve">ICG-Eco-C will continue its work to deliver North-East Atlantic Environment Strategy Strategic Objective 7.01 through tasks: </w:t>
      </w:r>
    </w:p>
    <w:p w14:paraId="42D73DA9" w14:textId="77777777" w:rsidR="00572152" w:rsidRDefault="00572152" w:rsidP="00572152">
      <w:pPr>
        <w:pStyle w:val="ListParagraph"/>
        <w:numPr>
          <w:ilvl w:val="1"/>
          <w:numId w:val="31"/>
        </w:numPr>
        <w:spacing w:before="240"/>
      </w:pPr>
      <w:r>
        <w:t xml:space="preserve">S7.01.T2: </w:t>
      </w:r>
      <w:r>
        <w:rPr>
          <w:rFonts w:cs="Calibri"/>
          <w:color w:val="000000"/>
          <w:shd w:val="clear" w:color="auto" w:fill="FFFFFF"/>
        </w:rPr>
        <w:t>Cumulative effect method development (CEMD).</w:t>
      </w:r>
    </w:p>
    <w:p w14:paraId="56655AA7" w14:textId="77777777" w:rsidR="00572152" w:rsidRPr="00203376" w:rsidRDefault="00572152" w:rsidP="00572152">
      <w:pPr>
        <w:tabs>
          <w:tab w:val="left" w:pos="567"/>
          <w:tab w:val="left" w:pos="1560"/>
        </w:tabs>
        <w:spacing w:after="140" w:line="200" w:lineRule="atLeast"/>
        <w:rPr>
          <w:rFonts w:ascii="Arial" w:hAnsi="Arial" w:cs="Arial"/>
          <w:sz w:val="20"/>
        </w:rPr>
      </w:pPr>
      <w:r w:rsidRPr="00203376">
        <w:rPr>
          <w:rFonts w:cs="Calibri"/>
        </w:rPr>
        <w:t>The work will also support regional implementation of the EU Marine Strategy Framework Directive.</w:t>
      </w:r>
    </w:p>
    <w:p w14:paraId="0953A5D8" w14:textId="77777777" w:rsidR="00572152" w:rsidRPr="00236499" w:rsidRDefault="00572152" w:rsidP="00572152">
      <w:pPr>
        <w:tabs>
          <w:tab w:val="left" w:pos="567"/>
        </w:tabs>
        <w:spacing w:before="120"/>
        <w:rPr>
          <w:rFonts w:cs="Calibri"/>
          <w:b/>
        </w:rPr>
      </w:pPr>
    </w:p>
    <w:p w14:paraId="690DF588" w14:textId="77777777" w:rsidR="00572152" w:rsidRPr="00236499" w:rsidRDefault="00572152" w:rsidP="00572152">
      <w:pPr>
        <w:tabs>
          <w:tab w:val="left" w:pos="567"/>
        </w:tabs>
        <w:spacing w:before="120"/>
        <w:rPr>
          <w:rFonts w:cs="Calibri"/>
          <w:b/>
        </w:rPr>
      </w:pPr>
      <w:r w:rsidRPr="00236499">
        <w:rPr>
          <w:rFonts w:cs="Calibri"/>
          <w:b/>
        </w:rPr>
        <w:t>Participants</w:t>
      </w:r>
    </w:p>
    <w:p w14:paraId="579146BC" w14:textId="77777777" w:rsidR="00572152" w:rsidRPr="00236499" w:rsidRDefault="00572152" w:rsidP="00572152">
      <w:pPr>
        <w:tabs>
          <w:tab w:val="left" w:pos="567"/>
        </w:tabs>
        <w:spacing w:before="120"/>
        <w:rPr>
          <w:rFonts w:cs="Calibri"/>
          <w:highlight w:val="yellow"/>
        </w:rPr>
      </w:pPr>
      <w:r w:rsidRPr="00236499">
        <w:rPr>
          <w:rFonts w:cs="Calibri"/>
        </w:rPr>
        <w:t>2.</w:t>
      </w:r>
      <w:r w:rsidRPr="00236499">
        <w:rPr>
          <w:rFonts w:cs="Calibri"/>
        </w:rPr>
        <w:tab/>
      </w:r>
      <w:r w:rsidRPr="00203376">
        <w:rPr>
          <w:rFonts w:cs="Calibri"/>
        </w:rPr>
        <w:t>ICG-Eco-C will be convened by the UK (Adrian Judd) and the Netherlands (</w:t>
      </w:r>
      <w:r>
        <w:rPr>
          <w:rStyle w:val="cf01"/>
        </w:rPr>
        <w:t>Sophie Vergouwen</w:t>
      </w:r>
      <w:r w:rsidRPr="00203376">
        <w:rPr>
          <w:rFonts w:cs="Calibri"/>
        </w:rPr>
        <w:t>) and is open to all OSPAR Contracting Parties and Observers, noting the need to proactively include expertise from across all OSPAR’s thematic work areas.</w:t>
      </w:r>
    </w:p>
    <w:p w14:paraId="7B537C73" w14:textId="77777777" w:rsidR="00572152" w:rsidRPr="00236499" w:rsidRDefault="00572152" w:rsidP="00572152">
      <w:pPr>
        <w:widowControl w:val="0"/>
        <w:tabs>
          <w:tab w:val="left" w:pos="567"/>
        </w:tabs>
        <w:spacing w:before="120"/>
        <w:rPr>
          <w:rFonts w:cs="Calibri"/>
          <w:b/>
        </w:rPr>
      </w:pPr>
    </w:p>
    <w:p w14:paraId="4CDA4608" w14:textId="77777777" w:rsidR="00572152" w:rsidRPr="00236499" w:rsidRDefault="00572152" w:rsidP="00572152">
      <w:pPr>
        <w:widowControl w:val="0"/>
        <w:tabs>
          <w:tab w:val="left" w:pos="567"/>
        </w:tabs>
        <w:spacing w:before="120"/>
        <w:rPr>
          <w:rFonts w:cs="Calibri"/>
          <w:b/>
        </w:rPr>
      </w:pPr>
      <w:r w:rsidRPr="00236499">
        <w:rPr>
          <w:rFonts w:cs="Calibri"/>
          <w:b/>
        </w:rPr>
        <w:t>Scope of Work</w:t>
      </w:r>
    </w:p>
    <w:p w14:paraId="3C7C7EA9" w14:textId="68B19161" w:rsidR="00572152" w:rsidRDefault="00676E84" w:rsidP="00572152">
      <w:pPr>
        <w:tabs>
          <w:tab w:val="left" w:pos="567"/>
        </w:tabs>
        <w:spacing w:before="120"/>
        <w:rPr>
          <w:rFonts w:cs="Calibri"/>
        </w:rPr>
      </w:pPr>
      <w:r>
        <w:rPr>
          <w:rFonts w:cs="Calibri"/>
        </w:rPr>
        <w:t>3</w:t>
      </w:r>
      <w:r w:rsidR="00572152" w:rsidRPr="00236499">
        <w:rPr>
          <w:rFonts w:cs="Calibri"/>
        </w:rPr>
        <w:t>.</w:t>
      </w:r>
      <w:r w:rsidR="00572152" w:rsidRPr="00236499">
        <w:rPr>
          <w:rFonts w:cs="Calibri"/>
        </w:rPr>
        <w:tab/>
        <w:t>To consider and develop a ‘strategy’ to progress the recommendations from the QSR 2023 CEA analyses (→</w:t>
      </w:r>
      <w:r w:rsidR="00572152" w:rsidRPr="00203376">
        <w:rPr>
          <w:rFonts w:cs="Calibri"/>
        </w:rPr>
        <w:t xml:space="preserve">NEAES </w:t>
      </w:r>
      <w:r w:rsidR="00572152" w:rsidRPr="00236499">
        <w:t>S7.01.T2)</w:t>
      </w:r>
      <w:r w:rsidR="00572152" w:rsidRPr="00236499">
        <w:rPr>
          <w:rFonts w:cs="Calibri"/>
        </w:rPr>
        <w:t xml:space="preserve">, </w:t>
      </w:r>
      <w:r w:rsidR="00572152">
        <w:rPr>
          <w:rFonts w:cs="Calibri"/>
        </w:rPr>
        <w:t>namely:</w:t>
      </w:r>
    </w:p>
    <w:p w14:paraId="0F140020" w14:textId="77777777" w:rsidR="00572152" w:rsidRDefault="00572152" w:rsidP="00572152">
      <w:pPr>
        <w:pStyle w:val="ListParagraph"/>
        <w:numPr>
          <w:ilvl w:val="0"/>
          <w:numId w:val="32"/>
        </w:numPr>
        <w:spacing w:before="240"/>
        <w:contextualSpacing/>
      </w:pPr>
      <w:r>
        <w:t>Ensure there is built-in collaboration and engagement across OSPAR Expert Groups and Committees to further develop and progress the work, maintain the momentum achieved in progressing the work for the QSR 2023.</w:t>
      </w:r>
    </w:p>
    <w:p w14:paraId="0D55803A" w14:textId="77777777" w:rsidR="00572152" w:rsidRPr="008E4B9B" w:rsidRDefault="00572152" w:rsidP="00572152">
      <w:pPr>
        <w:pStyle w:val="ListParagraph"/>
        <w:numPr>
          <w:ilvl w:val="0"/>
          <w:numId w:val="32"/>
        </w:numPr>
        <w:spacing w:before="240"/>
        <w:contextualSpacing/>
      </w:pPr>
      <w:r w:rsidRPr="008E4B9B">
        <w:t>Improve collaboration and engagement across OSPAR Contracting Parties</w:t>
      </w:r>
      <w:r>
        <w:t>.</w:t>
      </w:r>
    </w:p>
    <w:p w14:paraId="2424F82E" w14:textId="77777777" w:rsidR="00572152" w:rsidRPr="008E4B9B" w:rsidRDefault="00572152" w:rsidP="00572152">
      <w:pPr>
        <w:pStyle w:val="ListParagraph"/>
        <w:numPr>
          <w:ilvl w:val="0"/>
          <w:numId w:val="32"/>
        </w:numPr>
        <w:spacing w:before="240"/>
        <w:contextualSpacing/>
      </w:pPr>
      <w:r w:rsidRPr="008E4B9B">
        <w:t>Improve collaboration and engagement with external bodies, e.g., ICES, HELCOM</w:t>
      </w:r>
      <w:r>
        <w:t>.</w:t>
      </w:r>
    </w:p>
    <w:p w14:paraId="3951BEA6" w14:textId="77777777" w:rsidR="00572152" w:rsidRPr="008E4B9B" w:rsidRDefault="00572152" w:rsidP="00572152">
      <w:pPr>
        <w:pStyle w:val="ListParagraph"/>
        <w:numPr>
          <w:ilvl w:val="0"/>
          <w:numId w:val="32"/>
        </w:numPr>
        <w:spacing w:before="240"/>
        <w:contextualSpacing/>
      </w:pPr>
      <w:r w:rsidRPr="008E4B9B">
        <w:t>Improve integration between human activity, pressure, biodiversity assessments and economic / social analyses (Ecosystem Approach - DAPSIR)</w:t>
      </w:r>
      <w:r>
        <w:t>.</w:t>
      </w:r>
    </w:p>
    <w:p w14:paraId="100BBA27" w14:textId="77777777" w:rsidR="00572152" w:rsidRPr="008E4B9B" w:rsidRDefault="00572152" w:rsidP="00572152">
      <w:pPr>
        <w:pStyle w:val="ListParagraph"/>
        <w:numPr>
          <w:ilvl w:val="0"/>
          <w:numId w:val="32"/>
        </w:numPr>
        <w:spacing w:before="240"/>
        <w:contextualSpacing/>
      </w:pPr>
      <w:r w:rsidRPr="008E4B9B">
        <w:t>DAPSIR – Natural Capital Accounting continued alignment</w:t>
      </w:r>
      <w:r>
        <w:t xml:space="preserve"> (working with ICG-ESA).</w:t>
      </w:r>
    </w:p>
    <w:p w14:paraId="2CF12776" w14:textId="77777777" w:rsidR="00572152" w:rsidRPr="008E4B9B" w:rsidRDefault="00572152" w:rsidP="00572152">
      <w:pPr>
        <w:pStyle w:val="ListParagraph"/>
        <w:numPr>
          <w:ilvl w:val="0"/>
          <w:numId w:val="32"/>
        </w:numPr>
        <w:spacing w:before="240"/>
        <w:contextualSpacing/>
      </w:pPr>
      <w:r>
        <w:lastRenderedPageBreak/>
        <w:t>Undertake r</w:t>
      </w:r>
      <w:r w:rsidRPr="008E4B9B">
        <w:t xml:space="preserve">egional </w:t>
      </w:r>
      <w:r>
        <w:t xml:space="preserve">scale </w:t>
      </w:r>
      <w:r w:rsidRPr="008E4B9B">
        <w:t xml:space="preserve">analyses - </w:t>
      </w:r>
      <w:r>
        <w:t>the details of this will need to be determined, e.g., ICG-ORED are considering a pilot for birds in Celtic seas and parts of The Bay of Biscay, but the exact bordering depending on species/populations areas.</w:t>
      </w:r>
    </w:p>
    <w:p w14:paraId="3A83A3AC" w14:textId="77777777" w:rsidR="00572152" w:rsidRPr="008E4B9B" w:rsidRDefault="00572152" w:rsidP="00572152">
      <w:pPr>
        <w:pStyle w:val="ListParagraph"/>
        <w:numPr>
          <w:ilvl w:val="0"/>
          <w:numId w:val="32"/>
        </w:numPr>
        <w:spacing w:before="240"/>
        <w:contextualSpacing/>
      </w:pPr>
      <w:r>
        <w:t>Explore options for s</w:t>
      </w:r>
      <w:r w:rsidRPr="008E4B9B">
        <w:t>patial analyses – mapping human activities, pressures, ecosystem components and impacts</w:t>
      </w:r>
      <w:r>
        <w:t>.</w:t>
      </w:r>
    </w:p>
    <w:p w14:paraId="672AD419" w14:textId="77777777" w:rsidR="00572152" w:rsidRPr="008E4B9B" w:rsidRDefault="00572152" w:rsidP="00572152">
      <w:pPr>
        <w:pStyle w:val="ListParagraph"/>
        <w:numPr>
          <w:ilvl w:val="0"/>
          <w:numId w:val="32"/>
        </w:numPr>
        <w:spacing w:before="240"/>
        <w:contextualSpacing/>
      </w:pPr>
      <w:r>
        <w:t>Improve methodologies for the</w:t>
      </w:r>
      <w:r w:rsidRPr="008E4B9B">
        <w:t xml:space="preserve"> identification and quantification of impacts</w:t>
      </w:r>
      <w:r>
        <w:t>, individually and cumulatively.</w:t>
      </w:r>
    </w:p>
    <w:p w14:paraId="7117C262" w14:textId="77777777" w:rsidR="00572152" w:rsidRPr="008E4B9B" w:rsidRDefault="00572152" w:rsidP="00572152">
      <w:pPr>
        <w:pStyle w:val="ListParagraph"/>
        <w:numPr>
          <w:ilvl w:val="0"/>
          <w:numId w:val="32"/>
        </w:numPr>
        <w:spacing w:before="240"/>
        <w:contextualSpacing/>
      </w:pPr>
      <w:r>
        <w:t>Progress r</w:t>
      </w:r>
      <w:r w:rsidRPr="008E4B9B">
        <w:t xml:space="preserve">efinements </w:t>
      </w:r>
      <w:r>
        <w:t>to</w:t>
      </w:r>
      <w:r w:rsidRPr="008E4B9B">
        <w:t xml:space="preserve"> the persistence and resilience analyses</w:t>
      </w:r>
      <w:r>
        <w:t>.</w:t>
      </w:r>
    </w:p>
    <w:p w14:paraId="37891ABE" w14:textId="5C67FA8E" w:rsidR="00572152" w:rsidRPr="008E4B9B" w:rsidRDefault="00572152" w:rsidP="00572152">
      <w:pPr>
        <w:pStyle w:val="ListParagraph"/>
        <w:numPr>
          <w:ilvl w:val="0"/>
          <w:numId w:val="32"/>
        </w:numPr>
        <w:spacing w:before="240"/>
        <w:contextualSpacing/>
      </w:pPr>
      <w:r w:rsidRPr="008E4B9B">
        <w:t xml:space="preserve">Incorporating management responses </w:t>
      </w:r>
      <w:r>
        <w:t xml:space="preserve">and </w:t>
      </w:r>
      <w:r w:rsidRPr="008E4B9B">
        <w:t>to ‘test’ effectiveness of measures</w:t>
      </w:r>
      <w:r w:rsidR="009C7B09">
        <w:t>, including working with Action Plan leads (i.e., marine birds, benthic habitats)</w:t>
      </w:r>
      <w:r>
        <w:t>.</w:t>
      </w:r>
    </w:p>
    <w:p w14:paraId="21D3CFA8" w14:textId="77777777" w:rsidR="00572152" w:rsidRPr="008E4B9B" w:rsidRDefault="00572152" w:rsidP="00572152">
      <w:pPr>
        <w:pStyle w:val="ListParagraph"/>
        <w:numPr>
          <w:ilvl w:val="0"/>
          <w:numId w:val="32"/>
        </w:numPr>
        <w:spacing w:before="240"/>
        <w:contextualSpacing/>
      </w:pPr>
      <w:r>
        <w:t>Considering h</w:t>
      </w:r>
      <w:r w:rsidRPr="008E4B9B">
        <w:t>ow to use DAPSIR / ODEMM weightings to support OSPAR management</w:t>
      </w:r>
      <w:r>
        <w:t xml:space="preserve"> measures.</w:t>
      </w:r>
    </w:p>
    <w:p w14:paraId="55D21155" w14:textId="67CBCF84" w:rsidR="00572152" w:rsidRDefault="00D34D81" w:rsidP="00572152">
      <w:pPr>
        <w:tabs>
          <w:tab w:val="left" w:pos="567"/>
        </w:tabs>
        <w:spacing w:before="120"/>
        <w:rPr>
          <w:rFonts w:cs="Calibri"/>
          <w:color w:val="000000"/>
          <w:shd w:val="clear" w:color="auto" w:fill="FFFFFF"/>
        </w:rPr>
      </w:pPr>
      <w:r>
        <w:rPr>
          <w:rFonts w:cs="Calibri"/>
          <w:color w:val="000000"/>
          <w:shd w:val="clear" w:color="auto" w:fill="FFFFFF"/>
        </w:rPr>
        <w:t>4</w:t>
      </w:r>
      <w:r w:rsidR="00572152">
        <w:rPr>
          <w:rFonts w:cs="Calibri"/>
          <w:color w:val="000000"/>
          <w:shd w:val="clear" w:color="auto" w:fill="FFFFFF"/>
        </w:rPr>
        <w:t>.</w:t>
      </w:r>
      <w:r w:rsidR="00572152">
        <w:rPr>
          <w:rFonts w:cs="Calibri"/>
          <w:color w:val="000000"/>
          <w:shd w:val="clear" w:color="auto" w:fill="FFFFFF"/>
        </w:rPr>
        <w:tab/>
        <w:t>In addition to progressing the recommendation in paragraph 4, to progress cumulative effects method development (</w:t>
      </w:r>
      <w:r w:rsidR="00572152">
        <w:t>S7.01.T2)</w:t>
      </w:r>
      <w:r w:rsidR="00572152">
        <w:rPr>
          <w:rFonts w:cs="Calibri"/>
          <w:color w:val="000000"/>
          <w:shd w:val="clear" w:color="auto" w:fill="FFFFFF"/>
        </w:rPr>
        <w:t xml:space="preserve"> the CEA ‘strategy’ will need to:</w:t>
      </w:r>
    </w:p>
    <w:p w14:paraId="76EFD7A5" w14:textId="77777777" w:rsidR="00572152" w:rsidRPr="00D26FE4" w:rsidRDefault="00572152" w:rsidP="00572152">
      <w:pPr>
        <w:pStyle w:val="ListParagraph"/>
        <w:numPr>
          <w:ilvl w:val="0"/>
          <w:numId w:val="33"/>
        </w:numPr>
        <w:contextualSpacing/>
        <w:rPr>
          <w:rFonts w:cs="Calibri"/>
        </w:rPr>
      </w:pPr>
      <w:r>
        <w:rPr>
          <w:rFonts w:cs="Calibri"/>
          <w:color w:val="000000"/>
          <w:shd w:val="clear" w:color="auto" w:fill="FFFFFF"/>
        </w:rPr>
        <w:t>S</w:t>
      </w:r>
      <w:r w:rsidRPr="00D26FE4">
        <w:rPr>
          <w:rFonts w:cs="Calibri"/>
          <w:color w:val="000000"/>
          <w:shd w:val="clear" w:color="auto" w:fill="FFFFFF"/>
        </w:rPr>
        <w:t xml:space="preserve">pecify the OSPAR focus for cumulative effects assessment, e.g., EIA, SEA, MSP, MSFD, Habitats Directive. </w:t>
      </w:r>
    </w:p>
    <w:p w14:paraId="6A30D91D" w14:textId="77777777" w:rsidR="00572152" w:rsidRPr="00D26FE4" w:rsidRDefault="00572152" w:rsidP="00572152">
      <w:pPr>
        <w:pStyle w:val="ListParagraph"/>
        <w:numPr>
          <w:ilvl w:val="0"/>
          <w:numId w:val="33"/>
        </w:numPr>
        <w:contextualSpacing/>
        <w:rPr>
          <w:rFonts w:cs="Calibri"/>
        </w:rPr>
      </w:pPr>
      <w:r w:rsidRPr="00D26FE4">
        <w:rPr>
          <w:rFonts w:cs="Calibri"/>
          <w:color w:val="000000"/>
          <w:shd w:val="clear" w:color="auto" w:fill="FFFFFF"/>
        </w:rPr>
        <w:t>Identify and agree methodology(s) for assessing and visualizing cumulative effects (for the agreed application(s))</w:t>
      </w:r>
      <w:r>
        <w:rPr>
          <w:rFonts w:cs="Calibri"/>
          <w:color w:val="000000"/>
          <w:shd w:val="clear" w:color="auto" w:fill="FFFFFF"/>
        </w:rPr>
        <w:t>, including collaboration with ICG-ORED on their cumulative effects work on offshore renewable energy.</w:t>
      </w:r>
    </w:p>
    <w:p w14:paraId="6F061742" w14:textId="77777777" w:rsidR="00572152" w:rsidRPr="00D26FE4" w:rsidRDefault="00572152" w:rsidP="00572152">
      <w:pPr>
        <w:pStyle w:val="ListParagraph"/>
        <w:numPr>
          <w:ilvl w:val="0"/>
          <w:numId w:val="33"/>
        </w:numPr>
        <w:contextualSpacing/>
        <w:rPr>
          <w:rFonts w:cs="Calibri"/>
        </w:rPr>
      </w:pPr>
      <w:r>
        <w:rPr>
          <w:rFonts w:cs="Calibri"/>
          <w:color w:val="000000"/>
          <w:shd w:val="clear" w:color="auto" w:fill="FFFFFF"/>
        </w:rPr>
        <w:t>Provide</w:t>
      </w:r>
      <w:r w:rsidRPr="00D26FE4">
        <w:rPr>
          <w:rFonts w:cs="Calibri"/>
          <w:color w:val="000000"/>
          <w:shd w:val="clear" w:color="auto" w:fill="FFFFFF"/>
        </w:rPr>
        <w:t xml:space="preserve"> guidance on the agreed cumulative effects assessment methodology(s)</w:t>
      </w:r>
      <w:r>
        <w:rPr>
          <w:rFonts w:cs="Calibri"/>
          <w:color w:val="000000"/>
          <w:shd w:val="clear" w:color="auto" w:fill="FFFFFF"/>
        </w:rPr>
        <w:t>.</w:t>
      </w:r>
    </w:p>
    <w:p w14:paraId="57B72421" w14:textId="77777777" w:rsidR="00572152" w:rsidRPr="00D26FE4" w:rsidRDefault="00572152" w:rsidP="00572152">
      <w:pPr>
        <w:pStyle w:val="ListParagraph"/>
        <w:numPr>
          <w:ilvl w:val="0"/>
          <w:numId w:val="33"/>
        </w:numPr>
        <w:contextualSpacing/>
        <w:rPr>
          <w:rFonts w:cs="Calibri"/>
        </w:rPr>
      </w:pPr>
      <w:r>
        <w:rPr>
          <w:rFonts w:cs="Calibri"/>
          <w:color w:val="000000"/>
          <w:shd w:val="clear" w:color="auto" w:fill="FFFFFF"/>
        </w:rPr>
        <w:t xml:space="preserve">Provide </w:t>
      </w:r>
      <w:r w:rsidRPr="00D26FE4">
        <w:rPr>
          <w:rFonts w:cs="Calibri"/>
          <w:color w:val="000000"/>
          <w:shd w:val="clear" w:color="auto" w:fill="FFFFFF"/>
        </w:rPr>
        <w:t>guidance on how to assess and communicate uncertainty</w:t>
      </w:r>
      <w:r>
        <w:rPr>
          <w:rFonts w:cs="Calibri"/>
          <w:color w:val="000000"/>
          <w:shd w:val="clear" w:color="auto" w:fill="FFFFFF"/>
        </w:rPr>
        <w:t xml:space="preserve"> in CEA.</w:t>
      </w:r>
      <w:r w:rsidRPr="006E6B91">
        <w:rPr>
          <w:rFonts w:cs="Calibri"/>
          <w:color w:val="FF0000"/>
        </w:rPr>
        <w:t xml:space="preserve"> </w:t>
      </w:r>
    </w:p>
    <w:p w14:paraId="27F1E839" w14:textId="77777777" w:rsidR="00572152" w:rsidRPr="00236499" w:rsidRDefault="00572152" w:rsidP="00572152">
      <w:pPr>
        <w:pStyle w:val="ListParagraph"/>
        <w:numPr>
          <w:ilvl w:val="0"/>
          <w:numId w:val="33"/>
        </w:numPr>
        <w:contextualSpacing/>
        <w:rPr>
          <w:rFonts w:cs="Calibri"/>
        </w:rPr>
      </w:pPr>
      <w:r w:rsidRPr="00236499">
        <w:rPr>
          <w:rFonts w:cs="Calibri"/>
        </w:rPr>
        <w:t>Review the implementation of the CEA JAMP product A-6.</w:t>
      </w:r>
    </w:p>
    <w:p w14:paraId="1F6DC4E2" w14:textId="34802426" w:rsidR="00904AA5" w:rsidRDefault="00904AA5" w:rsidP="00572152">
      <w:pPr>
        <w:tabs>
          <w:tab w:val="left" w:pos="567"/>
        </w:tabs>
        <w:spacing w:before="120"/>
        <w:rPr>
          <w:rFonts w:cs="Calibri"/>
        </w:rPr>
      </w:pPr>
      <w:r>
        <w:rPr>
          <w:rFonts w:cs="Calibri"/>
        </w:rPr>
        <w:t>5.</w:t>
      </w:r>
      <w:r w:rsidR="00E3362A">
        <w:rPr>
          <w:rFonts w:cs="Calibri"/>
        </w:rPr>
        <w:tab/>
      </w:r>
      <w:r w:rsidR="0075445E">
        <w:rPr>
          <w:rFonts w:cs="Calibri"/>
        </w:rPr>
        <w:t xml:space="preserve">Progression of this work requires recognition in CoG and support for </w:t>
      </w:r>
      <w:r w:rsidR="005C5DD5">
        <w:rPr>
          <w:rFonts w:cs="Calibri"/>
        </w:rPr>
        <w:t xml:space="preserve">dialogue and </w:t>
      </w:r>
      <w:r w:rsidR="0075445E">
        <w:rPr>
          <w:rFonts w:cs="Calibri"/>
        </w:rPr>
        <w:t>colla</w:t>
      </w:r>
      <w:r w:rsidR="00065028">
        <w:rPr>
          <w:rFonts w:cs="Calibri"/>
        </w:rPr>
        <w:t>boration between related cross-cutting NEAES objectives and workstreams</w:t>
      </w:r>
      <w:r w:rsidR="00E529B1">
        <w:rPr>
          <w:rFonts w:cs="Calibri"/>
        </w:rPr>
        <w:t>, namely:</w:t>
      </w:r>
    </w:p>
    <w:p w14:paraId="77E4FB09" w14:textId="2BA2FC37" w:rsidR="00E529B1" w:rsidRPr="00D86A9B" w:rsidRDefault="00942D78" w:rsidP="00E529B1">
      <w:pPr>
        <w:pStyle w:val="ListParagraph"/>
        <w:numPr>
          <w:ilvl w:val="0"/>
          <w:numId w:val="34"/>
        </w:numPr>
        <w:rPr>
          <w:rFonts w:cs="Calibri"/>
        </w:rPr>
      </w:pPr>
      <w:r>
        <w:t>S7.O1: By 2028 OSPAR will further develop methods for the analysis of cumulative effects in the marine ecosystems of the North-East Atlantic, taking into account relevant spatial and temporal information on human activities, pressures, sensitive receptors and habitats, and use the results to inform the establishment of measures and actions to prevent, reduce or otherwise manage impacts</w:t>
      </w:r>
      <w:r w:rsidR="00A44853">
        <w:t xml:space="preserve"> – ICG-EcoC lead.</w:t>
      </w:r>
    </w:p>
    <w:p w14:paraId="7FF0EB63" w14:textId="51FB88F7" w:rsidR="00D86A9B" w:rsidRPr="002F4380" w:rsidRDefault="00D86A9B" w:rsidP="00E529B1">
      <w:pPr>
        <w:pStyle w:val="ListParagraph"/>
        <w:numPr>
          <w:ilvl w:val="0"/>
          <w:numId w:val="34"/>
        </w:numPr>
        <w:rPr>
          <w:rFonts w:cs="Calibri"/>
        </w:rPr>
      </w:pPr>
      <w:r>
        <w:t>S7.O3 By 2025 OSPAR will start accounting for ecosystem services and natural capital by making maximum use of existing frameworks in order to recognise, assess and consistently account for human activities and their consequences in the implementation of ecosystem-based management</w:t>
      </w:r>
      <w:r w:rsidR="00A44853">
        <w:t xml:space="preserve"> – ICG-ESA lead.</w:t>
      </w:r>
    </w:p>
    <w:p w14:paraId="28B7C248" w14:textId="6863B7B2" w:rsidR="002F4380" w:rsidRPr="0066482D" w:rsidRDefault="002F4380" w:rsidP="00E529B1">
      <w:pPr>
        <w:pStyle w:val="ListParagraph"/>
        <w:numPr>
          <w:ilvl w:val="0"/>
          <w:numId w:val="34"/>
        </w:numPr>
        <w:rPr>
          <w:rFonts w:cs="Calibri"/>
        </w:rPr>
      </w:pPr>
      <w:r>
        <w:t>S12.O4: By 2023 OSPAR will develop common principles and by 2024 develop guidance to promote and facilitate sustainable development and scaling up of offshore renewable energy in a way that cumulative environmental impacts are minimised</w:t>
      </w:r>
      <w:r w:rsidR="00C562E8">
        <w:t xml:space="preserve"> – ICG-ORED lead.</w:t>
      </w:r>
    </w:p>
    <w:p w14:paraId="1C573034" w14:textId="61BFEE35" w:rsidR="0066482D" w:rsidRPr="00E529B1" w:rsidRDefault="0066482D" w:rsidP="00E529B1">
      <w:pPr>
        <w:pStyle w:val="ListParagraph"/>
        <w:numPr>
          <w:ilvl w:val="0"/>
          <w:numId w:val="34"/>
        </w:numPr>
        <w:rPr>
          <w:rFonts w:cs="Calibri"/>
        </w:rPr>
      </w:pPr>
      <w:r>
        <w:t>SX.O2: By 2024 OSPAR will initiate discussions on the development of a practical approach for regional-scale ecosystembased management, including through the ‘Collective Arrangement21’ and in cooperation with fisheries management bodies and other competent organisations, in order to strengthen ecosystem resilience to climate change and to safeguard the marine environment, its biodiversity and ecosystem services</w:t>
      </w:r>
      <w:r w:rsidR="00C562E8">
        <w:t xml:space="preserve"> – Pilot Project.</w:t>
      </w:r>
    </w:p>
    <w:p w14:paraId="06668B35" w14:textId="61D9816C" w:rsidR="00572152" w:rsidRPr="00236499" w:rsidRDefault="005C5DD5" w:rsidP="00572152">
      <w:pPr>
        <w:tabs>
          <w:tab w:val="left" w:pos="567"/>
        </w:tabs>
        <w:spacing w:before="120"/>
        <w:rPr>
          <w:rFonts w:cs="Calibri"/>
        </w:rPr>
      </w:pPr>
      <w:r>
        <w:rPr>
          <w:rFonts w:cs="Calibri"/>
        </w:rPr>
        <w:lastRenderedPageBreak/>
        <w:t>6</w:t>
      </w:r>
      <w:r w:rsidR="00572152" w:rsidRPr="00236499">
        <w:rPr>
          <w:rFonts w:cs="Calibri"/>
        </w:rPr>
        <w:t>.</w:t>
      </w:r>
      <w:r w:rsidR="00572152" w:rsidRPr="00236499">
        <w:rPr>
          <w:rFonts w:cs="Calibri"/>
        </w:rPr>
        <w:tab/>
        <w:t>Given the strategic importance of this work, funding options will be explored by the ICG-EcoC towards developing a specific project to progress the work on ecosystem assessment using cumulative effects assessment for OSPAR.</w:t>
      </w:r>
    </w:p>
    <w:p w14:paraId="26F72215" w14:textId="6B233681" w:rsidR="00572152" w:rsidRPr="00236499" w:rsidRDefault="005C5DD5" w:rsidP="00572152">
      <w:pPr>
        <w:tabs>
          <w:tab w:val="left" w:pos="567"/>
        </w:tabs>
        <w:spacing w:before="120"/>
        <w:rPr>
          <w:rFonts w:cs="Calibri"/>
        </w:rPr>
      </w:pPr>
      <w:r>
        <w:rPr>
          <w:rFonts w:cs="Calibri"/>
        </w:rPr>
        <w:t>7</w:t>
      </w:r>
      <w:r w:rsidR="00572152" w:rsidRPr="00236499">
        <w:rPr>
          <w:rFonts w:cs="Calibri"/>
        </w:rPr>
        <w:t>.</w:t>
      </w:r>
      <w:r w:rsidR="00572152" w:rsidRPr="00236499">
        <w:rPr>
          <w:rFonts w:cs="Calibri"/>
        </w:rPr>
        <w:tab/>
        <w:t>To set the foundation for progressing the issues raised in paragraphs 4, 5 and</w:t>
      </w:r>
      <w:r w:rsidR="00572152">
        <w:rPr>
          <w:rFonts w:cs="Calibri"/>
        </w:rPr>
        <w:t xml:space="preserve"> </w:t>
      </w:r>
      <w:r w:rsidR="00572152" w:rsidRPr="00236499">
        <w:rPr>
          <w:rFonts w:cs="Calibri"/>
        </w:rPr>
        <w:t>6 ICG-EcoC will initiate an OSPAR-ICES CEA workshop to compare experiences and methods and identify and agree mechanisms for collaboration.</w:t>
      </w:r>
    </w:p>
    <w:p w14:paraId="71E35173" w14:textId="77777777" w:rsidR="00572152" w:rsidRDefault="00572152" w:rsidP="00572152">
      <w:pPr>
        <w:tabs>
          <w:tab w:val="left" w:pos="567"/>
        </w:tabs>
        <w:spacing w:before="120"/>
        <w:rPr>
          <w:rFonts w:cs="Calibri"/>
          <w:b/>
        </w:rPr>
      </w:pPr>
    </w:p>
    <w:p w14:paraId="38B8901B" w14:textId="77777777" w:rsidR="00572152" w:rsidRPr="009870BD" w:rsidRDefault="00572152" w:rsidP="00572152">
      <w:pPr>
        <w:tabs>
          <w:tab w:val="left" w:pos="567"/>
        </w:tabs>
        <w:spacing w:before="120"/>
        <w:rPr>
          <w:rFonts w:cs="Calibri"/>
          <w:b/>
        </w:rPr>
      </w:pPr>
      <w:r w:rsidRPr="009870BD">
        <w:rPr>
          <w:rFonts w:cs="Calibri"/>
          <w:b/>
        </w:rPr>
        <w:t>Working procedures</w:t>
      </w:r>
    </w:p>
    <w:p w14:paraId="1B7D21DE" w14:textId="48FBED70" w:rsidR="00572152" w:rsidRPr="00502357" w:rsidRDefault="00D34D81" w:rsidP="00572152">
      <w:pPr>
        <w:tabs>
          <w:tab w:val="left" w:pos="567"/>
        </w:tabs>
        <w:spacing w:before="120"/>
        <w:rPr>
          <w:rFonts w:cs="Calibri"/>
        </w:rPr>
      </w:pPr>
      <w:r>
        <w:rPr>
          <w:rFonts w:cs="Calibri"/>
        </w:rPr>
        <w:t>7</w:t>
      </w:r>
      <w:r w:rsidR="00572152" w:rsidRPr="009870BD">
        <w:rPr>
          <w:rFonts w:cs="Calibri"/>
        </w:rPr>
        <w:t>.</w:t>
      </w:r>
      <w:r w:rsidR="00572152" w:rsidRPr="009870BD">
        <w:rPr>
          <w:rFonts w:cs="Calibri"/>
        </w:rPr>
        <w:tab/>
      </w:r>
      <w:r w:rsidR="00572152" w:rsidRPr="00502357">
        <w:rPr>
          <w:rFonts w:cs="Calibri"/>
        </w:rPr>
        <w:t>The work of ICG-Eco-C reports directly to CoG, but is relevant to all OSPAR Committees, as well as ICG-MSFD, ICG-POSH, ICG-ESA, ICG-COBAM, ICG-ORED.</w:t>
      </w:r>
    </w:p>
    <w:p w14:paraId="2A89151F" w14:textId="7C4EFDD6" w:rsidR="00572152" w:rsidRPr="00502357" w:rsidRDefault="00D34D81" w:rsidP="00572152">
      <w:pPr>
        <w:tabs>
          <w:tab w:val="left" w:pos="567"/>
        </w:tabs>
        <w:spacing w:before="120"/>
        <w:rPr>
          <w:rFonts w:cs="Calibri"/>
        </w:rPr>
      </w:pPr>
      <w:r>
        <w:rPr>
          <w:rFonts w:cs="Calibri"/>
        </w:rPr>
        <w:t>8</w:t>
      </w:r>
      <w:r w:rsidR="00572152" w:rsidRPr="00502357">
        <w:rPr>
          <w:rFonts w:cs="Calibri"/>
        </w:rPr>
        <w:t>.</w:t>
      </w:r>
      <w:r w:rsidR="00572152" w:rsidRPr="00502357">
        <w:rPr>
          <w:rFonts w:cs="Calibri"/>
        </w:rPr>
        <w:tab/>
        <w:t xml:space="preserve">ICG-Eco-C will work by correspondence and meet as and when required (one or two meetings p.a.). </w:t>
      </w:r>
    </w:p>
    <w:p w14:paraId="34840A8F" w14:textId="69C9C9FB" w:rsidR="005A4A54" w:rsidRDefault="00D34D81" w:rsidP="004746B7">
      <w:pPr>
        <w:tabs>
          <w:tab w:val="left" w:pos="1276"/>
        </w:tabs>
        <w:spacing w:before="240"/>
      </w:pPr>
      <w:r>
        <w:rPr>
          <w:rFonts w:cs="Calibri"/>
        </w:rPr>
        <w:t>9</w:t>
      </w:r>
      <w:r w:rsidR="00572152" w:rsidRPr="00502357">
        <w:rPr>
          <w:rFonts w:cs="Calibri"/>
        </w:rPr>
        <w:t>.     ICG-EcoC will proactively engage in exchanging information with other European Regional Seas Conventions, ICES and the European Commission.</w:t>
      </w:r>
    </w:p>
    <w:p w14:paraId="6147687F" w14:textId="77777777" w:rsidR="005A4A54" w:rsidRDefault="005A4A54" w:rsidP="00332BDB">
      <w:pPr>
        <w:pStyle w:val="ListParagraph"/>
        <w:numPr>
          <w:ilvl w:val="0"/>
          <w:numId w:val="0"/>
        </w:numPr>
      </w:pPr>
    </w:p>
    <w:sectPr w:rsidR="005A4A54" w:rsidSect="00587A9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F6A5" w14:textId="77777777" w:rsidR="004B7BC2" w:rsidRDefault="004B7BC2">
      <w:pPr>
        <w:spacing w:after="0" w:line="240" w:lineRule="auto"/>
      </w:pPr>
      <w:r>
        <w:separator/>
      </w:r>
    </w:p>
  </w:endnote>
  <w:endnote w:type="continuationSeparator" w:id="0">
    <w:p w14:paraId="3894310C" w14:textId="77777777" w:rsidR="004B7BC2" w:rsidRDefault="004B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7" w:type="dxa"/>
      <w:tblCellMar>
        <w:top w:w="57" w:type="dxa"/>
        <w:left w:w="0" w:type="dxa"/>
        <w:bottom w:w="57" w:type="dxa"/>
        <w:right w:w="0" w:type="dxa"/>
      </w:tblCellMar>
      <w:tblLook w:val="0000" w:firstRow="0" w:lastRow="0" w:firstColumn="0" w:lastColumn="0" w:noHBand="0" w:noVBand="0"/>
    </w:tblPr>
    <w:tblGrid>
      <w:gridCol w:w="2694"/>
      <w:gridCol w:w="4110"/>
      <w:gridCol w:w="2843"/>
    </w:tblGrid>
    <w:tr w:rsidR="00D441C2" w:rsidRPr="00FC1B75" w14:paraId="3EA01348" w14:textId="77777777" w:rsidTr="00644069">
      <w:trPr>
        <w:cantSplit/>
      </w:trPr>
      <w:tc>
        <w:tcPr>
          <w:tcW w:w="2694" w:type="dxa"/>
          <w:tcBorders>
            <w:bottom w:val="single" w:sz="4" w:space="0" w:color="auto"/>
          </w:tcBorders>
        </w:tcPr>
        <w:p w14:paraId="691EDA4D" w14:textId="77777777" w:rsidR="00D441C2" w:rsidRPr="00FC1B75" w:rsidRDefault="00D441C2" w:rsidP="00644069">
          <w:pPr>
            <w:pStyle w:val="Footer"/>
            <w:spacing w:after="0" w:line="240" w:lineRule="auto"/>
            <w:rPr>
              <w:rFonts w:cs="Arial"/>
              <w:sz w:val="20"/>
            </w:rPr>
          </w:pPr>
        </w:p>
      </w:tc>
      <w:tc>
        <w:tcPr>
          <w:tcW w:w="4110" w:type="dxa"/>
          <w:tcBorders>
            <w:bottom w:val="single" w:sz="4" w:space="0" w:color="auto"/>
          </w:tcBorders>
        </w:tcPr>
        <w:p w14:paraId="5FA999DB" w14:textId="77777777" w:rsidR="00D441C2" w:rsidRPr="00FC1B75" w:rsidRDefault="00D441C2" w:rsidP="00644069">
          <w:pPr>
            <w:pStyle w:val="Footer"/>
            <w:spacing w:after="0" w:line="240" w:lineRule="auto"/>
            <w:rPr>
              <w:rFonts w:cs="Arial"/>
              <w:sz w:val="20"/>
            </w:rPr>
          </w:pPr>
        </w:p>
      </w:tc>
      <w:tc>
        <w:tcPr>
          <w:tcW w:w="2843" w:type="dxa"/>
          <w:tcBorders>
            <w:bottom w:val="single" w:sz="4" w:space="0" w:color="auto"/>
          </w:tcBorders>
        </w:tcPr>
        <w:p w14:paraId="08805741" w14:textId="77777777" w:rsidR="00D441C2" w:rsidRPr="00FC1B75" w:rsidRDefault="00D441C2" w:rsidP="00644069">
          <w:pPr>
            <w:pStyle w:val="Footer"/>
            <w:tabs>
              <w:tab w:val="left" w:pos="272"/>
            </w:tabs>
            <w:spacing w:after="0" w:line="240" w:lineRule="auto"/>
            <w:jc w:val="right"/>
            <w:rPr>
              <w:rFonts w:cs="Arial"/>
              <w:sz w:val="20"/>
            </w:rPr>
          </w:pPr>
          <w:r w:rsidRPr="00FC1B75">
            <w:rPr>
              <w:rStyle w:val="PageNumber"/>
              <w:sz w:val="20"/>
            </w:rPr>
            <w:fldChar w:fldCharType="begin"/>
          </w:r>
          <w:r w:rsidRPr="00FC1B75">
            <w:rPr>
              <w:rStyle w:val="PageNumber"/>
              <w:sz w:val="20"/>
            </w:rPr>
            <w:instrText xml:space="preserve"> PAGE </w:instrText>
          </w:r>
          <w:r w:rsidRPr="00FC1B75">
            <w:rPr>
              <w:rStyle w:val="PageNumber"/>
              <w:sz w:val="20"/>
            </w:rPr>
            <w:fldChar w:fldCharType="separate"/>
          </w:r>
          <w:r>
            <w:rPr>
              <w:rStyle w:val="PageNumber"/>
              <w:noProof/>
              <w:sz w:val="20"/>
            </w:rPr>
            <w:t>24</w:t>
          </w:r>
          <w:r w:rsidRPr="00FC1B75">
            <w:rPr>
              <w:rStyle w:val="PageNumber"/>
              <w:sz w:val="20"/>
            </w:rPr>
            <w:fldChar w:fldCharType="end"/>
          </w:r>
          <w:r w:rsidRPr="00FC1B75">
            <w:rPr>
              <w:rStyle w:val="PageNumber"/>
              <w:sz w:val="20"/>
            </w:rPr>
            <w:t xml:space="preserve"> of </w:t>
          </w:r>
          <w:r w:rsidRPr="00FC1B75">
            <w:rPr>
              <w:rStyle w:val="PageNumber"/>
              <w:sz w:val="20"/>
            </w:rPr>
            <w:fldChar w:fldCharType="begin"/>
          </w:r>
          <w:r w:rsidRPr="00FC1B75">
            <w:rPr>
              <w:rStyle w:val="PageNumber"/>
              <w:sz w:val="20"/>
            </w:rPr>
            <w:instrText xml:space="preserve"> NUMPAGES </w:instrText>
          </w:r>
          <w:r w:rsidRPr="00FC1B75">
            <w:rPr>
              <w:rStyle w:val="PageNumber"/>
              <w:sz w:val="20"/>
            </w:rPr>
            <w:fldChar w:fldCharType="separate"/>
          </w:r>
          <w:r w:rsidR="00E14723">
            <w:rPr>
              <w:rStyle w:val="PageNumber"/>
              <w:noProof/>
              <w:sz w:val="20"/>
            </w:rPr>
            <w:t>5</w:t>
          </w:r>
          <w:r w:rsidRPr="00FC1B75">
            <w:rPr>
              <w:rStyle w:val="PageNumber"/>
              <w:sz w:val="20"/>
            </w:rPr>
            <w:fldChar w:fldCharType="end"/>
          </w:r>
          <w:r w:rsidRPr="00FC1B75">
            <w:rPr>
              <w:rStyle w:val="PageNumber"/>
              <w:sz w:val="20"/>
            </w:rPr>
            <w:t xml:space="preserve"> </w:t>
          </w:r>
        </w:p>
      </w:tc>
    </w:tr>
    <w:tr w:rsidR="00D441C2" w:rsidRPr="00FC1B75" w14:paraId="588C31E6" w14:textId="77777777" w:rsidTr="00644069">
      <w:trPr>
        <w:cantSplit/>
      </w:trPr>
      <w:tc>
        <w:tcPr>
          <w:tcW w:w="2694" w:type="dxa"/>
          <w:tcBorders>
            <w:top w:val="single" w:sz="4" w:space="0" w:color="auto"/>
          </w:tcBorders>
        </w:tcPr>
        <w:p w14:paraId="1E10939D" w14:textId="77777777" w:rsidR="00D441C2" w:rsidRPr="00FC1B75" w:rsidRDefault="00D441C2" w:rsidP="00644069">
          <w:pPr>
            <w:pStyle w:val="Footer"/>
            <w:spacing w:after="0" w:line="240" w:lineRule="auto"/>
            <w:rPr>
              <w:rFonts w:cs="Arial"/>
              <w:sz w:val="20"/>
            </w:rPr>
          </w:pPr>
          <w:r w:rsidRPr="00FC1B75">
            <w:rPr>
              <w:rFonts w:cs="Arial"/>
              <w:sz w:val="20"/>
            </w:rPr>
            <w:t>OSPAR Commission</w:t>
          </w:r>
        </w:p>
      </w:tc>
      <w:tc>
        <w:tcPr>
          <w:tcW w:w="4110" w:type="dxa"/>
          <w:tcBorders>
            <w:top w:val="single" w:sz="4" w:space="0" w:color="auto"/>
          </w:tcBorders>
        </w:tcPr>
        <w:p w14:paraId="7CFBBB6F" w14:textId="77777777" w:rsidR="00D441C2" w:rsidRPr="00FC1B75" w:rsidRDefault="00D441C2" w:rsidP="00644069">
          <w:pPr>
            <w:tabs>
              <w:tab w:val="left" w:pos="272"/>
              <w:tab w:val="left" w:pos="1418"/>
              <w:tab w:val="center" w:pos="2281"/>
            </w:tabs>
            <w:spacing w:after="0" w:line="240" w:lineRule="auto"/>
            <w:ind w:left="-675"/>
            <w:jc w:val="center"/>
            <w:rPr>
              <w:sz w:val="20"/>
            </w:rPr>
          </w:pPr>
          <w:r w:rsidRPr="00FC1B75">
            <w:rPr>
              <w:sz w:val="20"/>
            </w:rPr>
            <w:tab/>
          </w:r>
        </w:p>
      </w:tc>
      <w:tc>
        <w:tcPr>
          <w:tcW w:w="2843" w:type="dxa"/>
          <w:tcBorders>
            <w:top w:val="single" w:sz="4" w:space="0" w:color="auto"/>
          </w:tcBorders>
        </w:tcPr>
        <w:p w14:paraId="60528383" w14:textId="77777777" w:rsidR="00D441C2" w:rsidRPr="00FC1B75" w:rsidRDefault="00D441C2" w:rsidP="00644069">
          <w:pPr>
            <w:tabs>
              <w:tab w:val="left" w:pos="77"/>
              <w:tab w:val="left" w:pos="272"/>
              <w:tab w:val="left" w:pos="361"/>
            </w:tabs>
            <w:spacing w:after="0" w:line="240" w:lineRule="auto"/>
            <w:jc w:val="right"/>
            <w:rPr>
              <w:sz w:val="20"/>
            </w:rPr>
          </w:pPr>
          <w:r>
            <w:rPr>
              <w:sz w:val="20"/>
            </w:rPr>
            <w:t>HASEC</w:t>
          </w:r>
          <w:r w:rsidRPr="00FC1B75">
            <w:rPr>
              <w:sz w:val="20"/>
            </w:rPr>
            <w:t xml:space="preserve"> 16/</w:t>
          </w:r>
          <w:r>
            <w:rPr>
              <w:sz w:val="20"/>
            </w:rPr>
            <w:t>5/1</w:t>
          </w:r>
        </w:p>
      </w:tc>
    </w:tr>
  </w:tbl>
  <w:p w14:paraId="15632152" w14:textId="77777777" w:rsidR="00D441C2" w:rsidRPr="00C302EF" w:rsidRDefault="00D441C2" w:rsidP="0064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7" w:type="dxa"/>
        <w:left w:w="0" w:type="dxa"/>
        <w:bottom w:w="57" w:type="dxa"/>
        <w:right w:w="0" w:type="dxa"/>
      </w:tblCellMar>
      <w:tblLook w:val="0000" w:firstRow="0" w:lastRow="0" w:firstColumn="0" w:lastColumn="0" w:noHBand="0" w:noVBand="0"/>
    </w:tblPr>
    <w:tblGrid>
      <w:gridCol w:w="3275"/>
      <w:gridCol w:w="3088"/>
      <w:gridCol w:w="3275"/>
    </w:tblGrid>
    <w:tr w:rsidR="00D441C2" w:rsidRPr="005200B2" w14:paraId="7ABAF37A" w14:textId="77777777" w:rsidTr="00644069">
      <w:trPr>
        <w:cantSplit/>
        <w:trHeight w:hRule="exact" w:val="284"/>
      </w:trPr>
      <w:tc>
        <w:tcPr>
          <w:tcW w:w="5000" w:type="pct"/>
          <w:gridSpan w:val="3"/>
          <w:tcBorders>
            <w:bottom w:val="single" w:sz="4" w:space="0" w:color="auto"/>
          </w:tcBorders>
        </w:tcPr>
        <w:p w14:paraId="412D1CE9" w14:textId="3B6F9B1C" w:rsidR="00D441C2" w:rsidRPr="00FC1B75" w:rsidRDefault="00D441C2" w:rsidP="00000063">
          <w:pPr>
            <w:pStyle w:val="Footer"/>
            <w:spacing w:after="0" w:line="240" w:lineRule="auto"/>
            <w:jc w:val="right"/>
            <w:rPr>
              <w:rFonts w:cs="Arial"/>
              <w:sz w:val="20"/>
            </w:rPr>
          </w:pPr>
          <w:r w:rsidRPr="006D051B">
            <w:rPr>
              <w:rStyle w:val="PageNumber"/>
              <w:sz w:val="20"/>
            </w:rPr>
            <w:fldChar w:fldCharType="begin"/>
          </w:r>
          <w:r w:rsidRPr="006D051B">
            <w:rPr>
              <w:rStyle w:val="PageNumber"/>
              <w:sz w:val="20"/>
            </w:rPr>
            <w:instrText xml:space="preserve"> PAGE </w:instrText>
          </w:r>
          <w:r w:rsidRPr="006D051B">
            <w:rPr>
              <w:rStyle w:val="PageNumber"/>
              <w:sz w:val="20"/>
            </w:rPr>
            <w:fldChar w:fldCharType="separate"/>
          </w:r>
          <w:r w:rsidR="009E48E5">
            <w:rPr>
              <w:rStyle w:val="PageNumber"/>
              <w:noProof/>
              <w:sz w:val="20"/>
            </w:rPr>
            <w:t>1</w:t>
          </w:r>
          <w:r w:rsidRPr="006D051B">
            <w:rPr>
              <w:rStyle w:val="PageNumber"/>
              <w:sz w:val="20"/>
            </w:rPr>
            <w:fldChar w:fldCharType="end"/>
          </w:r>
          <w:r w:rsidRPr="006D051B">
            <w:rPr>
              <w:rStyle w:val="PageNumber"/>
              <w:sz w:val="20"/>
            </w:rPr>
            <w:t xml:space="preserve"> of </w:t>
          </w:r>
          <w:r w:rsidRPr="006D051B">
            <w:rPr>
              <w:rStyle w:val="PageNumber"/>
              <w:sz w:val="20"/>
            </w:rPr>
            <w:fldChar w:fldCharType="begin"/>
          </w:r>
          <w:r w:rsidRPr="006D051B">
            <w:rPr>
              <w:rStyle w:val="PageNumber"/>
              <w:sz w:val="20"/>
            </w:rPr>
            <w:instrText xml:space="preserve"> NUMPAGES </w:instrText>
          </w:r>
          <w:r w:rsidRPr="006D051B">
            <w:rPr>
              <w:rStyle w:val="PageNumber"/>
              <w:sz w:val="20"/>
            </w:rPr>
            <w:fldChar w:fldCharType="separate"/>
          </w:r>
          <w:r w:rsidR="009E48E5">
            <w:rPr>
              <w:rStyle w:val="PageNumber"/>
              <w:noProof/>
              <w:sz w:val="20"/>
            </w:rPr>
            <w:t>1</w:t>
          </w:r>
          <w:r w:rsidRPr="006D051B">
            <w:rPr>
              <w:rStyle w:val="PageNumber"/>
              <w:sz w:val="20"/>
            </w:rPr>
            <w:fldChar w:fldCharType="end"/>
          </w:r>
        </w:p>
      </w:tc>
    </w:tr>
    <w:tr w:rsidR="00D441C2" w:rsidRPr="005A4A54" w14:paraId="5CE5E258" w14:textId="77777777" w:rsidTr="00644069">
      <w:trPr>
        <w:cantSplit/>
        <w:trHeight w:hRule="exact" w:val="284"/>
      </w:trPr>
      <w:tc>
        <w:tcPr>
          <w:tcW w:w="1699" w:type="pct"/>
          <w:tcBorders>
            <w:top w:val="single" w:sz="4" w:space="0" w:color="auto"/>
          </w:tcBorders>
        </w:tcPr>
        <w:p w14:paraId="711B918B" w14:textId="77777777" w:rsidR="00D441C2" w:rsidRPr="00FC1B75" w:rsidRDefault="00D441C2" w:rsidP="00644069">
          <w:pPr>
            <w:pStyle w:val="Footer"/>
            <w:spacing w:after="0" w:line="240" w:lineRule="auto"/>
            <w:rPr>
              <w:rFonts w:cs="Arial"/>
              <w:sz w:val="20"/>
            </w:rPr>
          </w:pPr>
          <w:r w:rsidRPr="00FC1B75">
            <w:rPr>
              <w:rFonts w:cs="Arial"/>
              <w:sz w:val="20"/>
            </w:rPr>
            <w:t>OSPAR Commission</w:t>
          </w:r>
        </w:p>
      </w:tc>
      <w:tc>
        <w:tcPr>
          <w:tcW w:w="1602" w:type="pct"/>
          <w:tcBorders>
            <w:top w:val="single" w:sz="4" w:space="0" w:color="auto"/>
          </w:tcBorders>
        </w:tcPr>
        <w:p w14:paraId="49AB7602" w14:textId="0D23081B" w:rsidR="00D441C2" w:rsidRPr="00FC1B75" w:rsidRDefault="00D441C2" w:rsidP="004746B7">
          <w:pPr>
            <w:tabs>
              <w:tab w:val="center" w:pos="2281"/>
              <w:tab w:val="left" w:pos="4096"/>
            </w:tabs>
            <w:spacing w:after="0" w:line="240" w:lineRule="auto"/>
            <w:ind w:left="-675"/>
            <w:jc w:val="center"/>
            <w:rPr>
              <w:sz w:val="20"/>
            </w:rPr>
          </w:pPr>
          <w:r w:rsidRPr="00FC1B75">
            <w:rPr>
              <w:sz w:val="20"/>
            </w:rPr>
            <w:tab/>
          </w:r>
          <w:r w:rsidR="004746B7">
            <w:rPr>
              <w:sz w:val="20"/>
            </w:rPr>
            <w:t>Summary Record – CoG(1) 2023</w:t>
          </w:r>
        </w:p>
      </w:tc>
      <w:tc>
        <w:tcPr>
          <w:tcW w:w="1699" w:type="pct"/>
          <w:tcBorders>
            <w:top w:val="single" w:sz="4" w:space="0" w:color="auto"/>
          </w:tcBorders>
        </w:tcPr>
        <w:p w14:paraId="51DB15F3" w14:textId="110CF529" w:rsidR="00D441C2" w:rsidRPr="005A4A54" w:rsidRDefault="00FF531D" w:rsidP="001A66C0">
          <w:pPr>
            <w:tabs>
              <w:tab w:val="left" w:pos="1292"/>
              <w:tab w:val="left" w:pos="1575"/>
            </w:tabs>
            <w:spacing w:after="0" w:line="240" w:lineRule="auto"/>
            <w:jc w:val="right"/>
            <w:rPr>
              <w:sz w:val="20"/>
            </w:rPr>
          </w:pPr>
          <w:r w:rsidRPr="005A4A54">
            <w:rPr>
              <w:sz w:val="20"/>
            </w:rPr>
            <w:t>CoG(</w:t>
          </w:r>
          <w:r w:rsidR="00332BDB" w:rsidRPr="005A4A54">
            <w:rPr>
              <w:sz w:val="20"/>
            </w:rPr>
            <w:t>1</w:t>
          </w:r>
          <w:r w:rsidRPr="005A4A54">
            <w:rPr>
              <w:sz w:val="20"/>
            </w:rPr>
            <w:t>) 2</w:t>
          </w:r>
          <w:r w:rsidR="00332BDB" w:rsidRPr="005A4A54">
            <w:rPr>
              <w:sz w:val="20"/>
            </w:rPr>
            <w:t>3</w:t>
          </w:r>
          <w:r w:rsidR="00721602" w:rsidRPr="005A4A54">
            <w:rPr>
              <w:sz w:val="20"/>
            </w:rPr>
            <w:t>/</w:t>
          </w:r>
          <w:r w:rsidR="004746B7">
            <w:rPr>
              <w:sz w:val="20"/>
            </w:rPr>
            <w:t>8</w:t>
          </w:r>
          <w:r w:rsidR="00456195" w:rsidRPr="005A4A54">
            <w:rPr>
              <w:sz w:val="20"/>
            </w:rPr>
            <w:t>/</w:t>
          </w:r>
          <w:r w:rsidR="005A4A54" w:rsidRPr="005A4A54">
            <w:rPr>
              <w:sz w:val="20"/>
            </w:rPr>
            <w:t>0</w:t>
          </w:r>
          <w:r w:rsidR="004746B7">
            <w:rPr>
              <w:sz w:val="20"/>
            </w:rPr>
            <w:t>1, Annex 3</w:t>
          </w:r>
        </w:p>
      </w:tc>
    </w:tr>
  </w:tbl>
  <w:p w14:paraId="17B1497A" w14:textId="388BE622" w:rsidR="00D441C2" w:rsidRDefault="00D441C2" w:rsidP="00814B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E711" w14:textId="77777777" w:rsidR="00D778B2" w:rsidRDefault="00D7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5519" w14:textId="77777777" w:rsidR="004B7BC2" w:rsidRDefault="004B7BC2">
      <w:pPr>
        <w:spacing w:after="0" w:line="240" w:lineRule="auto"/>
      </w:pPr>
      <w:r>
        <w:separator/>
      </w:r>
    </w:p>
  </w:footnote>
  <w:footnote w:type="continuationSeparator" w:id="0">
    <w:p w14:paraId="4CF2D169" w14:textId="77777777" w:rsidR="004B7BC2" w:rsidRDefault="004B7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0842" w14:textId="77777777" w:rsidR="00D441C2" w:rsidRPr="00414838" w:rsidRDefault="00D441C2" w:rsidP="00644069">
    <w:pPr>
      <w:pStyle w:val="Header"/>
    </w:pPr>
  </w:p>
  <w:p w14:paraId="0299D420" w14:textId="77777777" w:rsidR="00D441C2" w:rsidRDefault="00D441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62B9" w14:textId="77777777" w:rsidR="00D441C2" w:rsidRDefault="00D441C2">
    <w:pPr>
      <w:pStyle w:val="Header"/>
    </w:pPr>
  </w:p>
  <w:p w14:paraId="296FD015" w14:textId="77777777" w:rsidR="00D441C2" w:rsidRDefault="00D44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A48D" w14:textId="77777777" w:rsidR="00D778B2" w:rsidRDefault="00D7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4DF"/>
    <w:multiLevelType w:val="hybridMultilevel"/>
    <w:tmpl w:val="D1C60E74"/>
    <w:lvl w:ilvl="0" w:tplc="6EAACDE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A9D"/>
    <w:multiLevelType w:val="hybridMultilevel"/>
    <w:tmpl w:val="50CC00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7E21506"/>
    <w:multiLevelType w:val="hybridMultilevel"/>
    <w:tmpl w:val="84508EEE"/>
    <w:lvl w:ilvl="0" w:tplc="4E268ED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00B64"/>
    <w:multiLevelType w:val="hybridMultilevel"/>
    <w:tmpl w:val="6770B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86D03"/>
    <w:multiLevelType w:val="hybridMultilevel"/>
    <w:tmpl w:val="A5B6C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80F6D"/>
    <w:multiLevelType w:val="hybridMultilevel"/>
    <w:tmpl w:val="180618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EA2053"/>
    <w:multiLevelType w:val="hybridMultilevel"/>
    <w:tmpl w:val="B37E5A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B6501"/>
    <w:multiLevelType w:val="hybridMultilevel"/>
    <w:tmpl w:val="8056FC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23DC5"/>
    <w:multiLevelType w:val="hybridMultilevel"/>
    <w:tmpl w:val="23302FA8"/>
    <w:lvl w:ilvl="0" w:tplc="1C626366">
      <w:start w:val="1"/>
      <w:numFmt w:val="decimal"/>
      <w:lvlText w:val="%1."/>
      <w:lvlJc w:val="left"/>
      <w:pPr>
        <w:ind w:left="720" w:hanging="360"/>
      </w:pPr>
      <w:rPr>
        <w:rFonts w:hint="default"/>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C67B0"/>
    <w:multiLevelType w:val="hybridMultilevel"/>
    <w:tmpl w:val="2F10D692"/>
    <w:lvl w:ilvl="0" w:tplc="E0D0116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11B38"/>
    <w:multiLevelType w:val="hybridMultilevel"/>
    <w:tmpl w:val="6B680D76"/>
    <w:lvl w:ilvl="0" w:tplc="8C120704">
      <w:start w:val="1"/>
      <w:numFmt w:val="decimal"/>
      <w:lvlText w:val="%1."/>
      <w:lvlJc w:val="left"/>
      <w:pPr>
        <w:ind w:left="2839" w:hanging="570"/>
      </w:pPr>
      <w:rPr>
        <w:rFonts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D642E"/>
    <w:multiLevelType w:val="hybridMultilevel"/>
    <w:tmpl w:val="DFAC6A5A"/>
    <w:lvl w:ilvl="0" w:tplc="08090001">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E338EC"/>
    <w:multiLevelType w:val="hybridMultilevel"/>
    <w:tmpl w:val="FAFC636E"/>
    <w:lvl w:ilvl="0" w:tplc="5A280348">
      <w:start w:val="1"/>
      <w:numFmt w:val="decimal"/>
      <w:lvlText w:val="8.%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D3DA8"/>
    <w:multiLevelType w:val="hybridMultilevel"/>
    <w:tmpl w:val="0A96713A"/>
    <w:lvl w:ilvl="0" w:tplc="08090017">
      <w:start w:val="1"/>
      <w:numFmt w:val="lowerLetter"/>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4" w15:restartNumberingAfterBreak="0">
    <w:nsid w:val="30992B4F"/>
    <w:multiLevelType w:val="hybridMultilevel"/>
    <w:tmpl w:val="8272E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BA6F82"/>
    <w:multiLevelType w:val="hybridMultilevel"/>
    <w:tmpl w:val="31D4D8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72575"/>
    <w:multiLevelType w:val="hybridMultilevel"/>
    <w:tmpl w:val="4C50F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0581C"/>
    <w:multiLevelType w:val="hybridMultilevel"/>
    <w:tmpl w:val="037CE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47604"/>
    <w:multiLevelType w:val="hybridMultilevel"/>
    <w:tmpl w:val="A5A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B93D9A"/>
    <w:multiLevelType w:val="hybridMultilevel"/>
    <w:tmpl w:val="F9A0F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DB5062"/>
    <w:multiLevelType w:val="hybridMultilevel"/>
    <w:tmpl w:val="22FA4924"/>
    <w:lvl w:ilvl="0" w:tplc="5E2653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45CE"/>
    <w:multiLevelType w:val="hybridMultilevel"/>
    <w:tmpl w:val="43965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2061D"/>
    <w:multiLevelType w:val="hybridMultilevel"/>
    <w:tmpl w:val="473C60C6"/>
    <w:lvl w:ilvl="0" w:tplc="5E2653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31C5F"/>
    <w:multiLevelType w:val="hybridMultilevel"/>
    <w:tmpl w:val="395E36DE"/>
    <w:lvl w:ilvl="0" w:tplc="E936673A">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70ADA"/>
    <w:multiLevelType w:val="hybridMultilevel"/>
    <w:tmpl w:val="18087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F15D8B"/>
    <w:multiLevelType w:val="hybridMultilevel"/>
    <w:tmpl w:val="52E81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C45C93"/>
    <w:multiLevelType w:val="hybridMultilevel"/>
    <w:tmpl w:val="CD3281D4"/>
    <w:lvl w:ilvl="0" w:tplc="485C80DC">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E2D40"/>
    <w:multiLevelType w:val="hybridMultilevel"/>
    <w:tmpl w:val="89B20760"/>
    <w:lvl w:ilvl="0" w:tplc="98989ED4">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2B4BEF"/>
    <w:multiLevelType w:val="hybridMultilevel"/>
    <w:tmpl w:val="FC5E477E"/>
    <w:lvl w:ilvl="0" w:tplc="94A4EE4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106F0"/>
    <w:multiLevelType w:val="hybridMultilevel"/>
    <w:tmpl w:val="C4569926"/>
    <w:lvl w:ilvl="0" w:tplc="3AA66F2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C2AAB"/>
    <w:multiLevelType w:val="hybridMultilevel"/>
    <w:tmpl w:val="19B45D18"/>
    <w:lvl w:ilvl="0" w:tplc="730CFF7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32632"/>
    <w:multiLevelType w:val="hybridMultilevel"/>
    <w:tmpl w:val="29C6DD2C"/>
    <w:lvl w:ilvl="0" w:tplc="32D22B30">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150F9"/>
    <w:multiLevelType w:val="hybridMultilevel"/>
    <w:tmpl w:val="31D4D8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52B98"/>
    <w:multiLevelType w:val="hybridMultilevel"/>
    <w:tmpl w:val="2E889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847613"/>
    <w:multiLevelType w:val="hybridMultilevel"/>
    <w:tmpl w:val="0A5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742C0"/>
    <w:multiLevelType w:val="multilevel"/>
    <w:tmpl w:val="ABB029A4"/>
    <w:lvl w:ilvl="0">
      <w:start w:val="1"/>
      <w:numFmt w:val="decimal"/>
      <w:lvlText w:val="%1."/>
      <w:lvlJc w:val="left"/>
      <w:pPr>
        <w:ind w:left="717" w:hanging="360"/>
      </w:pPr>
    </w:lvl>
    <w:lvl w:ilvl="1">
      <w:start w:val="1"/>
      <w:numFmt w:val="decimal"/>
      <w:lvlText w:val="%1.%2."/>
      <w:lvlJc w:val="left"/>
      <w:pPr>
        <w:ind w:left="432" w:hanging="432"/>
      </w:pPr>
      <w:rPr>
        <w:b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6" w15:restartNumberingAfterBreak="0">
    <w:nsid w:val="6A8D70C5"/>
    <w:multiLevelType w:val="hybridMultilevel"/>
    <w:tmpl w:val="97C4C876"/>
    <w:lvl w:ilvl="0" w:tplc="848A391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55306"/>
    <w:multiLevelType w:val="hybridMultilevel"/>
    <w:tmpl w:val="DC542550"/>
    <w:lvl w:ilvl="0" w:tplc="08090019">
      <w:start w:val="1"/>
      <w:numFmt w:val="lowerLetter"/>
      <w:lvlText w:val="%1."/>
      <w:lvlJc w:val="left"/>
      <w:pPr>
        <w:ind w:left="1287" w:hanging="360"/>
      </w:pPr>
    </w:lvl>
    <w:lvl w:ilvl="1" w:tplc="0809001B">
      <w:start w:val="1"/>
      <w:numFmt w:val="lowerRoman"/>
      <w:lvlText w:val="%2."/>
      <w:lvlJc w:val="right"/>
      <w:pPr>
        <w:ind w:left="2007" w:hanging="360"/>
      </w:p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38" w15:restartNumberingAfterBreak="0">
    <w:nsid w:val="6E6018B9"/>
    <w:multiLevelType w:val="hybridMultilevel"/>
    <w:tmpl w:val="9C06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93F27"/>
    <w:multiLevelType w:val="hybridMultilevel"/>
    <w:tmpl w:val="D5E07B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755749F8"/>
    <w:multiLevelType w:val="hybridMultilevel"/>
    <w:tmpl w:val="41C20AFE"/>
    <w:lvl w:ilvl="0" w:tplc="730CFF7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E57DB"/>
    <w:multiLevelType w:val="hybridMultilevel"/>
    <w:tmpl w:val="5CAC8590"/>
    <w:lvl w:ilvl="0" w:tplc="5E2653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041842">
    <w:abstractNumId w:val="37"/>
  </w:num>
  <w:num w:numId="2" w16cid:durableId="1577203518">
    <w:abstractNumId w:val="35"/>
  </w:num>
  <w:num w:numId="3" w16cid:durableId="1775056939">
    <w:abstractNumId w:val="26"/>
  </w:num>
  <w:num w:numId="4" w16cid:durableId="1120340384">
    <w:abstractNumId w:val="14"/>
  </w:num>
  <w:num w:numId="5" w16cid:durableId="1680503377">
    <w:abstractNumId w:val="38"/>
  </w:num>
  <w:num w:numId="6" w16cid:durableId="1537692044">
    <w:abstractNumId w:val="7"/>
  </w:num>
  <w:num w:numId="7" w16cid:durableId="900365357">
    <w:abstractNumId w:val="6"/>
  </w:num>
  <w:num w:numId="8" w16cid:durableId="707989655">
    <w:abstractNumId w:val="21"/>
  </w:num>
  <w:num w:numId="9" w16cid:durableId="1195459002">
    <w:abstractNumId w:val="32"/>
  </w:num>
  <w:num w:numId="10" w16cid:durableId="224417769">
    <w:abstractNumId w:val="15"/>
  </w:num>
  <w:num w:numId="11" w16cid:durableId="1424915345">
    <w:abstractNumId w:val="2"/>
  </w:num>
  <w:num w:numId="12" w16cid:durableId="799540626">
    <w:abstractNumId w:val="23"/>
  </w:num>
  <w:num w:numId="13" w16cid:durableId="2134319734">
    <w:abstractNumId w:val="30"/>
  </w:num>
  <w:num w:numId="14" w16cid:durableId="540484118">
    <w:abstractNumId w:val="29"/>
  </w:num>
  <w:num w:numId="15" w16cid:durableId="1302690109">
    <w:abstractNumId w:val="27"/>
  </w:num>
  <w:num w:numId="16" w16cid:durableId="416948179">
    <w:abstractNumId w:val="40"/>
  </w:num>
  <w:num w:numId="17" w16cid:durableId="647242856">
    <w:abstractNumId w:val="31"/>
  </w:num>
  <w:num w:numId="18" w16cid:durableId="1273785212">
    <w:abstractNumId w:val="9"/>
  </w:num>
  <w:num w:numId="19" w16cid:durableId="1854295772">
    <w:abstractNumId w:val="12"/>
  </w:num>
  <w:num w:numId="20" w16cid:durableId="230194214">
    <w:abstractNumId w:val="41"/>
  </w:num>
  <w:num w:numId="21" w16cid:durableId="768547967">
    <w:abstractNumId w:val="22"/>
  </w:num>
  <w:num w:numId="22" w16cid:durableId="437607372">
    <w:abstractNumId w:val="28"/>
  </w:num>
  <w:num w:numId="23" w16cid:durableId="1291477459">
    <w:abstractNumId w:val="0"/>
  </w:num>
  <w:num w:numId="24" w16cid:durableId="1039624673">
    <w:abstractNumId w:val="20"/>
  </w:num>
  <w:num w:numId="25" w16cid:durableId="312494286">
    <w:abstractNumId w:val="36"/>
  </w:num>
  <w:num w:numId="26" w16cid:durableId="1745451488">
    <w:abstractNumId w:val="3"/>
  </w:num>
  <w:num w:numId="27" w16cid:durableId="1614245435">
    <w:abstractNumId w:val="16"/>
  </w:num>
  <w:num w:numId="28" w16cid:durableId="173307286">
    <w:abstractNumId w:val="39"/>
  </w:num>
  <w:num w:numId="29" w16cid:durableId="1579711018">
    <w:abstractNumId w:val="1"/>
  </w:num>
  <w:num w:numId="30" w16cid:durableId="415975385">
    <w:abstractNumId w:val="10"/>
  </w:num>
  <w:num w:numId="31" w16cid:durableId="850804663">
    <w:abstractNumId w:val="8"/>
  </w:num>
  <w:num w:numId="32" w16cid:durableId="1891766852">
    <w:abstractNumId w:val="11"/>
  </w:num>
  <w:num w:numId="33" w16cid:durableId="1980109799">
    <w:abstractNumId w:val="13"/>
  </w:num>
  <w:num w:numId="34" w16cid:durableId="1731879347">
    <w:abstractNumId w:val="34"/>
  </w:num>
  <w:num w:numId="35" w16cid:durableId="1436051796">
    <w:abstractNumId w:val="25"/>
  </w:num>
  <w:num w:numId="36" w16cid:durableId="74478001">
    <w:abstractNumId w:val="24"/>
  </w:num>
  <w:num w:numId="37" w16cid:durableId="1554464335">
    <w:abstractNumId w:val="4"/>
  </w:num>
  <w:num w:numId="38" w16cid:durableId="556092795">
    <w:abstractNumId w:val="17"/>
  </w:num>
  <w:num w:numId="39" w16cid:durableId="674190010">
    <w:abstractNumId w:val="18"/>
  </w:num>
  <w:num w:numId="40" w16cid:durableId="1938903902">
    <w:abstractNumId w:val="19"/>
  </w:num>
  <w:num w:numId="41" w16cid:durableId="148134254">
    <w:abstractNumId w:val="33"/>
  </w:num>
  <w:num w:numId="42" w16cid:durableId="736710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67"/>
    <w:rsid w:val="00000063"/>
    <w:rsid w:val="00002C9A"/>
    <w:rsid w:val="00030BD6"/>
    <w:rsid w:val="0003172A"/>
    <w:rsid w:val="0005025E"/>
    <w:rsid w:val="00063435"/>
    <w:rsid w:val="00065028"/>
    <w:rsid w:val="000660C7"/>
    <w:rsid w:val="00075671"/>
    <w:rsid w:val="000A3863"/>
    <w:rsid w:val="000A4371"/>
    <w:rsid w:val="000A49BE"/>
    <w:rsid w:val="000B1B72"/>
    <w:rsid w:val="000B4BC4"/>
    <w:rsid w:val="000B7973"/>
    <w:rsid w:val="000E4C69"/>
    <w:rsid w:val="000F15FD"/>
    <w:rsid w:val="000F2F99"/>
    <w:rsid w:val="000F3490"/>
    <w:rsid w:val="00105BF1"/>
    <w:rsid w:val="001142E4"/>
    <w:rsid w:val="00132581"/>
    <w:rsid w:val="001361C6"/>
    <w:rsid w:val="0015265A"/>
    <w:rsid w:val="00155E9B"/>
    <w:rsid w:val="001577D1"/>
    <w:rsid w:val="001706AF"/>
    <w:rsid w:val="00175C21"/>
    <w:rsid w:val="00184048"/>
    <w:rsid w:val="00192877"/>
    <w:rsid w:val="00195860"/>
    <w:rsid w:val="001A66C0"/>
    <w:rsid w:val="001B11E9"/>
    <w:rsid w:val="001D02DB"/>
    <w:rsid w:val="001D5DD5"/>
    <w:rsid w:val="001D7493"/>
    <w:rsid w:val="001E565D"/>
    <w:rsid w:val="001E7695"/>
    <w:rsid w:val="001F2312"/>
    <w:rsid w:val="001F7A2D"/>
    <w:rsid w:val="00203E7F"/>
    <w:rsid w:val="002076E7"/>
    <w:rsid w:val="0022321D"/>
    <w:rsid w:val="00231122"/>
    <w:rsid w:val="00264489"/>
    <w:rsid w:val="00264C9D"/>
    <w:rsid w:val="00267B5A"/>
    <w:rsid w:val="00272AB7"/>
    <w:rsid w:val="00274D90"/>
    <w:rsid w:val="00276D8C"/>
    <w:rsid w:val="0027765B"/>
    <w:rsid w:val="00281460"/>
    <w:rsid w:val="00281858"/>
    <w:rsid w:val="00284B4D"/>
    <w:rsid w:val="00285B5D"/>
    <w:rsid w:val="002A1220"/>
    <w:rsid w:val="002C0B9B"/>
    <w:rsid w:val="002E5F22"/>
    <w:rsid w:val="002F21B1"/>
    <w:rsid w:val="002F4380"/>
    <w:rsid w:val="003030D1"/>
    <w:rsid w:val="00307120"/>
    <w:rsid w:val="00310973"/>
    <w:rsid w:val="00313AD1"/>
    <w:rsid w:val="00314194"/>
    <w:rsid w:val="003157DC"/>
    <w:rsid w:val="003307C0"/>
    <w:rsid w:val="00332BDB"/>
    <w:rsid w:val="00333834"/>
    <w:rsid w:val="00346812"/>
    <w:rsid w:val="00346977"/>
    <w:rsid w:val="003501B6"/>
    <w:rsid w:val="00350C6A"/>
    <w:rsid w:val="00350EAC"/>
    <w:rsid w:val="00360C85"/>
    <w:rsid w:val="0037514E"/>
    <w:rsid w:val="00377E09"/>
    <w:rsid w:val="003851F2"/>
    <w:rsid w:val="00392F46"/>
    <w:rsid w:val="003A2135"/>
    <w:rsid w:val="003A54C0"/>
    <w:rsid w:val="003A64F1"/>
    <w:rsid w:val="003B3DBE"/>
    <w:rsid w:val="003C4DD5"/>
    <w:rsid w:val="003D7AD9"/>
    <w:rsid w:val="003E2C56"/>
    <w:rsid w:val="003E318E"/>
    <w:rsid w:val="003F2411"/>
    <w:rsid w:val="004052B8"/>
    <w:rsid w:val="0041389D"/>
    <w:rsid w:val="00417408"/>
    <w:rsid w:val="004178B9"/>
    <w:rsid w:val="00421F82"/>
    <w:rsid w:val="00426B82"/>
    <w:rsid w:val="00431157"/>
    <w:rsid w:val="004434AD"/>
    <w:rsid w:val="00454A1F"/>
    <w:rsid w:val="00456195"/>
    <w:rsid w:val="0046520E"/>
    <w:rsid w:val="0047154D"/>
    <w:rsid w:val="004746B7"/>
    <w:rsid w:val="00476DA7"/>
    <w:rsid w:val="00494408"/>
    <w:rsid w:val="004B04CA"/>
    <w:rsid w:val="004B2FCB"/>
    <w:rsid w:val="004B7BC2"/>
    <w:rsid w:val="004C74DD"/>
    <w:rsid w:val="004E4937"/>
    <w:rsid w:val="004E7EBD"/>
    <w:rsid w:val="004F4BE9"/>
    <w:rsid w:val="005176C6"/>
    <w:rsid w:val="00536512"/>
    <w:rsid w:val="00556452"/>
    <w:rsid w:val="00572152"/>
    <w:rsid w:val="005810E5"/>
    <w:rsid w:val="00586BCA"/>
    <w:rsid w:val="00587A95"/>
    <w:rsid w:val="005945BD"/>
    <w:rsid w:val="005966EC"/>
    <w:rsid w:val="005A4A54"/>
    <w:rsid w:val="005A4F19"/>
    <w:rsid w:val="005A76B0"/>
    <w:rsid w:val="005B2177"/>
    <w:rsid w:val="005C401B"/>
    <w:rsid w:val="005C5DD5"/>
    <w:rsid w:val="005D1842"/>
    <w:rsid w:val="005E1A7D"/>
    <w:rsid w:val="005E31D5"/>
    <w:rsid w:val="005E3467"/>
    <w:rsid w:val="005E704B"/>
    <w:rsid w:val="005F2B25"/>
    <w:rsid w:val="005F2F9F"/>
    <w:rsid w:val="00604A5A"/>
    <w:rsid w:val="00614F56"/>
    <w:rsid w:val="00623B28"/>
    <w:rsid w:val="00644069"/>
    <w:rsid w:val="006454D2"/>
    <w:rsid w:val="006545C9"/>
    <w:rsid w:val="006548A4"/>
    <w:rsid w:val="00656054"/>
    <w:rsid w:val="0066482D"/>
    <w:rsid w:val="00670A3D"/>
    <w:rsid w:val="00672EC6"/>
    <w:rsid w:val="00675CBC"/>
    <w:rsid w:val="00676E84"/>
    <w:rsid w:val="006820A8"/>
    <w:rsid w:val="006833B3"/>
    <w:rsid w:val="006A6627"/>
    <w:rsid w:val="006B581A"/>
    <w:rsid w:val="006C428D"/>
    <w:rsid w:val="006C7A3B"/>
    <w:rsid w:val="006C7C88"/>
    <w:rsid w:val="006D632F"/>
    <w:rsid w:val="006E273E"/>
    <w:rsid w:val="006F35D1"/>
    <w:rsid w:val="007026EF"/>
    <w:rsid w:val="00702BB6"/>
    <w:rsid w:val="0070333C"/>
    <w:rsid w:val="00703446"/>
    <w:rsid w:val="00710B3A"/>
    <w:rsid w:val="0071768F"/>
    <w:rsid w:val="00721602"/>
    <w:rsid w:val="00730793"/>
    <w:rsid w:val="00732026"/>
    <w:rsid w:val="007420DA"/>
    <w:rsid w:val="007453B3"/>
    <w:rsid w:val="00751FDB"/>
    <w:rsid w:val="00753A2F"/>
    <w:rsid w:val="0075445E"/>
    <w:rsid w:val="00764604"/>
    <w:rsid w:val="00767659"/>
    <w:rsid w:val="00767890"/>
    <w:rsid w:val="0077202E"/>
    <w:rsid w:val="007730A7"/>
    <w:rsid w:val="0078132E"/>
    <w:rsid w:val="00782F01"/>
    <w:rsid w:val="00783D3A"/>
    <w:rsid w:val="00786C3D"/>
    <w:rsid w:val="007B0E8E"/>
    <w:rsid w:val="007C04AB"/>
    <w:rsid w:val="007C46E6"/>
    <w:rsid w:val="007D2F4D"/>
    <w:rsid w:val="007E5094"/>
    <w:rsid w:val="007F2512"/>
    <w:rsid w:val="00814B8B"/>
    <w:rsid w:val="008165BC"/>
    <w:rsid w:val="00817CC8"/>
    <w:rsid w:val="008228A1"/>
    <w:rsid w:val="00827B57"/>
    <w:rsid w:val="0084274F"/>
    <w:rsid w:val="008434DA"/>
    <w:rsid w:val="00843564"/>
    <w:rsid w:val="008463A4"/>
    <w:rsid w:val="00876263"/>
    <w:rsid w:val="00882D21"/>
    <w:rsid w:val="00885AF2"/>
    <w:rsid w:val="008921F2"/>
    <w:rsid w:val="00897F80"/>
    <w:rsid w:val="008A6952"/>
    <w:rsid w:val="008C4FF3"/>
    <w:rsid w:val="008D0BA6"/>
    <w:rsid w:val="008E3F79"/>
    <w:rsid w:val="008E5E77"/>
    <w:rsid w:val="00904AA5"/>
    <w:rsid w:val="0091232A"/>
    <w:rsid w:val="00915FEC"/>
    <w:rsid w:val="00922151"/>
    <w:rsid w:val="00922273"/>
    <w:rsid w:val="009248A2"/>
    <w:rsid w:val="00924F0E"/>
    <w:rsid w:val="009328A7"/>
    <w:rsid w:val="00934B22"/>
    <w:rsid w:val="00942D78"/>
    <w:rsid w:val="00951D6B"/>
    <w:rsid w:val="0096229F"/>
    <w:rsid w:val="00963972"/>
    <w:rsid w:val="0096607F"/>
    <w:rsid w:val="00967D1B"/>
    <w:rsid w:val="00974B1E"/>
    <w:rsid w:val="009751E8"/>
    <w:rsid w:val="0097550C"/>
    <w:rsid w:val="009870A5"/>
    <w:rsid w:val="009930DB"/>
    <w:rsid w:val="009957ED"/>
    <w:rsid w:val="009A6770"/>
    <w:rsid w:val="009C1F9C"/>
    <w:rsid w:val="009C6549"/>
    <w:rsid w:val="009C7B09"/>
    <w:rsid w:val="009C7FF6"/>
    <w:rsid w:val="009D0BED"/>
    <w:rsid w:val="009D67C9"/>
    <w:rsid w:val="009E06FB"/>
    <w:rsid w:val="009E0E53"/>
    <w:rsid w:val="009E48E5"/>
    <w:rsid w:val="009E4EF9"/>
    <w:rsid w:val="00A141BD"/>
    <w:rsid w:val="00A152F7"/>
    <w:rsid w:val="00A4424E"/>
    <w:rsid w:val="00A44853"/>
    <w:rsid w:val="00A7546B"/>
    <w:rsid w:val="00A8197C"/>
    <w:rsid w:val="00A8222E"/>
    <w:rsid w:val="00A945F2"/>
    <w:rsid w:val="00A977E6"/>
    <w:rsid w:val="00AA21A1"/>
    <w:rsid w:val="00AA4DE0"/>
    <w:rsid w:val="00AB0D0F"/>
    <w:rsid w:val="00AC0C1E"/>
    <w:rsid w:val="00AD1CBE"/>
    <w:rsid w:val="00AE2EC9"/>
    <w:rsid w:val="00B1633D"/>
    <w:rsid w:val="00B226EE"/>
    <w:rsid w:val="00B227A4"/>
    <w:rsid w:val="00B2403A"/>
    <w:rsid w:val="00B250E8"/>
    <w:rsid w:val="00B36158"/>
    <w:rsid w:val="00B4417B"/>
    <w:rsid w:val="00B4518D"/>
    <w:rsid w:val="00B47C93"/>
    <w:rsid w:val="00B70356"/>
    <w:rsid w:val="00B7223A"/>
    <w:rsid w:val="00B72EB4"/>
    <w:rsid w:val="00B77C25"/>
    <w:rsid w:val="00B8760A"/>
    <w:rsid w:val="00B95957"/>
    <w:rsid w:val="00BB45BB"/>
    <w:rsid w:val="00BE0874"/>
    <w:rsid w:val="00BE6AF7"/>
    <w:rsid w:val="00BF4498"/>
    <w:rsid w:val="00BF7BA3"/>
    <w:rsid w:val="00C065C9"/>
    <w:rsid w:val="00C11E88"/>
    <w:rsid w:val="00C152DD"/>
    <w:rsid w:val="00C233AD"/>
    <w:rsid w:val="00C24FA5"/>
    <w:rsid w:val="00C3789F"/>
    <w:rsid w:val="00C53438"/>
    <w:rsid w:val="00C562E8"/>
    <w:rsid w:val="00C67EDA"/>
    <w:rsid w:val="00C72440"/>
    <w:rsid w:val="00C745AE"/>
    <w:rsid w:val="00C754AF"/>
    <w:rsid w:val="00C956E3"/>
    <w:rsid w:val="00C973BA"/>
    <w:rsid w:val="00CA2845"/>
    <w:rsid w:val="00CC2B17"/>
    <w:rsid w:val="00CC590F"/>
    <w:rsid w:val="00CC5CCF"/>
    <w:rsid w:val="00CC7F6B"/>
    <w:rsid w:val="00CE023A"/>
    <w:rsid w:val="00CF6E94"/>
    <w:rsid w:val="00CF7AA0"/>
    <w:rsid w:val="00D0065F"/>
    <w:rsid w:val="00D06AC0"/>
    <w:rsid w:val="00D238D5"/>
    <w:rsid w:val="00D34D81"/>
    <w:rsid w:val="00D441C2"/>
    <w:rsid w:val="00D445C1"/>
    <w:rsid w:val="00D47847"/>
    <w:rsid w:val="00D63EBE"/>
    <w:rsid w:val="00D65421"/>
    <w:rsid w:val="00D778B2"/>
    <w:rsid w:val="00D86A9B"/>
    <w:rsid w:val="00D8740D"/>
    <w:rsid w:val="00D87E5D"/>
    <w:rsid w:val="00D93B77"/>
    <w:rsid w:val="00DA053C"/>
    <w:rsid w:val="00DB5BB9"/>
    <w:rsid w:val="00DB6964"/>
    <w:rsid w:val="00DC711A"/>
    <w:rsid w:val="00DE2228"/>
    <w:rsid w:val="00DF40A6"/>
    <w:rsid w:val="00E0599B"/>
    <w:rsid w:val="00E106A3"/>
    <w:rsid w:val="00E14723"/>
    <w:rsid w:val="00E24D1E"/>
    <w:rsid w:val="00E3362A"/>
    <w:rsid w:val="00E46ABC"/>
    <w:rsid w:val="00E51BCB"/>
    <w:rsid w:val="00E529B1"/>
    <w:rsid w:val="00E54224"/>
    <w:rsid w:val="00E5589B"/>
    <w:rsid w:val="00E732CA"/>
    <w:rsid w:val="00E778D4"/>
    <w:rsid w:val="00E91444"/>
    <w:rsid w:val="00EA3E31"/>
    <w:rsid w:val="00EA4552"/>
    <w:rsid w:val="00EB4BFE"/>
    <w:rsid w:val="00EC3990"/>
    <w:rsid w:val="00EC4A92"/>
    <w:rsid w:val="00EC7005"/>
    <w:rsid w:val="00EE0716"/>
    <w:rsid w:val="00EE2688"/>
    <w:rsid w:val="00EF0A7E"/>
    <w:rsid w:val="00EF3306"/>
    <w:rsid w:val="00EF4D83"/>
    <w:rsid w:val="00EF7C1D"/>
    <w:rsid w:val="00EF7C64"/>
    <w:rsid w:val="00F31F57"/>
    <w:rsid w:val="00F32D8E"/>
    <w:rsid w:val="00F33763"/>
    <w:rsid w:val="00F35BCA"/>
    <w:rsid w:val="00F36EE2"/>
    <w:rsid w:val="00F4024B"/>
    <w:rsid w:val="00F451FF"/>
    <w:rsid w:val="00F51A09"/>
    <w:rsid w:val="00F74A86"/>
    <w:rsid w:val="00F766E6"/>
    <w:rsid w:val="00F83E97"/>
    <w:rsid w:val="00FA2856"/>
    <w:rsid w:val="00FA2C07"/>
    <w:rsid w:val="00FB7A43"/>
    <w:rsid w:val="00FC1457"/>
    <w:rsid w:val="00FC53A8"/>
    <w:rsid w:val="00FC7D32"/>
    <w:rsid w:val="00FD4D09"/>
    <w:rsid w:val="00FF32EB"/>
    <w:rsid w:val="00FF53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F050276"/>
  <w15:docId w15:val="{7A8FF8B7-9BA1-481E-A7F5-BED59944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88"/>
    <w:pPr>
      <w:spacing w:after="120"/>
      <w:jc w:val="both"/>
    </w:pPr>
  </w:style>
  <w:style w:type="paragraph" w:styleId="Heading1">
    <w:name w:val="heading 1"/>
    <w:basedOn w:val="Normal"/>
    <w:next w:val="Normal"/>
    <w:link w:val="Heading1Char"/>
    <w:uiPriority w:val="9"/>
    <w:qFormat/>
    <w:rsid w:val="00E778D4"/>
    <w:pPr>
      <w:spacing w:before="200"/>
      <w:outlineLvl w:val="0"/>
    </w:pPr>
    <w:rPr>
      <w:rFonts w:ascii="Calibri" w:hAnsi="Calibri" w:cs="Arial"/>
      <w:kern w:val="28"/>
      <w:sz w:val="26"/>
      <w:szCs w:val="26"/>
    </w:rPr>
  </w:style>
  <w:style w:type="paragraph" w:styleId="Heading2">
    <w:name w:val="heading 2"/>
    <w:basedOn w:val="Normal"/>
    <w:next w:val="BodyText"/>
    <w:link w:val="Heading2Char"/>
    <w:qFormat/>
    <w:rsid w:val="00E54224"/>
    <w:pPr>
      <w:spacing w:before="240" w:line="240" w:lineRule="atLeast"/>
      <w:outlineLvl w:val="1"/>
    </w:pPr>
    <w:rPr>
      <w:rFonts w:ascii="Calibri" w:hAnsi="Calibri" w:cs="Arial"/>
      <w:b/>
    </w:rPr>
  </w:style>
  <w:style w:type="paragraph" w:styleId="Heading3">
    <w:name w:val="heading 3"/>
    <w:basedOn w:val="Normal"/>
    <w:next w:val="Normal"/>
    <w:link w:val="Heading3Char"/>
    <w:uiPriority w:val="9"/>
    <w:unhideWhenUsed/>
    <w:qFormat/>
    <w:rsid w:val="00EF3306"/>
    <w:pPr>
      <w:outlineLvl w:val="2"/>
    </w:pPr>
    <w:rPr>
      <w:rFonts w:ascii="Calibri" w:eastAsia="Calibri" w:hAnsi="Calibri"/>
      <w:i/>
    </w:rPr>
  </w:style>
  <w:style w:type="paragraph" w:styleId="Heading4">
    <w:name w:val="heading 4"/>
    <w:basedOn w:val="Normal"/>
    <w:next w:val="Normal"/>
    <w:link w:val="Heading4Char"/>
    <w:uiPriority w:val="9"/>
    <w:semiHidden/>
    <w:unhideWhenUsed/>
    <w:qFormat/>
    <w:rsid w:val="007678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4224"/>
    <w:rPr>
      <w:rFonts w:ascii="Calibri" w:hAnsi="Calibri" w:cs="Arial"/>
      <w:b/>
    </w:rPr>
  </w:style>
  <w:style w:type="paragraph" w:styleId="Header">
    <w:name w:val="header"/>
    <w:aliases w:val="Header1"/>
    <w:basedOn w:val="Normal"/>
    <w:link w:val="HeaderChar"/>
    <w:rsid w:val="005E3467"/>
    <w:pPr>
      <w:tabs>
        <w:tab w:val="center" w:pos="4320"/>
        <w:tab w:val="right" w:pos="8640"/>
      </w:tabs>
    </w:pPr>
    <w:rPr>
      <w:rFonts w:ascii="Calibri" w:eastAsia="Times New Roman" w:hAnsi="Calibri" w:cs="Times New Roman"/>
      <w:szCs w:val="20"/>
      <w:lang w:eastAsia="en-GB"/>
    </w:rPr>
  </w:style>
  <w:style w:type="character" w:customStyle="1" w:styleId="HeaderChar">
    <w:name w:val="Header Char"/>
    <w:aliases w:val="Header1 Char"/>
    <w:basedOn w:val="DefaultParagraphFont"/>
    <w:link w:val="Header"/>
    <w:rsid w:val="005E3467"/>
    <w:rPr>
      <w:rFonts w:ascii="Calibri" w:eastAsia="Times New Roman" w:hAnsi="Calibri" w:cs="Times New Roman"/>
      <w:szCs w:val="20"/>
      <w:lang w:eastAsia="en-GB"/>
    </w:rPr>
  </w:style>
  <w:style w:type="paragraph" w:styleId="Footer">
    <w:name w:val="footer"/>
    <w:aliases w:val="Footer1"/>
    <w:basedOn w:val="Normal"/>
    <w:link w:val="FooterChar"/>
    <w:uiPriority w:val="99"/>
    <w:rsid w:val="005E3467"/>
    <w:rPr>
      <w:rFonts w:ascii="Calibri" w:eastAsia="Times New Roman" w:hAnsi="Calibri" w:cs="Times New Roman"/>
      <w:szCs w:val="20"/>
      <w:lang w:eastAsia="en-GB"/>
    </w:rPr>
  </w:style>
  <w:style w:type="character" w:customStyle="1" w:styleId="FooterChar">
    <w:name w:val="Footer Char"/>
    <w:aliases w:val="Footer1 Char"/>
    <w:basedOn w:val="DefaultParagraphFont"/>
    <w:link w:val="Footer"/>
    <w:uiPriority w:val="99"/>
    <w:rsid w:val="005E3467"/>
    <w:rPr>
      <w:rFonts w:ascii="Calibri" w:eastAsia="Times New Roman" w:hAnsi="Calibri" w:cs="Times New Roman"/>
      <w:szCs w:val="20"/>
      <w:lang w:eastAsia="en-GB"/>
    </w:rPr>
  </w:style>
  <w:style w:type="character" w:styleId="PageNumber">
    <w:name w:val="page number"/>
    <w:basedOn w:val="DefaultParagraphFont"/>
    <w:rsid w:val="005E3467"/>
  </w:style>
  <w:style w:type="paragraph" w:styleId="Title">
    <w:name w:val="Title"/>
    <w:basedOn w:val="Normal"/>
    <w:link w:val="TitleChar"/>
    <w:qFormat/>
    <w:rsid w:val="00C11E88"/>
    <w:pPr>
      <w:spacing w:before="240" w:after="240"/>
      <w:outlineLvl w:val="0"/>
    </w:pPr>
    <w:rPr>
      <w:rFonts w:ascii="Calibri" w:hAnsi="Calibri" w:cs="Arial"/>
      <w:kern w:val="28"/>
      <w:sz w:val="40"/>
    </w:rPr>
  </w:style>
  <w:style w:type="character" w:customStyle="1" w:styleId="TitleChar">
    <w:name w:val="Title Char"/>
    <w:basedOn w:val="DefaultParagraphFont"/>
    <w:link w:val="Title"/>
    <w:rsid w:val="00C11E88"/>
    <w:rPr>
      <w:rFonts w:ascii="Calibri" w:hAnsi="Calibri" w:cs="Arial"/>
      <w:kern w:val="28"/>
      <w:sz w:val="40"/>
    </w:rPr>
  </w:style>
  <w:style w:type="paragraph" w:customStyle="1" w:styleId="Docheader">
    <w:name w:val="Doc header"/>
    <w:basedOn w:val="Normal"/>
    <w:rsid w:val="005E3467"/>
    <w:pPr>
      <w:tabs>
        <w:tab w:val="left" w:pos="567"/>
      </w:tabs>
      <w:spacing w:line="280" w:lineRule="exact"/>
    </w:pPr>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5E3467"/>
  </w:style>
  <w:style w:type="character" w:customStyle="1" w:styleId="BodyTextChar">
    <w:name w:val="Body Text Char"/>
    <w:basedOn w:val="DefaultParagraphFont"/>
    <w:link w:val="BodyText"/>
    <w:uiPriority w:val="99"/>
    <w:semiHidden/>
    <w:rsid w:val="005E3467"/>
  </w:style>
  <w:style w:type="character" w:customStyle="1" w:styleId="Heading1Char">
    <w:name w:val="Heading 1 Char"/>
    <w:basedOn w:val="DefaultParagraphFont"/>
    <w:link w:val="Heading1"/>
    <w:uiPriority w:val="9"/>
    <w:rsid w:val="00E778D4"/>
    <w:rPr>
      <w:rFonts w:ascii="Calibri" w:hAnsi="Calibri" w:cs="Arial"/>
      <w:kern w:val="28"/>
      <w:sz w:val="26"/>
      <w:szCs w:val="26"/>
    </w:rPr>
  </w:style>
  <w:style w:type="paragraph" w:styleId="ListParagraph">
    <w:name w:val="List Paragraph"/>
    <w:aliases w:val="_Bullet,Heading 2_sj,List Paragraph1,Listenabsatz1,Normal bullet 2,Bullet list,Dot pt,Parágrafo da Lista,Liststycke,No Spacing1,List Paragraph Char Char Char,Indicator Text,Numbered Para 1,Bullet 1,Bullet Points,MAIN CONTENT"/>
    <w:basedOn w:val="Normal"/>
    <w:link w:val="ListParagraphChar"/>
    <w:uiPriority w:val="34"/>
    <w:qFormat/>
    <w:rsid w:val="00C67EDA"/>
    <w:pPr>
      <w:numPr>
        <w:numId w:val="3"/>
      </w:numPr>
      <w:tabs>
        <w:tab w:val="left" w:pos="567"/>
      </w:tabs>
      <w:spacing w:before="120"/>
      <w:ind w:left="0" w:firstLine="0"/>
    </w:pPr>
    <w:rPr>
      <w:rFonts w:cs="Arial"/>
    </w:rPr>
  </w:style>
  <w:style w:type="character" w:styleId="Hyperlink">
    <w:name w:val="Hyperlink"/>
    <w:uiPriority w:val="99"/>
    <w:rsid w:val="00C11E88"/>
    <w:rPr>
      <w:rFonts w:ascii="Arial" w:hAnsi="Arial"/>
      <w:color w:val="16288E"/>
      <w:u w:val="none"/>
    </w:rPr>
  </w:style>
  <w:style w:type="paragraph" w:styleId="NoSpacing">
    <w:name w:val="No Spacing"/>
    <w:uiPriority w:val="1"/>
    <w:qFormat/>
    <w:rsid w:val="00C11E88"/>
    <w:pPr>
      <w:spacing w:after="0" w:line="240" w:lineRule="auto"/>
    </w:pPr>
    <w:rPr>
      <w:rFonts w:ascii="Calibri" w:eastAsia="Times New Roman" w:hAnsi="Calibri" w:cs="Times New Roman"/>
      <w:lang w:eastAsia="en-GB"/>
    </w:rPr>
  </w:style>
  <w:style w:type="paragraph" w:styleId="PlainText">
    <w:name w:val="Plain Text"/>
    <w:basedOn w:val="Normal"/>
    <w:link w:val="PlainTextChar"/>
    <w:uiPriority w:val="99"/>
    <w:rsid w:val="00C11E88"/>
    <w:pPr>
      <w:spacing w:after="0" w:line="240" w:lineRule="auto"/>
      <w:jc w:val="left"/>
    </w:pPr>
    <w:rPr>
      <w:rFonts w:ascii="Calibri" w:eastAsia="Times New Roman" w:hAnsi="Calibri" w:cs="Times New Roman"/>
      <w:szCs w:val="21"/>
      <w:lang w:val="es-ES"/>
    </w:rPr>
  </w:style>
  <w:style w:type="character" w:customStyle="1" w:styleId="PlainTextChar">
    <w:name w:val="Plain Text Char"/>
    <w:basedOn w:val="DefaultParagraphFont"/>
    <w:link w:val="PlainText"/>
    <w:uiPriority w:val="99"/>
    <w:rsid w:val="00C11E88"/>
    <w:rPr>
      <w:rFonts w:ascii="Calibri" w:eastAsia="Times New Roman" w:hAnsi="Calibri" w:cs="Times New Roman"/>
      <w:szCs w:val="21"/>
      <w:lang w:val="es-ES"/>
    </w:rPr>
  </w:style>
  <w:style w:type="character" w:customStyle="1" w:styleId="Heading3Char">
    <w:name w:val="Heading 3 Char"/>
    <w:basedOn w:val="DefaultParagraphFont"/>
    <w:link w:val="Heading3"/>
    <w:uiPriority w:val="9"/>
    <w:rsid w:val="00EF3306"/>
    <w:rPr>
      <w:rFonts w:ascii="Calibri" w:eastAsia="Calibri" w:hAnsi="Calibri"/>
      <w:i/>
    </w:rPr>
  </w:style>
  <w:style w:type="paragraph" w:styleId="BalloonText">
    <w:name w:val="Balloon Text"/>
    <w:basedOn w:val="Normal"/>
    <w:link w:val="BalloonTextChar"/>
    <w:uiPriority w:val="99"/>
    <w:semiHidden/>
    <w:unhideWhenUsed/>
    <w:rsid w:val="003A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4F1"/>
    <w:rPr>
      <w:rFonts w:ascii="Tahoma" w:hAnsi="Tahoma" w:cs="Tahoma"/>
      <w:sz w:val="16"/>
      <w:szCs w:val="16"/>
    </w:rPr>
  </w:style>
  <w:style w:type="character" w:styleId="CommentReference">
    <w:name w:val="annotation reference"/>
    <w:basedOn w:val="DefaultParagraphFont"/>
    <w:uiPriority w:val="99"/>
    <w:semiHidden/>
    <w:unhideWhenUsed/>
    <w:rsid w:val="0047154D"/>
    <w:rPr>
      <w:sz w:val="16"/>
      <w:szCs w:val="16"/>
    </w:rPr>
  </w:style>
  <w:style w:type="paragraph" w:styleId="CommentText">
    <w:name w:val="annotation text"/>
    <w:basedOn w:val="Normal"/>
    <w:link w:val="CommentTextChar"/>
    <w:uiPriority w:val="99"/>
    <w:semiHidden/>
    <w:unhideWhenUsed/>
    <w:rsid w:val="0047154D"/>
    <w:pPr>
      <w:spacing w:line="240" w:lineRule="auto"/>
    </w:pPr>
    <w:rPr>
      <w:sz w:val="20"/>
      <w:szCs w:val="20"/>
    </w:rPr>
  </w:style>
  <w:style w:type="character" w:customStyle="1" w:styleId="CommentTextChar">
    <w:name w:val="Comment Text Char"/>
    <w:basedOn w:val="DefaultParagraphFont"/>
    <w:link w:val="CommentText"/>
    <w:uiPriority w:val="99"/>
    <w:semiHidden/>
    <w:rsid w:val="0047154D"/>
    <w:rPr>
      <w:sz w:val="20"/>
      <w:szCs w:val="20"/>
    </w:rPr>
  </w:style>
  <w:style w:type="paragraph" w:styleId="CommentSubject">
    <w:name w:val="annotation subject"/>
    <w:basedOn w:val="CommentText"/>
    <w:next w:val="CommentText"/>
    <w:link w:val="CommentSubjectChar"/>
    <w:uiPriority w:val="99"/>
    <w:semiHidden/>
    <w:unhideWhenUsed/>
    <w:rsid w:val="0047154D"/>
    <w:rPr>
      <w:b/>
      <w:bCs/>
    </w:rPr>
  </w:style>
  <w:style w:type="character" w:customStyle="1" w:styleId="CommentSubjectChar">
    <w:name w:val="Comment Subject Char"/>
    <w:basedOn w:val="CommentTextChar"/>
    <w:link w:val="CommentSubject"/>
    <w:uiPriority w:val="99"/>
    <w:semiHidden/>
    <w:rsid w:val="0047154D"/>
    <w:rPr>
      <w:b/>
      <w:bCs/>
      <w:sz w:val="20"/>
      <w:szCs w:val="20"/>
    </w:rPr>
  </w:style>
  <w:style w:type="paragraph" w:styleId="Revision">
    <w:name w:val="Revision"/>
    <w:hidden/>
    <w:uiPriority w:val="99"/>
    <w:semiHidden/>
    <w:rsid w:val="005945BD"/>
    <w:pPr>
      <w:spacing w:after="0" w:line="240" w:lineRule="auto"/>
    </w:pPr>
  </w:style>
  <w:style w:type="character" w:styleId="BookTitle">
    <w:name w:val="Book Title"/>
    <w:basedOn w:val="DefaultParagraphFont"/>
    <w:uiPriority w:val="33"/>
    <w:qFormat/>
    <w:rsid w:val="008A6952"/>
    <w:rPr>
      <w:b/>
      <w:bCs/>
      <w:smallCaps/>
      <w:spacing w:val="5"/>
    </w:rPr>
  </w:style>
  <w:style w:type="paragraph" w:styleId="FootnoteText">
    <w:name w:val="footnote text"/>
    <w:aliases w:val="Ftnote Txt 11ptG"/>
    <w:basedOn w:val="Normal"/>
    <w:link w:val="FootnoteTextChar"/>
    <w:uiPriority w:val="99"/>
    <w:unhideWhenUsed/>
    <w:rsid w:val="002F21B1"/>
    <w:pPr>
      <w:spacing w:after="0" w:line="240" w:lineRule="auto"/>
    </w:pPr>
    <w:rPr>
      <w:sz w:val="24"/>
      <w:szCs w:val="24"/>
    </w:rPr>
  </w:style>
  <w:style w:type="character" w:customStyle="1" w:styleId="FootnoteTextChar">
    <w:name w:val="Footnote Text Char"/>
    <w:aliases w:val="Ftnote Txt 11ptG Char"/>
    <w:basedOn w:val="DefaultParagraphFont"/>
    <w:link w:val="FootnoteText"/>
    <w:uiPriority w:val="99"/>
    <w:rsid w:val="002F21B1"/>
    <w:rPr>
      <w:sz w:val="24"/>
      <w:szCs w:val="24"/>
    </w:rPr>
  </w:style>
  <w:style w:type="character" w:styleId="FootnoteReference">
    <w:name w:val="footnote reference"/>
    <w:aliases w:val="stylish"/>
    <w:basedOn w:val="DefaultParagraphFont"/>
    <w:unhideWhenUsed/>
    <w:rsid w:val="00DB5BB9"/>
    <w:rPr>
      <w:rFonts w:ascii="Calibri" w:hAnsi="Calibri"/>
      <w:sz w:val="20"/>
      <w:vertAlign w:val="superscript"/>
    </w:rPr>
  </w:style>
  <w:style w:type="character" w:customStyle="1" w:styleId="ListParagraphChar">
    <w:name w:val="List Paragraph Char"/>
    <w:aliases w:val="_Bullet Char,Heading 2_sj Char,List Paragraph1 Char,Listenabsatz1 Char,Normal bullet 2 Char,Bullet list Char,Dot pt Char,Parágrafo da Lista Char,Liststycke Char,No Spacing1 Char,List Paragraph Char Char Char Char,Indicator Text Char"/>
    <w:basedOn w:val="DefaultParagraphFont"/>
    <w:link w:val="ListParagraph"/>
    <w:uiPriority w:val="34"/>
    <w:qFormat/>
    <w:rsid w:val="002E5F22"/>
    <w:rPr>
      <w:rFonts w:cs="Arial"/>
    </w:rPr>
  </w:style>
  <w:style w:type="character" w:customStyle="1" w:styleId="Heading4Char">
    <w:name w:val="Heading 4 Char"/>
    <w:basedOn w:val="DefaultParagraphFont"/>
    <w:link w:val="Heading4"/>
    <w:uiPriority w:val="9"/>
    <w:semiHidden/>
    <w:rsid w:val="00767890"/>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767890"/>
    <w:pPr>
      <w:spacing w:after="200" w:line="240" w:lineRule="auto"/>
    </w:pPr>
    <w:rPr>
      <w:i/>
      <w:iCs/>
      <w:color w:val="1F497D" w:themeColor="text2"/>
      <w:sz w:val="18"/>
      <w:szCs w:val="18"/>
    </w:rPr>
  </w:style>
  <w:style w:type="table" w:styleId="TableGrid">
    <w:name w:val="Table Grid"/>
    <w:basedOn w:val="TableNormal"/>
    <w:uiPriority w:val="39"/>
    <w:rsid w:val="00767890"/>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30D1"/>
    <w:rPr>
      <w:color w:val="605E5C"/>
      <w:shd w:val="clear" w:color="auto" w:fill="E1DFDD"/>
    </w:rPr>
  </w:style>
  <w:style w:type="character" w:customStyle="1" w:styleId="cf01">
    <w:name w:val="cf01"/>
    <w:basedOn w:val="DefaultParagraphFont"/>
    <w:rsid w:val="00572152"/>
    <w:rPr>
      <w:rFonts w:ascii="Segoe UI" w:hAnsi="Segoe UI" w:cs="Segoe UI" w:hint="default"/>
      <w:sz w:val="18"/>
      <w:szCs w:val="18"/>
    </w:rPr>
  </w:style>
  <w:style w:type="character" w:customStyle="1" w:styleId="normaltextrun">
    <w:name w:val="normaltextrun"/>
    <w:basedOn w:val="DefaultParagraphFont"/>
    <w:rsid w:val="005A4A54"/>
  </w:style>
  <w:style w:type="paragraph" w:customStyle="1" w:styleId="pf0">
    <w:name w:val="pf0"/>
    <w:basedOn w:val="Normal"/>
    <w:rsid w:val="005A4A5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cf11">
    <w:name w:val="cf11"/>
    <w:basedOn w:val="DefaultParagraphFont"/>
    <w:rsid w:val="005A4A54"/>
    <w:rPr>
      <w:rFonts w:ascii="Segoe UI" w:hAnsi="Segoe UI" w:cs="Segoe UI" w:hint="default"/>
      <w:i/>
      <w:iCs/>
      <w:sz w:val="18"/>
      <w:szCs w:val="18"/>
    </w:rPr>
  </w:style>
  <w:style w:type="paragraph" w:customStyle="1" w:styleId="xmsonormal">
    <w:name w:val="x_msonormal"/>
    <w:basedOn w:val="Normal"/>
    <w:rsid w:val="005A4A54"/>
    <w:pPr>
      <w:spacing w:after="0" w:line="240" w:lineRule="auto"/>
      <w:jc w:val="left"/>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FDF191C6E45409D3A71B6BF7ADE95" ma:contentTypeVersion="15" ma:contentTypeDescription="Create a new document." ma:contentTypeScope="" ma:versionID="3aec8fe6266489cf66db9d82d9aefc94">
  <xsd:schema xmlns:xsd="http://www.w3.org/2001/XMLSchema" xmlns:xs="http://www.w3.org/2001/XMLSchema" xmlns:p="http://schemas.microsoft.com/office/2006/metadata/properties" xmlns:ns2="86ab2c8f-a8cf-418a-ab44-01cef694d479" xmlns:ns3="3c888d43-fddb-439a-b9e3-77c61e9d1813" targetNamespace="http://schemas.microsoft.com/office/2006/metadata/properties" ma:root="true" ma:fieldsID="71c9758f59d40ac920cdc16a2ef9b44a" ns2:_="" ns3:_="">
    <xsd:import namespace="86ab2c8f-a8cf-418a-ab44-01cef694d479"/>
    <xsd:import namespace="3c888d43-fddb-439a-b9e3-77c61e9d1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b2c8f-a8cf-418a-ab44-01cef694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a48596-e6e1-413c-8f4e-2bb605fbdf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88d43-fddb-439a-b9e3-77c61e9d18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9868f2-1752-4d74-9b44-3cd3dc8c6948}" ma:internalName="TaxCatchAll" ma:showField="CatchAllData" ma:web="3c888d43-fddb-439a-b9e3-77c61e9d1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27BE9-E059-4C82-923D-69BBA30760FB}">
  <ds:schemaRefs>
    <ds:schemaRef ds:uri="http://schemas.openxmlformats.org/officeDocument/2006/bibliography"/>
  </ds:schemaRefs>
</ds:datastoreItem>
</file>

<file path=customXml/itemProps2.xml><?xml version="1.0" encoding="utf-8"?>
<ds:datastoreItem xmlns:ds="http://schemas.openxmlformats.org/officeDocument/2006/customXml" ds:itemID="{B568DA7C-BC9E-4198-A2A5-A57633D304EC}">
  <ds:schemaRefs>
    <ds:schemaRef ds:uri="http://schemas.microsoft.com/sharepoint/v3/contenttype/forms"/>
  </ds:schemaRefs>
</ds:datastoreItem>
</file>

<file path=customXml/itemProps3.xml><?xml version="1.0" encoding="utf-8"?>
<ds:datastoreItem xmlns:ds="http://schemas.openxmlformats.org/officeDocument/2006/customXml" ds:itemID="{406543AC-2ABC-4D3E-B211-1608D3B38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b2c8f-a8cf-418a-ab44-01cef694d479"/>
    <ds:schemaRef ds:uri="3c888d43-fddb-439a-b9e3-77c61e9d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Avellan</dc:creator>
  <cp:lastModifiedBy>Barbara Middleton</cp:lastModifiedBy>
  <cp:revision>4</cp:revision>
  <cp:lastPrinted>2018-02-09T14:52:00Z</cp:lastPrinted>
  <dcterms:created xsi:type="dcterms:W3CDTF">2023-05-31T12:24:00Z</dcterms:created>
  <dcterms:modified xsi:type="dcterms:W3CDTF">2023-06-14T10:21:00Z</dcterms:modified>
</cp:coreProperties>
</file>