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0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986"/>
      </w:tblGrid>
      <w:tr w:rsidR="003E7729" w:rsidRPr="003E7729" w14:paraId="6FDA0EC5" w14:textId="77777777" w:rsidTr="00784D1D">
        <w:tc>
          <w:tcPr>
            <w:tcW w:w="4716" w:type="dxa"/>
            <w:tcMar>
              <w:left w:w="28" w:type="dxa"/>
              <w:right w:w="28" w:type="dxa"/>
            </w:tcMar>
          </w:tcPr>
          <w:p w14:paraId="2EE292D3" w14:textId="2A1D0D6B" w:rsidR="003E7729" w:rsidRPr="003E7729" w:rsidRDefault="003E7729" w:rsidP="003E7729">
            <w:pPr>
              <w:tabs>
                <w:tab w:val="left" w:pos="567"/>
              </w:tabs>
              <w:spacing w:after="120"/>
              <w:jc w:val="both"/>
              <w:rPr>
                <w:rFonts w:ascii="Calibri" w:eastAsia="Calibri" w:hAnsi="Calibri" w:cs="Calibri"/>
                <w:sz w:val="26"/>
                <w:szCs w:val="26"/>
              </w:rPr>
            </w:pPr>
            <w:bookmarkStart w:id="0" w:name="_Hlk51054243"/>
          </w:p>
        </w:tc>
        <w:tc>
          <w:tcPr>
            <w:tcW w:w="4986" w:type="dxa"/>
            <w:tcMar>
              <w:left w:w="28" w:type="dxa"/>
              <w:right w:w="28" w:type="dxa"/>
            </w:tcMar>
          </w:tcPr>
          <w:p w14:paraId="3DE138DD" w14:textId="1DCA4324" w:rsidR="003E7729" w:rsidRDefault="00A511D7" w:rsidP="00CC32B4">
            <w:pPr>
              <w:tabs>
                <w:tab w:val="left" w:pos="567"/>
              </w:tabs>
              <w:spacing w:after="120"/>
              <w:jc w:val="center"/>
              <w:rPr>
                <w:rFonts w:ascii="Calibri" w:eastAsia="Calibri" w:hAnsi="Calibri" w:cs="Calibri"/>
                <w:sz w:val="26"/>
                <w:szCs w:val="26"/>
              </w:rPr>
            </w:pPr>
            <w:r>
              <w:rPr>
                <w:rFonts w:ascii="Calibri" w:eastAsia="Calibri" w:hAnsi="Calibri" w:cs="Calibri"/>
                <w:sz w:val="26"/>
                <w:szCs w:val="26"/>
              </w:rPr>
              <w:t xml:space="preserve">                                                    </w:t>
            </w:r>
            <w:r w:rsidR="0096743D">
              <w:rPr>
                <w:rFonts w:ascii="Calibri" w:eastAsia="Calibri" w:hAnsi="Calibri" w:cs="Calibri"/>
                <w:sz w:val="26"/>
                <w:szCs w:val="26"/>
              </w:rPr>
              <w:t xml:space="preserve"> </w:t>
            </w:r>
            <w:r w:rsidR="000D77AE">
              <w:rPr>
                <w:rFonts w:ascii="Calibri" w:eastAsia="Calibri" w:hAnsi="Calibri" w:cs="Calibri"/>
                <w:sz w:val="26"/>
                <w:szCs w:val="26"/>
              </w:rPr>
              <w:t xml:space="preserve">Annex </w:t>
            </w:r>
            <w:r w:rsidR="00C971E1">
              <w:rPr>
                <w:rFonts w:ascii="Calibri" w:eastAsia="Calibri" w:hAnsi="Calibri" w:cs="Calibri"/>
                <w:sz w:val="26"/>
                <w:szCs w:val="26"/>
              </w:rPr>
              <w:t>4</w:t>
            </w:r>
          </w:p>
          <w:p w14:paraId="184A2780" w14:textId="1397301A" w:rsidR="00CC32B4" w:rsidRPr="003E7729" w:rsidRDefault="00CC32B4" w:rsidP="00CC32B4">
            <w:pPr>
              <w:tabs>
                <w:tab w:val="left" w:pos="567"/>
              </w:tabs>
              <w:spacing w:after="120"/>
              <w:jc w:val="center"/>
              <w:rPr>
                <w:rFonts w:ascii="Calibri" w:eastAsia="Calibri" w:hAnsi="Calibri" w:cs="Calibri"/>
                <w:sz w:val="26"/>
                <w:szCs w:val="26"/>
              </w:rPr>
            </w:pPr>
            <w:r>
              <w:rPr>
                <w:rFonts w:ascii="Calibri" w:eastAsia="Calibri" w:hAnsi="Calibri" w:cs="Calibri"/>
                <w:sz w:val="26"/>
                <w:szCs w:val="26"/>
              </w:rPr>
              <w:t xml:space="preserve">              </w:t>
            </w:r>
          </w:p>
        </w:tc>
      </w:tr>
      <w:tr w:rsidR="003E7729" w:rsidRPr="003E7729" w14:paraId="0ABD3CB1" w14:textId="77777777" w:rsidTr="00784D1D">
        <w:tc>
          <w:tcPr>
            <w:tcW w:w="9702" w:type="dxa"/>
            <w:gridSpan w:val="2"/>
            <w:tcMar>
              <w:left w:w="28" w:type="dxa"/>
              <w:right w:w="28" w:type="dxa"/>
            </w:tcMar>
          </w:tcPr>
          <w:p w14:paraId="1B75A164" w14:textId="678CDA61" w:rsidR="003E7729" w:rsidRPr="003E7729" w:rsidRDefault="003E7729" w:rsidP="003E7729">
            <w:pPr>
              <w:tabs>
                <w:tab w:val="left" w:pos="567"/>
              </w:tabs>
              <w:spacing w:after="120"/>
              <w:jc w:val="both"/>
              <w:rPr>
                <w:rFonts w:ascii="Calibri" w:eastAsia="Times New Roman" w:hAnsi="Calibri" w:cs="Calibri"/>
                <w:sz w:val="26"/>
                <w:szCs w:val="26"/>
              </w:rPr>
            </w:pPr>
            <w:r w:rsidRPr="003E7729">
              <w:rPr>
                <w:rFonts w:ascii="Calibri" w:eastAsia="Times New Roman" w:hAnsi="Calibri" w:cs="Calibri"/>
                <w:sz w:val="26"/>
                <w:szCs w:val="26"/>
              </w:rPr>
              <w:t>OSPAR Convention for the Protection of the Marine Environment of the North-East Atlantic</w:t>
            </w:r>
          </w:p>
        </w:tc>
      </w:tr>
      <w:tr w:rsidR="003E7729" w:rsidRPr="003E7729" w14:paraId="27DC769D" w14:textId="77777777" w:rsidTr="00784D1D">
        <w:tc>
          <w:tcPr>
            <w:tcW w:w="9702" w:type="dxa"/>
            <w:gridSpan w:val="2"/>
            <w:tcBorders>
              <w:bottom w:val="single" w:sz="4" w:space="0" w:color="auto"/>
            </w:tcBorders>
            <w:tcMar>
              <w:left w:w="28" w:type="dxa"/>
              <w:right w:w="28" w:type="dxa"/>
            </w:tcMar>
          </w:tcPr>
          <w:p w14:paraId="18CE1118" w14:textId="0FA6BCD2" w:rsidR="003E7729" w:rsidRPr="003E7729" w:rsidRDefault="00915D68" w:rsidP="003E7729">
            <w:pPr>
              <w:tabs>
                <w:tab w:val="left" w:pos="567"/>
              </w:tabs>
              <w:spacing w:after="120"/>
              <w:jc w:val="both"/>
              <w:rPr>
                <w:rFonts w:ascii="Calibri" w:eastAsia="Times New Roman" w:hAnsi="Calibri" w:cs="Calibri"/>
                <w:sz w:val="26"/>
                <w:szCs w:val="26"/>
              </w:rPr>
            </w:pPr>
            <w:r>
              <w:rPr>
                <w:rFonts w:ascii="Calibri" w:eastAsia="Times New Roman" w:hAnsi="Calibri" w:cs="Calibri"/>
                <w:sz w:val="26"/>
                <w:szCs w:val="26"/>
              </w:rPr>
              <w:t xml:space="preserve">Meeting of the </w:t>
            </w:r>
            <w:r w:rsidR="00CC32B4">
              <w:rPr>
                <w:rFonts w:ascii="Calibri" w:eastAsia="Times New Roman" w:hAnsi="Calibri" w:cs="Calibri"/>
                <w:sz w:val="26"/>
                <w:szCs w:val="26"/>
              </w:rPr>
              <w:t>Hazardous Substances and Eutrophication Committee</w:t>
            </w:r>
            <w:r>
              <w:rPr>
                <w:rFonts w:ascii="Calibri" w:eastAsia="Times New Roman" w:hAnsi="Calibri" w:cs="Calibri"/>
                <w:sz w:val="26"/>
                <w:szCs w:val="26"/>
              </w:rPr>
              <w:t xml:space="preserve"> (HASEC)</w:t>
            </w:r>
          </w:p>
          <w:p w14:paraId="34728170" w14:textId="0ED47F08" w:rsidR="003E7729" w:rsidRPr="003E7729" w:rsidRDefault="003E7729" w:rsidP="003E7729">
            <w:pPr>
              <w:tabs>
                <w:tab w:val="left" w:pos="567"/>
              </w:tabs>
              <w:spacing w:after="120"/>
              <w:jc w:val="both"/>
              <w:rPr>
                <w:rFonts w:ascii="Calibri" w:eastAsia="Calibri" w:hAnsi="Calibri" w:cs="Calibri"/>
                <w:sz w:val="26"/>
                <w:szCs w:val="26"/>
              </w:rPr>
            </w:pPr>
            <w:r w:rsidRPr="003E7729">
              <w:rPr>
                <w:rFonts w:ascii="Calibri" w:eastAsia="Calibri" w:hAnsi="Calibri" w:cs="Calibri"/>
                <w:sz w:val="26"/>
                <w:szCs w:val="26"/>
              </w:rPr>
              <w:t xml:space="preserve">Hybrid meeting from </w:t>
            </w:r>
            <w:r w:rsidR="00EB0ADC">
              <w:rPr>
                <w:rFonts w:ascii="Calibri" w:eastAsia="Calibri" w:hAnsi="Calibri" w:cs="Calibri"/>
                <w:sz w:val="26"/>
                <w:szCs w:val="26"/>
              </w:rPr>
              <w:t>Paris</w:t>
            </w:r>
            <w:r w:rsidR="00CC32B4">
              <w:rPr>
                <w:rFonts w:ascii="Calibri" w:eastAsia="Calibri" w:hAnsi="Calibri" w:cs="Calibri"/>
                <w:sz w:val="26"/>
                <w:szCs w:val="26"/>
              </w:rPr>
              <w:t xml:space="preserve"> (</w:t>
            </w:r>
            <w:r w:rsidR="00EB0ADC">
              <w:rPr>
                <w:rFonts w:ascii="Calibri" w:eastAsia="Calibri" w:hAnsi="Calibri" w:cs="Calibri"/>
                <w:sz w:val="26"/>
                <w:szCs w:val="26"/>
              </w:rPr>
              <w:t>France</w:t>
            </w:r>
            <w:r w:rsidR="00CC32B4">
              <w:rPr>
                <w:rFonts w:ascii="Calibri" w:eastAsia="Calibri" w:hAnsi="Calibri" w:cs="Calibri"/>
                <w:sz w:val="26"/>
                <w:szCs w:val="26"/>
              </w:rPr>
              <w:t>)</w:t>
            </w:r>
            <w:r w:rsidRPr="003E7729">
              <w:rPr>
                <w:rFonts w:ascii="Calibri" w:eastAsia="Calibri" w:hAnsi="Calibri" w:cs="Calibri"/>
                <w:sz w:val="26"/>
                <w:szCs w:val="26"/>
              </w:rPr>
              <w:t xml:space="preserve">: </w:t>
            </w:r>
            <w:r w:rsidR="00EB0ADC">
              <w:rPr>
                <w:rFonts w:ascii="Calibri" w:eastAsia="Calibri" w:hAnsi="Calibri" w:cs="Calibri"/>
                <w:sz w:val="26"/>
                <w:szCs w:val="26"/>
              </w:rPr>
              <w:t>24</w:t>
            </w:r>
            <w:r w:rsidR="00CC32B4">
              <w:rPr>
                <w:rFonts w:ascii="Calibri" w:eastAsia="Calibri" w:hAnsi="Calibri" w:cs="Calibri"/>
                <w:sz w:val="26"/>
                <w:szCs w:val="26"/>
              </w:rPr>
              <w:t>-</w:t>
            </w:r>
            <w:r w:rsidR="00EB0ADC">
              <w:rPr>
                <w:rFonts w:ascii="Calibri" w:eastAsia="Calibri" w:hAnsi="Calibri" w:cs="Calibri"/>
                <w:sz w:val="26"/>
                <w:szCs w:val="26"/>
              </w:rPr>
              <w:t>28</w:t>
            </w:r>
            <w:r w:rsidR="00CC32B4">
              <w:rPr>
                <w:rFonts w:ascii="Calibri" w:eastAsia="Calibri" w:hAnsi="Calibri" w:cs="Calibri"/>
                <w:sz w:val="26"/>
                <w:szCs w:val="26"/>
              </w:rPr>
              <w:t xml:space="preserve"> </w:t>
            </w:r>
            <w:r w:rsidR="00EB0ADC">
              <w:rPr>
                <w:rFonts w:ascii="Calibri" w:eastAsia="Calibri" w:hAnsi="Calibri" w:cs="Calibri"/>
                <w:sz w:val="26"/>
                <w:szCs w:val="26"/>
              </w:rPr>
              <w:t>March</w:t>
            </w:r>
            <w:r w:rsidR="00CC32B4">
              <w:rPr>
                <w:rFonts w:ascii="Calibri" w:eastAsia="Calibri" w:hAnsi="Calibri" w:cs="Calibri"/>
                <w:sz w:val="26"/>
                <w:szCs w:val="26"/>
              </w:rPr>
              <w:t xml:space="preserve"> 202</w:t>
            </w:r>
            <w:r w:rsidR="00EB0ADC">
              <w:rPr>
                <w:rFonts w:ascii="Calibri" w:eastAsia="Calibri" w:hAnsi="Calibri" w:cs="Calibri"/>
                <w:sz w:val="26"/>
                <w:szCs w:val="26"/>
              </w:rPr>
              <w:t>5</w:t>
            </w:r>
          </w:p>
        </w:tc>
      </w:tr>
    </w:tbl>
    <w:bookmarkEnd w:id="0"/>
    <w:p w14:paraId="0767BDB0" w14:textId="72CB9B9C" w:rsidR="00976CBE" w:rsidRPr="00976CBE" w:rsidRDefault="00976CBE" w:rsidP="00976CBE">
      <w:pPr>
        <w:keepNext/>
        <w:spacing w:before="200" w:after="120" w:line="276" w:lineRule="auto"/>
        <w:jc w:val="both"/>
        <w:outlineLvl w:val="0"/>
        <w:rPr>
          <w:rFonts w:ascii="Calibri" w:eastAsia="Times New Roman" w:hAnsi="Calibri" w:cs="Times New Roman"/>
          <w:noProof/>
          <w:kern w:val="0"/>
          <w:sz w:val="32"/>
          <w:szCs w:val="32"/>
          <w:lang w:eastAsia="en-GB"/>
          <w14:ligatures w14:val="none"/>
        </w:rPr>
      </w:pPr>
      <w:r w:rsidRPr="00976CBE">
        <w:rPr>
          <w:rFonts w:ascii="Calibri" w:eastAsia="Times New Roman" w:hAnsi="Calibri" w:cs="Times New Roman"/>
          <w:noProof/>
          <w:kern w:val="0"/>
          <w:sz w:val="32"/>
          <w:szCs w:val="32"/>
          <w:lang w:eastAsia="en-GB"/>
          <w14:ligatures w14:val="none"/>
        </w:rPr>
        <w:t>Terms of reference for the OSPAR working group on Monitoring and Trends and Effects of Substances in the Marine Environment (MIME)</w:t>
      </w:r>
    </w:p>
    <w:p w14:paraId="2E902685" w14:textId="77777777" w:rsidR="00976CBE" w:rsidRPr="00976CBE" w:rsidRDefault="00976CBE" w:rsidP="00976CBE">
      <w:pPr>
        <w:numPr>
          <w:ilvl w:val="0"/>
          <w:numId w:val="1"/>
        </w:numPr>
        <w:tabs>
          <w:tab w:val="left" w:pos="540"/>
          <w:tab w:val="left" w:pos="567"/>
        </w:tabs>
        <w:spacing w:before="120" w:after="120" w:line="276" w:lineRule="auto"/>
        <w:ind w:left="0" w:firstLine="0"/>
        <w:jc w:val="both"/>
        <w:rPr>
          <w:rFonts w:ascii="Calibri" w:eastAsia="Calibri" w:hAnsi="Calibri" w:cs="Times New Roman"/>
          <w:kern w:val="0"/>
          <w:sz w:val="22"/>
          <w:szCs w:val="22"/>
          <w14:ligatures w14:val="none"/>
        </w:rPr>
      </w:pPr>
      <w:bookmarkStart w:id="1" w:name="_Hlk98170449"/>
      <w:bookmarkEnd w:id="1"/>
      <w:r w:rsidRPr="00976CBE">
        <w:rPr>
          <w:rFonts w:ascii="Calibri" w:eastAsia="Calibri" w:hAnsi="Calibri" w:cs="Times New Roman"/>
          <w:kern w:val="0"/>
          <w:sz w:val="22"/>
          <w:szCs w:val="22"/>
          <w14:ligatures w14:val="none"/>
        </w:rPr>
        <w:t xml:space="preserve">Monitoring and Trends and Effects of Substances in the Marine Environment (MIME) is a subsidiary body of the OSPAR Hazardous Substances and Eutrophication Committee comprising representatives of all Contracting Parties and OSPAR Observer organisations. The function of MIME is to </w:t>
      </w:r>
      <w:r w:rsidRPr="00976CBE">
        <w:rPr>
          <w:rFonts w:ascii="Calibri" w:eastAsia="Calibri" w:hAnsi="Calibri" w:cs="Times New Roman"/>
          <w:kern w:val="0"/>
          <w:sz w:val="22"/>
          <w:szCs w:val="22"/>
          <w:lang w:val="en-US"/>
          <w14:ligatures w14:val="none"/>
        </w:rPr>
        <w:t xml:space="preserve">keep the Coordinated Environmental Monitoring Program (CEMP) updated and perform yearly trial assessments for hazardous substances under the </w:t>
      </w:r>
      <w:r w:rsidRPr="00976CBE">
        <w:rPr>
          <w:rFonts w:ascii="Calibri" w:eastAsia="Calibri" w:hAnsi="Calibri" w:cs="Times New Roman"/>
          <w:kern w:val="0"/>
          <w:sz w:val="22"/>
          <w:szCs w:val="22"/>
          <w14:ligatures w14:val="none"/>
        </w:rPr>
        <w:t>Convention on hazardous substances and eutrophication and contribute to HASECs delivery of the North-East Atlantic Environment Strategy (NEAES 2030).</w:t>
      </w:r>
    </w:p>
    <w:p w14:paraId="6B227975" w14:textId="77777777" w:rsidR="00976CBE" w:rsidRPr="00976CBE" w:rsidRDefault="00976CBE" w:rsidP="00976CBE">
      <w:pPr>
        <w:numPr>
          <w:ilvl w:val="0"/>
          <w:numId w:val="1"/>
        </w:numPr>
        <w:tabs>
          <w:tab w:val="left" w:pos="540"/>
          <w:tab w:val="left" w:pos="567"/>
        </w:tabs>
        <w:spacing w:before="120" w:after="120" w:line="276" w:lineRule="auto"/>
        <w:ind w:left="0" w:firstLine="0"/>
        <w:jc w:val="both"/>
        <w:rPr>
          <w:rFonts w:ascii="Calibri" w:eastAsia="Calibri" w:hAnsi="Calibri" w:cs="Times New Roman"/>
          <w:kern w:val="0"/>
          <w:sz w:val="22"/>
          <w:szCs w:val="22"/>
          <w14:ligatures w14:val="none"/>
        </w:rPr>
      </w:pPr>
      <w:r w:rsidRPr="00976CBE">
        <w:rPr>
          <w:rFonts w:ascii="Calibri" w:eastAsia="Calibri" w:hAnsi="Calibri" w:cs="Arial"/>
          <w:kern w:val="0"/>
          <w:sz w:val="22"/>
          <w:szCs w:val="22"/>
          <w14:ligatures w14:val="none"/>
        </w:rPr>
        <w:t xml:space="preserve">The scope of work is to develop the CEMP which include those related to: </w:t>
      </w:r>
    </w:p>
    <w:p w14:paraId="249A5FBD" w14:textId="77777777" w:rsidR="00976CBE" w:rsidRPr="00976CBE" w:rsidRDefault="00976CBE" w:rsidP="00976CBE">
      <w:pPr>
        <w:numPr>
          <w:ilvl w:val="1"/>
          <w:numId w:val="2"/>
        </w:numPr>
        <w:tabs>
          <w:tab w:val="left" w:pos="540"/>
          <w:tab w:val="left" w:pos="567"/>
          <w:tab w:val="left" w:pos="1134"/>
          <w:tab w:val="left" w:pos="1701"/>
          <w:tab w:val="left" w:pos="2268"/>
        </w:tabs>
        <w:spacing w:after="120" w:line="276" w:lineRule="auto"/>
        <w:ind w:left="1134" w:hanging="567"/>
        <w:jc w:val="both"/>
        <w:rPr>
          <w:rFonts w:cs="Arial"/>
        </w:rPr>
      </w:pPr>
      <w:r w:rsidRPr="00976CBE">
        <w:rPr>
          <w:rFonts w:cs="Arial"/>
        </w:rPr>
        <w:t>keeping under revie</w:t>
      </w:r>
      <w:r w:rsidRPr="00976CBE">
        <w:rPr>
          <w:rFonts w:cs="Arial"/>
          <w:lang w:val="en-US"/>
        </w:rPr>
        <w:t xml:space="preserve">w </w:t>
      </w:r>
      <w:r w:rsidRPr="00976CBE">
        <w:rPr>
          <w:lang w:val="en-US"/>
        </w:rPr>
        <w:t>the guidelines under the CEMP, ensuring that there are guidelines for all the matrices and substances monitored</w:t>
      </w:r>
      <w:r w:rsidRPr="00976CBE">
        <w:rPr>
          <w:rFonts w:cs="Arial"/>
        </w:rPr>
        <w:t>;</w:t>
      </w:r>
    </w:p>
    <w:p w14:paraId="51578E3B" w14:textId="77777777" w:rsidR="00976CBE" w:rsidRPr="00976CBE" w:rsidRDefault="00976CBE" w:rsidP="00976CBE">
      <w:pPr>
        <w:numPr>
          <w:ilvl w:val="1"/>
          <w:numId w:val="2"/>
        </w:numPr>
        <w:tabs>
          <w:tab w:val="left" w:pos="540"/>
          <w:tab w:val="left" w:pos="567"/>
          <w:tab w:val="left" w:pos="1134"/>
          <w:tab w:val="left" w:pos="1701"/>
          <w:tab w:val="left" w:pos="2268"/>
        </w:tabs>
        <w:spacing w:after="120" w:line="276" w:lineRule="auto"/>
        <w:ind w:left="1134" w:hanging="567"/>
        <w:jc w:val="both"/>
        <w:rPr>
          <w:rFonts w:cstheme="minorHAnsi"/>
          <w:sz w:val="22"/>
          <w:szCs w:val="22"/>
        </w:rPr>
      </w:pPr>
      <w:r w:rsidRPr="00976CBE">
        <w:rPr>
          <w:rFonts w:cstheme="minorHAnsi"/>
          <w:sz w:val="22"/>
          <w:szCs w:val="22"/>
          <w:lang w:val="en-US"/>
        </w:rPr>
        <w:t xml:space="preserve">ensuring that there is quality assurance in place for the parameters monitored </w:t>
      </w:r>
    </w:p>
    <w:p w14:paraId="26F84C98" w14:textId="77777777" w:rsidR="00976CBE" w:rsidRPr="00976CBE" w:rsidRDefault="00976CBE" w:rsidP="00976CBE">
      <w:pPr>
        <w:numPr>
          <w:ilvl w:val="1"/>
          <w:numId w:val="2"/>
        </w:numPr>
        <w:tabs>
          <w:tab w:val="left" w:pos="540"/>
          <w:tab w:val="left" w:pos="567"/>
          <w:tab w:val="left" w:pos="1134"/>
          <w:tab w:val="left" w:pos="1701"/>
          <w:tab w:val="left" w:pos="2268"/>
        </w:tabs>
        <w:spacing w:after="120" w:line="276" w:lineRule="auto"/>
        <w:ind w:left="1134" w:hanging="567"/>
        <w:jc w:val="both"/>
        <w:rPr>
          <w:rFonts w:cstheme="minorHAnsi"/>
          <w:sz w:val="22"/>
          <w:szCs w:val="22"/>
        </w:rPr>
      </w:pPr>
      <w:r w:rsidRPr="00976CBE">
        <w:rPr>
          <w:rFonts w:cstheme="minorHAnsi"/>
          <w:sz w:val="22"/>
          <w:szCs w:val="22"/>
          <w:lang w:val="en-US"/>
        </w:rPr>
        <w:t>ensuring that there are relevant assessment criteria for the substances of concern and priority action, including development of lists of substances of possible concern (LCPA and LSPC) in cooperation with HELCOM, AMAP and NORMAN;</w:t>
      </w:r>
    </w:p>
    <w:p w14:paraId="1E9F30EC" w14:textId="77777777" w:rsidR="00976CBE" w:rsidRPr="00976CBE" w:rsidRDefault="00976CBE" w:rsidP="00976CBE">
      <w:pPr>
        <w:numPr>
          <w:ilvl w:val="1"/>
          <w:numId w:val="2"/>
        </w:numPr>
        <w:tabs>
          <w:tab w:val="left" w:pos="540"/>
          <w:tab w:val="left" w:pos="567"/>
          <w:tab w:val="left" w:pos="1134"/>
          <w:tab w:val="left" w:pos="1701"/>
          <w:tab w:val="left" w:pos="2268"/>
        </w:tabs>
        <w:spacing w:after="120" w:line="276" w:lineRule="auto"/>
        <w:ind w:left="1134" w:hanging="567"/>
        <w:jc w:val="both"/>
        <w:rPr>
          <w:rFonts w:cstheme="minorHAnsi"/>
          <w:sz w:val="22"/>
          <w:szCs w:val="22"/>
        </w:rPr>
      </w:pPr>
      <w:r w:rsidRPr="00976CBE">
        <w:rPr>
          <w:rFonts w:cstheme="minorHAnsi"/>
          <w:sz w:val="22"/>
          <w:szCs w:val="22"/>
        </w:rPr>
        <w:t xml:space="preserve">monitoring the state of hazardous substances in the marine environment </w:t>
      </w:r>
      <w:r w:rsidRPr="00976CBE">
        <w:rPr>
          <w:rFonts w:cstheme="minorHAnsi"/>
          <w:sz w:val="22"/>
          <w:szCs w:val="22"/>
          <w:lang w:val="en-US"/>
        </w:rPr>
        <w:t>with a yearly assessment of status and time trend using the OHAT assessment system;</w:t>
      </w:r>
    </w:p>
    <w:p w14:paraId="5C248F12" w14:textId="77777777" w:rsidR="00976CBE" w:rsidRPr="00C971E1" w:rsidRDefault="00976CBE" w:rsidP="00976CBE">
      <w:pPr>
        <w:numPr>
          <w:ilvl w:val="0"/>
          <w:numId w:val="7"/>
        </w:numPr>
        <w:spacing w:after="120" w:line="276" w:lineRule="auto"/>
        <w:ind w:hanging="513"/>
        <w:contextualSpacing/>
        <w:jc w:val="both"/>
        <w:rPr>
          <w:rFonts w:eastAsia="Times New Roman" w:cstheme="minorHAnsi"/>
          <w:kern w:val="0"/>
          <w:sz w:val="22"/>
          <w:szCs w:val="22"/>
          <w14:ligatures w14:val="none"/>
        </w:rPr>
      </w:pPr>
      <w:r w:rsidRPr="00C971E1">
        <w:rPr>
          <w:rFonts w:eastAsia="Times New Roman" w:cstheme="minorHAnsi"/>
          <w:kern w:val="0"/>
          <w:sz w:val="22"/>
          <w:szCs w:val="22"/>
          <w:lang w:val="en-US"/>
          <w14:ligatures w14:val="none"/>
        </w:rPr>
        <w:t xml:space="preserve">further develop the OHAT assessment tool, in cooperation with AMAP, HELCOM and ICES, to suit the changing needs of indicators and assessment parameters; </w:t>
      </w:r>
    </w:p>
    <w:p w14:paraId="01918E5E" w14:textId="77777777" w:rsidR="00976CBE" w:rsidRPr="00C971E1" w:rsidRDefault="00976CBE" w:rsidP="00976CBE">
      <w:pPr>
        <w:numPr>
          <w:ilvl w:val="0"/>
          <w:numId w:val="7"/>
        </w:numPr>
        <w:ind w:hanging="513"/>
        <w:rPr>
          <w:rFonts w:eastAsia="Times New Roman" w:cstheme="minorHAnsi"/>
          <w:sz w:val="22"/>
          <w:szCs w:val="22"/>
        </w:rPr>
      </w:pPr>
      <w:r w:rsidRPr="00C971E1">
        <w:rPr>
          <w:rFonts w:eastAsia="Times New Roman" w:cstheme="minorHAnsi"/>
          <w:sz w:val="22"/>
          <w:szCs w:val="22"/>
          <w:lang w:val="en-US"/>
        </w:rPr>
        <w:t>support the development of the HARSAT R package, in cooperation with AMAP and HELCOM, to deliver OSPAR assessments and to enable CPs to assess their own monitoring data;</w:t>
      </w:r>
    </w:p>
    <w:p w14:paraId="117DE72C" w14:textId="77777777" w:rsidR="00976CBE" w:rsidRPr="00976CBE" w:rsidRDefault="00976CBE" w:rsidP="00976CBE">
      <w:pPr>
        <w:numPr>
          <w:ilvl w:val="0"/>
          <w:numId w:val="7"/>
        </w:numPr>
        <w:tabs>
          <w:tab w:val="left" w:pos="540"/>
          <w:tab w:val="left" w:pos="567"/>
          <w:tab w:val="left" w:pos="1134"/>
          <w:tab w:val="left" w:pos="1701"/>
          <w:tab w:val="left" w:pos="2268"/>
        </w:tabs>
        <w:spacing w:after="120" w:line="276" w:lineRule="auto"/>
        <w:ind w:hanging="513"/>
        <w:contextualSpacing/>
        <w:jc w:val="both"/>
        <w:rPr>
          <w:rFonts w:ascii="Calibri" w:eastAsia="Calibri" w:hAnsi="Calibri" w:cs="Arial"/>
          <w:kern w:val="0"/>
          <w:sz w:val="22"/>
          <w:szCs w:val="22"/>
          <w14:ligatures w14:val="none"/>
        </w:rPr>
      </w:pPr>
      <w:r w:rsidRPr="00976CBE">
        <w:rPr>
          <w:rFonts w:eastAsia="Calibri" w:cstheme="minorHAnsi"/>
          <w:kern w:val="0"/>
          <w:sz w:val="22"/>
          <w:szCs w:val="22"/>
          <w14:ligatures w14:val="none"/>
        </w:rPr>
        <w:t>keeping</w:t>
      </w:r>
      <w:r w:rsidRPr="00976CBE">
        <w:rPr>
          <w:rFonts w:ascii="Calibri" w:eastAsia="Calibri" w:hAnsi="Calibri" w:cs="Arial"/>
          <w:kern w:val="0"/>
          <w:sz w:val="22"/>
          <w:szCs w:val="22"/>
          <w14:ligatures w14:val="none"/>
        </w:rPr>
        <w:t xml:space="preserve"> under review OSPAR measures and actions related to hazardous substances.</w:t>
      </w:r>
    </w:p>
    <w:p w14:paraId="261A3484" w14:textId="77777777" w:rsidR="00976CBE" w:rsidRPr="00976CBE" w:rsidRDefault="00976CBE" w:rsidP="00976CBE">
      <w:pPr>
        <w:spacing w:line="276" w:lineRule="auto"/>
        <w:rPr>
          <w:rFonts w:cs="Arial"/>
          <w:u w:val="single"/>
        </w:rPr>
      </w:pPr>
      <w:r w:rsidRPr="00976CBE">
        <w:rPr>
          <w:rFonts w:cs="Arial"/>
          <w:u w:val="single"/>
        </w:rPr>
        <w:t>Operation and organisation of work</w:t>
      </w:r>
    </w:p>
    <w:p w14:paraId="565D61E7" w14:textId="77777777" w:rsidR="00976CBE" w:rsidRPr="00976CBE" w:rsidRDefault="00976CBE" w:rsidP="00976CBE">
      <w:pPr>
        <w:numPr>
          <w:ilvl w:val="0"/>
          <w:numId w:val="1"/>
        </w:numPr>
        <w:tabs>
          <w:tab w:val="left" w:pos="540"/>
          <w:tab w:val="left" w:pos="567"/>
        </w:tabs>
        <w:spacing w:before="120" w:after="120" w:line="276" w:lineRule="auto"/>
        <w:ind w:left="0" w:firstLine="0"/>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MIME shall hold at least one annual hybrid meeting.</w:t>
      </w:r>
    </w:p>
    <w:p w14:paraId="5781AC5D" w14:textId="77777777" w:rsidR="00976CBE" w:rsidRPr="00976CBE" w:rsidRDefault="00976CBE" w:rsidP="00976CBE">
      <w:pPr>
        <w:numPr>
          <w:ilvl w:val="0"/>
          <w:numId w:val="1"/>
        </w:numPr>
        <w:tabs>
          <w:tab w:val="left" w:pos="540"/>
          <w:tab w:val="left" w:pos="567"/>
        </w:tabs>
        <w:spacing w:before="120" w:after="120" w:line="276" w:lineRule="auto"/>
        <w:ind w:left="0" w:firstLine="0"/>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MIME shall maintain a list of all guideline products including revision year and every year consider if any guidelines need updating.</w:t>
      </w:r>
    </w:p>
    <w:p w14:paraId="24BE56A3" w14:textId="77777777" w:rsidR="00976CBE" w:rsidRPr="00976CBE" w:rsidRDefault="00976CBE" w:rsidP="00976CBE">
      <w:pPr>
        <w:numPr>
          <w:ilvl w:val="0"/>
          <w:numId w:val="1"/>
        </w:numPr>
        <w:tabs>
          <w:tab w:val="left" w:pos="540"/>
          <w:tab w:val="left" w:pos="567"/>
        </w:tabs>
        <w:spacing w:before="120" w:after="120" w:line="276" w:lineRule="auto"/>
        <w:ind w:left="0" w:firstLine="0"/>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MIME shall report to HASEC on tasks given by HASEC and on key issues that require coordination/management by HASEC.</w:t>
      </w:r>
    </w:p>
    <w:p w14:paraId="350E5F71" w14:textId="77777777" w:rsidR="00976CBE" w:rsidRPr="00976CBE" w:rsidRDefault="00976CBE" w:rsidP="00976CBE">
      <w:pPr>
        <w:rPr>
          <w:rFonts w:cs="Arial"/>
          <w:u w:val="single"/>
        </w:rPr>
      </w:pPr>
    </w:p>
    <w:p w14:paraId="03703CAF" w14:textId="77777777" w:rsidR="00976CBE" w:rsidRPr="00976CBE" w:rsidRDefault="00976CBE" w:rsidP="00976CBE">
      <w:pPr>
        <w:tabs>
          <w:tab w:val="left" w:pos="540"/>
          <w:tab w:val="left" w:pos="567"/>
        </w:tabs>
        <w:spacing w:before="120" w:line="276" w:lineRule="auto"/>
        <w:outlineLvl w:val="0"/>
        <w:rPr>
          <w:rFonts w:cs="Arial"/>
          <w:u w:val="single"/>
        </w:rPr>
      </w:pPr>
      <w:r w:rsidRPr="00976CBE">
        <w:rPr>
          <w:rFonts w:cs="Arial"/>
          <w:u w:val="single"/>
        </w:rPr>
        <w:lastRenderedPageBreak/>
        <w:t>Implementation of the North-East Atlantic Environment Strategy 2030</w:t>
      </w:r>
    </w:p>
    <w:p w14:paraId="03D4B5C2" w14:textId="77777777" w:rsidR="00976CBE" w:rsidRPr="00976CBE" w:rsidRDefault="00976CBE" w:rsidP="00976CBE">
      <w:pPr>
        <w:numPr>
          <w:ilvl w:val="0"/>
          <w:numId w:val="1"/>
        </w:numPr>
        <w:tabs>
          <w:tab w:val="left" w:pos="540"/>
          <w:tab w:val="left" w:pos="567"/>
        </w:tabs>
        <w:spacing w:before="120" w:after="120" w:line="276" w:lineRule="auto"/>
        <w:ind w:left="0" w:firstLine="0"/>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MIME will facilitate the implementation of the NEAES 2030, by:</w:t>
      </w:r>
    </w:p>
    <w:p w14:paraId="124D7F17" w14:textId="77777777" w:rsidR="00976CBE" w:rsidRPr="00976CBE" w:rsidRDefault="00976CBE" w:rsidP="00976CBE">
      <w:pPr>
        <w:numPr>
          <w:ilvl w:val="0"/>
          <w:numId w:val="3"/>
        </w:numPr>
        <w:tabs>
          <w:tab w:val="left" w:pos="540"/>
          <w:tab w:val="left" w:pos="567"/>
        </w:tabs>
        <w:spacing w:before="120" w:after="120" w:line="276" w:lineRule="auto"/>
        <w:ind w:hanging="513"/>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contributing to HASEC advice on the strategic objectives S1, S2, S3, S4, S5, S6, S7, S9, S10, S11, and S12;</w:t>
      </w:r>
    </w:p>
    <w:p w14:paraId="42113DE4" w14:textId="77777777" w:rsidR="00976CBE" w:rsidRPr="00976CBE" w:rsidRDefault="00976CBE" w:rsidP="00976CBE">
      <w:pPr>
        <w:numPr>
          <w:ilvl w:val="0"/>
          <w:numId w:val="3"/>
        </w:numPr>
        <w:tabs>
          <w:tab w:val="left" w:pos="540"/>
          <w:tab w:val="left" w:pos="567"/>
        </w:tabs>
        <w:spacing w:before="120" w:after="120" w:line="276" w:lineRule="auto"/>
        <w:ind w:hanging="513"/>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 xml:space="preserve">ensuring progress reporting to HASEC on implementation of NEAES 2030 tasks which MIME have been tasked with solving for HASEC. </w:t>
      </w:r>
    </w:p>
    <w:p w14:paraId="2A8037EF" w14:textId="77777777" w:rsidR="00976CBE" w:rsidRPr="00976CBE" w:rsidRDefault="00976CBE" w:rsidP="00976CBE">
      <w:pPr>
        <w:tabs>
          <w:tab w:val="left" w:pos="720"/>
        </w:tabs>
        <w:spacing w:before="120" w:line="276" w:lineRule="auto"/>
        <w:outlineLvl w:val="0"/>
        <w:rPr>
          <w:rFonts w:cs="Arial"/>
          <w:u w:val="single"/>
        </w:rPr>
      </w:pPr>
      <w:r w:rsidRPr="00976CBE">
        <w:rPr>
          <w:rFonts w:cs="Arial"/>
          <w:u w:val="single"/>
        </w:rPr>
        <w:t>Measures and Actions</w:t>
      </w:r>
    </w:p>
    <w:p w14:paraId="13EE9914" w14:textId="77777777" w:rsidR="00976CBE" w:rsidRPr="00976CBE" w:rsidRDefault="00976CBE" w:rsidP="00976CBE">
      <w:pPr>
        <w:tabs>
          <w:tab w:val="left" w:pos="567"/>
        </w:tabs>
        <w:spacing w:before="120" w:line="276" w:lineRule="auto"/>
        <w:rPr>
          <w:rFonts w:cs="Arial"/>
          <w:sz w:val="22"/>
          <w:szCs w:val="22"/>
        </w:rPr>
      </w:pPr>
      <w:r w:rsidRPr="00976CBE">
        <w:rPr>
          <w:rFonts w:cs="Arial"/>
          <w:sz w:val="22"/>
          <w:szCs w:val="22"/>
        </w:rPr>
        <w:t>7.</w:t>
      </w:r>
      <w:r w:rsidRPr="00976CBE">
        <w:rPr>
          <w:sz w:val="22"/>
          <w:szCs w:val="22"/>
        </w:rPr>
        <w:tab/>
      </w:r>
      <w:r w:rsidRPr="00976CBE">
        <w:rPr>
          <w:rFonts w:cs="Arial"/>
          <w:sz w:val="22"/>
          <w:szCs w:val="22"/>
          <w:lang w:val="en-US"/>
        </w:rPr>
        <w:t>MIME</w:t>
      </w:r>
      <w:r w:rsidRPr="00976CBE">
        <w:rPr>
          <w:rFonts w:cs="Arial"/>
          <w:sz w:val="22"/>
          <w:szCs w:val="22"/>
        </w:rPr>
        <w:t xml:space="preserve"> will periodically report and evaluate the implementation and effectiveness of relevant OSPAR </w:t>
      </w:r>
      <w:r w:rsidRPr="00976CBE">
        <w:rPr>
          <w:rFonts w:cs="Arial"/>
          <w:sz w:val="22"/>
          <w:szCs w:val="22"/>
          <w:lang w:val="en-US"/>
        </w:rPr>
        <w:t>monitoring,</w:t>
      </w:r>
      <w:r w:rsidRPr="00976CBE">
        <w:rPr>
          <w:rFonts w:cs="Arial"/>
          <w:sz w:val="22"/>
          <w:szCs w:val="22"/>
        </w:rPr>
        <w:t xml:space="preserve"> considering measures taken in other OSPAR groups, and other relevant fora, such as the</w:t>
      </w:r>
      <w:r w:rsidRPr="00976CBE">
        <w:rPr>
          <w:rFonts w:cs="Arial"/>
          <w:sz w:val="22"/>
          <w:szCs w:val="22"/>
          <w:lang w:val="en-US"/>
        </w:rPr>
        <w:t xml:space="preserve"> other regional Sea Conventions (HELCOM, AMAP), NORMAN and</w:t>
      </w:r>
      <w:r w:rsidRPr="00976CBE">
        <w:rPr>
          <w:rFonts w:cs="Arial"/>
          <w:sz w:val="22"/>
          <w:szCs w:val="22"/>
        </w:rPr>
        <w:t xml:space="preserve"> EU.</w:t>
      </w:r>
    </w:p>
    <w:p w14:paraId="43735228" w14:textId="77777777" w:rsidR="00976CBE" w:rsidRPr="00976CBE" w:rsidRDefault="00976CBE" w:rsidP="00976CBE">
      <w:pPr>
        <w:tabs>
          <w:tab w:val="left" w:pos="567"/>
        </w:tabs>
        <w:spacing w:before="120" w:line="276" w:lineRule="auto"/>
        <w:rPr>
          <w:rFonts w:cs="Arial"/>
          <w:sz w:val="22"/>
          <w:szCs w:val="22"/>
        </w:rPr>
      </w:pPr>
      <w:r w:rsidRPr="00976CBE">
        <w:rPr>
          <w:rFonts w:cs="Arial"/>
          <w:sz w:val="22"/>
          <w:szCs w:val="22"/>
        </w:rPr>
        <w:t>8.</w:t>
      </w:r>
      <w:r w:rsidRPr="00976CBE">
        <w:rPr>
          <w:rFonts w:cs="Arial"/>
          <w:sz w:val="22"/>
          <w:szCs w:val="22"/>
        </w:rPr>
        <w:tab/>
      </w:r>
      <w:r w:rsidRPr="00976CBE">
        <w:rPr>
          <w:rFonts w:cs="Arial"/>
          <w:sz w:val="22"/>
          <w:szCs w:val="22"/>
          <w:lang w:val="en-US"/>
        </w:rPr>
        <w:t>MIME</w:t>
      </w:r>
      <w:r w:rsidRPr="00976CBE">
        <w:rPr>
          <w:rFonts w:cs="Arial"/>
          <w:sz w:val="22"/>
          <w:szCs w:val="22"/>
        </w:rPr>
        <w:t xml:space="preserve"> will periodically review the applicability of its related </w:t>
      </w:r>
      <w:r w:rsidRPr="00976CBE">
        <w:rPr>
          <w:rFonts w:cs="Arial"/>
          <w:sz w:val="22"/>
          <w:szCs w:val="22"/>
          <w:lang w:val="en-US"/>
        </w:rPr>
        <w:t>monitoring</w:t>
      </w:r>
      <w:r w:rsidRPr="00976CBE">
        <w:rPr>
          <w:rFonts w:cs="Arial"/>
          <w:sz w:val="22"/>
          <w:szCs w:val="22"/>
        </w:rPr>
        <w:t xml:space="preserve"> in line with the NEAES 2030.</w:t>
      </w:r>
    </w:p>
    <w:p w14:paraId="3A23A3B8" w14:textId="77777777" w:rsidR="00976CBE" w:rsidRPr="00976CBE" w:rsidRDefault="00976CBE" w:rsidP="00976CBE">
      <w:pPr>
        <w:tabs>
          <w:tab w:val="left" w:pos="720"/>
        </w:tabs>
        <w:spacing w:before="120" w:line="276" w:lineRule="auto"/>
        <w:outlineLvl w:val="0"/>
        <w:rPr>
          <w:rFonts w:cs="Arial"/>
          <w:u w:val="single"/>
        </w:rPr>
      </w:pPr>
      <w:r w:rsidRPr="00976CBE">
        <w:rPr>
          <w:rFonts w:cs="Arial"/>
          <w:u w:val="single"/>
        </w:rPr>
        <w:t xml:space="preserve">Monitoring and assessment </w:t>
      </w:r>
    </w:p>
    <w:p w14:paraId="044CA5DC" w14:textId="77777777" w:rsidR="00976CBE" w:rsidRPr="00976CBE" w:rsidRDefault="00976CBE" w:rsidP="00976CBE">
      <w:pPr>
        <w:tabs>
          <w:tab w:val="left" w:pos="540"/>
        </w:tabs>
        <w:spacing w:after="120" w:line="276" w:lineRule="auto"/>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9.</w:t>
      </w:r>
      <w:r w:rsidRPr="00976CBE">
        <w:rPr>
          <w:rFonts w:ascii="Calibri" w:eastAsia="Calibri" w:hAnsi="Calibri" w:cs="Times New Roman"/>
          <w:kern w:val="0"/>
          <w:sz w:val="22"/>
          <w:szCs w:val="22"/>
          <w14:ligatures w14:val="none"/>
        </w:rPr>
        <w:tab/>
        <w:t>Under the auspice of HASEC, MIME shall develop and maintain appropriate monitoring and assessment tools in line with the JAMP 2014-2023, and successor programmes, paying particular attention to:</w:t>
      </w:r>
    </w:p>
    <w:p w14:paraId="0B839E80" w14:textId="77777777" w:rsidR="00976CBE" w:rsidRPr="00976CBE" w:rsidRDefault="00976CBE" w:rsidP="00976CBE">
      <w:pPr>
        <w:numPr>
          <w:ilvl w:val="0"/>
          <w:numId w:val="4"/>
        </w:numPr>
        <w:tabs>
          <w:tab w:val="left" w:pos="540"/>
          <w:tab w:val="left" w:pos="567"/>
        </w:tabs>
        <w:spacing w:before="120" w:after="120" w:line="276" w:lineRule="auto"/>
        <w:ind w:hanging="513"/>
        <w:jc w:val="both"/>
        <w:rPr>
          <w:rFonts w:ascii="Calibri" w:eastAsia="Calibri" w:hAnsi="Calibri" w:cs="Times New Roman"/>
          <w:b/>
          <w:bCs/>
          <w:kern w:val="0"/>
          <w:sz w:val="22"/>
          <w:szCs w:val="22"/>
          <w14:ligatures w14:val="none"/>
        </w:rPr>
      </w:pPr>
      <w:r w:rsidRPr="00976CBE">
        <w:rPr>
          <w:rFonts w:ascii="Calibri" w:eastAsia="Calibri" w:hAnsi="Calibri" w:cs="Times New Roman"/>
          <w:b/>
          <w:bCs/>
          <w:kern w:val="0"/>
          <w:sz w:val="22"/>
          <w:szCs w:val="22"/>
          <w14:ligatures w14:val="none"/>
        </w:rPr>
        <w:t>for hazardous substances:</w:t>
      </w:r>
    </w:p>
    <w:p w14:paraId="5364431B" w14:textId="77777777" w:rsidR="00976CBE" w:rsidRPr="00976CBE" w:rsidRDefault="00976CBE" w:rsidP="00976CBE">
      <w:pPr>
        <w:numPr>
          <w:ilvl w:val="0"/>
          <w:numId w:val="5"/>
        </w:numPr>
        <w:tabs>
          <w:tab w:val="left" w:pos="540"/>
          <w:tab w:val="left" w:pos="567"/>
        </w:tabs>
        <w:spacing w:before="120" w:after="120" w:line="276" w:lineRule="auto"/>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Status and time trends of hazardous substances associated with Marine Strategy Framework Directive (MSFD) descriptor 8 and those on the List of Chemicals for Priority Action;</w:t>
      </w:r>
    </w:p>
    <w:p w14:paraId="486F3BE6" w14:textId="77777777" w:rsidR="00976CBE" w:rsidRPr="00976CBE" w:rsidRDefault="00976CBE" w:rsidP="00976CBE">
      <w:pPr>
        <w:numPr>
          <w:ilvl w:val="0"/>
          <w:numId w:val="5"/>
        </w:numPr>
        <w:tabs>
          <w:tab w:val="left" w:pos="540"/>
          <w:tab w:val="left" w:pos="567"/>
        </w:tabs>
        <w:spacing w:before="120" w:after="120" w:line="276" w:lineRule="auto"/>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Assisting HASEC with effective regional coordinated monitoring and assessment, including development and implementation of indicators, targets and monitoring programmes associated with MSFD descriptor 8 and where possible assessment of progress towards achievement of good environmental status;</w:t>
      </w:r>
    </w:p>
    <w:p w14:paraId="6E59BF44" w14:textId="77777777" w:rsidR="00976CBE" w:rsidRPr="00976CBE" w:rsidRDefault="00976CBE" w:rsidP="00976CBE">
      <w:pPr>
        <w:numPr>
          <w:ilvl w:val="0"/>
          <w:numId w:val="5"/>
        </w:numPr>
        <w:tabs>
          <w:tab w:val="left" w:pos="540"/>
          <w:tab w:val="left" w:pos="567"/>
        </w:tabs>
        <w:spacing w:before="120" w:after="120" w:line="276" w:lineRule="auto"/>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Further develop the OHAT assessment tool to assist in an effective assessment process and assist in the HARSAT development of a user driven tool, enabling the CPs to do individual monitoring in subregions and on subsets of monitoring data, including supplemental monitoring or screening not previously reported to ICES;</w:t>
      </w:r>
    </w:p>
    <w:p w14:paraId="040B964F" w14:textId="77777777" w:rsidR="00976CBE" w:rsidRPr="00976CBE" w:rsidRDefault="00976CBE" w:rsidP="00976CBE">
      <w:pPr>
        <w:numPr>
          <w:ilvl w:val="0"/>
          <w:numId w:val="5"/>
        </w:numPr>
        <w:tabs>
          <w:tab w:val="left" w:pos="540"/>
          <w:tab w:val="left" w:pos="567"/>
        </w:tabs>
        <w:spacing w:before="120" w:after="120" w:line="276" w:lineRule="auto"/>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Assist in coordination of biological effects monitoring, non-target and suspect target screening to optimize knowledge gained for the OSPAR Area and feed into the process of finding hence forth unknown sources of pollution and unforeseen effects on the biological community, feeding new substances and sources into the list of substances of possible concern;</w:t>
      </w:r>
    </w:p>
    <w:p w14:paraId="4B91F8E4" w14:textId="77777777" w:rsidR="00976CBE" w:rsidRPr="00976CBE" w:rsidRDefault="00976CBE" w:rsidP="00976CBE">
      <w:pPr>
        <w:numPr>
          <w:ilvl w:val="0"/>
          <w:numId w:val="5"/>
        </w:numPr>
        <w:tabs>
          <w:tab w:val="left" w:pos="540"/>
          <w:tab w:val="left" w:pos="567"/>
        </w:tabs>
        <w:spacing w:before="120" w:after="120" w:line="276" w:lineRule="auto"/>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preparing appropriate environmental assessments for their publication via HASEC;</w:t>
      </w:r>
    </w:p>
    <w:p w14:paraId="3A061267" w14:textId="77777777" w:rsidR="00976CBE" w:rsidRPr="00976CBE" w:rsidRDefault="00976CBE" w:rsidP="00976CBE">
      <w:pPr>
        <w:numPr>
          <w:ilvl w:val="0"/>
          <w:numId w:val="5"/>
        </w:numPr>
        <w:tabs>
          <w:tab w:val="left" w:pos="540"/>
          <w:tab w:val="left" w:pos="567"/>
        </w:tabs>
        <w:spacing w:before="120" w:after="120" w:line="276" w:lineRule="auto"/>
        <w:jc w:val="both"/>
        <w:rPr>
          <w:rFonts w:ascii="Calibri" w:eastAsia="Calibri" w:hAnsi="Calibri" w:cs="Times New Roman"/>
          <w:kern w:val="0"/>
          <w:sz w:val="22"/>
          <w:szCs w:val="22"/>
          <w14:ligatures w14:val="none"/>
        </w:rPr>
      </w:pPr>
      <w:r w:rsidRPr="00976CBE">
        <w:rPr>
          <w:rFonts w:ascii="Calibri" w:eastAsia="Calibri" w:hAnsi="Calibri" w:cs="Times New Roman"/>
          <w:kern w:val="0"/>
          <w:sz w:val="22"/>
          <w:szCs w:val="22"/>
          <w14:ligatures w14:val="none"/>
        </w:rPr>
        <w:t>assist HASEC in ensuring assessments are based on results of monitoring, on research related to monitoring and assessment, and on data and information from other sources;</w:t>
      </w:r>
    </w:p>
    <w:p w14:paraId="15FCCF83" w14:textId="77777777" w:rsidR="00976CBE" w:rsidRDefault="00976CBE" w:rsidP="000D77AE">
      <w:pPr>
        <w:keepNext/>
        <w:numPr>
          <w:ilvl w:val="0"/>
          <w:numId w:val="5"/>
        </w:numPr>
        <w:tabs>
          <w:tab w:val="left" w:pos="540"/>
          <w:tab w:val="left" w:pos="567"/>
        </w:tabs>
        <w:spacing w:before="200" w:after="120" w:line="276" w:lineRule="auto"/>
        <w:jc w:val="both"/>
        <w:outlineLvl w:val="0"/>
        <w:rPr>
          <w:rFonts w:ascii="Calibri" w:eastAsia="Calibri" w:hAnsi="Calibri" w:cs="Times New Roman"/>
          <w:kern w:val="0"/>
          <w:sz w:val="22"/>
          <w:szCs w:val="22"/>
          <w14:ligatures w14:val="none"/>
        </w:rPr>
      </w:pPr>
      <w:r w:rsidRPr="000D77AE">
        <w:rPr>
          <w:rFonts w:ascii="Calibri" w:eastAsia="Calibri" w:hAnsi="Calibri" w:cs="Times New Roman"/>
          <w:kern w:val="0"/>
          <w:sz w:val="22"/>
          <w:szCs w:val="22"/>
          <w14:ligatures w14:val="none"/>
        </w:rPr>
        <w:lastRenderedPageBreak/>
        <w:t>Cooperate with HELCOM, AMAP and NORMAN, to contribute and respond to, assessments undertaken by other regional sea conventions or by fora outside OSPAR.</w:t>
      </w:r>
    </w:p>
    <w:p w14:paraId="23A50C45" w14:textId="77777777" w:rsidR="000D77AE" w:rsidRPr="000D77AE" w:rsidRDefault="000D77AE" w:rsidP="000D77AE">
      <w:pPr>
        <w:tabs>
          <w:tab w:val="left" w:pos="567"/>
          <w:tab w:val="left" w:pos="1418"/>
        </w:tabs>
        <w:spacing w:before="120" w:line="280" w:lineRule="atLeast"/>
        <w:rPr>
          <w:rFonts w:eastAsia="Times New Roman" w:cs="Arial"/>
          <w:szCs w:val="20"/>
          <w:u w:val="single"/>
          <w:lang w:eastAsia="en-GB"/>
        </w:rPr>
      </w:pPr>
      <w:r w:rsidRPr="000D77AE">
        <w:rPr>
          <w:rFonts w:eastAsia="Times New Roman" w:cs="Arial"/>
          <w:szCs w:val="20"/>
          <w:u w:val="single"/>
          <w:lang w:eastAsia="en-GB"/>
        </w:rPr>
        <w:t>OSPAR Science Agenda</w:t>
      </w:r>
    </w:p>
    <w:p w14:paraId="0DD48425" w14:textId="5872BF40" w:rsidR="000D77AE" w:rsidRPr="00C971E1" w:rsidRDefault="000D77AE" w:rsidP="00C971E1">
      <w:pPr>
        <w:tabs>
          <w:tab w:val="left" w:pos="567"/>
          <w:tab w:val="left" w:pos="1418"/>
        </w:tabs>
        <w:spacing w:before="120" w:line="280" w:lineRule="atLeast"/>
        <w:jc w:val="both"/>
        <w:rPr>
          <w:rFonts w:eastAsia="Times New Roman" w:cs="Arial"/>
          <w:szCs w:val="20"/>
          <w:lang w:eastAsia="en-GB"/>
        </w:rPr>
      </w:pPr>
      <w:r w:rsidRPr="00C971E1">
        <w:rPr>
          <w:rFonts w:eastAsia="Times New Roman" w:cs="Arial"/>
          <w:szCs w:val="20"/>
          <w:lang w:eastAsia="en-GB"/>
        </w:rPr>
        <w:t>10.</w:t>
      </w:r>
      <w:r w:rsidRPr="00C971E1">
        <w:rPr>
          <w:rFonts w:eastAsia="Times New Roman" w:cs="Arial"/>
          <w:szCs w:val="20"/>
          <w:lang w:eastAsia="en-GB"/>
        </w:rPr>
        <w:tab/>
        <w:t>MIME will periodically review, and update as necessary, the knowledge gaps and science needs in the OSPAR Science Agenda, prioritising those that are more relevant to its work, and informing HASEC of the need of external resources and implementing the OSPAR Project mechanism as appropriate, including plans for cross-cutting development work</w:t>
      </w:r>
      <w:r w:rsidR="00C971E1" w:rsidRPr="00C971E1">
        <w:rPr>
          <w:rFonts w:eastAsia="Times New Roman" w:cs="Arial"/>
          <w:szCs w:val="20"/>
          <w:lang w:eastAsia="en-GB"/>
        </w:rPr>
        <w:t>.</w:t>
      </w:r>
      <w:r w:rsidRPr="00C971E1">
        <w:rPr>
          <w:rFonts w:eastAsia="Times New Roman" w:cs="Arial"/>
          <w:szCs w:val="20"/>
          <w:lang w:eastAsia="en-GB"/>
        </w:rPr>
        <w:t xml:space="preserve"> </w:t>
      </w:r>
    </w:p>
    <w:p w14:paraId="4B74099E" w14:textId="77777777" w:rsidR="000D77AE" w:rsidRPr="00976CBE" w:rsidRDefault="000D77AE" w:rsidP="000D77AE">
      <w:pPr>
        <w:keepNext/>
        <w:tabs>
          <w:tab w:val="left" w:pos="540"/>
          <w:tab w:val="left" w:pos="567"/>
        </w:tabs>
        <w:spacing w:before="200" w:after="120" w:line="276" w:lineRule="auto"/>
        <w:jc w:val="both"/>
        <w:outlineLvl w:val="0"/>
        <w:rPr>
          <w:rFonts w:ascii="Calibri" w:eastAsia="Calibri" w:hAnsi="Calibri" w:cs="Times New Roman"/>
          <w:kern w:val="0"/>
          <w:sz w:val="22"/>
          <w:szCs w:val="22"/>
          <w14:ligatures w14:val="none"/>
        </w:rPr>
      </w:pPr>
    </w:p>
    <w:sectPr w:rsidR="000D77AE" w:rsidRPr="00976CB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D799" w14:textId="77777777" w:rsidR="0029527C" w:rsidRDefault="0029527C" w:rsidP="0034368A">
      <w:r>
        <w:separator/>
      </w:r>
    </w:p>
  </w:endnote>
  <w:endnote w:type="continuationSeparator" w:id="0">
    <w:p w14:paraId="141F031D" w14:textId="77777777" w:rsidR="0029527C" w:rsidRDefault="0029527C" w:rsidP="0034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26FF" w14:textId="77777777" w:rsidR="00C971E1" w:rsidRDefault="00C97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9026"/>
    </w:tblGrid>
    <w:tr w:rsidR="003E7729" w:rsidRPr="003E7729" w14:paraId="020D6150" w14:textId="77777777" w:rsidTr="00784D1D">
      <w:trPr>
        <w:cantSplit/>
        <w:trHeight w:hRule="exact" w:val="284"/>
      </w:trPr>
      <w:tc>
        <w:tcPr>
          <w:tcW w:w="5000" w:type="pct"/>
          <w:tcBorders>
            <w:bottom w:val="single" w:sz="4" w:space="0" w:color="auto"/>
          </w:tcBorders>
        </w:tcPr>
        <w:bookmarkStart w:id="2" w:name="_Hlk130514346"/>
        <w:p w14:paraId="118DA55B" w14:textId="252551D9" w:rsidR="003E7729" w:rsidRPr="003E7729" w:rsidRDefault="003E7729" w:rsidP="003E7729">
          <w:pPr>
            <w:jc w:val="right"/>
            <w:rPr>
              <w:rFonts w:ascii="Calibri" w:eastAsia="Times New Roman" w:hAnsi="Calibri" w:cs="Arial"/>
              <w:kern w:val="0"/>
              <w:sz w:val="20"/>
              <w:szCs w:val="20"/>
              <w:lang w:eastAsia="en-GB"/>
              <w14:ligatures w14:val="none"/>
            </w:rPr>
          </w:pPr>
          <w:r w:rsidRPr="003E7729">
            <w:rPr>
              <w:rFonts w:ascii="Calibri" w:eastAsia="Times New Roman" w:hAnsi="Calibri" w:cs="Times New Roman"/>
              <w:kern w:val="0"/>
              <w:sz w:val="20"/>
              <w:szCs w:val="20"/>
              <w:lang w:eastAsia="en-GB"/>
              <w14:ligatures w14:val="none"/>
            </w:rPr>
            <w:fldChar w:fldCharType="begin"/>
          </w:r>
          <w:r w:rsidRPr="003E7729">
            <w:rPr>
              <w:rFonts w:ascii="Calibri" w:eastAsia="Times New Roman" w:hAnsi="Calibri" w:cs="Times New Roman"/>
              <w:kern w:val="0"/>
              <w:sz w:val="20"/>
              <w:szCs w:val="20"/>
              <w:lang w:eastAsia="en-GB"/>
              <w14:ligatures w14:val="none"/>
            </w:rPr>
            <w:instrText xml:space="preserve"> PAGE </w:instrText>
          </w:r>
          <w:r w:rsidRPr="003E7729">
            <w:rPr>
              <w:rFonts w:ascii="Calibri" w:eastAsia="Times New Roman" w:hAnsi="Calibri" w:cs="Times New Roman"/>
              <w:kern w:val="0"/>
              <w:sz w:val="20"/>
              <w:szCs w:val="20"/>
              <w:lang w:eastAsia="en-GB"/>
              <w14:ligatures w14:val="none"/>
            </w:rPr>
            <w:fldChar w:fldCharType="separate"/>
          </w:r>
          <w:r w:rsidR="00870FDA">
            <w:rPr>
              <w:rFonts w:ascii="Calibri" w:eastAsia="Times New Roman" w:hAnsi="Calibri" w:cs="Times New Roman"/>
              <w:noProof/>
              <w:kern w:val="0"/>
              <w:sz w:val="20"/>
              <w:szCs w:val="20"/>
              <w:lang w:eastAsia="en-GB"/>
              <w14:ligatures w14:val="none"/>
            </w:rPr>
            <w:t>2</w:t>
          </w:r>
          <w:r w:rsidRPr="003E7729">
            <w:rPr>
              <w:rFonts w:ascii="Calibri" w:eastAsia="Times New Roman" w:hAnsi="Calibri" w:cs="Times New Roman"/>
              <w:kern w:val="0"/>
              <w:sz w:val="20"/>
              <w:szCs w:val="20"/>
              <w:lang w:eastAsia="en-GB"/>
              <w14:ligatures w14:val="none"/>
            </w:rPr>
            <w:fldChar w:fldCharType="end"/>
          </w:r>
          <w:r w:rsidRPr="003E7729">
            <w:rPr>
              <w:rFonts w:ascii="Calibri" w:eastAsia="Times New Roman" w:hAnsi="Calibri" w:cs="Times New Roman"/>
              <w:kern w:val="0"/>
              <w:sz w:val="20"/>
              <w:szCs w:val="20"/>
              <w:lang w:eastAsia="en-GB"/>
              <w14:ligatures w14:val="none"/>
            </w:rPr>
            <w:t xml:space="preserve"> of </w:t>
          </w:r>
          <w:r w:rsidRPr="003E7729">
            <w:rPr>
              <w:rFonts w:ascii="Calibri" w:eastAsia="Times New Roman" w:hAnsi="Calibri" w:cs="Times New Roman"/>
              <w:kern w:val="0"/>
              <w:sz w:val="20"/>
              <w:szCs w:val="20"/>
              <w:lang w:eastAsia="en-GB"/>
              <w14:ligatures w14:val="none"/>
            </w:rPr>
            <w:fldChar w:fldCharType="begin"/>
          </w:r>
          <w:r w:rsidRPr="003E7729">
            <w:rPr>
              <w:rFonts w:ascii="Calibri" w:eastAsia="Times New Roman" w:hAnsi="Calibri" w:cs="Times New Roman"/>
              <w:kern w:val="0"/>
              <w:sz w:val="20"/>
              <w:szCs w:val="20"/>
              <w:lang w:eastAsia="en-GB"/>
              <w14:ligatures w14:val="none"/>
            </w:rPr>
            <w:instrText xml:space="preserve"> NUMPAGES </w:instrText>
          </w:r>
          <w:r w:rsidRPr="003E7729">
            <w:rPr>
              <w:rFonts w:ascii="Calibri" w:eastAsia="Times New Roman" w:hAnsi="Calibri" w:cs="Times New Roman"/>
              <w:kern w:val="0"/>
              <w:sz w:val="20"/>
              <w:szCs w:val="20"/>
              <w:lang w:eastAsia="en-GB"/>
              <w14:ligatures w14:val="none"/>
            </w:rPr>
            <w:fldChar w:fldCharType="separate"/>
          </w:r>
          <w:r w:rsidR="00870FDA">
            <w:rPr>
              <w:rFonts w:ascii="Calibri" w:eastAsia="Times New Roman" w:hAnsi="Calibri" w:cs="Times New Roman"/>
              <w:noProof/>
              <w:kern w:val="0"/>
              <w:sz w:val="20"/>
              <w:szCs w:val="20"/>
              <w:lang w:eastAsia="en-GB"/>
              <w14:ligatures w14:val="none"/>
            </w:rPr>
            <w:t>3</w:t>
          </w:r>
          <w:r w:rsidRPr="003E7729">
            <w:rPr>
              <w:rFonts w:ascii="Calibri" w:eastAsia="Times New Roman" w:hAnsi="Calibri" w:cs="Times New Roman"/>
              <w:kern w:val="0"/>
              <w:sz w:val="20"/>
              <w:szCs w:val="20"/>
              <w:lang w:eastAsia="en-GB"/>
              <w14:ligatures w14:val="none"/>
            </w:rPr>
            <w:fldChar w:fldCharType="end"/>
          </w:r>
        </w:p>
      </w:tc>
    </w:tr>
  </w:tbl>
  <w:bookmarkEnd w:id="2"/>
  <w:p w14:paraId="38011ACF" w14:textId="7C3D5EE8" w:rsidR="003E7729" w:rsidRPr="003E7729" w:rsidRDefault="003E7729" w:rsidP="003E7729">
    <w:pPr>
      <w:spacing w:after="120" w:line="276" w:lineRule="auto"/>
      <w:jc w:val="both"/>
      <w:rPr>
        <w:rFonts w:ascii="Calibri" w:eastAsia="Calibri" w:hAnsi="Calibri" w:cs="Times New Roman"/>
        <w:kern w:val="0"/>
        <w:sz w:val="22"/>
        <w:szCs w:val="22"/>
        <w14:ligatures w14:val="none"/>
      </w:rPr>
    </w:pPr>
    <w:r w:rsidRPr="003E7729">
      <w:rPr>
        <w:rFonts w:ascii="Calibri" w:eastAsia="Calibri" w:hAnsi="Calibri" w:cs="Times New Roman"/>
        <w:kern w:val="0"/>
        <w:sz w:val="22"/>
        <w:szCs w:val="22"/>
        <w14:ligatures w14:val="none"/>
      </w:rPr>
      <w:t xml:space="preserve">OSPAR Commission                                              </w:t>
    </w:r>
    <w:r w:rsidRPr="003E7729">
      <w:rPr>
        <w:rFonts w:ascii="Calibri" w:eastAsia="Calibri" w:hAnsi="Calibri" w:cs="Times New Roman"/>
        <w:kern w:val="0"/>
        <w:sz w:val="22"/>
        <w:szCs w:val="22"/>
        <w14:ligatures w14:val="none"/>
      </w:rPr>
      <w:tab/>
      <w:t xml:space="preserve">                  </w:t>
    </w:r>
    <w:r w:rsidR="00CC32B4">
      <w:rPr>
        <w:rFonts w:ascii="Calibri" w:eastAsia="Calibri" w:hAnsi="Calibri" w:cs="Times New Roman"/>
        <w:kern w:val="0"/>
        <w:sz w:val="22"/>
        <w:szCs w:val="22"/>
        <w14:ligatures w14:val="none"/>
      </w:rPr>
      <w:tab/>
    </w:r>
    <w:r w:rsidR="00CC32B4">
      <w:rPr>
        <w:rFonts w:ascii="Calibri" w:eastAsia="Calibri" w:hAnsi="Calibri" w:cs="Times New Roman"/>
        <w:kern w:val="0"/>
        <w:sz w:val="22"/>
        <w:szCs w:val="22"/>
        <w14:ligatures w14:val="none"/>
      </w:rPr>
      <w:tab/>
      <w:t xml:space="preserve">     HASEC 2</w:t>
    </w:r>
    <w:r w:rsidR="00976CBE">
      <w:rPr>
        <w:rFonts w:ascii="Calibri" w:eastAsia="Calibri" w:hAnsi="Calibri" w:cs="Times New Roman"/>
        <w:kern w:val="0"/>
        <w:sz w:val="22"/>
        <w:szCs w:val="22"/>
        <w14:ligatures w14:val="none"/>
      </w:rPr>
      <w:t>5</w:t>
    </w:r>
    <w:r w:rsidR="00CC32B4">
      <w:rPr>
        <w:rFonts w:ascii="Calibri" w:eastAsia="Calibri" w:hAnsi="Calibri" w:cs="Times New Roman"/>
        <w:kern w:val="0"/>
        <w:sz w:val="22"/>
        <w:szCs w:val="22"/>
        <w14:ligatures w14:val="none"/>
      </w:rPr>
      <w:t>/</w:t>
    </w:r>
    <w:r w:rsidR="00C971E1">
      <w:rPr>
        <w:rFonts w:ascii="Calibri" w:eastAsia="Calibri" w:hAnsi="Calibri" w:cs="Times New Roman"/>
        <w:kern w:val="0"/>
        <w:sz w:val="22"/>
        <w:szCs w:val="22"/>
        <w14:ligatures w14:val="none"/>
      </w:rPr>
      <w:t>14/01, Annex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8063" w14:textId="77777777" w:rsidR="00C971E1" w:rsidRDefault="00C97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DE0A" w14:textId="77777777" w:rsidR="0029527C" w:rsidRDefault="0029527C" w:rsidP="0034368A">
      <w:r>
        <w:separator/>
      </w:r>
    </w:p>
  </w:footnote>
  <w:footnote w:type="continuationSeparator" w:id="0">
    <w:p w14:paraId="0D343104" w14:textId="77777777" w:rsidR="0029527C" w:rsidRDefault="0029527C" w:rsidP="0034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1FAD" w14:textId="77777777" w:rsidR="00C971E1" w:rsidRDefault="00C97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1762" w14:textId="77777777" w:rsidR="00C971E1" w:rsidRDefault="00C97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43AC" w14:textId="77777777" w:rsidR="00C971E1" w:rsidRDefault="00C97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427"/>
    <w:multiLevelType w:val="hybridMultilevel"/>
    <w:tmpl w:val="B942B4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2F0387"/>
    <w:multiLevelType w:val="hybridMultilevel"/>
    <w:tmpl w:val="D4E29ED4"/>
    <w:lvl w:ilvl="0" w:tplc="A1DA9FAA">
      <w:start w:val="5"/>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756234"/>
    <w:multiLevelType w:val="hybridMultilevel"/>
    <w:tmpl w:val="797E6EB8"/>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BC4EEF"/>
    <w:multiLevelType w:val="hybridMultilevel"/>
    <w:tmpl w:val="DD685C7A"/>
    <w:lvl w:ilvl="0" w:tplc="169263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5CD51D9"/>
    <w:multiLevelType w:val="hybridMultilevel"/>
    <w:tmpl w:val="24EA86FE"/>
    <w:lvl w:ilvl="0" w:tplc="97CE30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5A7627E"/>
    <w:multiLevelType w:val="hybridMultilevel"/>
    <w:tmpl w:val="40A21B1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DBA1DFF"/>
    <w:multiLevelType w:val="hybridMultilevel"/>
    <w:tmpl w:val="54E07C7E"/>
    <w:lvl w:ilvl="0" w:tplc="0CA6A396">
      <w:start w:val="1"/>
      <w:numFmt w:val="decimal"/>
      <w:lvlText w:val="%1."/>
      <w:lvlJc w:val="left"/>
      <w:pPr>
        <w:ind w:left="502"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7210359">
    <w:abstractNumId w:val="6"/>
  </w:num>
  <w:num w:numId="2" w16cid:durableId="1358115587">
    <w:abstractNumId w:val="2"/>
  </w:num>
  <w:num w:numId="3" w16cid:durableId="1338000920">
    <w:abstractNumId w:val="0"/>
  </w:num>
  <w:num w:numId="4" w16cid:durableId="1905678757">
    <w:abstractNumId w:val="5"/>
  </w:num>
  <w:num w:numId="5" w16cid:durableId="1724254161">
    <w:abstractNumId w:val="3"/>
  </w:num>
  <w:num w:numId="6" w16cid:durableId="154345444">
    <w:abstractNumId w:val="4"/>
  </w:num>
  <w:num w:numId="7" w16cid:durableId="138198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63"/>
    <w:rsid w:val="00022DFC"/>
    <w:rsid w:val="000236B6"/>
    <w:rsid w:val="00034647"/>
    <w:rsid w:val="00062AD5"/>
    <w:rsid w:val="000D77AE"/>
    <w:rsid w:val="00114F8F"/>
    <w:rsid w:val="00135EE7"/>
    <w:rsid w:val="00207427"/>
    <w:rsid w:val="0029527C"/>
    <w:rsid w:val="002D4B3D"/>
    <w:rsid w:val="002E3134"/>
    <w:rsid w:val="002E7FBF"/>
    <w:rsid w:val="00320090"/>
    <w:rsid w:val="0034368A"/>
    <w:rsid w:val="003A5944"/>
    <w:rsid w:val="003E7729"/>
    <w:rsid w:val="004052DD"/>
    <w:rsid w:val="00406B48"/>
    <w:rsid w:val="00413D84"/>
    <w:rsid w:val="00445F7B"/>
    <w:rsid w:val="0048799A"/>
    <w:rsid w:val="004B24B2"/>
    <w:rsid w:val="004C30A5"/>
    <w:rsid w:val="004F3F0C"/>
    <w:rsid w:val="00537F0C"/>
    <w:rsid w:val="005422BC"/>
    <w:rsid w:val="005F3054"/>
    <w:rsid w:val="0073619F"/>
    <w:rsid w:val="00795528"/>
    <w:rsid w:val="00870FDA"/>
    <w:rsid w:val="008A577B"/>
    <w:rsid w:val="00915D68"/>
    <w:rsid w:val="009301EF"/>
    <w:rsid w:val="0096743D"/>
    <w:rsid w:val="00976CBE"/>
    <w:rsid w:val="009962B0"/>
    <w:rsid w:val="009A7AEB"/>
    <w:rsid w:val="00A511D7"/>
    <w:rsid w:val="00A820B5"/>
    <w:rsid w:val="00B068A6"/>
    <w:rsid w:val="00B07263"/>
    <w:rsid w:val="00B3301A"/>
    <w:rsid w:val="00B6069F"/>
    <w:rsid w:val="00C971E1"/>
    <w:rsid w:val="00CB2BD0"/>
    <w:rsid w:val="00CC32B4"/>
    <w:rsid w:val="00CF7F57"/>
    <w:rsid w:val="00D0291B"/>
    <w:rsid w:val="00D431A3"/>
    <w:rsid w:val="00D76E04"/>
    <w:rsid w:val="00D86501"/>
    <w:rsid w:val="00D92BB6"/>
    <w:rsid w:val="00E02811"/>
    <w:rsid w:val="00E22C3B"/>
    <w:rsid w:val="00E438A3"/>
    <w:rsid w:val="00EB0ADC"/>
    <w:rsid w:val="00ED05CF"/>
    <w:rsid w:val="00F47650"/>
    <w:rsid w:val="00F555A9"/>
    <w:rsid w:val="00F71E0A"/>
    <w:rsid w:val="00FA05CB"/>
    <w:rsid w:val="00FD0748"/>
    <w:rsid w:val="086B18F4"/>
    <w:rsid w:val="0BA2B9B6"/>
    <w:rsid w:val="1148D7E9"/>
    <w:rsid w:val="2E2C43E4"/>
    <w:rsid w:val="3D474523"/>
    <w:rsid w:val="3FE62595"/>
    <w:rsid w:val="4E8A1ADC"/>
    <w:rsid w:val="59CDCB47"/>
    <w:rsid w:val="5E6561F1"/>
    <w:rsid w:val="7A8DA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37056"/>
  <w15:chartTrackingRefBased/>
  <w15:docId w15:val="{ADC2C707-ED9C-7D4B-B9BC-804F9AE8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BodyText"/>
    <w:link w:val="Heading1Char"/>
    <w:qFormat/>
    <w:rsid w:val="0034368A"/>
    <w:pPr>
      <w:keepLines w:val="0"/>
      <w:spacing w:before="200" w:after="120" w:line="276" w:lineRule="auto"/>
      <w:jc w:val="both"/>
      <w:outlineLvl w:val="0"/>
    </w:pPr>
    <w:rPr>
      <w:rFonts w:ascii="Calibri" w:eastAsia="Times New Roman" w:hAnsi="Calibri" w:cs="Times New Roman"/>
      <w:noProof/>
      <w:color w:val="auto"/>
      <w:kern w:val="0"/>
      <w:lang w:eastAsia="en-GB"/>
      <w14:ligatures w14:val="none"/>
    </w:rPr>
  </w:style>
  <w:style w:type="paragraph" w:styleId="Heading2">
    <w:name w:val="heading 2"/>
    <w:basedOn w:val="Normal"/>
    <w:next w:val="Normal"/>
    <w:link w:val="Heading2Char"/>
    <w:uiPriority w:val="9"/>
    <w:semiHidden/>
    <w:unhideWhenUsed/>
    <w:qFormat/>
    <w:rsid w:val="003436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68A"/>
    <w:rPr>
      <w:rFonts w:ascii="Calibri" w:eastAsia="Times New Roman" w:hAnsi="Calibri" w:cs="Times New Roman"/>
      <w:noProof/>
      <w:kern w:val="0"/>
      <w:sz w:val="26"/>
      <w:szCs w:val="26"/>
      <w:lang w:val="en-GB" w:eastAsia="en-GB"/>
      <w14:ligatures w14:val="none"/>
    </w:rPr>
  </w:style>
  <w:style w:type="paragraph" w:styleId="FootnoteText">
    <w:name w:val="footnote text"/>
    <w:link w:val="FootnoteTextChar"/>
    <w:rsid w:val="0034368A"/>
    <w:pPr>
      <w:spacing w:line="200" w:lineRule="atLeast"/>
      <w:ind w:left="1134"/>
    </w:pPr>
    <w:rPr>
      <w:rFonts w:ascii="Arial" w:eastAsia="Times New Roman" w:hAnsi="Arial" w:cs="Times New Roman"/>
      <w:noProof/>
      <w:kern w:val="0"/>
      <w:sz w:val="16"/>
      <w:szCs w:val="20"/>
      <w:lang w:eastAsia="en-GB"/>
      <w14:ligatures w14:val="none"/>
    </w:rPr>
  </w:style>
  <w:style w:type="character" w:customStyle="1" w:styleId="FootnoteTextChar">
    <w:name w:val="Footnote Text Char"/>
    <w:basedOn w:val="DefaultParagraphFont"/>
    <w:link w:val="FootnoteText"/>
    <w:rsid w:val="0034368A"/>
    <w:rPr>
      <w:rFonts w:ascii="Arial" w:eastAsia="Times New Roman" w:hAnsi="Arial" w:cs="Times New Roman"/>
      <w:noProof/>
      <w:kern w:val="0"/>
      <w:sz w:val="16"/>
      <w:szCs w:val="20"/>
      <w:lang w:val="en-GB" w:eastAsia="en-GB"/>
      <w14:ligatures w14:val="none"/>
    </w:rPr>
  </w:style>
  <w:style w:type="character" w:styleId="FootnoteReference">
    <w:name w:val="footnote reference"/>
    <w:aliases w:val="stylish"/>
    <w:rsid w:val="0034368A"/>
    <w:rPr>
      <w:vertAlign w:val="superscript"/>
    </w:rPr>
  </w:style>
  <w:style w:type="paragraph" w:styleId="ListParagraph">
    <w:name w:val="List Paragraph"/>
    <w:aliases w:val="Heading 2_sj,List Paragraph1,Listenabsatz1,_Bullet,Parágrafo da Lista,Normal bullet 2,Bullet list,Dot pt"/>
    <w:basedOn w:val="Normal"/>
    <w:link w:val="ListParagraphChar"/>
    <w:uiPriority w:val="34"/>
    <w:qFormat/>
    <w:rsid w:val="0034368A"/>
    <w:pPr>
      <w:spacing w:after="120" w:line="276" w:lineRule="auto"/>
      <w:ind w:left="720"/>
      <w:contextualSpacing/>
      <w:jc w:val="both"/>
    </w:pPr>
    <w:rPr>
      <w:rFonts w:ascii="Calibri" w:eastAsia="Calibri" w:hAnsi="Calibri" w:cs="Times New Roman"/>
      <w:kern w:val="0"/>
      <w:sz w:val="22"/>
      <w:szCs w:val="22"/>
      <w14:ligatures w14:val="none"/>
    </w:rPr>
  </w:style>
  <w:style w:type="character" w:customStyle="1" w:styleId="ListParagraphChar">
    <w:name w:val="List Paragraph Char"/>
    <w:aliases w:val="Heading 2_sj Char,List Paragraph1 Char,Listenabsatz1 Char,_Bullet Char,Parágrafo da Lista Char,Normal bullet 2 Char,Bullet list Char,Dot pt Char"/>
    <w:link w:val="ListParagraph"/>
    <w:uiPriority w:val="34"/>
    <w:qFormat/>
    <w:locked/>
    <w:rsid w:val="0034368A"/>
    <w:rPr>
      <w:rFonts w:ascii="Calibri" w:eastAsia="Calibri" w:hAnsi="Calibri" w:cs="Times New Roman"/>
      <w:kern w:val="0"/>
      <w:sz w:val="22"/>
      <w:szCs w:val="22"/>
      <w:lang w:val="en-GB"/>
      <w14:ligatures w14:val="none"/>
    </w:rPr>
  </w:style>
  <w:style w:type="character" w:customStyle="1" w:styleId="Heading2Char">
    <w:name w:val="Heading 2 Char"/>
    <w:basedOn w:val="DefaultParagraphFont"/>
    <w:link w:val="Heading2"/>
    <w:uiPriority w:val="9"/>
    <w:semiHidden/>
    <w:rsid w:val="0034368A"/>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34368A"/>
    <w:pPr>
      <w:spacing w:after="120"/>
    </w:pPr>
  </w:style>
  <w:style w:type="character" w:customStyle="1" w:styleId="BodyTextChar">
    <w:name w:val="Body Text Char"/>
    <w:basedOn w:val="DefaultParagraphFont"/>
    <w:link w:val="BodyText"/>
    <w:uiPriority w:val="99"/>
    <w:semiHidden/>
    <w:rsid w:val="0034368A"/>
  </w:style>
  <w:style w:type="character" w:styleId="CommentReference">
    <w:name w:val="annotation reference"/>
    <w:basedOn w:val="DefaultParagraphFont"/>
    <w:uiPriority w:val="99"/>
    <w:semiHidden/>
    <w:unhideWhenUsed/>
    <w:rsid w:val="00537F0C"/>
    <w:rPr>
      <w:sz w:val="16"/>
      <w:szCs w:val="16"/>
    </w:rPr>
  </w:style>
  <w:style w:type="paragraph" w:styleId="CommentText">
    <w:name w:val="annotation text"/>
    <w:basedOn w:val="Normal"/>
    <w:link w:val="CommentTextChar"/>
    <w:uiPriority w:val="99"/>
    <w:semiHidden/>
    <w:unhideWhenUsed/>
    <w:rsid w:val="00537F0C"/>
    <w:rPr>
      <w:sz w:val="20"/>
      <w:szCs w:val="20"/>
    </w:rPr>
  </w:style>
  <w:style w:type="character" w:customStyle="1" w:styleId="CommentTextChar">
    <w:name w:val="Comment Text Char"/>
    <w:basedOn w:val="DefaultParagraphFont"/>
    <w:link w:val="CommentText"/>
    <w:uiPriority w:val="99"/>
    <w:semiHidden/>
    <w:rsid w:val="00537F0C"/>
    <w:rPr>
      <w:sz w:val="20"/>
      <w:szCs w:val="20"/>
    </w:rPr>
  </w:style>
  <w:style w:type="paragraph" w:styleId="CommentSubject">
    <w:name w:val="annotation subject"/>
    <w:basedOn w:val="CommentText"/>
    <w:next w:val="CommentText"/>
    <w:link w:val="CommentSubjectChar"/>
    <w:uiPriority w:val="99"/>
    <w:semiHidden/>
    <w:unhideWhenUsed/>
    <w:rsid w:val="00537F0C"/>
    <w:rPr>
      <w:b/>
      <w:bCs/>
    </w:rPr>
  </w:style>
  <w:style w:type="character" w:customStyle="1" w:styleId="CommentSubjectChar">
    <w:name w:val="Comment Subject Char"/>
    <w:basedOn w:val="CommentTextChar"/>
    <w:link w:val="CommentSubject"/>
    <w:uiPriority w:val="99"/>
    <w:semiHidden/>
    <w:rsid w:val="00537F0C"/>
    <w:rPr>
      <w:b/>
      <w:bCs/>
      <w:sz w:val="20"/>
      <w:szCs w:val="20"/>
    </w:rPr>
  </w:style>
  <w:style w:type="paragraph" w:styleId="BalloonText">
    <w:name w:val="Balloon Text"/>
    <w:basedOn w:val="Normal"/>
    <w:link w:val="BalloonTextChar"/>
    <w:uiPriority w:val="99"/>
    <w:semiHidden/>
    <w:unhideWhenUsed/>
    <w:rsid w:val="00537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0C"/>
    <w:rPr>
      <w:rFonts w:ascii="Segoe UI" w:hAnsi="Segoe UI" w:cs="Segoe UI"/>
      <w:sz w:val="18"/>
      <w:szCs w:val="18"/>
    </w:rPr>
  </w:style>
  <w:style w:type="paragraph" w:styleId="Revision">
    <w:name w:val="Revision"/>
    <w:hidden/>
    <w:uiPriority w:val="99"/>
    <w:semiHidden/>
    <w:rsid w:val="003E7729"/>
  </w:style>
  <w:style w:type="table" w:styleId="TableGrid">
    <w:name w:val="Table Grid"/>
    <w:basedOn w:val="TableNormal"/>
    <w:uiPriority w:val="59"/>
    <w:rsid w:val="003E7729"/>
    <w:rPr>
      <w:kern w:val="0"/>
      <w:sz w:val="22"/>
      <w:szCs w:val="22"/>
      <w:lang w:val="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729"/>
    <w:pPr>
      <w:tabs>
        <w:tab w:val="center" w:pos="4513"/>
        <w:tab w:val="right" w:pos="9026"/>
      </w:tabs>
    </w:pPr>
  </w:style>
  <w:style w:type="character" w:customStyle="1" w:styleId="HeaderChar">
    <w:name w:val="Header Char"/>
    <w:basedOn w:val="DefaultParagraphFont"/>
    <w:link w:val="Header"/>
    <w:uiPriority w:val="99"/>
    <w:rsid w:val="003E7729"/>
  </w:style>
  <w:style w:type="paragraph" w:styleId="Footer">
    <w:name w:val="footer"/>
    <w:basedOn w:val="Normal"/>
    <w:link w:val="FooterChar"/>
    <w:uiPriority w:val="99"/>
    <w:unhideWhenUsed/>
    <w:rsid w:val="003E7729"/>
    <w:pPr>
      <w:tabs>
        <w:tab w:val="center" w:pos="4513"/>
        <w:tab w:val="right" w:pos="9026"/>
      </w:tabs>
    </w:pPr>
  </w:style>
  <w:style w:type="character" w:customStyle="1" w:styleId="FooterChar">
    <w:name w:val="Footer Char"/>
    <w:basedOn w:val="DefaultParagraphFont"/>
    <w:link w:val="Footer"/>
    <w:uiPriority w:val="99"/>
    <w:rsid w:val="003E7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2135bc-b2ec-415f-b9aa-be28010955f0" xsi:nil="true"/>
    <lcf76f155ced4ddcb4097134ff3c332f xmlns="7707a69f-989f-4099-9d5f-78e8e6af99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F541696833A47BB02B73F259760B3" ma:contentTypeVersion="11" ma:contentTypeDescription="Create a new document." ma:contentTypeScope="" ma:versionID="5eede924d459489f99cf4c4001a8122a">
  <xsd:schema xmlns:xsd="http://www.w3.org/2001/XMLSchema" xmlns:xs="http://www.w3.org/2001/XMLSchema" xmlns:p="http://schemas.microsoft.com/office/2006/metadata/properties" xmlns:ns2="7707a69f-989f-4099-9d5f-78e8e6af99d3" xmlns:ns3="b32135bc-b2ec-415f-b9aa-be28010955f0" targetNamespace="http://schemas.microsoft.com/office/2006/metadata/properties" ma:root="true" ma:fieldsID="abe6bfac017d08a7c3189316c453c11f" ns2:_="" ns3:_="">
    <xsd:import namespace="7707a69f-989f-4099-9d5f-78e8e6af99d3"/>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7a69f-989f-4099-9d5f-78e8e6af9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8a4758-4e0f-4f38-bb4e-445dd1d145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231268a-b0b6-4cb7-b5cc-b030dddc4cef}"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4D1F9-19C8-4409-BF22-3B47B119B8E5}">
  <ds:schemaRefs>
    <ds:schemaRef ds:uri="http://schemas.microsoft.com/office/2006/metadata/properties"/>
    <ds:schemaRef ds:uri="http://schemas.microsoft.com/office/infopath/2007/PartnerControls"/>
    <ds:schemaRef ds:uri="b32135bc-b2ec-415f-b9aa-be28010955f0"/>
    <ds:schemaRef ds:uri="7707a69f-989f-4099-9d5f-78e8e6af99d3"/>
  </ds:schemaRefs>
</ds:datastoreItem>
</file>

<file path=customXml/itemProps2.xml><?xml version="1.0" encoding="utf-8"?>
<ds:datastoreItem xmlns:ds="http://schemas.openxmlformats.org/officeDocument/2006/customXml" ds:itemID="{BDEB6E40-05F2-4B92-A477-105B1A6C8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7a69f-989f-4099-9d5f-78e8e6af99d3"/>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DD830-EB02-4CFE-B2F1-72FEDE878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801</Words>
  <Characters>4544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Mørk Larsen</dc:creator>
  <cp:keywords/>
  <dc:description/>
  <cp:lastModifiedBy>Barbara Middleton</cp:lastModifiedBy>
  <cp:revision>14</cp:revision>
  <dcterms:created xsi:type="dcterms:W3CDTF">2025-02-10T11:03:00Z</dcterms:created>
  <dcterms:modified xsi:type="dcterms:W3CDTF">2025-04-02T09:41:00Z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0x010100240F541696833A47BB02B73F259760B3</vt:lpwstr>
  </property>
  <property fmtid="{D5CDD505-2E9C-101B-9397-08002B2CF9AE}" pid="3" name="MediaServiceImageTags">
    <vt:lpwstr/>
  </property>
  <property fmtid="{D5CDD505-2E9C-101B-9397-08002B2CF9AE}" pid="4" name="GrammarlyDocumentId">
    <vt:lpwstr>9703675b2be2b85f55c30594c2f6658edff3d4317852f168f55d50829ae22141</vt:lpwstr>
  </property>
</Properties>
</file>