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Borders>
          <w:bottom w:val="single" w:sz="4" w:space="0" w:color="auto"/>
        </w:tblBorders>
        <w:tblCellMar>
          <w:top w:w="85" w:type="dxa"/>
          <w:left w:w="0" w:type="dxa"/>
          <w:bottom w:w="85" w:type="dxa"/>
          <w:right w:w="0" w:type="dxa"/>
        </w:tblCellMar>
        <w:tblLook w:val="01E0" w:firstRow="1" w:lastRow="1" w:firstColumn="1" w:lastColumn="1" w:noHBand="0" w:noVBand="0"/>
      </w:tblPr>
      <w:tblGrid>
        <w:gridCol w:w="4049"/>
        <w:gridCol w:w="5165"/>
      </w:tblGrid>
      <w:tr w:rsidR="00145761" w:rsidRPr="001361C6" w14:paraId="31ED0F59" w14:textId="77777777" w:rsidTr="00C43D30">
        <w:trPr>
          <w:trHeight w:val="329"/>
        </w:trPr>
        <w:tc>
          <w:tcPr>
            <w:tcW w:w="4049" w:type="dxa"/>
            <w:tcMar>
              <w:top w:w="0" w:type="dxa"/>
              <w:bottom w:w="0" w:type="dxa"/>
            </w:tcMar>
          </w:tcPr>
          <w:p w14:paraId="0EEDD6F0" w14:textId="6401E830" w:rsidR="00145761" w:rsidRPr="00456195" w:rsidRDefault="00145761" w:rsidP="00C43D30">
            <w:pPr>
              <w:rPr>
                <w:rFonts w:ascii="Calibri" w:hAnsi="Calibri"/>
                <w:sz w:val="26"/>
                <w:szCs w:val="26"/>
              </w:rPr>
            </w:pPr>
          </w:p>
        </w:tc>
        <w:tc>
          <w:tcPr>
            <w:tcW w:w="5165" w:type="dxa"/>
            <w:tcMar>
              <w:top w:w="0" w:type="dxa"/>
              <w:bottom w:w="0" w:type="dxa"/>
            </w:tcMar>
          </w:tcPr>
          <w:p w14:paraId="555B7D91" w14:textId="796CBC53" w:rsidR="00145761" w:rsidRPr="001361C6" w:rsidRDefault="00D65385" w:rsidP="00C43D30">
            <w:pPr>
              <w:jc w:val="right"/>
              <w:rPr>
                <w:rFonts w:ascii="Calibri" w:hAnsi="Calibri"/>
                <w:sz w:val="26"/>
                <w:szCs w:val="26"/>
              </w:rPr>
            </w:pPr>
            <w:r>
              <w:rPr>
                <w:sz w:val="26"/>
                <w:szCs w:val="26"/>
              </w:rPr>
              <w:t xml:space="preserve">Annex </w:t>
            </w:r>
            <w:r w:rsidR="002A6A85">
              <w:rPr>
                <w:sz w:val="26"/>
                <w:szCs w:val="26"/>
              </w:rPr>
              <w:t>4</w:t>
            </w:r>
          </w:p>
        </w:tc>
      </w:tr>
      <w:tr w:rsidR="00145761" w:rsidRPr="00456195" w14:paraId="3F047F7E" w14:textId="77777777" w:rsidTr="00C43D30">
        <w:trPr>
          <w:trHeight w:val="226"/>
        </w:trPr>
        <w:tc>
          <w:tcPr>
            <w:tcW w:w="9214" w:type="dxa"/>
            <w:gridSpan w:val="2"/>
            <w:tcMar>
              <w:top w:w="0" w:type="dxa"/>
              <w:bottom w:w="0" w:type="dxa"/>
            </w:tcMar>
          </w:tcPr>
          <w:p w14:paraId="6E72A3D8" w14:textId="77777777" w:rsidR="00145761" w:rsidRPr="00456195" w:rsidRDefault="00145761" w:rsidP="00C43D30">
            <w:pPr>
              <w:pStyle w:val="Docheader"/>
              <w:spacing w:line="276" w:lineRule="auto"/>
              <w:rPr>
                <w:rFonts w:ascii="Calibri" w:hAnsi="Calibri"/>
                <w:i/>
                <w:sz w:val="26"/>
                <w:szCs w:val="26"/>
                <w:lang w:val="en-GB"/>
              </w:rPr>
            </w:pPr>
            <w:r w:rsidRPr="00456195">
              <w:rPr>
                <w:rFonts w:ascii="Calibri" w:hAnsi="Calibri"/>
                <w:sz w:val="26"/>
                <w:szCs w:val="26"/>
                <w:lang w:val="en-GB"/>
              </w:rPr>
              <w:t>OSPAR Convention for the Protection of the Marine Environment of the North-East Atlantic</w:t>
            </w:r>
          </w:p>
        </w:tc>
      </w:tr>
      <w:tr w:rsidR="00145761" w:rsidRPr="00456195" w14:paraId="310035D5" w14:textId="77777777" w:rsidTr="00C43D30">
        <w:trPr>
          <w:trHeight w:val="226"/>
        </w:trPr>
        <w:tc>
          <w:tcPr>
            <w:tcW w:w="9214" w:type="dxa"/>
            <w:gridSpan w:val="2"/>
            <w:tcMar>
              <w:top w:w="0" w:type="dxa"/>
              <w:bottom w:w="0" w:type="dxa"/>
            </w:tcMar>
          </w:tcPr>
          <w:p w14:paraId="2A9BDF83" w14:textId="77777777" w:rsidR="00145761" w:rsidRPr="00732026" w:rsidRDefault="00145761" w:rsidP="00C43D30">
            <w:pPr>
              <w:pStyle w:val="Docheader"/>
              <w:rPr>
                <w:rFonts w:ascii="Calibri" w:hAnsi="Calibri"/>
                <w:sz w:val="26"/>
                <w:szCs w:val="26"/>
                <w:lang w:val="en-GB"/>
              </w:rPr>
            </w:pPr>
            <w:r w:rsidRPr="00732026">
              <w:rPr>
                <w:rFonts w:ascii="Calibri" w:hAnsi="Calibri"/>
                <w:sz w:val="26"/>
                <w:szCs w:val="26"/>
                <w:lang w:val="en-GB"/>
              </w:rPr>
              <w:t>Meeting of the Coordination Group (</w:t>
            </w:r>
            <w:proofErr w:type="spellStart"/>
            <w:r w:rsidRPr="00732026">
              <w:rPr>
                <w:rFonts w:ascii="Calibri" w:hAnsi="Calibri"/>
                <w:sz w:val="26"/>
                <w:szCs w:val="26"/>
                <w:lang w:val="en-GB"/>
              </w:rPr>
              <w:t>CoG</w:t>
            </w:r>
            <w:proofErr w:type="spellEnd"/>
            <w:r w:rsidRPr="00732026">
              <w:rPr>
                <w:rFonts w:ascii="Calibri" w:hAnsi="Calibri"/>
                <w:sz w:val="26"/>
                <w:szCs w:val="26"/>
                <w:lang w:val="en-GB"/>
              </w:rPr>
              <w:t>)</w:t>
            </w:r>
          </w:p>
          <w:p w14:paraId="38DA7D28" w14:textId="74ADB126" w:rsidR="00145761" w:rsidRPr="00456195" w:rsidRDefault="000D56A1" w:rsidP="00C43D30">
            <w:pPr>
              <w:pStyle w:val="Docheader"/>
              <w:spacing w:line="276" w:lineRule="auto"/>
              <w:rPr>
                <w:rFonts w:ascii="Calibri" w:hAnsi="Calibri"/>
                <w:sz w:val="26"/>
                <w:szCs w:val="26"/>
                <w:lang w:val="en-GB"/>
              </w:rPr>
            </w:pPr>
            <w:r w:rsidRPr="00EC2496">
              <w:rPr>
                <w:rFonts w:ascii="Calibri" w:hAnsi="Calibri"/>
                <w:sz w:val="26"/>
                <w:szCs w:val="26"/>
                <w:lang w:val="en-GB"/>
              </w:rPr>
              <w:t xml:space="preserve">London (United Kingdom): </w:t>
            </w:r>
            <w:r>
              <w:rPr>
                <w:rFonts w:ascii="Calibri" w:hAnsi="Calibri"/>
                <w:sz w:val="26"/>
                <w:szCs w:val="26"/>
                <w:lang w:val="en-GB"/>
              </w:rPr>
              <w:t>19-20 May 2026</w:t>
            </w:r>
          </w:p>
        </w:tc>
      </w:tr>
    </w:tbl>
    <w:p w14:paraId="388E79B0" w14:textId="77777777" w:rsidR="00840E9A" w:rsidRPr="00170FC6" w:rsidRDefault="00840E9A" w:rsidP="00840E9A">
      <w:pPr>
        <w:tabs>
          <w:tab w:val="left" w:pos="567"/>
          <w:tab w:val="left" w:pos="720"/>
          <w:tab w:val="left" w:pos="1134"/>
          <w:tab w:val="left" w:pos="1701"/>
          <w:tab w:val="left" w:pos="2268"/>
        </w:tabs>
        <w:spacing w:before="240" w:line="240" w:lineRule="auto"/>
        <w:outlineLvl w:val="0"/>
        <w:rPr>
          <w:rFonts w:ascii="Calibri" w:hAnsi="Calibri" w:cs="Arial"/>
          <w:sz w:val="40"/>
          <w:szCs w:val="40"/>
        </w:rPr>
      </w:pPr>
      <w:r w:rsidRPr="00170FC6">
        <w:rPr>
          <w:rFonts w:ascii="Calibri" w:hAnsi="Calibri" w:cs="Arial"/>
          <w:sz w:val="40"/>
          <w:szCs w:val="40"/>
        </w:rPr>
        <w:t>Terms of Reference for the North Sea Network of Investigators and Prosecutors</w:t>
      </w:r>
    </w:p>
    <w:p w14:paraId="4CDF3419"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bookmarkStart w:id="0" w:name="_Hlk102055907"/>
      <w:r w:rsidRPr="00170FC6">
        <w:rPr>
          <w:rFonts w:ascii="Calibri" w:hAnsi="Calibri" w:cs="Arial"/>
        </w:rPr>
        <w:t xml:space="preserve">The </w:t>
      </w:r>
      <w:r w:rsidRPr="00170FC6">
        <w:rPr>
          <w:rFonts w:ascii="Calibri" w:hAnsi="Calibri"/>
          <w:bCs/>
        </w:rPr>
        <w:t xml:space="preserve">North Sea Network of Investigators and Prosecutors (NSN) </w:t>
      </w:r>
      <w:r w:rsidRPr="00170FC6">
        <w:rPr>
          <w:rFonts w:ascii="Calibri" w:hAnsi="Calibri" w:cs="Arial"/>
        </w:rPr>
        <w:t xml:space="preserve">is a subsidiary body of OSPAR comprising representatives of all Contracting Parties and OSPAR Observer organisations. The function of NSN is to </w:t>
      </w:r>
      <w:r w:rsidRPr="00170FC6">
        <w:rPr>
          <w:rFonts w:ascii="Calibri" w:eastAsia="Calibri" w:hAnsi="Calibri" w:cs="Calibri"/>
          <w:lang w:val="en-US"/>
        </w:rPr>
        <w:t>help enforcement and prosecution of MARPOL maritime pollution offences aiming to prevent and minimize pollution from ships and installations in the Greater North Sea and its Approaches.</w:t>
      </w:r>
    </w:p>
    <w:bookmarkEnd w:id="0"/>
    <w:p w14:paraId="29DE70C9" w14:textId="77777777" w:rsidR="00840E9A" w:rsidRPr="00170FC6" w:rsidRDefault="00840E9A" w:rsidP="00840E9A">
      <w:pPr>
        <w:tabs>
          <w:tab w:val="left" w:pos="540"/>
          <w:tab w:val="left" w:pos="567"/>
          <w:tab w:val="left" w:pos="1134"/>
          <w:tab w:val="left" w:pos="1701"/>
          <w:tab w:val="left" w:pos="2268"/>
        </w:tabs>
        <w:spacing w:before="120"/>
        <w:rPr>
          <w:rFonts w:ascii="Calibri" w:eastAsia="Calibri" w:hAnsi="Calibri" w:cs="Calibri"/>
          <w:b/>
          <w:bCs/>
          <w:lang w:val="en-US"/>
        </w:rPr>
      </w:pPr>
      <w:r w:rsidRPr="00170FC6">
        <w:rPr>
          <w:rFonts w:ascii="Calibri" w:eastAsia="Calibri" w:hAnsi="Calibri" w:cs="Calibri"/>
          <w:b/>
          <w:bCs/>
          <w:lang w:val="en-US"/>
        </w:rPr>
        <w:t>Background</w:t>
      </w:r>
    </w:p>
    <w:p w14:paraId="5599905B"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eastAsia="Calibri" w:hAnsi="Calibri" w:cs="Calibri"/>
          <w:lang w:val="en-US"/>
        </w:rPr>
      </w:pPr>
      <w:bookmarkStart w:id="1" w:name="_Hlk102055927"/>
      <w:r w:rsidRPr="00170FC6">
        <w:rPr>
          <w:rFonts w:ascii="Calibri" w:eastAsia="Calibri" w:hAnsi="Calibri" w:cs="Calibri"/>
          <w:lang w:val="en-US"/>
        </w:rPr>
        <w:t xml:space="preserve">NSN was set up in 2002 by </w:t>
      </w:r>
      <w:r w:rsidRPr="00170FC6">
        <w:rPr>
          <w:rFonts w:ascii="Calibri" w:hAnsi="Calibri"/>
          <w:bCs/>
        </w:rPr>
        <w:t>Ministers</w:t>
      </w:r>
      <w:r w:rsidRPr="00170FC6">
        <w:rPr>
          <w:rFonts w:ascii="Calibri" w:eastAsia="Calibri" w:hAnsi="Calibri" w:cs="Calibri"/>
          <w:lang w:val="en-US"/>
        </w:rPr>
        <w:t xml:space="preserve"> at the Fifth North Sea Conference to fulfill their commitmen</w:t>
      </w:r>
      <w:r w:rsidRPr="00170FC6">
        <w:rPr>
          <w:rFonts w:ascii="Calibri" w:eastAsia="Calibri" w:hAnsi="Calibri" w:cs="Calibri"/>
          <w:lang w:val="en-US"/>
        </w:rPr>
        <w:t>t to “greater co-operation between North Sea States and at the European Union level to enforce internationally agreed rules and standards for the prevention, control and reduction of pollution from ships … to increase detection of illegal discharges and … improve the investigation and prosecution of offenders”.</w:t>
      </w:r>
    </w:p>
    <w:bookmarkEnd w:id="1"/>
    <w:p w14:paraId="7F43DBE1" w14:textId="77777777" w:rsidR="00840E9A" w:rsidRPr="00170FC6" w:rsidRDefault="00840E9A" w:rsidP="00840E9A">
      <w:pPr>
        <w:tabs>
          <w:tab w:val="left" w:pos="540"/>
          <w:tab w:val="left" w:pos="567"/>
          <w:tab w:val="left" w:pos="1134"/>
          <w:tab w:val="left" w:pos="1701"/>
          <w:tab w:val="left" w:pos="2268"/>
        </w:tabs>
        <w:spacing w:before="120"/>
        <w:rPr>
          <w:rFonts w:ascii="Calibri" w:eastAsia="Calibri" w:hAnsi="Calibri" w:cs="Calibri"/>
          <w:b/>
          <w:bCs/>
          <w:lang w:val="en-US"/>
        </w:rPr>
      </w:pPr>
      <w:r w:rsidRPr="00170FC6">
        <w:rPr>
          <w:rFonts w:ascii="Calibri" w:eastAsia="Calibri" w:hAnsi="Calibri" w:cs="Calibri"/>
          <w:b/>
          <w:bCs/>
          <w:lang w:val="en-US"/>
        </w:rPr>
        <w:t>Scope of work</w:t>
      </w:r>
    </w:p>
    <w:p w14:paraId="69574B5C"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t xml:space="preserve">The scope of work of </w:t>
      </w:r>
      <w:r w:rsidRPr="00170FC6">
        <w:rPr>
          <w:rFonts w:ascii="Calibri" w:hAnsi="Calibri"/>
          <w:bCs/>
        </w:rPr>
        <w:t>NSN</w:t>
      </w:r>
      <w:r w:rsidRPr="00170FC6">
        <w:rPr>
          <w:rFonts w:ascii="Calibri" w:hAnsi="Calibri" w:cs="Arial"/>
        </w:rPr>
        <w:t xml:space="preserve"> includes: </w:t>
      </w:r>
    </w:p>
    <w:p w14:paraId="54F2F5BE"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cs="Arial"/>
        </w:rPr>
      </w:pPr>
      <w:r w:rsidRPr="00170FC6">
        <w:rPr>
          <w:rFonts w:ascii="Calibri" w:hAnsi="Calibri"/>
        </w:rPr>
        <w:t>providing a strong regional platform whereby investigators and prosecutors work together with a view to identifying features which lead to effective enforcement and ways of handling pollution offences from ships in a transboundary context;</w:t>
      </w:r>
    </w:p>
    <w:p w14:paraId="07CA5464" w14:textId="24247958"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cs="Arial"/>
        </w:rPr>
      </w:pPr>
      <w:r w:rsidRPr="00170FC6">
        <w:rPr>
          <w:rFonts w:ascii="Calibri" w:hAnsi="Calibri" w:cs="Arial"/>
          <w:lang w:val="en-US"/>
        </w:rPr>
        <w:t xml:space="preserve">enhancing information exchange of best practices </w:t>
      </w:r>
      <w:r w:rsidRPr="00170FC6">
        <w:rPr>
          <w:rFonts w:ascii="Calibri" w:hAnsi="Calibri" w:cs="Arial"/>
        </w:rPr>
        <w:t xml:space="preserve">and the results of the judicial proceedings </w:t>
      </w:r>
      <w:r w:rsidRPr="00170FC6">
        <w:rPr>
          <w:rFonts w:ascii="Calibri" w:hAnsi="Calibri" w:cs="Arial"/>
          <w:lang w:val="en-US"/>
        </w:rPr>
        <w:t xml:space="preserve">on </w:t>
      </w:r>
      <w:r>
        <w:rPr>
          <w:rFonts w:ascii="Calibri" w:hAnsi="Calibri" w:cs="Arial"/>
          <w:lang w:val="en-US"/>
        </w:rPr>
        <w:t>offences under</w:t>
      </w:r>
      <w:r w:rsidRPr="00170FC6">
        <w:rPr>
          <w:rFonts w:ascii="Calibri" w:hAnsi="Calibri" w:cs="Arial"/>
          <w:lang w:val="en-US"/>
        </w:rPr>
        <w:t xml:space="preserve"> MARPOL Annexes</w:t>
      </w:r>
      <w:r>
        <w:rPr>
          <w:rFonts w:ascii="Calibri" w:hAnsi="Calibri" w:cs="Arial"/>
          <w:lang w:val="en-US"/>
        </w:rPr>
        <w:t xml:space="preserve"> and OSPAR’s ban </w:t>
      </w:r>
      <w:r w:rsidRPr="001B6D4C">
        <w:rPr>
          <w:rFonts w:ascii="Calibri" w:hAnsi="Calibri" w:cs="Calibri"/>
        </w:rPr>
        <w:t>of discharge waters from</w:t>
      </w:r>
      <w:r>
        <w:rPr>
          <w:rFonts w:ascii="Calibri" w:hAnsi="Calibri" w:cs="Calibri"/>
        </w:rPr>
        <w:t xml:space="preserve"> </w:t>
      </w:r>
      <w:r w:rsidRPr="001B6D4C">
        <w:rPr>
          <w:rFonts w:ascii="Calibri" w:hAnsi="Calibri" w:cs="Calibri"/>
        </w:rPr>
        <w:t>Exhaust Gas Cleaning Systems (EGCS) on board ships</w:t>
      </w:r>
      <w:r w:rsidRPr="00170FC6">
        <w:rPr>
          <w:rFonts w:ascii="Calibri" w:hAnsi="Calibri" w:cs="Arial"/>
          <w:lang w:val="en-US"/>
        </w:rPr>
        <w:t>;</w:t>
      </w:r>
    </w:p>
    <w:p w14:paraId="7814360C"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cs="Arial"/>
        </w:rPr>
      </w:pPr>
      <w:r w:rsidRPr="00170FC6">
        <w:rPr>
          <w:rFonts w:ascii="Calibri" w:hAnsi="Calibri" w:cs="Arial"/>
          <w:lang w:val="en-US"/>
        </w:rPr>
        <w:t>maintaining a database with enforcement cases on all MARPOL Annexes;</w:t>
      </w:r>
    </w:p>
    <w:p w14:paraId="3A6A73A1"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cs="Arial"/>
        </w:rPr>
      </w:pPr>
      <w:r w:rsidRPr="00170FC6">
        <w:rPr>
          <w:rFonts w:ascii="Calibri" w:hAnsi="Calibri" w:cs="Arial"/>
          <w:lang w:val="en-US"/>
        </w:rPr>
        <w:t>updating the North Sea Manual on Pollution Offences to support the detection of pollution offences, the collection of evidence and the imposition of penalties; and</w:t>
      </w:r>
    </w:p>
    <w:p w14:paraId="20E2B857"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cs="Arial"/>
        </w:rPr>
      </w:pPr>
      <w:r w:rsidRPr="00170FC6">
        <w:rPr>
          <w:rFonts w:ascii="Calibri" w:hAnsi="Calibri" w:cs="Arial"/>
          <w:lang w:val="en-US"/>
        </w:rPr>
        <w:t xml:space="preserve">cooperating with the Bonn Agreement, </w:t>
      </w:r>
      <w:proofErr w:type="gramStart"/>
      <w:r w:rsidRPr="00170FC6">
        <w:rPr>
          <w:rFonts w:ascii="Calibri" w:hAnsi="Calibri" w:cs="Arial"/>
          <w:lang w:val="en-US"/>
        </w:rPr>
        <w:t>in particular with</w:t>
      </w:r>
      <w:proofErr w:type="gramEnd"/>
      <w:r w:rsidRPr="00170FC6">
        <w:rPr>
          <w:rFonts w:ascii="Calibri" w:hAnsi="Calibri" w:cs="Arial"/>
          <w:lang w:val="en-US"/>
        </w:rPr>
        <w:t xml:space="preserve"> its technical working group OTSOPA.</w:t>
      </w:r>
    </w:p>
    <w:p w14:paraId="34C694B5" w14:textId="77777777" w:rsidR="00840E9A" w:rsidRPr="00170FC6" w:rsidRDefault="00840E9A" w:rsidP="00840E9A">
      <w:pPr>
        <w:tabs>
          <w:tab w:val="left" w:pos="540"/>
          <w:tab w:val="left" w:pos="567"/>
          <w:tab w:val="left" w:pos="1134"/>
          <w:tab w:val="left" w:pos="1701"/>
          <w:tab w:val="left" w:pos="2268"/>
        </w:tabs>
        <w:spacing w:before="120"/>
        <w:rPr>
          <w:rFonts w:ascii="Calibri" w:eastAsia="Calibri" w:hAnsi="Calibri" w:cs="Calibri"/>
          <w:b/>
          <w:bCs/>
          <w:lang w:val="en-US"/>
        </w:rPr>
      </w:pPr>
      <w:r w:rsidRPr="00170FC6">
        <w:rPr>
          <w:rFonts w:ascii="Calibri" w:eastAsia="Calibri" w:hAnsi="Calibri" w:cs="Calibri"/>
          <w:b/>
          <w:bCs/>
          <w:lang w:val="en-US"/>
        </w:rPr>
        <w:t xml:space="preserve">Operation and </w:t>
      </w:r>
      <w:proofErr w:type="spellStart"/>
      <w:r w:rsidRPr="00170FC6">
        <w:rPr>
          <w:rFonts w:ascii="Calibri" w:eastAsia="Calibri" w:hAnsi="Calibri" w:cs="Calibri"/>
          <w:b/>
          <w:bCs/>
          <w:lang w:val="en-US"/>
        </w:rPr>
        <w:t>organisation</w:t>
      </w:r>
      <w:proofErr w:type="spellEnd"/>
      <w:r w:rsidRPr="00170FC6">
        <w:rPr>
          <w:rFonts w:ascii="Calibri" w:eastAsia="Calibri" w:hAnsi="Calibri" w:cs="Calibri"/>
          <w:b/>
          <w:bCs/>
          <w:lang w:val="en-US"/>
        </w:rPr>
        <w:t xml:space="preserve"> of work</w:t>
      </w:r>
    </w:p>
    <w:p w14:paraId="4143B8F3"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t xml:space="preserve">NSN holds at least one </w:t>
      </w:r>
      <w:r w:rsidRPr="00170FC6">
        <w:rPr>
          <w:rFonts w:ascii="Calibri" w:hAnsi="Calibri"/>
          <w:bCs/>
        </w:rPr>
        <w:t>annual</w:t>
      </w:r>
      <w:r w:rsidRPr="00170FC6">
        <w:rPr>
          <w:rFonts w:ascii="Calibri" w:hAnsi="Calibri" w:cs="Arial"/>
        </w:rPr>
        <w:t xml:space="preserve"> meeting.</w:t>
      </w:r>
    </w:p>
    <w:p w14:paraId="5E1B09E8"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t>NSN maintains a List of Actions for small and short-term tasks to be completed within a meeting cycle.</w:t>
      </w:r>
    </w:p>
    <w:p w14:paraId="4E57FBFF"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lastRenderedPageBreak/>
        <w:t xml:space="preserve">NSN reports to </w:t>
      </w:r>
      <w:proofErr w:type="spellStart"/>
      <w:r w:rsidRPr="00170FC6">
        <w:rPr>
          <w:rFonts w:ascii="Calibri" w:hAnsi="Calibri"/>
        </w:rPr>
        <w:t>CoG</w:t>
      </w:r>
      <w:proofErr w:type="spellEnd"/>
      <w:r w:rsidRPr="00170FC6">
        <w:rPr>
          <w:rFonts w:ascii="Calibri" w:hAnsi="Calibri"/>
          <w:vertAlign w:val="superscript"/>
        </w:rPr>
        <w:footnoteReference w:id="1"/>
      </w:r>
      <w:r w:rsidRPr="00170FC6">
        <w:rPr>
          <w:rFonts w:ascii="Calibri" w:hAnsi="Calibri"/>
        </w:rPr>
        <w:t xml:space="preserve"> </w:t>
      </w:r>
      <w:r w:rsidRPr="00170FC6">
        <w:rPr>
          <w:rFonts w:ascii="Calibri" w:hAnsi="Calibri" w:cs="Arial"/>
        </w:rPr>
        <w:t xml:space="preserve"> and provides an annual progress report to the OSPAR Commission.</w:t>
      </w:r>
    </w:p>
    <w:p w14:paraId="206B4300"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t>NSN ensures there is exchange of information in both directions with other OSPAR Committees as required, but specifically:</w:t>
      </w:r>
    </w:p>
    <w:p w14:paraId="4DF616EA"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rPr>
      </w:pPr>
      <w:r w:rsidRPr="00170FC6">
        <w:rPr>
          <w:rFonts w:ascii="Calibri" w:hAnsi="Calibri"/>
        </w:rPr>
        <w:t>with HASEC</w:t>
      </w:r>
      <w:r w:rsidRPr="00170FC6">
        <w:rPr>
          <w:rFonts w:ascii="Calibri" w:hAnsi="Calibri"/>
          <w:vertAlign w:val="superscript"/>
        </w:rPr>
        <w:footnoteReference w:id="2"/>
      </w:r>
      <w:r w:rsidRPr="00170FC6">
        <w:rPr>
          <w:rFonts w:ascii="Calibri" w:hAnsi="Calibri"/>
        </w:rPr>
        <w:t xml:space="preserve"> in respect of prevention of pollution by hazardous substances according to MARPOL Annexes I and II;</w:t>
      </w:r>
    </w:p>
    <w:p w14:paraId="74D9E685"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rPr>
      </w:pPr>
      <w:r w:rsidRPr="00170FC6">
        <w:rPr>
          <w:rFonts w:ascii="Calibri" w:hAnsi="Calibri"/>
        </w:rPr>
        <w:t>with EIHA</w:t>
      </w:r>
      <w:r w:rsidRPr="00170FC6">
        <w:rPr>
          <w:rFonts w:ascii="Calibri" w:hAnsi="Calibri"/>
          <w:vertAlign w:val="superscript"/>
        </w:rPr>
        <w:footnoteReference w:id="3"/>
      </w:r>
      <w:r w:rsidRPr="00170FC6">
        <w:rPr>
          <w:rFonts w:ascii="Calibri" w:hAnsi="Calibri"/>
        </w:rPr>
        <w:t xml:space="preserve"> in respect of prevention of pollution by garbage from ships according to MARPOL Annex V</w:t>
      </w:r>
      <w:r>
        <w:rPr>
          <w:rFonts w:ascii="Calibri" w:hAnsi="Calibri"/>
        </w:rPr>
        <w:t xml:space="preserve"> and </w:t>
      </w:r>
      <w:r>
        <w:rPr>
          <w:rFonts w:ascii="Calibri" w:hAnsi="Calibri" w:cs="Calibri"/>
        </w:rPr>
        <w:t>OSPAR’s</w:t>
      </w:r>
      <w:r w:rsidRPr="001B6D4C">
        <w:rPr>
          <w:rFonts w:ascii="Calibri" w:hAnsi="Calibri" w:cs="Calibri"/>
        </w:rPr>
        <w:t xml:space="preserve"> ban of discharge waters from</w:t>
      </w:r>
      <w:r>
        <w:rPr>
          <w:rFonts w:ascii="Calibri" w:hAnsi="Calibri" w:cs="Calibri"/>
        </w:rPr>
        <w:t xml:space="preserve"> </w:t>
      </w:r>
      <w:r w:rsidRPr="001B6D4C">
        <w:rPr>
          <w:rFonts w:ascii="Calibri" w:hAnsi="Calibri" w:cs="Calibri"/>
        </w:rPr>
        <w:t>Exhaust Gas Cleaning Systems (EGCS) on board ships</w:t>
      </w:r>
      <w:r w:rsidRPr="00170FC6">
        <w:rPr>
          <w:rFonts w:ascii="Calibri" w:hAnsi="Calibri"/>
        </w:rPr>
        <w:t xml:space="preserve">; </w:t>
      </w:r>
    </w:p>
    <w:p w14:paraId="666D8283"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rPr>
      </w:pPr>
      <w:r w:rsidRPr="00170FC6">
        <w:rPr>
          <w:rFonts w:ascii="Calibri" w:hAnsi="Calibri"/>
        </w:rPr>
        <w:t>with OIC</w:t>
      </w:r>
      <w:r w:rsidRPr="00170FC6">
        <w:rPr>
          <w:rFonts w:ascii="Calibri" w:hAnsi="Calibri"/>
          <w:vertAlign w:val="superscript"/>
        </w:rPr>
        <w:footnoteReference w:id="4"/>
      </w:r>
      <w:r w:rsidRPr="00170FC6">
        <w:rPr>
          <w:rFonts w:ascii="Calibri" w:hAnsi="Calibri"/>
        </w:rPr>
        <w:t xml:space="preserve"> in respect of prevention of pollution by oil from offshore installations; and</w:t>
      </w:r>
    </w:p>
    <w:p w14:paraId="1234C1B8" w14:textId="77777777" w:rsidR="00840E9A" w:rsidRPr="00170FC6" w:rsidRDefault="00840E9A" w:rsidP="00840E9A">
      <w:pPr>
        <w:numPr>
          <w:ilvl w:val="1"/>
          <w:numId w:val="30"/>
        </w:numPr>
        <w:tabs>
          <w:tab w:val="left" w:pos="540"/>
          <w:tab w:val="left" w:pos="567"/>
          <w:tab w:val="left" w:pos="1134"/>
          <w:tab w:val="left" w:pos="1701"/>
          <w:tab w:val="left" w:pos="2268"/>
        </w:tabs>
        <w:ind w:left="1134" w:hanging="567"/>
        <w:rPr>
          <w:rFonts w:ascii="Calibri" w:hAnsi="Calibri"/>
        </w:rPr>
      </w:pPr>
      <w:r w:rsidRPr="00170FC6">
        <w:rPr>
          <w:rFonts w:ascii="Calibri" w:hAnsi="Calibri"/>
        </w:rPr>
        <w:t xml:space="preserve">with </w:t>
      </w:r>
      <w:proofErr w:type="spellStart"/>
      <w:r w:rsidRPr="00170FC6">
        <w:rPr>
          <w:rFonts w:ascii="Calibri" w:hAnsi="Calibri"/>
        </w:rPr>
        <w:t>CoG</w:t>
      </w:r>
      <w:proofErr w:type="spellEnd"/>
      <w:r w:rsidRPr="00170FC6">
        <w:rPr>
          <w:rFonts w:ascii="Calibri" w:hAnsi="Calibri"/>
          <w:vertAlign w:val="superscript"/>
        </w:rPr>
        <w:footnoteReference w:id="5"/>
      </w:r>
      <w:r w:rsidRPr="00170FC6">
        <w:rPr>
          <w:rFonts w:ascii="Calibri" w:hAnsi="Calibri"/>
        </w:rPr>
        <w:t xml:space="preserve"> in respect of prevention of air pollution from ships according to MARPOL Annex VI.</w:t>
      </w:r>
    </w:p>
    <w:p w14:paraId="0CF8796D" w14:textId="77777777" w:rsidR="00840E9A" w:rsidRPr="00170FC6" w:rsidRDefault="00840E9A" w:rsidP="00840E9A">
      <w:pPr>
        <w:keepNext/>
        <w:tabs>
          <w:tab w:val="left" w:pos="540"/>
          <w:tab w:val="left" w:pos="567"/>
          <w:tab w:val="left" w:pos="1134"/>
          <w:tab w:val="left" w:pos="1701"/>
          <w:tab w:val="left" w:pos="2268"/>
        </w:tabs>
        <w:spacing w:before="120"/>
        <w:rPr>
          <w:rFonts w:ascii="Calibri" w:eastAsia="Calibri" w:hAnsi="Calibri" w:cs="Calibri"/>
          <w:b/>
          <w:bCs/>
          <w:lang w:val="en-US"/>
        </w:rPr>
      </w:pPr>
      <w:r w:rsidRPr="00170FC6">
        <w:rPr>
          <w:rFonts w:ascii="Calibri" w:eastAsia="Calibri" w:hAnsi="Calibri" w:cs="Calibri"/>
          <w:b/>
          <w:bCs/>
          <w:lang w:val="en-US"/>
        </w:rPr>
        <w:t>Implementation of the North-East Atlantic Environment Strategy 2030</w:t>
      </w:r>
    </w:p>
    <w:p w14:paraId="33570C50" w14:textId="77777777" w:rsidR="00840E9A" w:rsidRPr="00170FC6" w:rsidRDefault="00840E9A" w:rsidP="00840E9A">
      <w:pPr>
        <w:numPr>
          <w:ilvl w:val="0"/>
          <w:numId w:val="30"/>
        </w:numPr>
        <w:tabs>
          <w:tab w:val="left" w:pos="540"/>
          <w:tab w:val="left" w:pos="567"/>
          <w:tab w:val="left" w:pos="1134"/>
          <w:tab w:val="left" w:pos="1701"/>
          <w:tab w:val="left" w:pos="2268"/>
        </w:tabs>
        <w:spacing w:before="120"/>
        <w:ind w:left="0" w:firstLine="0"/>
        <w:rPr>
          <w:rFonts w:ascii="Calibri" w:hAnsi="Calibri" w:cs="Arial"/>
        </w:rPr>
      </w:pPr>
      <w:r w:rsidRPr="00170FC6">
        <w:rPr>
          <w:rFonts w:ascii="Calibri" w:hAnsi="Calibri" w:cs="Arial"/>
        </w:rPr>
        <w:t xml:space="preserve">The </w:t>
      </w:r>
      <w:r w:rsidRPr="00170FC6">
        <w:rPr>
          <w:rFonts w:ascii="Calibri" w:hAnsi="Calibri"/>
          <w:bCs/>
        </w:rPr>
        <w:t xml:space="preserve">North Sea Network of Investigators and Prosecutors (NSN) </w:t>
      </w:r>
      <w:r w:rsidRPr="00170FC6">
        <w:rPr>
          <w:rFonts w:ascii="Calibri" w:hAnsi="Calibri" w:cs="Arial"/>
        </w:rPr>
        <w:t>facilitates the implementation of the North</w:t>
      </w:r>
      <w:r w:rsidRPr="00170FC6">
        <w:rPr>
          <w:rFonts w:ascii="Calibri" w:hAnsi="Calibri" w:cs="Arial"/>
        </w:rPr>
        <w:noBreakHyphen/>
        <w:t>East Atlantic Environment Strategy (NEAES 2030) by developing tasks that contribute to the following strategic objectives:</w:t>
      </w:r>
    </w:p>
    <w:p w14:paraId="2D801801" w14:textId="77777777" w:rsidR="00840E9A" w:rsidRPr="00170FC6" w:rsidRDefault="00840E9A" w:rsidP="00840E9A">
      <w:pPr>
        <w:numPr>
          <w:ilvl w:val="0"/>
          <w:numId w:val="31"/>
        </w:numPr>
        <w:tabs>
          <w:tab w:val="left" w:pos="540"/>
          <w:tab w:val="left" w:pos="567"/>
          <w:tab w:val="left" w:pos="1134"/>
          <w:tab w:val="left" w:pos="1701"/>
          <w:tab w:val="left" w:pos="2268"/>
        </w:tabs>
        <w:ind w:left="1134" w:hanging="567"/>
        <w:rPr>
          <w:rFonts w:ascii="Calibri" w:eastAsia="Calibri" w:hAnsi="Calibri" w:cs="Arial"/>
        </w:rPr>
      </w:pPr>
      <w:r w:rsidRPr="00170FC6">
        <w:rPr>
          <w:rFonts w:ascii="Calibri" w:eastAsia="Calibri" w:hAnsi="Calibri" w:cs="Arial"/>
        </w:rPr>
        <w:t xml:space="preserve">S2 on </w:t>
      </w:r>
      <w:r w:rsidRPr="00170FC6">
        <w:rPr>
          <w:rFonts w:ascii="Calibri" w:eastAsia="Calibri" w:hAnsi="Calibri" w:cs="Calibri"/>
        </w:rPr>
        <w:t>preventing pollution by hazardous substances, by eliminating their emissions, discharges and losses, to achieve levels that do not give rise to adverse effects on human health or the marine environment, with the ultimate aim of achieving concentrations in the marine environment of near background values for naturally occurring hazardous substances and close to zero for manmade hazardous substances;</w:t>
      </w:r>
    </w:p>
    <w:p w14:paraId="2625A805" w14:textId="77777777" w:rsidR="00840E9A" w:rsidRPr="00170FC6" w:rsidRDefault="00840E9A" w:rsidP="00840E9A">
      <w:pPr>
        <w:numPr>
          <w:ilvl w:val="0"/>
          <w:numId w:val="31"/>
        </w:numPr>
        <w:tabs>
          <w:tab w:val="left" w:pos="540"/>
          <w:tab w:val="left" w:pos="567"/>
          <w:tab w:val="left" w:pos="1134"/>
          <w:tab w:val="left" w:pos="1701"/>
          <w:tab w:val="left" w:pos="2268"/>
        </w:tabs>
        <w:ind w:left="1134" w:hanging="567"/>
        <w:rPr>
          <w:rFonts w:ascii="Calibri" w:eastAsia="Calibri" w:hAnsi="Calibri" w:cs="Arial"/>
        </w:rPr>
      </w:pPr>
      <w:r w:rsidRPr="00170FC6">
        <w:rPr>
          <w:rFonts w:ascii="Calibri" w:eastAsia="Calibri" w:hAnsi="Calibri" w:cs="Arial"/>
        </w:rPr>
        <w:t xml:space="preserve">S4 on preventing </w:t>
      </w:r>
      <w:r w:rsidRPr="00170FC6">
        <w:rPr>
          <w:rFonts w:ascii="Calibri" w:eastAsia="Calibri" w:hAnsi="Calibri" w:cs="Calibri"/>
        </w:rPr>
        <w:t xml:space="preserve">inputs of and significantly reduce marine litter, including microplastics, in the marine environment to reach levels that do not cause adverse effects to the marine and coastal environment with the </w:t>
      </w:r>
      <w:proofErr w:type="gramStart"/>
      <w:r w:rsidRPr="00170FC6">
        <w:rPr>
          <w:rFonts w:ascii="Calibri" w:eastAsia="Calibri" w:hAnsi="Calibri" w:cs="Calibri"/>
        </w:rPr>
        <w:t>ultimate aim</w:t>
      </w:r>
      <w:proofErr w:type="gramEnd"/>
      <w:r w:rsidRPr="00170FC6">
        <w:rPr>
          <w:rFonts w:ascii="Calibri" w:eastAsia="Calibri" w:hAnsi="Calibri" w:cs="Calibri"/>
        </w:rPr>
        <w:t xml:space="preserve"> of eliminating inputs of litter;</w:t>
      </w:r>
    </w:p>
    <w:p w14:paraId="0DAB9080" w14:textId="77777777" w:rsidR="00840E9A" w:rsidRPr="00170FC6" w:rsidRDefault="00840E9A" w:rsidP="00840E9A">
      <w:pPr>
        <w:numPr>
          <w:ilvl w:val="0"/>
          <w:numId w:val="31"/>
        </w:numPr>
        <w:tabs>
          <w:tab w:val="left" w:pos="540"/>
          <w:tab w:val="left" w:pos="567"/>
          <w:tab w:val="left" w:pos="1134"/>
          <w:tab w:val="left" w:pos="1701"/>
          <w:tab w:val="left" w:pos="2268"/>
        </w:tabs>
        <w:ind w:left="1134" w:hanging="567"/>
        <w:rPr>
          <w:rFonts w:ascii="Calibri" w:eastAsia="Calibri" w:hAnsi="Calibri" w:cs="Arial"/>
        </w:rPr>
      </w:pPr>
      <w:r w:rsidRPr="00170FC6">
        <w:rPr>
          <w:rFonts w:ascii="Calibri" w:eastAsia="Calibri" w:hAnsi="Calibri" w:cs="Arial"/>
        </w:rPr>
        <w:t xml:space="preserve">S10 on raising </w:t>
      </w:r>
      <w:r w:rsidRPr="00170FC6">
        <w:rPr>
          <w:rFonts w:ascii="Calibri" w:eastAsia="Calibri" w:hAnsi="Calibri" w:cs="Calibri"/>
        </w:rPr>
        <w:t>awareness of climate change and ocean acidification by monitoring, analysing and communicating their effects.</w:t>
      </w:r>
    </w:p>
    <w:p w14:paraId="09D33953" w14:textId="77777777" w:rsidR="00840E9A" w:rsidRPr="00170FC6" w:rsidRDefault="00840E9A" w:rsidP="00840E9A">
      <w:pPr>
        <w:tabs>
          <w:tab w:val="left" w:pos="540"/>
          <w:tab w:val="left" w:pos="567"/>
          <w:tab w:val="left" w:pos="1134"/>
          <w:tab w:val="left" w:pos="1701"/>
          <w:tab w:val="left" w:pos="2268"/>
        </w:tabs>
        <w:spacing w:before="120"/>
        <w:rPr>
          <w:rFonts w:ascii="Calibri" w:eastAsia="Calibri" w:hAnsi="Calibri" w:cs="Calibri"/>
          <w:b/>
          <w:bCs/>
          <w:lang w:val="en-US"/>
        </w:rPr>
      </w:pPr>
      <w:r w:rsidRPr="00170FC6">
        <w:rPr>
          <w:rFonts w:ascii="Calibri" w:eastAsia="Calibri" w:hAnsi="Calibri" w:cs="Calibri"/>
          <w:b/>
          <w:bCs/>
          <w:lang w:val="en-US"/>
        </w:rPr>
        <w:t>International engagement</w:t>
      </w:r>
    </w:p>
    <w:p w14:paraId="510EF2AF" w14:textId="23F2A30E" w:rsidR="004C1EA5" w:rsidRPr="00C43D30" w:rsidRDefault="00840E9A" w:rsidP="00C43D30">
      <w:pPr>
        <w:numPr>
          <w:ilvl w:val="0"/>
          <w:numId w:val="30"/>
        </w:numPr>
        <w:tabs>
          <w:tab w:val="left" w:pos="540"/>
          <w:tab w:val="left" w:pos="567"/>
          <w:tab w:val="left" w:pos="1134"/>
          <w:tab w:val="left" w:pos="1701"/>
          <w:tab w:val="left" w:pos="2268"/>
        </w:tabs>
        <w:spacing w:before="120"/>
        <w:ind w:left="0" w:firstLine="0"/>
        <w:rPr>
          <w:rFonts w:ascii="Calibri" w:hAnsi="Calibri"/>
        </w:rPr>
      </w:pPr>
      <w:r w:rsidRPr="00170FC6">
        <w:rPr>
          <w:rFonts w:ascii="Calibri" w:hAnsi="Calibri" w:cs="Arial"/>
        </w:rPr>
        <w:t xml:space="preserve">NSN maintains </w:t>
      </w:r>
      <w:r w:rsidRPr="00170FC6">
        <w:rPr>
          <w:rFonts w:ascii="Calibri" w:hAnsi="Calibri"/>
          <w:bCs/>
        </w:rPr>
        <w:t>appropriate</w:t>
      </w:r>
      <w:r w:rsidRPr="00170FC6">
        <w:rPr>
          <w:rFonts w:ascii="Calibri" w:hAnsi="Calibri" w:cs="Arial"/>
        </w:rPr>
        <w:t xml:space="preserve"> interaction with other international organisations</w:t>
      </w:r>
      <w:r w:rsidRPr="00170FC6">
        <w:rPr>
          <w:rFonts w:ascii="Calibri" w:hAnsi="Calibri"/>
          <w:lang w:val="en-US"/>
        </w:rPr>
        <w:t>, when instrumental for the fulfilment of these Terms of Reference</w:t>
      </w:r>
      <w:r w:rsidRPr="00170FC6">
        <w:rPr>
          <w:rFonts w:ascii="Calibri" w:hAnsi="Calibri" w:cs="Arial"/>
        </w:rPr>
        <w:t xml:space="preserve">. In particular, </w:t>
      </w:r>
      <w:r w:rsidRPr="00170FC6">
        <w:rPr>
          <w:rFonts w:ascii="Calibri" w:hAnsi="Calibri"/>
        </w:rPr>
        <w:t xml:space="preserve">the Network of Prosecutors on Environmental Crime in the Baltic Sea Region (ENPRO) and the Mediterranean Network of Law Enforcement Officials relating to MARPOL within the framework of the Barcelona Convention (MENELAS) contribute to the work of NSN by participating in the annual meetings. In addition, NSN collaborates regularly with the International Maritime Organisation (IMO) and the International Crime Police Organization (Interpol). </w:t>
      </w:r>
    </w:p>
    <w:sectPr w:rsidR="004C1EA5" w:rsidRPr="00C43D30" w:rsidSect="00C43D30">
      <w:pgSz w:w="11900" w:h="16840"/>
      <w:pgMar w:top="1701" w:right="1134"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5657" w14:textId="77777777" w:rsidR="00731A6B" w:rsidRDefault="00731A6B" w:rsidP="004C1EA5">
      <w:pPr>
        <w:spacing w:after="0" w:line="240" w:lineRule="auto"/>
      </w:pPr>
      <w:r>
        <w:separator/>
      </w:r>
    </w:p>
  </w:endnote>
  <w:endnote w:type="continuationSeparator" w:id="0">
    <w:p w14:paraId="73275E56" w14:textId="77777777" w:rsidR="00731A6B" w:rsidRDefault="00731A6B" w:rsidP="004C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3C89" w14:textId="77777777" w:rsidR="00731A6B" w:rsidRDefault="00731A6B" w:rsidP="004C1EA5">
      <w:pPr>
        <w:spacing w:after="0" w:line="240" w:lineRule="auto"/>
      </w:pPr>
      <w:r>
        <w:separator/>
      </w:r>
    </w:p>
  </w:footnote>
  <w:footnote w:type="continuationSeparator" w:id="0">
    <w:p w14:paraId="5D6D6713" w14:textId="77777777" w:rsidR="00731A6B" w:rsidRDefault="00731A6B" w:rsidP="004C1EA5">
      <w:pPr>
        <w:spacing w:after="0" w:line="240" w:lineRule="auto"/>
      </w:pPr>
      <w:r>
        <w:continuationSeparator/>
      </w:r>
    </w:p>
  </w:footnote>
  <w:footnote w:id="1">
    <w:p w14:paraId="1BBDB13B" w14:textId="77777777" w:rsidR="00840E9A" w:rsidRPr="00DC7F0E" w:rsidRDefault="00840E9A" w:rsidP="00840E9A">
      <w:pPr>
        <w:pStyle w:val="FootnoteText"/>
      </w:pPr>
      <w:r w:rsidRPr="00DC7F0E">
        <w:rPr>
          <w:rStyle w:val="FootnoteReference"/>
        </w:rPr>
        <w:footnoteRef/>
      </w:r>
      <w:r w:rsidRPr="00DC7F0E">
        <w:t xml:space="preserve"> OSPAR’s Coordination Group</w:t>
      </w:r>
    </w:p>
  </w:footnote>
  <w:footnote w:id="2">
    <w:p w14:paraId="5744E851" w14:textId="77777777" w:rsidR="00840E9A" w:rsidRPr="00C43D30" w:rsidRDefault="00840E9A" w:rsidP="00840E9A">
      <w:pPr>
        <w:pStyle w:val="FootnoteText"/>
      </w:pPr>
      <w:r w:rsidRPr="00C43D30">
        <w:rPr>
          <w:rStyle w:val="FootnoteReference"/>
        </w:rPr>
        <w:footnoteRef/>
      </w:r>
      <w:r w:rsidRPr="00C43D30">
        <w:t xml:space="preserve"> </w:t>
      </w:r>
      <w:r w:rsidRPr="00C43D30">
        <w:rPr>
          <w:rFonts w:cs="Calibri"/>
          <w:shd w:val="clear" w:color="auto" w:fill="FFFFFF"/>
        </w:rPr>
        <w:t>OSPAR's Hazardous Substances &amp; Eutrophication Committee (HASEC)</w:t>
      </w:r>
    </w:p>
  </w:footnote>
  <w:footnote w:id="3">
    <w:p w14:paraId="09915AFF" w14:textId="77777777" w:rsidR="00840E9A" w:rsidRPr="00DC7F0E" w:rsidRDefault="00840E9A" w:rsidP="00840E9A">
      <w:pPr>
        <w:pStyle w:val="FootnoteText"/>
        <w:rPr>
          <w:rFonts w:cs="Calibri"/>
          <w:color w:val="4D5156"/>
          <w:shd w:val="clear" w:color="auto" w:fill="FFFFFF"/>
        </w:rPr>
      </w:pPr>
      <w:r w:rsidRPr="00C43D30">
        <w:rPr>
          <w:rStyle w:val="FootnoteReference"/>
        </w:rPr>
        <w:footnoteRef/>
      </w:r>
      <w:r w:rsidRPr="00C43D30">
        <w:t xml:space="preserve"> </w:t>
      </w:r>
      <w:r w:rsidRPr="00C43D30">
        <w:rPr>
          <w:rStyle w:val="Emphasis"/>
          <w:rFonts w:cs="Calibri"/>
          <w:i w:val="0"/>
          <w:iCs w:val="0"/>
          <w:shd w:val="clear" w:color="auto" w:fill="FFFFFF"/>
        </w:rPr>
        <w:t>OSPAR's</w:t>
      </w:r>
      <w:r w:rsidRPr="00C43D30">
        <w:rPr>
          <w:rFonts w:cs="Calibri"/>
          <w:i/>
          <w:iCs/>
          <w:shd w:val="clear" w:color="auto" w:fill="FFFFFF"/>
        </w:rPr>
        <w:t xml:space="preserve"> </w:t>
      </w:r>
      <w:r w:rsidRPr="00C43D30">
        <w:rPr>
          <w:rFonts w:cs="Calibri"/>
          <w:shd w:val="clear" w:color="auto" w:fill="FFFFFF"/>
        </w:rPr>
        <w:t xml:space="preserve">Environmental Impacts of Human Activities Committee </w:t>
      </w:r>
      <w:r w:rsidRPr="00C43D30">
        <w:rPr>
          <w:rFonts w:cs="Calibri"/>
          <w:i/>
          <w:iCs/>
          <w:shd w:val="clear" w:color="auto" w:fill="FFFFFF"/>
        </w:rPr>
        <w:t>(</w:t>
      </w:r>
      <w:r w:rsidRPr="00C43D30">
        <w:rPr>
          <w:rStyle w:val="Emphasis"/>
          <w:rFonts w:cs="Calibri"/>
          <w:i w:val="0"/>
          <w:iCs w:val="0"/>
          <w:shd w:val="clear" w:color="auto" w:fill="FFFFFF"/>
        </w:rPr>
        <w:t>EIHA</w:t>
      </w:r>
      <w:r w:rsidRPr="00C43D30">
        <w:rPr>
          <w:rFonts w:cs="Calibri"/>
          <w:i/>
          <w:iCs/>
          <w:shd w:val="clear" w:color="auto" w:fill="FFFFFF"/>
        </w:rPr>
        <w:t>)</w:t>
      </w:r>
    </w:p>
  </w:footnote>
  <w:footnote w:id="4">
    <w:p w14:paraId="285CADDF" w14:textId="77777777" w:rsidR="00840E9A" w:rsidRPr="00DC7F0E" w:rsidRDefault="00840E9A" w:rsidP="00840E9A">
      <w:pPr>
        <w:pStyle w:val="FootnoteText"/>
      </w:pPr>
      <w:r w:rsidRPr="00DC7F0E">
        <w:rPr>
          <w:rStyle w:val="FootnoteReference"/>
        </w:rPr>
        <w:footnoteRef/>
      </w:r>
      <w:r w:rsidRPr="00DC7F0E">
        <w:t xml:space="preserve"> OSPAR’s Offshore Industry Committee (OIC)</w:t>
      </w:r>
    </w:p>
  </w:footnote>
  <w:footnote w:id="5">
    <w:p w14:paraId="06871790" w14:textId="77777777" w:rsidR="00840E9A" w:rsidRPr="00DC7F0E" w:rsidRDefault="00840E9A" w:rsidP="00840E9A">
      <w:pPr>
        <w:pStyle w:val="FootnoteText"/>
      </w:pPr>
      <w:r w:rsidRPr="00DC7F0E">
        <w:rPr>
          <w:rStyle w:val="FootnoteReference"/>
        </w:rPr>
        <w:footnoteRef/>
      </w:r>
      <w:r w:rsidRPr="00DC7F0E">
        <w:t xml:space="preserve"> OSPAR’s Coordination Group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582"/>
    <w:multiLevelType w:val="multilevel"/>
    <w:tmpl w:val="E936425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9185A"/>
    <w:multiLevelType w:val="hybridMultilevel"/>
    <w:tmpl w:val="797E6EB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635A8"/>
    <w:multiLevelType w:val="hybridMultilevel"/>
    <w:tmpl w:val="FC20F4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8857307"/>
    <w:multiLevelType w:val="hybridMultilevel"/>
    <w:tmpl w:val="FC20F4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9372575"/>
    <w:multiLevelType w:val="hybridMultilevel"/>
    <w:tmpl w:val="4C50F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93353"/>
    <w:multiLevelType w:val="hybridMultilevel"/>
    <w:tmpl w:val="C23886FE"/>
    <w:lvl w:ilvl="0" w:tplc="FB4636B2">
      <w:start w:val="1"/>
      <w:numFmt w:val="decimal"/>
      <w:lvlText w:val="2.%1"/>
      <w:lvlJc w:val="left"/>
      <w:pPr>
        <w:ind w:left="502"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D2418"/>
    <w:multiLevelType w:val="hybridMultilevel"/>
    <w:tmpl w:val="A9B2A33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183951"/>
    <w:multiLevelType w:val="hybridMultilevel"/>
    <w:tmpl w:val="C73AA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097A56"/>
    <w:multiLevelType w:val="multilevel"/>
    <w:tmpl w:val="0A746E5E"/>
    <w:lvl w:ilvl="0">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364E0F"/>
    <w:multiLevelType w:val="multilevel"/>
    <w:tmpl w:val="35C082CC"/>
    <w:lvl w:ilvl="0">
      <w:start w:val="1"/>
      <w:numFmt w:val="decimal"/>
      <w:pStyle w:val="BodyText"/>
      <w:lvlText w:val="%1."/>
      <w:lvlJc w:val="left"/>
      <w:pPr>
        <w:tabs>
          <w:tab w:val="num" w:pos="1134"/>
        </w:tabs>
        <w:ind w:left="1134" w:hanging="1134"/>
      </w:pPr>
      <w:rPr>
        <w:rFonts w:hint="default"/>
      </w:rPr>
    </w:lvl>
    <w:lvl w:ilvl="1">
      <w:start w:val="1"/>
      <w:numFmt w:val="lowerLetter"/>
      <w:lvlText w:val="%2."/>
      <w:lvlJc w:val="left"/>
      <w:pPr>
        <w:tabs>
          <w:tab w:val="num" w:pos="1494"/>
        </w:tabs>
        <w:ind w:left="1418" w:hanging="284"/>
      </w:pPr>
      <w:rPr>
        <w:rFonts w:hint="default"/>
      </w:rPr>
    </w:lvl>
    <w:lvl w:ilvl="2">
      <w:start w:val="1"/>
      <w:numFmt w:val="lowerRoman"/>
      <w:lvlText w:val="%3."/>
      <w:lvlJc w:val="left"/>
      <w:pPr>
        <w:tabs>
          <w:tab w:val="num" w:pos="2138"/>
        </w:tabs>
        <w:ind w:left="1701" w:hanging="283"/>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0" w15:restartNumberingAfterBreak="0">
    <w:nsid w:val="4A5D178F"/>
    <w:multiLevelType w:val="hybridMultilevel"/>
    <w:tmpl w:val="8560514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A2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2671AB"/>
    <w:multiLevelType w:val="hybridMultilevel"/>
    <w:tmpl w:val="FC20F4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B03771C"/>
    <w:multiLevelType w:val="hybridMultilevel"/>
    <w:tmpl w:val="000400C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E95814"/>
    <w:multiLevelType w:val="hybridMultilevel"/>
    <w:tmpl w:val="FC20F4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75056939">
    <w:abstractNumId w:val="11"/>
  </w:num>
  <w:num w:numId="2" w16cid:durableId="1614245435">
    <w:abstractNumId w:val="4"/>
  </w:num>
  <w:num w:numId="3" w16cid:durableId="1162235611">
    <w:abstractNumId w:val="9"/>
  </w:num>
  <w:num w:numId="4" w16cid:durableId="1157964310">
    <w:abstractNumId w:val="11"/>
  </w:num>
  <w:num w:numId="5" w16cid:durableId="945581685">
    <w:abstractNumId w:val="11"/>
  </w:num>
  <w:num w:numId="6" w16cid:durableId="14621255">
    <w:abstractNumId w:val="12"/>
  </w:num>
  <w:num w:numId="7" w16cid:durableId="1411583799">
    <w:abstractNumId w:val="0"/>
  </w:num>
  <w:num w:numId="8" w16cid:durableId="2080054172">
    <w:abstractNumId w:val="5"/>
  </w:num>
  <w:num w:numId="9" w16cid:durableId="949236241">
    <w:abstractNumId w:val="8"/>
  </w:num>
  <w:num w:numId="10" w16cid:durableId="672146553">
    <w:abstractNumId w:val="11"/>
  </w:num>
  <w:num w:numId="11" w16cid:durableId="1514875638">
    <w:abstractNumId w:val="11"/>
  </w:num>
  <w:num w:numId="12" w16cid:durableId="2014405943">
    <w:abstractNumId w:val="11"/>
  </w:num>
  <w:num w:numId="13" w16cid:durableId="463619746">
    <w:abstractNumId w:val="2"/>
  </w:num>
  <w:num w:numId="14" w16cid:durableId="1886135967">
    <w:abstractNumId w:val="11"/>
  </w:num>
  <w:num w:numId="15" w16cid:durableId="927616564">
    <w:abstractNumId w:val="3"/>
  </w:num>
  <w:num w:numId="16" w16cid:durableId="1139571206">
    <w:abstractNumId w:val="11"/>
  </w:num>
  <w:num w:numId="17" w16cid:durableId="1157962723">
    <w:abstractNumId w:val="11"/>
  </w:num>
  <w:num w:numId="18" w16cid:durableId="54937594">
    <w:abstractNumId w:val="11"/>
  </w:num>
  <w:num w:numId="19" w16cid:durableId="1593587310">
    <w:abstractNumId w:val="11"/>
  </w:num>
  <w:num w:numId="20" w16cid:durableId="12493138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313960">
    <w:abstractNumId w:val="11"/>
  </w:num>
  <w:num w:numId="22" w16cid:durableId="206913786">
    <w:abstractNumId w:val="11"/>
  </w:num>
  <w:num w:numId="23" w16cid:durableId="282465573">
    <w:abstractNumId w:val="11"/>
  </w:num>
  <w:num w:numId="24" w16cid:durableId="980111596">
    <w:abstractNumId w:val="11"/>
  </w:num>
  <w:num w:numId="25" w16cid:durableId="651758807">
    <w:abstractNumId w:val="10"/>
  </w:num>
  <w:num w:numId="26" w16cid:durableId="1358198766">
    <w:abstractNumId w:val="6"/>
  </w:num>
  <w:num w:numId="27" w16cid:durableId="1073088488">
    <w:abstractNumId w:val="11"/>
  </w:num>
  <w:num w:numId="28" w16cid:durableId="1203129648">
    <w:abstractNumId w:val="14"/>
  </w:num>
  <w:num w:numId="29" w16cid:durableId="1317106875">
    <w:abstractNumId w:val="11"/>
  </w:num>
  <w:num w:numId="30" w16cid:durableId="186913091">
    <w:abstractNumId w:val="1"/>
  </w:num>
  <w:num w:numId="31" w16cid:durableId="1592158102">
    <w:abstractNumId w:val="7"/>
  </w:num>
  <w:num w:numId="32" w16cid:durableId="1028095820">
    <w:abstractNumId w:val="11"/>
  </w:num>
  <w:num w:numId="33" w16cid:durableId="995568292">
    <w:abstractNumId w:val="11"/>
  </w:num>
  <w:num w:numId="34" w16cid:durableId="298265282">
    <w:abstractNumId w:val="11"/>
  </w:num>
  <w:num w:numId="35" w16cid:durableId="115490990">
    <w:abstractNumId w:val="13"/>
  </w:num>
  <w:num w:numId="36" w16cid:durableId="497422912">
    <w:abstractNumId w:val="11"/>
  </w:num>
  <w:num w:numId="37" w16cid:durableId="1087652616">
    <w:abstractNumId w:val="15"/>
  </w:num>
  <w:num w:numId="38" w16cid:durableId="175535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EA5"/>
    <w:rsid w:val="00005ABB"/>
    <w:rsid w:val="000D0144"/>
    <w:rsid w:val="000D56A1"/>
    <w:rsid w:val="001002A9"/>
    <w:rsid w:val="00145761"/>
    <w:rsid w:val="00196CC3"/>
    <w:rsid w:val="00221F78"/>
    <w:rsid w:val="0024796C"/>
    <w:rsid w:val="002A6A85"/>
    <w:rsid w:val="00313742"/>
    <w:rsid w:val="003541BF"/>
    <w:rsid w:val="00370608"/>
    <w:rsid w:val="003E0A68"/>
    <w:rsid w:val="00405043"/>
    <w:rsid w:val="004C1EA5"/>
    <w:rsid w:val="00504263"/>
    <w:rsid w:val="00504603"/>
    <w:rsid w:val="005631A7"/>
    <w:rsid w:val="005937AA"/>
    <w:rsid w:val="005D3080"/>
    <w:rsid w:val="005F46CF"/>
    <w:rsid w:val="006057B3"/>
    <w:rsid w:val="00676C9B"/>
    <w:rsid w:val="006C79DC"/>
    <w:rsid w:val="006F2385"/>
    <w:rsid w:val="006F3C95"/>
    <w:rsid w:val="00705E04"/>
    <w:rsid w:val="00731A6B"/>
    <w:rsid w:val="00751C55"/>
    <w:rsid w:val="00763C53"/>
    <w:rsid w:val="00772712"/>
    <w:rsid w:val="00774724"/>
    <w:rsid w:val="007F4E00"/>
    <w:rsid w:val="00840E9A"/>
    <w:rsid w:val="008567C1"/>
    <w:rsid w:val="008625A5"/>
    <w:rsid w:val="008661C9"/>
    <w:rsid w:val="008B4B12"/>
    <w:rsid w:val="008B51AA"/>
    <w:rsid w:val="008C00CA"/>
    <w:rsid w:val="008C76C4"/>
    <w:rsid w:val="0090516B"/>
    <w:rsid w:val="00A041FC"/>
    <w:rsid w:val="00A91FB8"/>
    <w:rsid w:val="00AD6161"/>
    <w:rsid w:val="00AE1BE4"/>
    <w:rsid w:val="00AE692E"/>
    <w:rsid w:val="00B04649"/>
    <w:rsid w:val="00B352FA"/>
    <w:rsid w:val="00B473D3"/>
    <w:rsid w:val="00BD4CF8"/>
    <w:rsid w:val="00BF72C0"/>
    <w:rsid w:val="00C045FD"/>
    <w:rsid w:val="00C31BF6"/>
    <w:rsid w:val="00C43D30"/>
    <w:rsid w:val="00CF2136"/>
    <w:rsid w:val="00D327E2"/>
    <w:rsid w:val="00D65385"/>
    <w:rsid w:val="00DA6D50"/>
    <w:rsid w:val="00DA6F22"/>
    <w:rsid w:val="00DB410C"/>
    <w:rsid w:val="00DC225A"/>
    <w:rsid w:val="00E82294"/>
    <w:rsid w:val="00E946D6"/>
    <w:rsid w:val="00EB016E"/>
    <w:rsid w:val="00EF442E"/>
    <w:rsid w:val="00EF5FFE"/>
    <w:rsid w:val="00F110C0"/>
    <w:rsid w:val="00F25F50"/>
    <w:rsid w:val="00F305E3"/>
    <w:rsid w:val="00F3445F"/>
    <w:rsid w:val="00F923A1"/>
    <w:rsid w:val="00F92E08"/>
    <w:rsid w:val="00F94F2C"/>
    <w:rsid w:val="00FD0092"/>
    <w:rsid w:val="00FE7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D9A1E"/>
  <w15:chartTrackingRefBased/>
  <w15:docId w15:val="{D1E07483-6474-4BEA-9F10-906E786A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EA5"/>
    <w:pPr>
      <w:spacing w:after="120" w:line="276" w:lineRule="auto"/>
      <w:jc w:val="both"/>
    </w:pPr>
  </w:style>
  <w:style w:type="paragraph" w:styleId="Heading1">
    <w:name w:val="heading 1"/>
    <w:basedOn w:val="Normal"/>
    <w:next w:val="Normal"/>
    <w:link w:val="Heading1Char"/>
    <w:uiPriority w:val="9"/>
    <w:qFormat/>
    <w:rsid w:val="004C1EA5"/>
    <w:pPr>
      <w:spacing w:before="200"/>
      <w:outlineLvl w:val="0"/>
    </w:pPr>
    <w:rPr>
      <w:rFonts w:ascii="Calibri" w:hAnsi="Calibri" w:cs="Arial"/>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EA5"/>
    <w:rPr>
      <w:rFonts w:ascii="Calibri" w:hAnsi="Calibri" w:cs="Arial"/>
      <w:kern w:val="28"/>
      <w:sz w:val="26"/>
      <w:szCs w:val="26"/>
    </w:rPr>
  </w:style>
  <w:style w:type="paragraph" w:styleId="Title">
    <w:name w:val="Title"/>
    <w:basedOn w:val="Normal"/>
    <w:link w:val="TitleChar"/>
    <w:qFormat/>
    <w:rsid w:val="004C1EA5"/>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4C1EA5"/>
    <w:rPr>
      <w:rFonts w:ascii="Calibri" w:hAnsi="Calibri" w:cs="Arial"/>
      <w:kern w:val="28"/>
      <w:sz w:val="40"/>
    </w:rPr>
  </w:style>
  <w:style w:type="paragraph" w:customStyle="1" w:styleId="Docheader">
    <w:name w:val="Doc header"/>
    <w:basedOn w:val="Normal"/>
    <w:rsid w:val="004C1EA5"/>
    <w:pPr>
      <w:tabs>
        <w:tab w:val="left" w:pos="567"/>
      </w:tabs>
      <w:spacing w:line="280" w:lineRule="exact"/>
    </w:pPr>
    <w:rPr>
      <w:rFonts w:ascii="Arial" w:eastAsia="Times New Roman" w:hAnsi="Arial" w:cs="Times New Roman"/>
      <w:sz w:val="24"/>
      <w:szCs w:val="20"/>
      <w:lang w:val="en-US"/>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4C1EA5"/>
    <w:pPr>
      <w:numPr>
        <w:numId w:val="1"/>
      </w:numPr>
      <w:tabs>
        <w:tab w:val="left" w:pos="567"/>
      </w:tabs>
      <w:spacing w:before="120"/>
    </w:pPr>
    <w:rPr>
      <w:rFonts w:cs="Arial"/>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4C1EA5"/>
    <w:rPr>
      <w:rFonts w:cs="Arial"/>
    </w:rPr>
  </w:style>
  <w:style w:type="paragraph" w:styleId="Header">
    <w:name w:val="header"/>
    <w:basedOn w:val="Normal"/>
    <w:link w:val="HeaderChar"/>
    <w:unhideWhenUsed/>
    <w:rsid w:val="004C1EA5"/>
    <w:pPr>
      <w:tabs>
        <w:tab w:val="center" w:pos="4513"/>
        <w:tab w:val="right" w:pos="9026"/>
      </w:tabs>
      <w:spacing w:after="0" w:line="240" w:lineRule="auto"/>
    </w:pPr>
  </w:style>
  <w:style w:type="character" w:customStyle="1" w:styleId="HeaderChar">
    <w:name w:val="Header Char"/>
    <w:basedOn w:val="DefaultParagraphFont"/>
    <w:link w:val="Header"/>
    <w:rsid w:val="004C1EA5"/>
  </w:style>
  <w:style w:type="paragraph" w:styleId="Footer">
    <w:name w:val="footer"/>
    <w:aliases w:val="Footer1"/>
    <w:basedOn w:val="Normal"/>
    <w:link w:val="FooterChar"/>
    <w:uiPriority w:val="99"/>
    <w:unhideWhenUsed/>
    <w:rsid w:val="004C1EA5"/>
    <w:pPr>
      <w:tabs>
        <w:tab w:val="center" w:pos="4513"/>
        <w:tab w:val="right" w:pos="9026"/>
      </w:tabs>
      <w:spacing w:after="0" w:line="240" w:lineRule="auto"/>
    </w:pPr>
  </w:style>
  <w:style w:type="character" w:customStyle="1" w:styleId="FooterChar">
    <w:name w:val="Footer Char"/>
    <w:aliases w:val="Footer1 Char"/>
    <w:basedOn w:val="DefaultParagraphFont"/>
    <w:link w:val="Footer"/>
    <w:uiPriority w:val="99"/>
    <w:rsid w:val="004C1EA5"/>
  </w:style>
  <w:style w:type="character" w:styleId="PageNumber">
    <w:name w:val="page number"/>
    <w:basedOn w:val="DefaultParagraphFont"/>
    <w:rsid w:val="004C1EA5"/>
  </w:style>
  <w:style w:type="paragraph" w:styleId="BodyText">
    <w:name w:val="Body Text"/>
    <w:basedOn w:val="Normal"/>
    <w:link w:val="BodyTextChar"/>
    <w:rsid w:val="004C1EA5"/>
    <w:pPr>
      <w:numPr>
        <w:numId w:val="3"/>
      </w:numPr>
      <w:tabs>
        <w:tab w:val="left" w:pos="1418"/>
        <w:tab w:val="left" w:pos="1701"/>
      </w:tabs>
      <w:spacing w:after="140" w:line="280" w:lineRule="atLeast"/>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4C1EA5"/>
    <w:rPr>
      <w:rFonts w:ascii="Arial" w:eastAsia="Times New Roman" w:hAnsi="Arial" w:cs="Times New Roman"/>
      <w:sz w:val="20"/>
      <w:szCs w:val="20"/>
      <w:lang w:eastAsia="en-GB"/>
    </w:rPr>
  </w:style>
  <w:style w:type="paragraph" w:styleId="FootnoteText">
    <w:name w:val="footnote text"/>
    <w:link w:val="FootnoteTextChar"/>
    <w:uiPriority w:val="99"/>
    <w:semiHidden/>
    <w:rsid w:val="00751C55"/>
    <w:pPr>
      <w:spacing w:after="0" w:line="276" w:lineRule="auto"/>
      <w:jc w:val="both"/>
    </w:pPr>
    <w:rPr>
      <w:rFonts w:ascii="Calibri" w:eastAsia="Times New Roman" w:hAnsi="Calibri" w:cs="Times New Roman"/>
      <w:noProof/>
      <w:sz w:val="20"/>
      <w:szCs w:val="20"/>
      <w:lang w:eastAsia="en-GB"/>
    </w:rPr>
  </w:style>
  <w:style w:type="character" w:customStyle="1" w:styleId="FootnoteTextChar">
    <w:name w:val="Footnote Text Char"/>
    <w:basedOn w:val="DefaultParagraphFont"/>
    <w:link w:val="FootnoteText"/>
    <w:uiPriority w:val="99"/>
    <w:semiHidden/>
    <w:rsid w:val="00751C55"/>
    <w:rPr>
      <w:rFonts w:ascii="Calibri" w:eastAsia="Times New Roman" w:hAnsi="Calibri" w:cs="Times New Roman"/>
      <w:noProof/>
      <w:sz w:val="20"/>
      <w:szCs w:val="20"/>
      <w:lang w:eastAsia="en-GB"/>
    </w:rPr>
  </w:style>
  <w:style w:type="character" w:styleId="FootnoteReference">
    <w:name w:val="footnote reference"/>
    <w:aliases w:val="stylish"/>
    <w:rsid w:val="00751C55"/>
    <w:rPr>
      <w:vertAlign w:val="superscript"/>
    </w:rPr>
  </w:style>
  <w:style w:type="table" w:customStyle="1" w:styleId="TableGrid2">
    <w:name w:val="Table Grid2"/>
    <w:basedOn w:val="TableNormal"/>
    <w:next w:val="TableGrid"/>
    <w:uiPriority w:val="59"/>
    <w:rsid w:val="00751C55"/>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1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946D6"/>
    <w:rPr>
      <w:color w:val="16288E"/>
      <w:u w:val="none"/>
    </w:rPr>
  </w:style>
  <w:style w:type="character" w:styleId="UnresolvedMention">
    <w:name w:val="Unresolved Mention"/>
    <w:basedOn w:val="DefaultParagraphFont"/>
    <w:uiPriority w:val="99"/>
    <w:semiHidden/>
    <w:unhideWhenUsed/>
    <w:rsid w:val="00705E04"/>
    <w:rPr>
      <w:color w:val="605E5C"/>
      <w:shd w:val="clear" w:color="auto" w:fill="E1DFDD"/>
    </w:rPr>
  </w:style>
  <w:style w:type="paragraph" w:styleId="Revision">
    <w:name w:val="Revision"/>
    <w:hidden/>
    <w:uiPriority w:val="99"/>
    <w:semiHidden/>
    <w:rsid w:val="00F3445F"/>
    <w:pPr>
      <w:spacing w:after="0" w:line="240" w:lineRule="auto"/>
    </w:pPr>
  </w:style>
  <w:style w:type="character" w:styleId="CommentReference">
    <w:name w:val="annotation reference"/>
    <w:basedOn w:val="DefaultParagraphFont"/>
    <w:uiPriority w:val="99"/>
    <w:semiHidden/>
    <w:unhideWhenUsed/>
    <w:rsid w:val="006C79DC"/>
    <w:rPr>
      <w:sz w:val="16"/>
      <w:szCs w:val="16"/>
    </w:rPr>
  </w:style>
  <w:style w:type="paragraph" w:styleId="CommentText">
    <w:name w:val="annotation text"/>
    <w:basedOn w:val="Normal"/>
    <w:link w:val="CommentTextChar"/>
    <w:uiPriority w:val="99"/>
    <w:unhideWhenUsed/>
    <w:rsid w:val="006C79DC"/>
    <w:pPr>
      <w:spacing w:line="240" w:lineRule="auto"/>
    </w:pPr>
    <w:rPr>
      <w:sz w:val="20"/>
      <w:szCs w:val="20"/>
    </w:rPr>
  </w:style>
  <w:style w:type="character" w:customStyle="1" w:styleId="CommentTextChar">
    <w:name w:val="Comment Text Char"/>
    <w:basedOn w:val="DefaultParagraphFont"/>
    <w:link w:val="CommentText"/>
    <w:uiPriority w:val="99"/>
    <w:rsid w:val="006C79DC"/>
    <w:rPr>
      <w:sz w:val="20"/>
      <w:szCs w:val="20"/>
    </w:rPr>
  </w:style>
  <w:style w:type="character" w:styleId="Emphasis">
    <w:name w:val="Emphasis"/>
    <w:basedOn w:val="DefaultParagraphFont"/>
    <w:uiPriority w:val="20"/>
    <w:qFormat/>
    <w:rsid w:val="00840E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2095">
      <w:bodyDiv w:val="1"/>
      <w:marLeft w:val="0"/>
      <w:marRight w:val="0"/>
      <w:marTop w:val="0"/>
      <w:marBottom w:val="0"/>
      <w:divBdr>
        <w:top w:val="none" w:sz="0" w:space="0" w:color="auto"/>
        <w:left w:val="none" w:sz="0" w:space="0" w:color="auto"/>
        <w:bottom w:val="none" w:sz="0" w:space="0" w:color="auto"/>
        <w:right w:val="none" w:sz="0" w:space="0" w:color="auto"/>
      </w:divBdr>
    </w:div>
    <w:div w:id="549659078">
      <w:bodyDiv w:val="1"/>
      <w:marLeft w:val="0"/>
      <w:marRight w:val="0"/>
      <w:marTop w:val="0"/>
      <w:marBottom w:val="0"/>
      <w:divBdr>
        <w:top w:val="none" w:sz="0" w:space="0" w:color="auto"/>
        <w:left w:val="none" w:sz="0" w:space="0" w:color="auto"/>
        <w:bottom w:val="none" w:sz="0" w:space="0" w:color="auto"/>
        <w:right w:val="none" w:sz="0" w:space="0" w:color="auto"/>
      </w:divBdr>
    </w:div>
    <w:div w:id="11386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1D18C-A98C-42DA-8C85-2D4538B5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DeLaTorre</dc:creator>
  <cp:keywords/>
  <dc:description/>
  <cp:lastModifiedBy>Barbara Middleton</cp:lastModifiedBy>
  <cp:revision>7</cp:revision>
  <dcterms:created xsi:type="dcterms:W3CDTF">2026-05-19T13:09:00Z</dcterms:created>
  <dcterms:modified xsi:type="dcterms:W3CDTF">2026-06-12T10:10:00Z</dcterms:modified>
</cp:coreProperties>
</file>