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19C77" w14:textId="73D5D972" w:rsidR="00323C97" w:rsidRPr="00323C97" w:rsidRDefault="00323C97" w:rsidP="00C11697">
      <w:pPr>
        <w:jc w:val="right"/>
        <w:rPr>
          <w:sz w:val="24"/>
          <w:szCs w:val="24"/>
        </w:rPr>
      </w:pPr>
      <w:r w:rsidRPr="00323C97">
        <w:rPr>
          <w:sz w:val="24"/>
          <w:szCs w:val="24"/>
        </w:rPr>
        <w:tab/>
      </w:r>
      <w:r w:rsidRPr="00323C97">
        <w:rPr>
          <w:sz w:val="24"/>
          <w:szCs w:val="24"/>
        </w:rPr>
        <w:tab/>
      </w:r>
      <w:r w:rsidRPr="00323C97">
        <w:rPr>
          <w:sz w:val="24"/>
          <w:szCs w:val="24"/>
        </w:rPr>
        <w:tab/>
      </w:r>
      <w:r w:rsidRPr="00323C97">
        <w:rPr>
          <w:sz w:val="24"/>
          <w:szCs w:val="24"/>
        </w:rPr>
        <w:tab/>
      </w:r>
      <w:r w:rsidRPr="00323C97">
        <w:rPr>
          <w:sz w:val="24"/>
          <w:szCs w:val="24"/>
        </w:rPr>
        <w:tab/>
      </w:r>
      <w:r w:rsidRPr="00323C97">
        <w:rPr>
          <w:sz w:val="24"/>
          <w:szCs w:val="24"/>
        </w:rPr>
        <w:tab/>
      </w:r>
      <w:r w:rsidRPr="00323C97">
        <w:rPr>
          <w:sz w:val="24"/>
          <w:szCs w:val="24"/>
        </w:rPr>
        <w:tab/>
      </w:r>
      <w:r w:rsidRPr="00323C97">
        <w:rPr>
          <w:sz w:val="24"/>
          <w:szCs w:val="24"/>
        </w:rPr>
        <w:tab/>
      </w:r>
      <w:r w:rsidR="00C11697">
        <w:rPr>
          <w:sz w:val="24"/>
          <w:szCs w:val="24"/>
        </w:rPr>
        <w:t xml:space="preserve">Annex </w:t>
      </w:r>
      <w:r w:rsidR="008B03F7">
        <w:rPr>
          <w:sz w:val="24"/>
          <w:szCs w:val="24"/>
        </w:rPr>
        <w:t>6</w:t>
      </w:r>
    </w:p>
    <w:tbl>
      <w:tblPr>
        <w:tblW w:w="9724" w:type="dxa"/>
        <w:tblCellMar>
          <w:top w:w="85" w:type="dxa"/>
          <w:left w:w="0" w:type="dxa"/>
          <w:bottom w:w="85" w:type="dxa"/>
          <w:right w:w="0" w:type="dxa"/>
        </w:tblCellMar>
        <w:tblLook w:val="01E0" w:firstRow="1" w:lastRow="1" w:firstColumn="1" w:lastColumn="1" w:noHBand="0" w:noVBand="0"/>
      </w:tblPr>
      <w:tblGrid>
        <w:gridCol w:w="9724"/>
      </w:tblGrid>
      <w:tr w:rsidR="00323C97" w:rsidRPr="00323C97" w14:paraId="6541EE93" w14:textId="77777777" w:rsidTr="00592174">
        <w:trPr>
          <w:trHeight w:val="284"/>
        </w:trPr>
        <w:tc>
          <w:tcPr>
            <w:tcW w:w="9724" w:type="dxa"/>
            <w:hideMark/>
          </w:tcPr>
          <w:p w14:paraId="4C293E25" w14:textId="77777777" w:rsidR="00323C97" w:rsidRPr="00323C97" w:rsidRDefault="00323C97" w:rsidP="00592174">
            <w:pPr>
              <w:pStyle w:val="Docheader"/>
              <w:spacing w:line="240" w:lineRule="auto"/>
              <w:rPr>
                <w:rFonts w:asciiTheme="minorHAnsi" w:hAnsiTheme="minorHAnsi" w:cstheme="minorHAnsi"/>
                <w:i/>
                <w:sz w:val="26"/>
                <w:szCs w:val="26"/>
                <w:lang w:val="en-GB"/>
              </w:rPr>
            </w:pPr>
            <w:bookmarkStart w:id="0" w:name="_Hlk23777312"/>
            <w:r w:rsidRPr="00323C97">
              <w:rPr>
                <w:rFonts w:asciiTheme="minorHAnsi" w:hAnsiTheme="minorHAnsi" w:cstheme="minorHAnsi"/>
                <w:sz w:val="26"/>
                <w:szCs w:val="26"/>
                <w:lang w:val="en-GB"/>
              </w:rPr>
              <w:t>OSPAR Convention for the Protection of the Marine Environment of the North-East Atlantic</w:t>
            </w:r>
          </w:p>
        </w:tc>
      </w:tr>
      <w:tr w:rsidR="00323C97" w:rsidRPr="00323C97" w14:paraId="2DBCDCEE" w14:textId="77777777" w:rsidTr="00592174">
        <w:trPr>
          <w:trHeight w:val="284"/>
        </w:trPr>
        <w:tc>
          <w:tcPr>
            <w:tcW w:w="9724" w:type="dxa"/>
            <w:tcBorders>
              <w:top w:val="nil"/>
              <w:left w:val="nil"/>
              <w:bottom w:val="single" w:sz="4" w:space="0" w:color="808080"/>
              <w:right w:val="nil"/>
            </w:tcBorders>
            <w:hideMark/>
          </w:tcPr>
          <w:p w14:paraId="7A4167D6" w14:textId="3AF48604" w:rsidR="00051C99" w:rsidRPr="00051C99" w:rsidRDefault="00051C99" w:rsidP="00051C99">
            <w:pPr>
              <w:pStyle w:val="Docheader"/>
              <w:spacing w:line="240" w:lineRule="auto"/>
              <w:rPr>
                <w:rFonts w:asciiTheme="minorHAnsi" w:hAnsiTheme="minorHAnsi" w:cstheme="minorHAnsi"/>
                <w:sz w:val="26"/>
                <w:szCs w:val="26"/>
                <w:lang w:val="en-GB"/>
              </w:rPr>
            </w:pPr>
            <w:r>
              <w:rPr>
                <w:rFonts w:asciiTheme="minorHAnsi" w:hAnsiTheme="minorHAnsi" w:cstheme="minorHAnsi"/>
                <w:sz w:val="26"/>
                <w:szCs w:val="26"/>
                <w:lang w:val="en-GB"/>
              </w:rPr>
              <w:t xml:space="preserve">Meeting of the </w:t>
            </w:r>
            <w:r w:rsidRPr="00051C99">
              <w:rPr>
                <w:rFonts w:asciiTheme="minorHAnsi" w:hAnsiTheme="minorHAnsi" w:cstheme="minorHAnsi"/>
                <w:sz w:val="26"/>
                <w:szCs w:val="26"/>
                <w:lang w:val="en-GB"/>
              </w:rPr>
              <w:t>Hazardous Substances and Eutrophication Committee (HASEC)</w:t>
            </w:r>
          </w:p>
          <w:p w14:paraId="681CA398" w14:textId="3A398423" w:rsidR="00323C97" w:rsidRPr="00323C97" w:rsidRDefault="00051C99" w:rsidP="00051C99">
            <w:pPr>
              <w:pStyle w:val="Docheader"/>
              <w:spacing w:before="120" w:line="240" w:lineRule="auto"/>
              <w:rPr>
                <w:rFonts w:asciiTheme="minorHAnsi" w:hAnsiTheme="minorHAnsi" w:cstheme="minorHAnsi"/>
                <w:sz w:val="26"/>
                <w:szCs w:val="26"/>
                <w:lang w:val="en-GB"/>
              </w:rPr>
            </w:pPr>
            <w:r w:rsidRPr="00051C99">
              <w:rPr>
                <w:rFonts w:asciiTheme="minorHAnsi" w:hAnsiTheme="minorHAnsi" w:cstheme="minorHAnsi"/>
                <w:sz w:val="26"/>
                <w:szCs w:val="26"/>
                <w:lang w:val="en-GB"/>
              </w:rPr>
              <w:t>Hybrid meeting from Paris (France): 24-28 March 2025</w:t>
            </w:r>
          </w:p>
        </w:tc>
      </w:tr>
    </w:tbl>
    <w:bookmarkEnd w:id="0"/>
    <w:p w14:paraId="0183BB39" w14:textId="19952229" w:rsidR="00323C97" w:rsidRPr="00323C97" w:rsidRDefault="00323C97" w:rsidP="00CB02A7">
      <w:pPr>
        <w:pStyle w:val="Heading1"/>
        <w:rPr>
          <w:sz w:val="24"/>
          <w:szCs w:val="24"/>
        </w:rPr>
      </w:pPr>
      <w:r w:rsidRPr="00323C97">
        <w:rPr>
          <w:sz w:val="24"/>
          <w:szCs w:val="24"/>
        </w:rPr>
        <w:t xml:space="preserve">Source: </w:t>
      </w:r>
      <w:r w:rsidR="0044309D">
        <w:rPr>
          <w:sz w:val="24"/>
          <w:szCs w:val="24"/>
        </w:rPr>
        <w:t>INPUT</w:t>
      </w:r>
      <w:r w:rsidRPr="00323C97">
        <w:rPr>
          <w:sz w:val="24"/>
          <w:szCs w:val="24"/>
        </w:rPr>
        <w:t xml:space="preserve"> </w:t>
      </w:r>
      <w:r w:rsidR="0044309D">
        <w:rPr>
          <w:sz w:val="24"/>
          <w:szCs w:val="24"/>
        </w:rPr>
        <w:t>25</w:t>
      </w:r>
      <w:r w:rsidRPr="00323C97">
        <w:rPr>
          <w:sz w:val="24"/>
          <w:szCs w:val="24"/>
        </w:rPr>
        <w:t>/</w:t>
      </w:r>
      <w:r w:rsidR="00340BF0">
        <w:rPr>
          <w:sz w:val="24"/>
          <w:szCs w:val="24"/>
        </w:rPr>
        <w:t>01</w:t>
      </w:r>
      <w:r w:rsidRPr="00323C97">
        <w:rPr>
          <w:sz w:val="24"/>
          <w:szCs w:val="24"/>
        </w:rPr>
        <w:t>/0</w:t>
      </w:r>
      <w:r w:rsidR="00340BF0">
        <w:rPr>
          <w:sz w:val="24"/>
          <w:szCs w:val="24"/>
        </w:rPr>
        <w:t>2</w:t>
      </w:r>
      <w:r w:rsidRPr="00323C97">
        <w:rPr>
          <w:sz w:val="24"/>
          <w:szCs w:val="24"/>
        </w:rPr>
        <w:t xml:space="preserve">, Annex </w:t>
      </w:r>
      <w:r w:rsidR="00340BF0">
        <w:rPr>
          <w:sz w:val="24"/>
          <w:szCs w:val="24"/>
        </w:rPr>
        <w:t>3</w:t>
      </w:r>
    </w:p>
    <w:p w14:paraId="447FF5D7" w14:textId="2D2E5121" w:rsidR="00EC015A" w:rsidRPr="00051C99" w:rsidRDefault="00051C99" w:rsidP="00EC015A">
      <w:pPr>
        <w:pStyle w:val="BodyText"/>
        <w:numPr>
          <w:ilvl w:val="0"/>
          <w:numId w:val="0"/>
        </w:numPr>
        <w:rPr>
          <w:sz w:val="32"/>
          <w:szCs w:val="32"/>
        </w:rPr>
      </w:pPr>
      <w:r w:rsidRPr="00051C99">
        <w:rPr>
          <w:sz w:val="32"/>
          <w:szCs w:val="32"/>
        </w:rPr>
        <w:t>Terms of reference for the Working Group on Inputs to the Marine Environment (INPUT)</w:t>
      </w:r>
    </w:p>
    <w:p w14:paraId="50D1DD04" w14:textId="04FF6037" w:rsidR="00CB02A7" w:rsidRDefault="00CB02A7" w:rsidP="00EC015A">
      <w:pPr>
        <w:pStyle w:val="BodyText"/>
        <w:numPr>
          <w:ilvl w:val="0"/>
          <w:numId w:val="0"/>
        </w:numPr>
        <w:tabs>
          <w:tab w:val="left" w:pos="567"/>
        </w:tabs>
      </w:pPr>
      <w:r>
        <w:t xml:space="preserve">1. </w:t>
      </w:r>
      <w:r>
        <w:tab/>
      </w:r>
      <w:r w:rsidRPr="00621A9B">
        <w:t xml:space="preserve">The </w:t>
      </w:r>
      <w:r w:rsidRPr="00376655">
        <w:t xml:space="preserve">Working Group on Inputs to the Marine Environment (INPUT) </w:t>
      </w:r>
      <w:r w:rsidRPr="00621A9B">
        <w:t xml:space="preserve">is a subsidiary body of </w:t>
      </w:r>
      <w:r>
        <w:t>OSPAR Hazardous Substances and Eutrophication Committee</w:t>
      </w:r>
      <w:r w:rsidRPr="00621A9B">
        <w:t xml:space="preserve"> comprising representatives of all Contracting Parties and OSPAR Observer organisations. </w:t>
      </w:r>
    </w:p>
    <w:p w14:paraId="4F859B69" w14:textId="77777777" w:rsidR="00CB02A7" w:rsidRDefault="00CB02A7" w:rsidP="00CB02A7">
      <w:pPr>
        <w:pStyle w:val="ListParagraph"/>
        <w:tabs>
          <w:tab w:val="left" w:pos="540"/>
          <w:tab w:val="left" w:pos="567"/>
        </w:tabs>
        <w:spacing w:before="120" w:line="280" w:lineRule="atLeast"/>
        <w:ind w:left="0"/>
        <w:contextualSpacing w:val="0"/>
      </w:pPr>
      <w:r>
        <w:t xml:space="preserve">2.   </w:t>
      </w:r>
      <w:r>
        <w:tab/>
        <w:t>The function of HASEC is to coordinate the work under the OSPAR Convention on hazardous substances and eutrophication and contribute to the delivery of the North-East Atlantic Environment Strategy (NEAES 2030). INPUT is a Working Group of HASEC.</w:t>
      </w:r>
    </w:p>
    <w:p w14:paraId="73FC21A1" w14:textId="22A7C449" w:rsidR="00CB02A7" w:rsidRPr="00EB607C" w:rsidRDefault="00CB02A7" w:rsidP="00CB02A7">
      <w:pPr>
        <w:pStyle w:val="ListParagraph"/>
        <w:tabs>
          <w:tab w:val="left" w:pos="540"/>
          <w:tab w:val="left" w:pos="567"/>
        </w:tabs>
        <w:spacing w:before="120" w:line="280" w:lineRule="atLeast"/>
        <w:ind w:left="0"/>
        <w:contextualSpacing w:val="0"/>
      </w:pPr>
      <w:r>
        <w:t xml:space="preserve">3. </w:t>
      </w:r>
      <w:r>
        <w:tab/>
      </w:r>
      <w:r w:rsidRPr="00EB607C">
        <w:rPr>
          <w:rFonts w:cs="Arial"/>
        </w:rPr>
        <w:t xml:space="preserve">The scope of work is to develop programmes and measures which include those related to: </w:t>
      </w:r>
    </w:p>
    <w:p w14:paraId="2AA314A0" w14:textId="77777777" w:rsidR="00CB02A7" w:rsidRPr="00376655" w:rsidRDefault="00CB02A7" w:rsidP="00CB02A7">
      <w:pPr>
        <w:numPr>
          <w:ilvl w:val="1"/>
          <w:numId w:val="16"/>
        </w:numPr>
        <w:tabs>
          <w:tab w:val="clear" w:pos="1418"/>
          <w:tab w:val="left" w:pos="540"/>
          <w:tab w:val="left" w:pos="567"/>
          <w:tab w:val="left" w:pos="1134"/>
          <w:tab w:val="left" w:pos="1701"/>
          <w:tab w:val="left" w:pos="2268"/>
        </w:tabs>
        <w:rPr>
          <w:rFonts w:cs="Arial"/>
        </w:rPr>
      </w:pPr>
      <w:r w:rsidRPr="00EB607C">
        <w:rPr>
          <w:rFonts w:cs="Arial"/>
        </w:rPr>
        <w:t xml:space="preserve">all activities that result in a </w:t>
      </w:r>
      <w:r w:rsidRPr="00376655">
        <w:rPr>
          <w:rFonts w:cs="Arial"/>
        </w:rPr>
        <w:t>pressure on the OSPAR maritime area via discharges, emissions and losses of hazardous substances and nutrients;</w:t>
      </w:r>
    </w:p>
    <w:p w14:paraId="4D5B10C5" w14:textId="77777777" w:rsidR="00CB02A7" w:rsidRPr="00EB607C" w:rsidRDefault="00CB02A7" w:rsidP="00CB02A7">
      <w:pPr>
        <w:numPr>
          <w:ilvl w:val="1"/>
          <w:numId w:val="16"/>
        </w:numPr>
        <w:tabs>
          <w:tab w:val="clear" w:pos="1418"/>
          <w:tab w:val="left" w:pos="540"/>
          <w:tab w:val="left" w:pos="567"/>
          <w:tab w:val="left" w:pos="1134"/>
          <w:tab w:val="left" w:pos="1701"/>
          <w:tab w:val="left" w:pos="2268"/>
        </w:tabs>
        <w:rPr>
          <w:rFonts w:cs="Arial"/>
        </w:rPr>
      </w:pPr>
      <w:r w:rsidRPr="00376655">
        <w:rPr>
          <w:rFonts w:cs="Arial"/>
        </w:rPr>
        <w:t>monitoring and assessing the pressures of hazardous</w:t>
      </w:r>
      <w:r w:rsidRPr="00EB607C">
        <w:rPr>
          <w:rFonts w:cs="Arial"/>
        </w:rPr>
        <w:t xml:space="preserve"> substances and eutrophication </w:t>
      </w:r>
      <w:r>
        <w:rPr>
          <w:rFonts w:cs="Arial"/>
        </w:rPr>
        <w:t xml:space="preserve">on </w:t>
      </w:r>
      <w:r w:rsidRPr="00EB607C">
        <w:rPr>
          <w:rFonts w:cs="Arial"/>
        </w:rPr>
        <w:t>the marine environment; and</w:t>
      </w:r>
    </w:p>
    <w:p w14:paraId="399F3CD1" w14:textId="77777777" w:rsidR="00CB02A7" w:rsidRDefault="00CB02A7" w:rsidP="00CB02A7">
      <w:pPr>
        <w:numPr>
          <w:ilvl w:val="1"/>
          <w:numId w:val="16"/>
        </w:numPr>
        <w:tabs>
          <w:tab w:val="clear" w:pos="1418"/>
          <w:tab w:val="left" w:pos="540"/>
          <w:tab w:val="left" w:pos="567"/>
          <w:tab w:val="left" w:pos="1134"/>
          <w:tab w:val="left" w:pos="1701"/>
          <w:tab w:val="left" w:pos="2268"/>
        </w:tabs>
        <w:rPr>
          <w:rFonts w:cs="Arial"/>
        </w:rPr>
      </w:pPr>
      <w:r w:rsidRPr="00EB607C">
        <w:rPr>
          <w:rFonts w:cs="Arial"/>
        </w:rPr>
        <w:t>keeping under review OSPAR measures and actions related to</w:t>
      </w:r>
      <w:r>
        <w:rPr>
          <w:rFonts w:cs="Arial"/>
        </w:rPr>
        <w:t xml:space="preserve"> inputs of</w:t>
      </w:r>
      <w:r w:rsidRPr="00EB607C">
        <w:rPr>
          <w:rFonts w:cs="Arial"/>
        </w:rPr>
        <w:t xml:space="preserve"> hazardous substances and </w:t>
      </w:r>
      <w:r>
        <w:rPr>
          <w:rFonts w:cs="Arial"/>
        </w:rPr>
        <w:t>nutrients;</w:t>
      </w:r>
    </w:p>
    <w:p w14:paraId="2CED034E" w14:textId="77777777" w:rsidR="00CB02A7" w:rsidRPr="00EB607C" w:rsidRDefault="00CB02A7" w:rsidP="00CB02A7">
      <w:pPr>
        <w:numPr>
          <w:ilvl w:val="1"/>
          <w:numId w:val="16"/>
        </w:numPr>
        <w:tabs>
          <w:tab w:val="clear" w:pos="1418"/>
          <w:tab w:val="left" w:pos="540"/>
          <w:tab w:val="left" w:pos="567"/>
          <w:tab w:val="left" w:pos="1134"/>
          <w:tab w:val="left" w:pos="1701"/>
          <w:tab w:val="left" w:pos="2268"/>
        </w:tabs>
        <w:rPr>
          <w:rFonts w:cs="Arial"/>
        </w:rPr>
      </w:pPr>
      <w:r>
        <w:rPr>
          <w:rFonts w:cs="Arial"/>
        </w:rPr>
        <w:t xml:space="preserve">advising the relevant OSPAR bodies on the inputs of other substances as appropriate. </w:t>
      </w:r>
    </w:p>
    <w:p w14:paraId="1BA497F6" w14:textId="77777777" w:rsidR="00CB02A7" w:rsidRPr="00DE0B46" w:rsidRDefault="00CB02A7" w:rsidP="00CB02A7">
      <w:pPr>
        <w:rPr>
          <w:rFonts w:cs="Arial"/>
          <w:u w:val="single"/>
        </w:rPr>
      </w:pPr>
      <w:r>
        <w:rPr>
          <w:rFonts w:cs="Arial"/>
          <w:u w:val="single"/>
        </w:rPr>
        <w:t>Operation and organisation of work</w:t>
      </w:r>
    </w:p>
    <w:p w14:paraId="215EC422" w14:textId="77777777" w:rsidR="00CB02A7" w:rsidRDefault="00CB02A7" w:rsidP="00CB02A7">
      <w:pPr>
        <w:pStyle w:val="ListParagraph"/>
        <w:tabs>
          <w:tab w:val="left" w:pos="540"/>
          <w:tab w:val="left" w:pos="567"/>
        </w:tabs>
        <w:spacing w:before="120" w:line="280" w:lineRule="atLeast"/>
        <w:ind w:left="0"/>
        <w:contextualSpacing w:val="0"/>
      </w:pPr>
      <w:r>
        <w:t>4.</w:t>
      </w:r>
      <w:r>
        <w:tab/>
        <w:t xml:space="preserve">INPUT </w:t>
      </w:r>
      <w:r w:rsidRPr="00621A9B">
        <w:t>shall hold at least one annual meeting.</w:t>
      </w:r>
    </w:p>
    <w:p w14:paraId="5CBC008A" w14:textId="2338EF48" w:rsidR="00CB02A7" w:rsidRDefault="00A80438" w:rsidP="00CB02A7">
      <w:pPr>
        <w:tabs>
          <w:tab w:val="left" w:pos="540"/>
          <w:tab w:val="left" w:pos="567"/>
        </w:tabs>
        <w:spacing w:before="120" w:line="280" w:lineRule="atLeast"/>
      </w:pPr>
      <w:r>
        <w:t>5</w:t>
      </w:r>
      <w:r w:rsidR="00CB02A7">
        <w:t>.</w:t>
      </w:r>
      <w:r w:rsidR="00CB02A7">
        <w:tab/>
        <w:t>INPUT</w:t>
      </w:r>
      <w:r w:rsidR="00CB02A7" w:rsidRPr="00621A9B">
        <w:t xml:space="preserve"> shall report to </w:t>
      </w:r>
      <w:r w:rsidR="00CB02A7">
        <w:t xml:space="preserve">HASEC </w:t>
      </w:r>
      <w:r w:rsidR="00CB02A7" w:rsidRPr="00621A9B">
        <w:t xml:space="preserve">on its work on key issues that require coordination/management by </w:t>
      </w:r>
      <w:r w:rsidR="00CB02A7">
        <w:t>HASEC</w:t>
      </w:r>
      <w:r w:rsidR="00CB02A7" w:rsidRPr="00621A9B">
        <w:t>.</w:t>
      </w:r>
    </w:p>
    <w:p w14:paraId="336D850D" w14:textId="7233D392" w:rsidR="00CB02A7" w:rsidRDefault="00A80438" w:rsidP="00CB02A7">
      <w:pPr>
        <w:pStyle w:val="ListParagraph"/>
        <w:tabs>
          <w:tab w:val="left" w:pos="540"/>
          <w:tab w:val="left" w:pos="567"/>
        </w:tabs>
        <w:spacing w:before="120" w:line="280" w:lineRule="atLeast"/>
        <w:ind w:left="0"/>
        <w:contextualSpacing w:val="0"/>
      </w:pPr>
      <w:r>
        <w:t>6</w:t>
      </w:r>
      <w:r w:rsidR="00CB02A7">
        <w:t>.</w:t>
      </w:r>
      <w:r w:rsidR="00CB02A7">
        <w:tab/>
        <w:t>INPUT</w:t>
      </w:r>
      <w:r w:rsidR="00CB02A7" w:rsidRPr="00621A9B">
        <w:t xml:space="preserve"> shall provide an annual progress report to </w:t>
      </w:r>
      <w:r w:rsidR="00CB02A7">
        <w:t>HASEC</w:t>
      </w:r>
      <w:r w:rsidR="00CB02A7" w:rsidRPr="00621A9B">
        <w:t>.</w:t>
      </w:r>
    </w:p>
    <w:p w14:paraId="0B96122D" w14:textId="7C3E1FAF" w:rsidR="00CB02A7" w:rsidRPr="00621A9B" w:rsidRDefault="00A80438" w:rsidP="00CB02A7">
      <w:pPr>
        <w:pStyle w:val="ListParagraph"/>
        <w:tabs>
          <w:tab w:val="left" w:pos="540"/>
          <w:tab w:val="left" w:pos="567"/>
        </w:tabs>
        <w:spacing w:before="120" w:line="280" w:lineRule="atLeast"/>
        <w:ind w:left="0"/>
        <w:contextualSpacing w:val="0"/>
      </w:pPr>
      <w:r>
        <w:t>7</w:t>
      </w:r>
      <w:r w:rsidR="00CB02A7">
        <w:t>.</w:t>
      </w:r>
      <w:r w:rsidR="00CB02A7">
        <w:tab/>
        <w:t>INPUT</w:t>
      </w:r>
      <w:r w:rsidR="00CB02A7" w:rsidRPr="00621A9B">
        <w:t xml:space="preserve"> shall ensure the exchange of information with other </w:t>
      </w:r>
      <w:r w:rsidR="00CB02A7">
        <w:t>OSPAR expert and working groups,</w:t>
      </w:r>
      <w:r w:rsidR="00CB02A7" w:rsidRPr="00621A9B">
        <w:t xml:space="preserve"> as required but specifically:</w:t>
      </w:r>
    </w:p>
    <w:p w14:paraId="174402A5" w14:textId="77777777" w:rsidR="00CB02A7" w:rsidRDefault="00CB02A7" w:rsidP="00CB02A7">
      <w:pPr>
        <w:pStyle w:val="ListParagraph"/>
        <w:numPr>
          <w:ilvl w:val="0"/>
          <w:numId w:val="17"/>
        </w:numPr>
        <w:tabs>
          <w:tab w:val="left" w:pos="567"/>
          <w:tab w:val="left" w:pos="720"/>
        </w:tabs>
        <w:spacing w:before="120"/>
        <w:contextualSpacing w:val="0"/>
      </w:pPr>
      <w:r>
        <w:t>With ICG-</w:t>
      </w:r>
      <w:proofErr w:type="spellStart"/>
      <w:r>
        <w:t>Eut</w:t>
      </w:r>
      <w:proofErr w:type="spellEnd"/>
      <w:r>
        <w:t xml:space="preserve">, ICG-EMO  (in full) regarding </w:t>
      </w:r>
      <w:r w:rsidRPr="00E14C7C">
        <w:t>nutrient inputs and their sources</w:t>
      </w:r>
      <w:r>
        <w:t xml:space="preserve">; </w:t>
      </w:r>
    </w:p>
    <w:p w14:paraId="2726338F" w14:textId="77777777" w:rsidR="00CB02A7" w:rsidRDefault="00CB02A7" w:rsidP="00CB02A7">
      <w:pPr>
        <w:pStyle w:val="ListParagraph"/>
        <w:numPr>
          <w:ilvl w:val="0"/>
          <w:numId w:val="17"/>
        </w:numPr>
        <w:tabs>
          <w:tab w:val="left" w:pos="567"/>
          <w:tab w:val="left" w:pos="720"/>
        </w:tabs>
        <w:spacing w:before="120"/>
        <w:contextualSpacing w:val="0"/>
      </w:pPr>
      <w:r>
        <w:t>WG MIME (IN FULL) regarding hazardous substances;</w:t>
      </w:r>
    </w:p>
    <w:p w14:paraId="7F94B097" w14:textId="77777777" w:rsidR="00CB02A7" w:rsidRPr="00376655" w:rsidRDefault="00CB02A7" w:rsidP="00CB02A7">
      <w:pPr>
        <w:pStyle w:val="ListParagraph"/>
        <w:numPr>
          <w:ilvl w:val="0"/>
          <w:numId w:val="17"/>
        </w:numPr>
        <w:tabs>
          <w:tab w:val="left" w:pos="567"/>
          <w:tab w:val="left" w:pos="720"/>
        </w:tabs>
        <w:spacing w:before="120"/>
        <w:contextualSpacing w:val="0"/>
      </w:pPr>
      <w:r w:rsidRPr="00376655">
        <w:t>with ICG-</w:t>
      </w:r>
      <w:proofErr w:type="spellStart"/>
      <w:r w:rsidRPr="00376655">
        <w:t>MaRE</w:t>
      </w:r>
      <w:proofErr w:type="spellEnd"/>
      <w:r w:rsidRPr="00376655">
        <w:t xml:space="preserve"> (IN FULL) on measures to combat pollution and their effectiveness and sufficiency;</w:t>
      </w:r>
    </w:p>
    <w:p w14:paraId="0647812D" w14:textId="77777777" w:rsidR="00CB02A7" w:rsidRPr="003072AB" w:rsidRDefault="00CB02A7" w:rsidP="00CB02A7">
      <w:pPr>
        <w:pStyle w:val="ListParagraph"/>
        <w:numPr>
          <w:ilvl w:val="0"/>
          <w:numId w:val="17"/>
        </w:numPr>
        <w:tabs>
          <w:tab w:val="left" w:pos="567"/>
          <w:tab w:val="left" w:pos="720"/>
        </w:tabs>
        <w:spacing w:before="120"/>
        <w:contextualSpacing w:val="0"/>
      </w:pPr>
      <w:r>
        <w:lastRenderedPageBreak/>
        <w:t>with the Offshore Industry Committee (OIC) in respect of quantifying inputs to the marine environment from offshore industries</w:t>
      </w:r>
      <w:r w:rsidRPr="003072AB">
        <w:t>;</w:t>
      </w:r>
    </w:p>
    <w:p w14:paraId="0033599E" w14:textId="77777777" w:rsidR="00CB02A7" w:rsidRDefault="00CB02A7" w:rsidP="00CB02A7">
      <w:pPr>
        <w:pStyle w:val="ListParagraph"/>
        <w:numPr>
          <w:ilvl w:val="0"/>
          <w:numId w:val="17"/>
        </w:numPr>
        <w:tabs>
          <w:tab w:val="left" w:pos="567"/>
          <w:tab w:val="left" w:pos="720"/>
        </w:tabs>
        <w:spacing w:before="120"/>
        <w:contextualSpacing w:val="0"/>
      </w:pPr>
      <w:r>
        <w:t>with the Environmental Impacts of Human Activities Committee (EIHA) in respect of pressures on the ecosystem arising from human activities in the maritime area; and</w:t>
      </w:r>
    </w:p>
    <w:p w14:paraId="4D01B3B3" w14:textId="747352D4" w:rsidR="00CB02A7" w:rsidRDefault="00CB02A7" w:rsidP="00CB02A7">
      <w:pPr>
        <w:pStyle w:val="ListParagraph"/>
        <w:numPr>
          <w:ilvl w:val="0"/>
          <w:numId w:val="17"/>
        </w:numPr>
        <w:tabs>
          <w:tab w:val="left" w:pos="567"/>
          <w:tab w:val="left" w:pos="720"/>
        </w:tabs>
        <w:spacing w:before="120"/>
        <w:contextualSpacing w:val="0"/>
      </w:pPr>
      <w:r>
        <w:t xml:space="preserve">with </w:t>
      </w:r>
      <w:r w:rsidR="00B20468">
        <w:t xml:space="preserve">the </w:t>
      </w:r>
      <w:r w:rsidR="00B20468">
        <w:rPr>
          <w:color w:val="000000" w:themeColor="text1"/>
        </w:rPr>
        <w:t>Working Group on Changing Ocean Climate and Ocean Acidification (WG-COCOA)</w:t>
      </w:r>
      <w:r w:rsidRPr="003355A9">
        <w:t xml:space="preserve">in respect of the impacts of climate change </w:t>
      </w:r>
      <w:r>
        <w:t>o</w:t>
      </w:r>
      <w:r w:rsidRPr="003355A9">
        <w:t>n discharges, emissions and losses</w:t>
      </w:r>
      <w:r>
        <w:t xml:space="preserve"> from the catchment</w:t>
      </w:r>
      <w:r w:rsidRPr="003355A9">
        <w:t>;</w:t>
      </w:r>
    </w:p>
    <w:p w14:paraId="5557C7CC" w14:textId="203C311C" w:rsidR="00CB02A7" w:rsidRDefault="00A80438" w:rsidP="00CB02A7">
      <w:pPr>
        <w:pStyle w:val="ListParagraph"/>
        <w:tabs>
          <w:tab w:val="left" w:pos="540"/>
          <w:tab w:val="left" w:pos="567"/>
        </w:tabs>
        <w:spacing w:before="120" w:line="280" w:lineRule="atLeast"/>
        <w:ind w:left="0"/>
        <w:contextualSpacing w:val="0"/>
      </w:pPr>
      <w:r>
        <w:t>8.</w:t>
      </w:r>
      <w:r w:rsidR="00CB02A7">
        <w:tab/>
      </w:r>
      <w:r w:rsidR="00CB02A7" w:rsidRPr="00D04672">
        <w:t>INPUT may establish intersessional correspondence group to take forward an issue on which work has not been completed at the meeting which decides to set up that group in line with rule 41 of the OSPAR Rules of procedure.</w:t>
      </w:r>
    </w:p>
    <w:p w14:paraId="2398C94F" w14:textId="77777777" w:rsidR="00CB02A7" w:rsidRPr="00D04672" w:rsidRDefault="00CB02A7" w:rsidP="00CB02A7">
      <w:pPr>
        <w:tabs>
          <w:tab w:val="left" w:pos="540"/>
          <w:tab w:val="left" w:pos="567"/>
        </w:tabs>
        <w:spacing w:before="120" w:line="280" w:lineRule="atLeast"/>
        <w:outlineLvl w:val="0"/>
        <w:rPr>
          <w:rFonts w:cs="Arial"/>
          <w:u w:val="single"/>
        </w:rPr>
      </w:pPr>
      <w:r w:rsidRPr="00D04672">
        <w:rPr>
          <w:rFonts w:cs="Arial"/>
          <w:u w:val="single"/>
        </w:rPr>
        <w:t>Implementation of the North-East Atlantic Environment Strategy 2030</w:t>
      </w:r>
    </w:p>
    <w:p w14:paraId="376F9A44" w14:textId="42E6E2C2" w:rsidR="00CB02A7" w:rsidRDefault="00A80438" w:rsidP="00CB02A7">
      <w:pPr>
        <w:pStyle w:val="ListParagraph"/>
        <w:tabs>
          <w:tab w:val="left" w:pos="540"/>
          <w:tab w:val="left" w:pos="567"/>
        </w:tabs>
        <w:spacing w:before="120" w:line="280" w:lineRule="atLeast"/>
        <w:ind w:left="0"/>
        <w:contextualSpacing w:val="0"/>
      </w:pPr>
      <w:r>
        <w:t>9</w:t>
      </w:r>
      <w:r w:rsidR="00CB02A7">
        <w:t>.</w:t>
      </w:r>
      <w:r w:rsidR="00CB02A7">
        <w:tab/>
        <w:t>INPUT</w:t>
      </w:r>
      <w:r w:rsidR="00CB02A7" w:rsidRPr="003072AB">
        <w:t xml:space="preserve"> will facilitate the implementation of the NEAES 2030, by:</w:t>
      </w:r>
    </w:p>
    <w:p w14:paraId="4F7DEFE1" w14:textId="77777777" w:rsidR="00CB02A7" w:rsidRDefault="00CB02A7" w:rsidP="00CB02A7">
      <w:pPr>
        <w:pStyle w:val="ListParagraph"/>
        <w:numPr>
          <w:ilvl w:val="0"/>
          <w:numId w:val="7"/>
        </w:numPr>
        <w:tabs>
          <w:tab w:val="left" w:pos="540"/>
          <w:tab w:val="left" w:pos="567"/>
        </w:tabs>
        <w:spacing w:before="120"/>
        <w:contextualSpacing w:val="0"/>
      </w:pPr>
      <w:r>
        <w:t xml:space="preserve">contributing to the strategic objectives S1, S2, S4, S5, S7, S9, S10, S11, S12 </w:t>
      </w:r>
      <w:bookmarkStart w:id="1" w:name="_Hlk126311076"/>
      <w:r>
        <w:t>and SX.O1</w:t>
      </w:r>
      <w:bookmarkEnd w:id="1"/>
      <w:r>
        <w:t xml:space="preserve">; </w:t>
      </w:r>
    </w:p>
    <w:p w14:paraId="2D686807" w14:textId="77777777" w:rsidR="00CB02A7" w:rsidRDefault="00CB02A7" w:rsidP="00CB02A7">
      <w:pPr>
        <w:pStyle w:val="ListParagraph"/>
        <w:numPr>
          <w:ilvl w:val="0"/>
          <w:numId w:val="7"/>
        </w:numPr>
        <w:tabs>
          <w:tab w:val="left" w:pos="540"/>
          <w:tab w:val="left" w:pos="567"/>
        </w:tabs>
        <w:spacing w:before="120"/>
        <w:contextualSpacing w:val="0"/>
      </w:pPr>
      <w:r>
        <w:t>supporting those operational objectives for which HASEC has a leading or supporting role as set out in the Implementation Plan;</w:t>
      </w:r>
    </w:p>
    <w:p w14:paraId="196B8D7E" w14:textId="5A573AB3" w:rsidR="00CB02A7" w:rsidRDefault="004B09E6" w:rsidP="00CB02A7">
      <w:pPr>
        <w:pStyle w:val="ListParagraph"/>
        <w:numPr>
          <w:ilvl w:val="0"/>
          <w:numId w:val="7"/>
        </w:numPr>
        <w:tabs>
          <w:tab w:val="left" w:pos="540"/>
          <w:tab w:val="left" w:pos="567"/>
        </w:tabs>
        <w:spacing w:before="120"/>
        <w:contextualSpacing w:val="0"/>
      </w:pPr>
      <w:r w:rsidRPr="004B09E6">
        <w:t>maintaining its list of NEAES tasks and regularly updating on progress with these tasks,</w:t>
      </w:r>
      <w:r>
        <w:t xml:space="preserve"> </w:t>
      </w:r>
      <w:r w:rsidR="00CB02A7" w:rsidRPr="00614509">
        <w:t>identify</w:t>
      </w:r>
      <w:r w:rsidR="00CB02A7">
        <w:t>ing</w:t>
      </w:r>
      <w:r w:rsidR="00CB02A7" w:rsidRPr="00614509">
        <w:t xml:space="preserve"> and specify</w:t>
      </w:r>
      <w:r w:rsidR="00CB02A7">
        <w:t>ing</w:t>
      </w:r>
      <w:r w:rsidR="00CB02A7" w:rsidRPr="00614509">
        <w:t xml:space="preserve"> tasks to be recommended to </w:t>
      </w:r>
      <w:r w:rsidR="00CB02A7">
        <w:t xml:space="preserve">HASEC to submit to </w:t>
      </w:r>
      <w:proofErr w:type="spellStart"/>
      <w:r w:rsidR="00CB02A7">
        <w:t>CoG</w:t>
      </w:r>
      <w:proofErr w:type="spellEnd"/>
      <w:r w:rsidR="00CB02A7">
        <w:t xml:space="preserve"> </w:t>
      </w:r>
      <w:r w:rsidR="00CB02A7" w:rsidRPr="00614509">
        <w:t xml:space="preserve">for inclusion into </w:t>
      </w:r>
      <w:r w:rsidR="00CB02A7" w:rsidRPr="00680D62">
        <w:t xml:space="preserve">the Implementation Plan under those operational objectives </w:t>
      </w:r>
      <w:r w:rsidR="00CB02A7">
        <w:t>for</w:t>
      </w:r>
      <w:r w:rsidR="00CB02A7" w:rsidRPr="00680D62">
        <w:t xml:space="preserve"> which </w:t>
      </w:r>
      <w:r w:rsidR="00CB02A7">
        <w:t>it</w:t>
      </w:r>
      <w:r w:rsidR="00CB02A7" w:rsidRPr="00680D62">
        <w:t xml:space="preserve"> has a leading or supporting role</w:t>
      </w:r>
      <w:r w:rsidR="00CB02A7">
        <w:t>; and</w:t>
      </w:r>
    </w:p>
    <w:p w14:paraId="4E1FD00C" w14:textId="77777777" w:rsidR="00CB02A7" w:rsidRPr="00680D62" w:rsidRDefault="00CB02A7" w:rsidP="00CB02A7">
      <w:pPr>
        <w:pStyle w:val="ListParagraph"/>
        <w:numPr>
          <w:ilvl w:val="0"/>
          <w:numId w:val="7"/>
        </w:numPr>
        <w:tabs>
          <w:tab w:val="left" w:pos="540"/>
          <w:tab w:val="left" w:pos="567"/>
        </w:tabs>
        <w:spacing w:before="120"/>
        <w:contextualSpacing w:val="0"/>
      </w:pPr>
      <w:r w:rsidRPr="00614509">
        <w:t>ensur</w:t>
      </w:r>
      <w:r>
        <w:t>ing</w:t>
      </w:r>
      <w:r w:rsidRPr="00614509">
        <w:t xml:space="preserve"> progress reporting on implementation of NEAES </w:t>
      </w:r>
      <w:r>
        <w:t xml:space="preserve">2030 </w:t>
      </w:r>
      <w:r w:rsidRPr="00614509">
        <w:t xml:space="preserve">tasks as set out in Agreement 2021-02 </w:t>
      </w:r>
      <w:r w:rsidRPr="00680D62">
        <w:t>and identify</w:t>
      </w:r>
      <w:r>
        <w:t>ing</w:t>
      </w:r>
      <w:r w:rsidRPr="00680D62">
        <w:t xml:space="preserve"> any issue that should be brought to the attention of </w:t>
      </w:r>
      <w:r>
        <w:t>HASEC.</w:t>
      </w:r>
      <w:r w:rsidRPr="00680D62">
        <w:t xml:space="preserve"> </w:t>
      </w:r>
    </w:p>
    <w:p w14:paraId="357D3BD2" w14:textId="4CB98062" w:rsidR="00CB02A7" w:rsidRPr="00877B05" w:rsidRDefault="00CB02A7" w:rsidP="00CB02A7">
      <w:pPr>
        <w:pStyle w:val="ListParagraph"/>
        <w:tabs>
          <w:tab w:val="left" w:pos="540"/>
          <w:tab w:val="left" w:pos="567"/>
        </w:tabs>
        <w:spacing w:before="120" w:line="280" w:lineRule="atLeast"/>
        <w:ind w:left="0"/>
        <w:contextualSpacing w:val="0"/>
      </w:pPr>
      <w:r>
        <w:t>1</w:t>
      </w:r>
      <w:r w:rsidR="00A80438">
        <w:t>0</w:t>
      </w:r>
      <w:r>
        <w:t>.</w:t>
      </w:r>
      <w:r>
        <w:tab/>
        <w:t xml:space="preserve">In doing so, INPUT shall pay particular attention to the conclusions and recommendations of the Quality Status Reports and Intermediate Assessments.  </w:t>
      </w:r>
    </w:p>
    <w:p w14:paraId="206CAA81" w14:textId="77777777" w:rsidR="00CB02A7" w:rsidRDefault="00CB02A7" w:rsidP="00CB02A7">
      <w:pPr>
        <w:tabs>
          <w:tab w:val="left" w:pos="720"/>
        </w:tabs>
        <w:spacing w:before="120" w:line="280" w:lineRule="atLeast"/>
        <w:outlineLvl w:val="0"/>
        <w:rPr>
          <w:rFonts w:cs="Arial"/>
          <w:u w:val="single"/>
        </w:rPr>
      </w:pPr>
      <w:r>
        <w:rPr>
          <w:rFonts w:cs="Arial"/>
          <w:u w:val="single"/>
        </w:rPr>
        <w:t>Measures and Actions</w:t>
      </w:r>
    </w:p>
    <w:p w14:paraId="03D5C7B8" w14:textId="3A103771" w:rsidR="00CB02A7" w:rsidRDefault="00CB02A7" w:rsidP="00CB02A7">
      <w:pPr>
        <w:tabs>
          <w:tab w:val="left" w:pos="567"/>
        </w:tabs>
        <w:spacing w:before="120" w:line="280" w:lineRule="atLeast"/>
        <w:rPr>
          <w:rFonts w:cs="Arial"/>
        </w:rPr>
      </w:pPr>
      <w:r>
        <w:rPr>
          <w:rFonts w:cs="Arial"/>
        </w:rPr>
        <w:t>1</w:t>
      </w:r>
      <w:r w:rsidR="00A80438">
        <w:rPr>
          <w:rFonts w:cs="Arial"/>
        </w:rPr>
        <w:t>1</w:t>
      </w:r>
      <w:r>
        <w:rPr>
          <w:rFonts w:cs="Arial"/>
        </w:rPr>
        <w:t>.</w:t>
      </w:r>
      <w:r>
        <w:rPr>
          <w:rFonts w:cs="Arial"/>
        </w:rPr>
        <w:tab/>
        <w:t>INPUT</w:t>
      </w:r>
      <w:r w:rsidRPr="004909DB">
        <w:rPr>
          <w:rFonts w:cs="Arial"/>
        </w:rPr>
        <w:t xml:space="preserve"> will periodically </w:t>
      </w:r>
      <w:r>
        <w:rPr>
          <w:rFonts w:cs="Arial"/>
        </w:rPr>
        <w:t xml:space="preserve">report and </w:t>
      </w:r>
      <w:r w:rsidRPr="004909DB">
        <w:rPr>
          <w:rFonts w:cs="Arial"/>
        </w:rPr>
        <w:t>evaluate the implementation and effectiveness of relevant O</w:t>
      </w:r>
      <w:r>
        <w:rPr>
          <w:rFonts w:cs="Arial"/>
        </w:rPr>
        <w:t>SPAR</w:t>
      </w:r>
      <w:r w:rsidRPr="004909DB">
        <w:rPr>
          <w:rFonts w:cs="Arial"/>
        </w:rPr>
        <w:t xml:space="preserve"> programmes and measures </w:t>
      </w:r>
      <w:proofErr w:type="gramStart"/>
      <w:r w:rsidRPr="004909DB">
        <w:rPr>
          <w:rFonts w:cs="Arial"/>
        </w:rPr>
        <w:t>taking into account</w:t>
      </w:r>
      <w:proofErr w:type="gramEnd"/>
      <w:r w:rsidRPr="004909DB">
        <w:rPr>
          <w:rFonts w:cs="Arial"/>
        </w:rPr>
        <w:t xml:space="preserve"> guidance from </w:t>
      </w:r>
      <w:r>
        <w:rPr>
          <w:rFonts w:cs="Arial"/>
        </w:rPr>
        <w:t xml:space="preserve">HASEC </w:t>
      </w:r>
      <w:r w:rsidRPr="004909DB">
        <w:rPr>
          <w:rFonts w:cs="Arial"/>
        </w:rPr>
        <w:t>towards a structured and systematic approach within O</w:t>
      </w:r>
      <w:r>
        <w:rPr>
          <w:rFonts w:cs="Arial"/>
        </w:rPr>
        <w:t>SPAR</w:t>
      </w:r>
      <w:r w:rsidRPr="004909DB">
        <w:rPr>
          <w:rFonts w:cs="Arial"/>
        </w:rPr>
        <w:t>, including taking into account measures taken in other relevant fora, such as the UN and EU.</w:t>
      </w:r>
    </w:p>
    <w:p w14:paraId="3B5BA1CE" w14:textId="7754C706" w:rsidR="00CB02A7" w:rsidRDefault="00CB02A7" w:rsidP="00CB02A7">
      <w:pPr>
        <w:tabs>
          <w:tab w:val="left" w:pos="567"/>
        </w:tabs>
        <w:spacing w:before="120" w:line="280" w:lineRule="atLeast"/>
        <w:rPr>
          <w:rFonts w:cs="Arial"/>
        </w:rPr>
      </w:pPr>
      <w:r>
        <w:rPr>
          <w:rFonts w:cs="Arial"/>
        </w:rPr>
        <w:t>1</w:t>
      </w:r>
      <w:r w:rsidR="00A80438">
        <w:rPr>
          <w:rFonts w:cs="Arial"/>
        </w:rPr>
        <w:t>2</w:t>
      </w:r>
      <w:r>
        <w:rPr>
          <w:rFonts w:cs="Arial"/>
        </w:rPr>
        <w:t>.</w:t>
      </w:r>
      <w:r>
        <w:rPr>
          <w:rFonts w:cs="Arial"/>
        </w:rPr>
        <w:tab/>
        <w:t xml:space="preserve">INPUT will </w:t>
      </w:r>
      <w:r w:rsidRPr="004909DB">
        <w:rPr>
          <w:rFonts w:cs="Arial"/>
        </w:rPr>
        <w:t xml:space="preserve">periodically </w:t>
      </w:r>
      <w:r>
        <w:rPr>
          <w:rFonts w:cs="Arial"/>
        </w:rPr>
        <w:t>review the applicability of its related measures in line with the NEAES 2030.</w:t>
      </w:r>
    </w:p>
    <w:p w14:paraId="7CAA0ECF" w14:textId="77777777" w:rsidR="00CB02A7" w:rsidRPr="007026D1" w:rsidRDefault="00CB02A7" w:rsidP="00CB02A7">
      <w:pPr>
        <w:tabs>
          <w:tab w:val="left" w:pos="720"/>
        </w:tabs>
        <w:spacing w:before="120" w:line="280" w:lineRule="atLeast"/>
        <w:outlineLvl w:val="0"/>
        <w:rPr>
          <w:rFonts w:cs="Arial"/>
          <w:u w:val="single"/>
        </w:rPr>
      </w:pPr>
      <w:r w:rsidRPr="007026D1">
        <w:rPr>
          <w:rFonts w:cs="Arial"/>
          <w:u w:val="single"/>
        </w:rPr>
        <w:t xml:space="preserve">Monitoring and assessment </w:t>
      </w:r>
    </w:p>
    <w:p w14:paraId="230705D3" w14:textId="1762C238" w:rsidR="00CB02A7" w:rsidRDefault="00CB02A7" w:rsidP="00CB02A7">
      <w:pPr>
        <w:pStyle w:val="ListParagraph"/>
        <w:tabs>
          <w:tab w:val="left" w:pos="540"/>
        </w:tabs>
        <w:spacing w:line="280" w:lineRule="atLeast"/>
        <w:ind w:left="0"/>
      </w:pPr>
      <w:r>
        <w:t>1</w:t>
      </w:r>
      <w:r w:rsidR="00A80438">
        <w:t>3</w:t>
      </w:r>
      <w:r>
        <w:t>.</w:t>
      </w:r>
      <w:r>
        <w:tab/>
        <w:t>INPUT</w:t>
      </w:r>
      <w:r w:rsidRPr="00877B05">
        <w:t xml:space="preserve"> shall</w:t>
      </w:r>
      <w:r>
        <w:t xml:space="preserve"> advise HASEC on the</w:t>
      </w:r>
      <w:r w:rsidRPr="00877B05">
        <w:t xml:space="preserve"> develop</w:t>
      </w:r>
      <w:r>
        <w:t>ment and maintenance of</w:t>
      </w:r>
      <w:r w:rsidRPr="00877B05">
        <w:t xml:space="preserve"> appropriate monitoring and assessment in line with the </w:t>
      </w:r>
      <w:r w:rsidR="00A80438">
        <w:t>Joint Assessment and Monitoring Programme</w:t>
      </w:r>
      <w:r w:rsidRPr="00877B05">
        <w:t>,</w:t>
      </w:r>
      <w:r w:rsidRPr="00614509">
        <w:t xml:space="preserve"> </w:t>
      </w:r>
      <w:r w:rsidRPr="00877B05">
        <w:t>and successor programme</w:t>
      </w:r>
      <w:r>
        <w:t>s</w:t>
      </w:r>
      <w:r w:rsidRPr="00877B05">
        <w:t>, paying particular attention to:</w:t>
      </w:r>
    </w:p>
    <w:p w14:paraId="5F773569" w14:textId="52F27B6B" w:rsidR="00CB02A7" w:rsidRPr="00CB02A7" w:rsidRDefault="00CB02A7" w:rsidP="00CB02A7">
      <w:pPr>
        <w:tabs>
          <w:tab w:val="left" w:pos="540"/>
          <w:tab w:val="left" w:pos="567"/>
        </w:tabs>
        <w:spacing w:before="120" w:line="280" w:lineRule="atLeast"/>
        <w:rPr>
          <w:b/>
          <w:bCs/>
        </w:rPr>
      </w:pPr>
      <w:r>
        <w:rPr>
          <w:b/>
          <w:bCs/>
        </w:rPr>
        <w:tab/>
        <w:t xml:space="preserve">a. </w:t>
      </w:r>
      <w:r w:rsidRPr="00CB02A7">
        <w:rPr>
          <w:b/>
          <w:bCs/>
        </w:rPr>
        <w:t>for inputs of hazardous substances:</w:t>
      </w:r>
    </w:p>
    <w:p w14:paraId="7B48DB1A" w14:textId="6A565A90" w:rsidR="00CB02A7" w:rsidRDefault="00CB02A7" w:rsidP="00CB02A7">
      <w:pPr>
        <w:pStyle w:val="ListParagraph"/>
        <w:numPr>
          <w:ilvl w:val="0"/>
          <w:numId w:val="9"/>
        </w:numPr>
        <w:tabs>
          <w:tab w:val="left" w:pos="540"/>
          <w:tab w:val="left" w:pos="567"/>
        </w:tabs>
        <w:spacing w:before="120"/>
        <w:contextualSpacing w:val="0"/>
      </w:pPr>
      <w:r w:rsidRPr="00CE544C">
        <w:lastRenderedPageBreak/>
        <w:t>quantification of regional sources, releases and pathways of hazardous substances associated with M</w:t>
      </w:r>
      <w:r>
        <w:t xml:space="preserve">arine </w:t>
      </w:r>
      <w:r w:rsidRPr="00CE544C">
        <w:t>S</w:t>
      </w:r>
      <w:r>
        <w:t xml:space="preserve">trategy </w:t>
      </w:r>
      <w:r w:rsidRPr="00CE544C">
        <w:t>F</w:t>
      </w:r>
      <w:r>
        <w:t xml:space="preserve">ramework </w:t>
      </w:r>
      <w:r w:rsidRPr="00CE544C">
        <w:t>D</w:t>
      </w:r>
      <w:r>
        <w:t>irective (MSFD)</w:t>
      </w:r>
      <w:r w:rsidRPr="00CE544C">
        <w:t xml:space="preserve"> descriptor 8</w:t>
      </w:r>
      <w:r w:rsidR="008B547F">
        <w:rPr>
          <w:rStyle w:val="FootnoteReference"/>
        </w:rPr>
        <w:footnoteReference w:id="1"/>
      </w:r>
      <w:r w:rsidR="00236004">
        <w:t xml:space="preserve"> </w:t>
      </w:r>
      <w:r w:rsidRPr="00CE544C">
        <w:t>and those on the List of Chemicals for Priority Action</w:t>
      </w:r>
      <w:r>
        <w:t>;</w:t>
      </w:r>
    </w:p>
    <w:p w14:paraId="350A6C1B" w14:textId="0161EC7E" w:rsidR="00CB02A7" w:rsidRDefault="00CB02A7" w:rsidP="00CB02A7">
      <w:pPr>
        <w:pStyle w:val="ListParagraph"/>
        <w:numPr>
          <w:ilvl w:val="0"/>
          <w:numId w:val="9"/>
        </w:numPr>
        <w:tabs>
          <w:tab w:val="left" w:pos="540"/>
          <w:tab w:val="left" w:pos="567"/>
        </w:tabs>
        <w:spacing w:before="120"/>
        <w:contextualSpacing w:val="0"/>
      </w:pPr>
      <w:r>
        <w:t>effective regional coordinated monitoring and assessment, including development and implementation of indicators, targets and monitoring programmes associated with MSFD descriptor 8</w:t>
      </w:r>
      <w:r w:rsidR="00236004">
        <w:t xml:space="preserve"> </w:t>
      </w:r>
      <w:r>
        <w:t>and where possible assessment of progress towards achievement of good environmental status;</w:t>
      </w:r>
    </w:p>
    <w:p w14:paraId="6BE224CB" w14:textId="26A0EE02" w:rsidR="00CB02A7" w:rsidRPr="00CB02A7" w:rsidRDefault="00CB02A7" w:rsidP="00CB02A7">
      <w:pPr>
        <w:tabs>
          <w:tab w:val="left" w:pos="540"/>
          <w:tab w:val="left" w:pos="567"/>
        </w:tabs>
        <w:spacing w:before="120"/>
        <w:rPr>
          <w:b/>
          <w:bCs/>
        </w:rPr>
      </w:pPr>
      <w:r>
        <w:rPr>
          <w:b/>
          <w:bCs/>
        </w:rPr>
        <w:tab/>
        <w:t xml:space="preserve">b. </w:t>
      </w:r>
      <w:r w:rsidRPr="00CB02A7">
        <w:rPr>
          <w:b/>
          <w:bCs/>
        </w:rPr>
        <w:t>for inputs of nutrients:</w:t>
      </w:r>
    </w:p>
    <w:p w14:paraId="5DAA698B" w14:textId="77777777" w:rsidR="00CB02A7" w:rsidRDefault="00CB02A7" w:rsidP="00CB02A7">
      <w:pPr>
        <w:pStyle w:val="ListParagraph"/>
        <w:numPr>
          <w:ilvl w:val="0"/>
          <w:numId w:val="10"/>
        </w:numPr>
        <w:tabs>
          <w:tab w:val="left" w:pos="540"/>
          <w:tab w:val="left" w:pos="567"/>
        </w:tabs>
        <w:spacing w:before="120"/>
        <w:contextualSpacing w:val="0"/>
      </w:pPr>
      <w:r>
        <w:t xml:space="preserve">ensuring development and implementation of indicators, targets and monitoring programmes </w:t>
      </w:r>
      <w:proofErr w:type="gramStart"/>
      <w:r>
        <w:t>in order to</w:t>
      </w:r>
      <w:proofErr w:type="gramEnd"/>
      <w:r>
        <w:t xml:space="preserve"> achieve progress towards NEAES 2030 eutrophication objectives (SO.1).</w:t>
      </w:r>
    </w:p>
    <w:p w14:paraId="6D9FE59D" w14:textId="1875F0D3" w:rsidR="00CB02A7" w:rsidRDefault="00CB02A7" w:rsidP="00CB02A7">
      <w:pPr>
        <w:pStyle w:val="ListParagraph"/>
        <w:numPr>
          <w:ilvl w:val="0"/>
          <w:numId w:val="10"/>
        </w:numPr>
        <w:tabs>
          <w:tab w:val="left" w:pos="540"/>
          <w:tab w:val="left" w:pos="567"/>
        </w:tabs>
        <w:spacing w:before="120"/>
        <w:contextualSpacing w:val="0"/>
      </w:pPr>
      <w:r w:rsidRPr="00CE544C">
        <w:t xml:space="preserve">quantification of regional sources, releases and pathways of </w:t>
      </w:r>
      <w:r>
        <w:t>nutrients</w:t>
      </w:r>
      <w:r w:rsidRPr="00CE544C">
        <w:t xml:space="preserve"> associated with M</w:t>
      </w:r>
      <w:r>
        <w:t xml:space="preserve">arine </w:t>
      </w:r>
      <w:r w:rsidRPr="00CE544C">
        <w:t>S</w:t>
      </w:r>
      <w:r>
        <w:t xml:space="preserve">trategy </w:t>
      </w:r>
      <w:r w:rsidRPr="00CE544C">
        <w:t>F</w:t>
      </w:r>
      <w:r>
        <w:t xml:space="preserve">ramework </w:t>
      </w:r>
      <w:r w:rsidRPr="00CE544C">
        <w:t>D</w:t>
      </w:r>
      <w:r>
        <w:t>irective (MSFD</w:t>
      </w:r>
      <w:r w:rsidR="00236004">
        <w:t>)</w:t>
      </w:r>
      <w:r w:rsidRPr="00CE544C">
        <w:t xml:space="preserve"> descriptor </w:t>
      </w:r>
      <w:r>
        <w:t>5</w:t>
      </w:r>
      <w:r w:rsidR="008B547F">
        <w:rPr>
          <w:rStyle w:val="FootnoteReference"/>
        </w:rPr>
        <w:footnoteReference w:id="2"/>
      </w:r>
      <w:r w:rsidRPr="00CE544C">
        <w:t xml:space="preserve"> </w:t>
      </w:r>
      <w:r w:rsidR="00236004">
        <w:t xml:space="preserve">on eutrophication </w:t>
      </w:r>
      <w:r w:rsidRPr="00CE544C">
        <w:t>and</w:t>
      </w:r>
      <w:r>
        <w:t xml:space="preserve"> NEAES 2030 SO.1.</w:t>
      </w:r>
    </w:p>
    <w:p w14:paraId="2A38BC5C" w14:textId="77777777" w:rsidR="00CB02A7" w:rsidRDefault="00CB02A7" w:rsidP="00CB02A7">
      <w:pPr>
        <w:pStyle w:val="ListParagraph"/>
        <w:numPr>
          <w:ilvl w:val="0"/>
          <w:numId w:val="10"/>
        </w:numPr>
        <w:tabs>
          <w:tab w:val="left" w:pos="540"/>
          <w:tab w:val="left" w:pos="567"/>
        </w:tabs>
        <w:spacing w:before="120"/>
        <w:contextualSpacing w:val="0"/>
      </w:pPr>
      <w:r>
        <w:t>evaluating and reporting on the effectiveness of measures addressing eutrophication problems, including modelling of reduction scenarios;</w:t>
      </w:r>
    </w:p>
    <w:p w14:paraId="5D9EE6DE" w14:textId="77777777" w:rsidR="00CB02A7" w:rsidRDefault="00CB02A7" w:rsidP="00CB02A7">
      <w:pPr>
        <w:pStyle w:val="ListParagraph"/>
        <w:numPr>
          <w:ilvl w:val="0"/>
          <w:numId w:val="10"/>
        </w:numPr>
        <w:tabs>
          <w:tab w:val="left" w:pos="540"/>
          <w:tab w:val="left" w:pos="567"/>
        </w:tabs>
        <w:spacing w:before="120"/>
        <w:contextualSpacing w:val="0"/>
      </w:pPr>
      <w:r>
        <w:t>coordinating the development of measures to reduce or eliminate anthropogenic eutrophication in marine waters in problem areas;</w:t>
      </w:r>
    </w:p>
    <w:p w14:paraId="340BBD7F" w14:textId="24D22A63" w:rsidR="00CB02A7" w:rsidRPr="00CB02A7" w:rsidRDefault="00CB02A7" w:rsidP="00CB02A7">
      <w:pPr>
        <w:tabs>
          <w:tab w:val="left" w:pos="540"/>
          <w:tab w:val="left" w:pos="567"/>
        </w:tabs>
        <w:spacing w:before="120"/>
        <w:rPr>
          <w:b/>
          <w:bCs/>
        </w:rPr>
      </w:pPr>
      <w:r>
        <w:rPr>
          <w:b/>
          <w:bCs/>
        </w:rPr>
        <w:tab/>
        <w:t xml:space="preserve">c. </w:t>
      </w:r>
      <w:r w:rsidRPr="00CB02A7">
        <w:rPr>
          <w:b/>
          <w:bCs/>
        </w:rPr>
        <w:t>for both inputs of hazardous substances and nutrients:</w:t>
      </w:r>
    </w:p>
    <w:p w14:paraId="41718BBA" w14:textId="77777777" w:rsidR="00CB02A7" w:rsidRDefault="00CB02A7" w:rsidP="00CB02A7">
      <w:pPr>
        <w:pStyle w:val="ListParagraph"/>
        <w:numPr>
          <w:ilvl w:val="0"/>
          <w:numId w:val="11"/>
        </w:numPr>
        <w:tabs>
          <w:tab w:val="left" w:pos="540"/>
          <w:tab w:val="left" w:pos="567"/>
        </w:tabs>
        <w:spacing w:before="120"/>
        <w:contextualSpacing w:val="0"/>
      </w:pPr>
      <w:r>
        <w:t>preparing appropriate environmental assessments and arranging for their publication;</w:t>
      </w:r>
    </w:p>
    <w:p w14:paraId="3C0A2933" w14:textId="77777777" w:rsidR="00CB02A7" w:rsidRDefault="00CB02A7" w:rsidP="00CB02A7">
      <w:pPr>
        <w:pStyle w:val="ListParagraph"/>
        <w:numPr>
          <w:ilvl w:val="0"/>
          <w:numId w:val="11"/>
        </w:numPr>
        <w:tabs>
          <w:tab w:val="left" w:pos="540"/>
          <w:tab w:val="left" w:pos="567"/>
        </w:tabs>
        <w:spacing w:before="120"/>
        <w:contextualSpacing w:val="0"/>
      </w:pPr>
      <w:r>
        <w:t>ensuring assessments are based on results of monitoring, on related research and on data and information from other sources;</w:t>
      </w:r>
    </w:p>
    <w:p w14:paraId="6CDB6011" w14:textId="77777777" w:rsidR="00CB02A7" w:rsidRDefault="00CB02A7" w:rsidP="00CB02A7">
      <w:pPr>
        <w:pStyle w:val="ListParagraph"/>
        <w:numPr>
          <w:ilvl w:val="0"/>
          <w:numId w:val="11"/>
        </w:numPr>
        <w:tabs>
          <w:tab w:val="left" w:pos="540"/>
          <w:tab w:val="left" w:pos="567"/>
        </w:tabs>
        <w:spacing w:before="120"/>
        <w:contextualSpacing w:val="0"/>
      </w:pPr>
      <w:r>
        <w:t>providing advice to HASEC on, and contributing and responding to, assessments undertaken by HASEC or by fora outside OSPAR;</w:t>
      </w:r>
    </w:p>
    <w:p w14:paraId="37016483" w14:textId="77777777" w:rsidR="00CB02A7" w:rsidRDefault="00CB02A7" w:rsidP="00CB02A7">
      <w:pPr>
        <w:pStyle w:val="ListParagraph"/>
        <w:numPr>
          <w:ilvl w:val="0"/>
          <w:numId w:val="11"/>
        </w:numPr>
        <w:tabs>
          <w:tab w:val="left" w:pos="540"/>
          <w:tab w:val="left" w:pos="567"/>
        </w:tabs>
        <w:spacing w:before="120"/>
        <w:contextualSpacing w:val="0"/>
      </w:pPr>
      <w:r>
        <w:t>developing analytical tools and criteria for assessment procedures linked to inputs of hazardous substances and nutrients, and developing assessment tools for the purposes of coherent conduct of assessments.</w:t>
      </w:r>
    </w:p>
    <w:p w14:paraId="4B79C4A4" w14:textId="19E572E9" w:rsidR="00CB02A7" w:rsidRPr="00CB02A7" w:rsidRDefault="00CB02A7" w:rsidP="00CB02A7">
      <w:pPr>
        <w:tabs>
          <w:tab w:val="left" w:pos="540"/>
          <w:tab w:val="left" w:pos="567"/>
        </w:tabs>
        <w:spacing w:before="120"/>
        <w:rPr>
          <w:b/>
          <w:bCs/>
        </w:rPr>
      </w:pPr>
      <w:r>
        <w:rPr>
          <w:b/>
          <w:bCs/>
        </w:rPr>
        <w:tab/>
      </w:r>
      <w:r w:rsidR="00323C97">
        <w:rPr>
          <w:b/>
          <w:bCs/>
        </w:rPr>
        <w:tab/>
      </w:r>
      <w:r>
        <w:rPr>
          <w:b/>
          <w:bCs/>
        </w:rPr>
        <w:t xml:space="preserve">d. </w:t>
      </w:r>
      <w:r w:rsidRPr="00CB02A7">
        <w:rPr>
          <w:b/>
          <w:bCs/>
        </w:rPr>
        <w:t xml:space="preserve">for ocean acidification: </w:t>
      </w:r>
    </w:p>
    <w:p w14:paraId="19799342" w14:textId="77777777" w:rsidR="00CB02A7" w:rsidRDefault="00CB02A7" w:rsidP="00CB02A7">
      <w:pPr>
        <w:pStyle w:val="ListParagraph"/>
        <w:numPr>
          <w:ilvl w:val="0"/>
          <w:numId w:val="12"/>
        </w:numPr>
        <w:tabs>
          <w:tab w:val="left" w:pos="540"/>
          <w:tab w:val="left" w:pos="567"/>
        </w:tabs>
        <w:spacing w:before="120"/>
        <w:contextualSpacing w:val="0"/>
      </w:pPr>
      <w:r>
        <w:t>s</w:t>
      </w:r>
      <w:r w:rsidRPr="00F5490E">
        <w:t xml:space="preserve">upporting </w:t>
      </w:r>
      <w:r>
        <w:t xml:space="preserve">the </w:t>
      </w:r>
      <w:r w:rsidRPr="00F5490E">
        <w:t xml:space="preserve">development of </w:t>
      </w:r>
      <w:proofErr w:type="spellStart"/>
      <w:r>
        <w:t>i</w:t>
      </w:r>
      <w:proofErr w:type="spellEnd"/>
      <w:r>
        <w:t>) ocean acidification</w:t>
      </w:r>
      <w:r w:rsidRPr="00F5490E">
        <w:t xml:space="preserve"> assessments and </w:t>
      </w:r>
      <w:proofErr w:type="spellStart"/>
      <w:r w:rsidRPr="00F5490E">
        <w:t>and</w:t>
      </w:r>
      <w:proofErr w:type="spellEnd"/>
      <w:r w:rsidRPr="00F5490E">
        <w:t xml:space="preserve"> </w:t>
      </w:r>
      <w:r>
        <w:t xml:space="preserve">ii) an ocean acidification specific monitoring programme in the context of the </w:t>
      </w:r>
      <w:r w:rsidRPr="00F5490E">
        <w:t>C</w:t>
      </w:r>
      <w:r>
        <w:t xml:space="preserve">oordinated </w:t>
      </w:r>
      <w:r w:rsidRPr="00F5490E">
        <w:t>E</w:t>
      </w:r>
      <w:r>
        <w:t xml:space="preserve">nvironmental </w:t>
      </w:r>
      <w:r w:rsidRPr="00F5490E">
        <w:t>M</w:t>
      </w:r>
      <w:r>
        <w:t xml:space="preserve">onitoring </w:t>
      </w:r>
      <w:r w:rsidRPr="00F5490E">
        <w:t>P</w:t>
      </w:r>
      <w:r>
        <w:t>rogramme (CEMP).</w:t>
      </w:r>
    </w:p>
    <w:p w14:paraId="68130FFC" w14:textId="77777777" w:rsidR="00CB02A7" w:rsidRPr="00EE5C2E" w:rsidRDefault="00CB02A7" w:rsidP="00CB02A7">
      <w:pPr>
        <w:tabs>
          <w:tab w:val="left" w:pos="1080"/>
        </w:tabs>
        <w:spacing w:line="280" w:lineRule="atLeast"/>
      </w:pPr>
      <w:r>
        <w:rPr>
          <w:u w:val="single"/>
        </w:rPr>
        <w:lastRenderedPageBreak/>
        <w:t xml:space="preserve">Marine policy </w:t>
      </w:r>
      <w:r w:rsidRPr="00EE5C2E">
        <w:rPr>
          <w:u w:val="single"/>
        </w:rPr>
        <w:t>aspects:</w:t>
      </w:r>
    </w:p>
    <w:p w14:paraId="3E591B8D" w14:textId="1693DC02" w:rsidR="00CB02A7" w:rsidRDefault="00CB02A7" w:rsidP="00CB02A7">
      <w:pPr>
        <w:pStyle w:val="ListParagraph"/>
        <w:tabs>
          <w:tab w:val="left" w:pos="567"/>
        </w:tabs>
        <w:spacing w:before="120" w:line="280" w:lineRule="atLeast"/>
        <w:ind w:left="0"/>
        <w:contextualSpacing w:val="0"/>
      </w:pPr>
      <w:r>
        <w:t>1</w:t>
      </w:r>
      <w:r w:rsidR="00A80438">
        <w:t>4</w:t>
      </w:r>
      <w:r>
        <w:t>.</w:t>
      </w:r>
      <w:r>
        <w:tab/>
        <w:t xml:space="preserve">INPUT shall facilitate, for those Contracting Parties that are also EU Member States, the coordinated and coherent implementation of the Marine Strategy Framework Directive and equivalent national policies. </w:t>
      </w:r>
      <w:proofErr w:type="gramStart"/>
      <w:r>
        <w:t>In particular, for</w:t>
      </w:r>
      <w:proofErr w:type="gramEnd"/>
      <w:r>
        <w:t xml:space="preserve"> the qualitative descriptors “Human–induced eutrophication is minimised” (MSFD D5</w:t>
      </w:r>
      <w:r w:rsidR="00236004">
        <w:t xml:space="preserve"> - Eutrophication</w:t>
      </w:r>
      <w:r>
        <w:t xml:space="preserve">),” Concentrations of contaminants are at levels not giving rise to pollution effects” </w:t>
      </w:r>
      <w:r w:rsidR="00236004">
        <w:t xml:space="preserve">(MSFD D8 - </w:t>
      </w:r>
      <w:r w:rsidR="00236004" w:rsidRPr="00236004">
        <w:t>Concentrations of contaminants give no effects</w:t>
      </w:r>
      <w:r w:rsidR="00236004">
        <w:t>)</w:t>
      </w:r>
      <w:r w:rsidR="00236004" w:rsidRPr="00CE544C">
        <w:t xml:space="preserve"> </w:t>
      </w:r>
      <w:r>
        <w:t>and “Contaminants in fish and other seafood do not exceed [safe] levels” (MSFD D9</w:t>
      </w:r>
      <w:r w:rsidR="008B547F">
        <w:rPr>
          <w:rStyle w:val="FootnoteReference"/>
        </w:rPr>
        <w:footnoteReference w:id="3"/>
      </w:r>
      <w:r w:rsidR="00236004">
        <w:t xml:space="preserve"> -</w:t>
      </w:r>
      <w:r w:rsidR="00236004" w:rsidRPr="00236004">
        <w:t>Contaminants in seafood are below safe levels</w:t>
      </w:r>
      <w:r w:rsidR="00236004">
        <w:t xml:space="preserve"> </w:t>
      </w:r>
      <w:r>
        <w:t xml:space="preserve">). </w:t>
      </w:r>
    </w:p>
    <w:p w14:paraId="7B82C45D" w14:textId="6556ECCB" w:rsidR="00CB02A7" w:rsidRPr="00BF4687" w:rsidRDefault="00CB02A7" w:rsidP="00CB02A7">
      <w:pPr>
        <w:pStyle w:val="ListParagraph"/>
        <w:tabs>
          <w:tab w:val="left" w:pos="567"/>
        </w:tabs>
        <w:spacing w:before="120" w:line="280" w:lineRule="atLeast"/>
        <w:ind w:left="0"/>
        <w:contextualSpacing w:val="0"/>
        <w:rPr>
          <w:rFonts w:cstheme="minorHAnsi"/>
        </w:rPr>
      </w:pPr>
      <w:r>
        <w:rPr>
          <w:szCs w:val="20"/>
        </w:rPr>
        <w:t>1</w:t>
      </w:r>
      <w:r w:rsidR="00A80438">
        <w:rPr>
          <w:szCs w:val="20"/>
        </w:rPr>
        <w:t>5</w:t>
      </w:r>
      <w:r>
        <w:rPr>
          <w:szCs w:val="20"/>
        </w:rPr>
        <w:t>.</w:t>
      </w:r>
      <w:r>
        <w:rPr>
          <w:szCs w:val="20"/>
        </w:rPr>
        <w:tab/>
        <w:t>INPUT</w:t>
      </w:r>
      <w:r w:rsidRPr="00035C1C">
        <w:rPr>
          <w:szCs w:val="20"/>
        </w:rPr>
        <w:t xml:space="preserve"> shall take account of the need of Contracting Parties to prepare targets and/or draft measures or to support the development of measures in other fora as necessary, to control use and reduc</w:t>
      </w:r>
      <w:r>
        <w:rPr>
          <w:szCs w:val="20"/>
        </w:rPr>
        <w:t>e</w:t>
      </w:r>
      <w:r w:rsidRPr="00035C1C">
        <w:rPr>
          <w:szCs w:val="20"/>
        </w:rPr>
        <w:t xml:space="preserve"> discharges of chemicals (</w:t>
      </w:r>
      <w:proofErr w:type="gramStart"/>
      <w:r>
        <w:rPr>
          <w:szCs w:val="20"/>
        </w:rPr>
        <w:t xml:space="preserve">in particular </w:t>
      </w:r>
      <w:r w:rsidRPr="00035C1C">
        <w:rPr>
          <w:szCs w:val="20"/>
        </w:rPr>
        <w:t>those</w:t>
      </w:r>
      <w:proofErr w:type="gramEnd"/>
      <w:r w:rsidRPr="00035C1C">
        <w:rPr>
          <w:szCs w:val="20"/>
        </w:rPr>
        <w:t xml:space="preserve"> identified by OSPAR as being Chemicals for Priority Action) and nutrients. </w:t>
      </w:r>
    </w:p>
    <w:p w14:paraId="62B42350" w14:textId="38CDFB11" w:rsidR="00CB02A7" w:rsidRPr="0050364E" w:rsidRDefault="00CB02A7" w:rsidP="00CB02A7">
      <w:pPr>
        <w:pStyle w:val="ListParagraph"/>
        <w:tabs>
          <w:tab w:val="left" w:pos="567"/>
        </w:tabs>
        <w:spacing w:before="120" w:line="280" w:lineRule="atLeast"/>
        <w:ind w:left="0"/>
        <w:contextualSpacing w:val="0"/>
        <w:rPr>
          <w:rStyle w:val="cf01"/>
          <w:rFonts w:asciiTheme="minorHAnsi" w:hAnsiTheme="minorHAnsi" w:cstheme="minorHAnsi"/>
          <w:sz w:val="22"/>
          <w:szCs w:val="22"/>
        </w:rPr>
      </w:pPr>
      <w:r>
        <w:rPr>
          <w:rStyle w:val="cf01"/>
          <w:rFonts w:asciiTheme="minorHAnsi" w:hAnsiTheme="minorHAnsi" w:cstheme="minorHAnsi"/>
          <w:sz w:val="22"/>
          <w:szCs w:val="22"/>
        </w:rPr>
        <w:t>1</w:t>
      </w:r>
      <w:r w:rsidR="00A80438">
        <w:rPr>
          <w:rStyle w:val="cf01"/>
          <w:rFonts w:asciiTheme="minorHAnsi" w:hAnsiTheme="minorHAnsi" w:cstheme="minorHAnsi"/>
          <w:sz w:val="22"/>
          <w:szCs w:val="22"/>
        </w:rPr>
        <w:t>6</w:t>
      </w:r>
      <w:r>
        <w:rPr>
          <w:rStyle w:val="cf01"/>
          <w:rFonts w:asciiTheme="minorHAnsi" w:hAnsiTheme="minorHAnsi" w:cstheme="minorHAnsi"/>
          <w:sz w:val="22"/>
          <w:szCs w:val="22"/>
        </w:rPr>
        <w:t>.</w:t>
      </w:r>
      <w:r>
        <w:rPr>
          <w:rStyle w:val="cf01"/>
          <w:rFonts w:asciiTheme="minorHAnsi" w:hAnsiTheme="minorHAnsi" w:cstheme="minorHAnsi"/>
          <w:sz w:val="22"/>
          <w:szCs w:val="22"/>
        </w:rPr>
        <w:tab/>
        <w:t>INPUT</w:t>
      </w:r>
      <w:r w:rsidRPr="0050364E">
        <w:rPr>
          <w:rStyle w:val="cf01"/>
          <w:rFonts w:asciiTheme="minorHAnsi" w:hAnsiTheme="minorHAnsi" w:cstheme="minorHAnsi"/>
          <w:sz w:val="22"/>
          <w:szCs w:val="22"/>
        </w:rPr>
        <w:t xml:space="preserve"> shall facilitate the work of Contracting Parties in the development and implementation of European and national law concerned with reducing discharges, emissions and losses of nutrients and hazardous substances.</w:t>
      </w:r>
    </w:p>
    <w:p w14:paraId="33BB93E6" w14:textId="2B6D99A2" w:rsidR="00CB02A7" w:rsidRPr="0050364E" w:rsidRDefault="00CB02A7" w:rsidP="00CB02A7">
      <w:pPr>
        <w:pStyle w:val="ListParagraph"/>
        <w:tabs>
          <w:tab w:val="left" w:pos="567"/>
        </w:tabs>
        <w:spacing w:before="120" w:line="280" w:lineRule="atLeast"/>
        <w:ind w:left="0"/>
        <w:contextualSpacing w:val="0"/>
        <w:rPr>
          <w:rFonts w:cstheme="minorHAnsi"/>
        </w:rPr>
      </w:pPr>
      <w:r>
        <w:rPr>
          <w:rStyle w:val="cf01"/>
          <w:rFonts w:asciiTheme="minorHAnsi" w:hAnsiTheme="minorHAnsi" w:cstheme="minorHAnsi"/>
          <w:sz w:val="22"/>
          <w:szCs w:val="22"/>
        </w:rPr>
        <w:t>1</w:t>
      </w:r>
      <w:r w:rsidR="00A80438">
        <w:rPr>
          <w:rStyle w:val="cf01"/>
          <w:rFonts w:asciiTheme="minorHAnsi" w:hAnsiTheme="minorHAnsi" w:cstheme="minorHAnsi"/>
          <w:sz w:val="22"/>
          <w:szCs w:val="22"/>
        </w:rPr>
        <w:t>7</w:t>
      </w:r>
      <w:r>
        <w:rPr>
          <w:rStyle w:val="cf01"/>
          <w:rFonts w:asciiTheme="minorHAnsi" w:hAnsiTheme="minorHAnsi" w:cstheme="minorHAnsi"/>
          <w:sz w:val="22"/>
          <w:szCs w:val="22"/>
        </w:rPr>
        <w:t>.</w:t>
      </w:r>
      <w:r>
        <w:rPr>
          <w:rStyle w:val="cf01"/>
          <w:rFonts w:asciiTheme="minorHAnsi" w:hAnsiTheme="minorHAnsi" w:cstheme="minorHAnsi"/>
          <w:sz w:val="22"/>
          <w:szCs w:val="22"/>
        </w:rPr>
        <w:tab/>
        <w:t>INPUT</w:t>
      </w:r>
      <w:r w:rsidRPr="0050364E">
        <w:rPr>
          <w:rStyle w:val="cf01"/>
          <w:rFonts w:asciiTheme="minorHAnsi" w:hAnsiTheme="minorHAnsi" w:cstheme="minorHAnsi"/>
          <w:sz w:val="22"/>
          <w:szCs w:val="22"/>
        </w:rPr>
        <w:t xml:space="preserve"> shall be a regional cooperation platform for Contracting Parties to use and inform the further development of marine assessment products and projects within the EU Copernicus, Green Deal and Horizon programmes.</w:t>
      </w:r>
    </w:p>
    <w:p w14:paraId="3E259E3F" w14:textId="224111AD" w:rsidR="00CB02A7" w:rsidRDefault="00CB02A7" w:rsidP="00CB02A7">
      <w:pPr>
        <w:pStyle w:val="ListParagraph"/>
        <w:tabs>
          <w:tab w:val="left" w:pos="567"/>
        </w:tabs>
        <w:spacing w:before="120" w:line="280" w:lineRule="atLeast"/>
        <w:ind w:left="0"/>
        <w:contextualSpacing w:val="0"/>
        <w:rPr>
          <w:rFonts w:cstheme="minorHAnsi"/>
        </w:rPr>
      </w:pPr>
      <w:r>
        <w:rPr>
          <w:rFonts w:cstheme="minorHAnsi"/>
        </w:rPr>
        <w:t>1</w:t>
      </w:r>
      <w:r w:rsidR="00A80438">
        <w:rPr>
          <w:rFonts w:cstheme="minorHAnsi"/>
        </w:rPr>
        <w:t>8</w:t>
      </w:r>
      <w:r>
        <w:rPr>
          <w:rFonts w:cstheme="minorHAnsi"/>
        </w:rPr>
        <w:t xml:space="preserve">. </w:t>
      </w:r>
      <w:r>
        <w:rPr>
          <w:rFonts w:cstheme="minorHAnsi"/>
        </w:rPr>
        <w:tab/>
        <w:t>INPUT</w:t>
      </w:r>
      <w:r w:rsidRPr="00BF4687">
        <w:rPr>
          <w:rFonts w:cstheme="minorHAnsi"/>
        </w:rPr>
        <w:t xml:space="preserve"> shall support the coordinated implementation of common objectives of the international ocean governance related with these terms of reference, through the common implementation of Agenda 2030. </w:t>
      </w:r>
      <w:proofErr w:type="gramStart"/>
      <w:r w:rsidRPr="00BF4687">
        <w:rPr>
          <w:rFonts w:cstheme="minorHAnsi"/>
        </w:rPr>
        <w:t>In particular, Sustainable</w:t>
      </w:r>
      <w:proofErr w:type="gramEnd"/>
      <w:r w:rsidRPr="00BF4687">
        <w:rPr>
          <w:rFonts w:cstheme="minorHAnsi"/>
        </w:rPr>
        <w:t xml:space="preserve"> Development Goal 14 targets: </w:t>
      </w:r>
      <w:r>
        <w:rPr>
          <w:rFonts w:cstheme="minorHAnsi"/>
        </w:rPr>
        <w:t>14.1, 14.2, 14.3, 14a and 14c.</w:t>
      </w:r>
    </w:p>
    <w:p w14:paraId="6D6035DC" w14:textId="3F627725" w:rsidR="00CB02A7" w:rsidRPr="00A80438" w:rsidRDefault="002752C6" w:rsidP="00CB02A7">
      <w:pPr>
        <w:pStyle w:val="ListParagraph"/>
        <w:tabs>
          <w:tab w:val="left" w:pos="567"/>
        </w:tabs>
        <w:spacing w:before="120" w:line="280" w:lineRule="atLeast"/>
        <w:ind w:left="0"/>
        <w:contextualSpacing w:val="0"/>
        <w:rPr>
          <w:rFonts w:cstheme="minorHAnsi"/>
          <w:u w:val="single"/>
        </w:rPr>
      </w:pPr>
      <w:r w:rsidRPr="00A80438">
        <w:rPr>
          <w:rFonts w:cstheme="minorHAnsi"/>
          <w:u w:val="single"/>
        </w:rPr>
        <w:t>OSPAR Science Agenda</w:t>
      </w:r>
    </w:p>
    <w:p w14:paraId="347DF8A9" w14:textId="7D3D2BB8" w:rsidR="002752C6" w:rsidRDefault="00A80438" w:rsidP="00CB02A7">
      <w:pPr>
        <w:pStyle w:val="ListParagraph"/>
        <w:tabs>
          <w:tab w:val="left" w:pos="567"/>
        </w:tabs>
        <w:spacing w:before="120" w:line="280" w:lineRule="atLeast"/>
        <w:ind w:left="0"/>
        <w:contextualSpacing w:val="0"/>
        <w:rPr>
          <w:rFonts w:cstheme="minorHAnsi"/>
        </w:rPr>
      </w:pPr>
      <w:r>
        <w:rPr>
          <w:rFonts w:cstheme="minorHAnsi"/>
        </w:rPr>
        <w:t>19</w:t>
      </w:r>
      <w:r w:rsidR="002752C6">
        <w:rPr>
          <w:rFonts w:cstheme="minorHAnsi"/>
        </w:rPr>
        <w:t>.</w:t>
      </w:r>
      <w:r w:rsidR="002752C6">
        <w:rPr>
          <w:rFonts w:cstheme="minorHAnsi"/>
        </w:rPr>
        <w:tab/>
        <w:t xml:space="preserve">WG-INPUT </w:t>
      </w:r>
      <w:r w:rsidR="002752C6" w:rsidRPr="002752C6">
        <w:rPr>
          <w:rFonts w:cstheme="minorHAnsi"/>
        </w:rPr>
        <w:t>will periodically review, and update as necessary, the knowledge gaps and science needs in the OSPAR Science Agenda, prioritising those that are more relevant to its work, and informing HASEC of the need of external resources and implementing the OSPAR Project mechanism as appropriate</w:t>
      </w:r>
      <w:r w:rsidR="002752C6">
        <w:rPr>
          <w:rFonts w:cstheme="minorHAnsi"/>
        </w:rPr>
        <w:t>.</w:t>
      </w:r>
    </w:p>
    <w:sectPr w:rsidR="002752C6" w:rsidSect="00012EE1">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4F9D" w14:textId="77777777" w:rsidR="00D53AFE" w:rsidRDefault="00D53AFE">
      <w:r>
        <w:separator/>
      </w:r>
    </w:p>
  </w:endnote>
  <w:endnote w:type="continuationSeparator" w:id="0">
    <w:p w14:paraId="13597189" w14:textId="77777777" w:rsidR="00D53AFE" w:rsidRDefault="00D5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73A3" w14:textId="77777777" w:rsidR="00C11697" w:rsidRDefault="00C11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57" w:type="dxa"/>
        <w:left w:w="0" w:type="dxa"/>
        <w:bottom w:w="57" w:type="dxa"/>
        <w:right w:w="0" w:type="dxa"/>
      </w:tblCellMar>
      <w:tblLook w:val="0000" w:firstRow="0" w:lastRow="0" w:firstColumn="0" w:lastColumn="0" w:noHBand="0" w:noVBand="0"/>
    </w:tblPr>
    <w:tblGrid>
      <w:gridCol w:w="3276"/>
      <w:gridCol w:w="3088"/>
      <w:gridCol w:w="3275"/>
    </w:tblGrid>
    <w:tr w:rsidR="00C26F45" w:rsidRPr="005200B2" w14:paraId="6173D2E3" w14:textId="77777777" w:rsidTr="00A920C5">
      <w:trPr>
        <w:cantSplit/>
        <w:trHeight w:hRule="exact" w:val="284"/>
      </w:trPr>
      <w:tc>
        <w:tcPr>
          <w:tcW w:w="5000" w:type="pct"/>
          <w:gridSpan w:val="3"/>
          <w:tcBorders>
            <w:bottom w:val="single" w:sz="4" w:space="0" w:color="auto"/>
          </w:tcBorders>
        </w:tcPr>
        <w:bookmarkStart w:id="2" w:name="_Hlk130514346"/>
        <w:p w14:paraId="3C74A1E6" w14:textId="77777777" w:rsidR="00C26F45" w:rsidRPr="00FC1B75" w:rsidRDefault="00C26F45" w:rsidP="00C26F45">
          <w:pPr>
            <w:pStyle w:val="Footer"/>
            <w:spacing w:after="0" w:line="240" w:lineRule="auto"/>
            <w:jc w:val="right"/>
            <w:rPr>
              <w:rFonts w:cs="Arial"/>
              <w:sz w:val="20"/>
            </w:rPr>
          </w:pPr>
          <w:r w:rsidRPr="006D051B">
            <w:rPr>
              <w:rStyle w:val="PageNumber"/>
              <w:sz w:val="20"/>
            </w:rPr>
            <w:fldChar w:fldCharType="begin"/>
          </w:r>
          <w:r w:rsidRPr="006D051B">
            <w:rPr>
              <w:rStyle w:val="PageNumber"/>
              <w:sz w:val="20"/>
            </w:rPr>
            <w:instrText xml:space="preserve"> PAGE </w:instrText>
          </w:r>
          <w:r w:rsidRPr="006D051B">
            <w:rPr>
              <w:rStyle w:val="PageNumber"/>
              <w:sz w:val="20"/>
            </w:rPr>
            <w:fldChar w:fldCharType="separate"/>
          </w:r>
          <w:r>
            <w:rPr>
              <w:rStyle w:val="PageNumber"/>
              <w:noProof/>
              <w:sz w:val="20"/>
            </w:rPr>
            <w:t>1</w:t>
          </w:r>
          <w:r w:rsidRPr="006D051B">
            <w:rPr>
              <w:rStyle w:val="PageNumber"/>
              <w:sz w:val="20"/>
            </w:rPr>
            <w:fldChar w:fldCharType="end"/>
          </w:r>
          <w:r w:rsidRPr="006D051B">
            <w:rPr>
              <w:rStyle w:val="PageNumber"/>
              <w:sz w:val="20"/>
            </w:rPr>
            <w:t xml:space="preserve"> of </w:t>
          </w:r>
          <w:r w:rsidRPr="006D051B">
            <w:rPr>
              <w:rStyle w:val="PageNumber"/>
              <w:sz w:val="20"/>
            </w:rPr>
            <w:fldChar w:fldCharType="begin"/>
          </w:r>
          <w:r w:rsidRPr="006D051B">
            <w:rPr>
              <w:rStyle w:val="PageNumber"/>
              <w:sz w:val="20"/>
            </w:rPr>
            <w:instrText xml:space="preserve"> NUMPAGES </w:instrText>
          </w:r>
          <w:r w:rsidRPr="006D051B">
            <w:rPr>
              <w:rStyle w:val="PageNumber"/>
              <w:sz w:val="20"/>
            </w:rPr>
            <w:fldChar w:fldCharType="separate"/>
          </w:r>
          <w:r>
            <w:rPr>
              <w:rStyle w:val="PageNumber"/>
              <w:noProof/>
              <w:sz w:val="20"/>
            </w:rPr>
            <w:t>1</w:t>
          </w:r>
          <w:r w:rsidRPr="006D051B">
            <w:rPr>
              <w:rStyle w:val="PageNumber"/>
              <w:sz w:val="20"/>
            </w:rPr>
            <w:fldChar w:fldCharType="end"/>
          </w:r>
        </w:p>
      </w:tc>
    </w:tr>
    <w:tr w:rsidR="00C26F45" w:rsidRPr="005200B2" w14:paraId="4CBCEC4B" w14:textId="77777777" w:rsidTr="00A920C5">
      <w:trPr>
        <w:cantSplit/>
        <w:trHeight w:hRule="exact" w:val="284"/>
      </w:trPr>
      <w:tc>
        <w:tcPr>
          <w:tcW w:w="1699" w:type="pct"/>
          <w:tcBorders>
            <w:top w:val="single" w:sz="4" w:space="0" w:color="auto"/>
          </w:tcBorders>
        </w:tcPr>
        <w:p w14:paraId="336E429B" w14:textId="77777777" w:rsidR="00C26F45" w:rsidRPr="00FC1B75" w:rsidRDefault="00C26F45" w:rsidP="00C26F45">
          <w:pPr>
            <w:pStyle w:val="Footer"/>
            <w:spacing w:after="0" w:line="240" w:lineRule="auto"/>
            <w:rPr>
              <w:rFonts w:cs="Arial"/>
              <w:sz w:val="20"/>
            </w:rPr>
          </w:pPr>
          <w:r w:rsidRPr="00FC1B75">
            <w:rPr>
              <w:rFonts w:cs="Arial"/>
              <w:sz w:val="20"/>
            </w:rPr>
            <w:t>OSPAR Commission</w:t>
          </w:r>
        </w:p>
      </w:tc>
      <w:tc>
        <w:tcPr>
          <w:tcW w:w="1602" w:type="pct"/>
          <w:tcBorders>
            <w:top w:val="single" w:sz="4" w:space="0" w:color="auto"/>
          </w:tcBorders>
        </w:tcPr>
        <w:p w14:paraId="27FDFC9E" w14:textId="61D1ADAE" w:rsidR="00C26F45" w:rsidRPr="00FC1B75" w:rsidRDefault="00C11697" w:rsidP="00C11697">
          <w:pPr>
            <w:tabs>
              <w:tab w:val="left" w:pos="272"/>
              <w:tab w:val="center" w:pos="2281"/>
              <w:tab w:val="left" w:pos="4096"/>
            </w:tabs>
            <w:spacing w:after="0" w:line="240" w:lineRule="auto"/>
            <w:ind w:left="-675"/>
            <w:jc w:val="center"/>
            <w:rPr>
              <w:sz w:val="20"/>
            </w:rPr>
          </w:pPr>
          <w:r>
            <w:rPr>
              <w:sz w:val="20"/>
            </w:rPr>
            <w:t>Draft Summary Record – HASEC 2025</w:t>
          </w:r>
          <w:r w:rsidR="00C26F45" w:rsidRPr="00FC1B75">
            <w:rPr>
              <w:sz w:val="20"/>
            </w:rPr>
            <w:tab/>
          </w:r>
        </w:p>
      </w:tc>
      <w:tc>
        <w:tcPr>
          <w:tcW w:w="1699" w:type="pct"/>
          <w:tcBorders>
            <w:top w:val="single" w:sz="4" w:space="0" w:color="auto"/>
          </w:tcBorders>
        </w:tcPr>
        <w:p w14:paraId="55D0F7BD" w14:textId="72C072AA" w:rsidR="00C26F45" w:rsidRPr="00FC1B75" w:rsidRDefault="00C11697" w:rsidP="00C26F45">
          <w:pPr>
            <w:tabs>
              <w:tab w:val="left" w:pos="1292"/>
              <w:tab w:val="left" w:pos="1575"/>
            </w:tabs>
            <w:spacing w:after="0" w:line="240" w:lineRule="auto"/>
            <w:jc w:val="right"/>
            <w:rPr>
              <w:sz w:val="20"/>
            </w:rPr>
          </w:pPr>
          <w:r>
            <w:rPr>
              <w:sz w:val="20"/>
            </w:rPr>
            <w:t xml:space="preserve">HASEC 25/14/01, Annex </w:t>
          </w:r>
          <w:r w:rsidR="00180CFF">
            <w:rPr>
              <w:sz w:val="20"/>
            </w:rPr>
            <w:t>6</w:t>
          </w:r>
        </w:p>
      </w:tc>
    </w:tr>
    <w:bookmarkEnd w:id="2"/>
  </w:tbl>
  <w:p w14:paraId="7EFBDA35" w14:textId="78E6771E" w:rsidR="001645A6" w:rsidRDefault="001645A6" w:rsidP="00C26F45">
    <w:pPr>
      <w:pStyle w:val="Footer"/>
      <w:jc w:val="center"/>
    </w:pPr>
  </w:p>
  <w:p w14:paraId="5EC99EE9" w14:textId="77777777" w:rsidR="001645A6" w:rsidRDefault="00164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02B3" w14:textId="77777777" w:rsidR="00C11697" w:rsidRDefault="00C11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3E6C" w14:textId="77777777" w:rsidR="00D53AFE" w:rsidRDefault="00D53AFE">
      <w:r>
        <w:separator/>
      </w:r>
    </w:p>
  </w:footnote>
  <w:footnote w:type="continuationSeparator" w:id="0">
    <w:p w14:paraId="09E968C2" w14:textId="77777777" w:rsidR="00D53AFE" w:rsidRDefault="00D53AFE">
      <w:r>
        <w:continuationSeparator/>
      </w:r>
    </w:p>
  </w:footnote>
  <w:footnote w:id="1">
    <w:p w14:paraId="4EE00D69" w14:textId="453B28F9" w:rsidR="008B547F" w:rsidRPr="008B547F" w:rsidRDefault="008B547F">
      <w:pPr>
        <w:pStyle w:val="FootnoteText"/>
        <w:rPr>
          <w:rFonts w:asciiTheme="minorHAnsi" w:hAnsiTheme="minorHAnsi" w:cstheme="minorHAnsi"/>
          <w:sz w:val="18"/>
          <w:szCs w:val="18"/>
        </w:rPr>
      </w:pPr>
      <w:r w:rsidRPr="008B547F">
        <w:rPr>
          <w:rStyle w:val="FootnoteReference"/>
          <w:rFonts w:asciiTheme="minorHAnsi" w:hAnsiTheme="minorHAnsi" w:cstheme="minorHAnsi"/>
          <w:sz w:val="18"/>
          <w:szCs w:val="18"/>
        </w:rPr>
        <w:footnoteRef/>
      </w:r>
      <w:r w:rsidRPr="008B547F">
        <w:rPr>
          <w:rFonts w:asciiTheme="minorHAnsi" w:hAnsiTheme="minorHAnsi" w:cstheme="minorHAnsi"/>
          <w:sz w:val="18"/>
          <w:szCs w:val="18"/>
        </w:rPr>
        <w:t xml:space="preserve"> Concentrations of contaminants are at levels not giving rise to pollution effects</w:t>
      </w:r>
    </w:p>
  </w:footnote>
  <w:footnote w:id="2">
    <w:p w14:paraId="7FA49A5D" w14:textId="421E923E" w:rsidR="008B547F" w:rsidRPr="008B547F" w:rsidRDefault="008B547F">
      <w:pPr>
        <w:pStyle w:val="FootnoteText"/>
        <w:rPr>
          <w:rFonts w:asciiTheme="minorHAnsi" w:hAnsiTheme="minorHAnsi" w:cstheme="minorHAnsi"/>
          <w:b/>
          <w:sz w:val="18"/>
          <w:szCs w:val="18"/>
        </w:rPr>
      </w:pPr>
      <w:r>
        <w:rPr>
          <w:rStyle w:val="FootnoteReference"/>
        </w:rPr>
        <w:footnoteRef/>
      </w:r>
      <w:r>
        <w:t xml:space="preserve"> </w:t>
      </w:r>
      <w:r w:rsidRPr="008B547F">
        <w:rPr>
          <w:rStyle w:val="Strong"/>
          <w:rFonts w:asciiTheme="minorHAnsi" w:hAnsiTheme="minorHAnsi" w:cstheme="minorHAnsi"/>
          <w:b w:val="0"/>
          <w:color w:val="000000"/>
          <w:sz w:val="18"/>
          <w:szCs w:val="18"/>
          <w:bdr w:val="none" w:sz="0" w:space="0" w:color="auto" w:frame="1"/>
          <w:shd w:val="clear" w:color="auto" w:fill="FFFFFF"/>
        </w:rPr>
        <w:t>Human-induced eutrophication is minimised, especially adverse effects thereof, such as losses in biodiversity, ecosystem degradation, harmful algae blooms and oxygen deficiency in bottom waters</w:t>
      </w:r>
    </w:p>
  </w:footnote>
  <w:footnote w:id="3">
    <w:p w14:paraId="072EEDA8" w14:textId="0FF0B255" w:rsidR="008B547F" w:rsidRPr="008B547F" w:rsidRDefault="008B547F" w:rsidP="00EC015A">
      <w:pPr>
        <w:pStyle w:val="FootnoteText"/>
        <w:ind w:left="0"/>
        <w:rPr>
          <w:rFonts w:asciiTheme="minorHAnsi" w:hAnsiTheme="minorHAnsi" w:cstheme="minorHAnsi"/>
          <w:sz w:val="18"/>
          <w:szCs w:val="18"/>
        </w:rPr>
      </w:pPr>
      <w:r>
        <w:rPr>
          <w:rStyle w:val="FootnoteReference"/>
        </w:rPr>
        <w:footnoteRef/>
      </w:r>
      <w:r>
        <w:t xml:space="preserve"> </w:t>
      </w:r>
      <w:r w:rsidRPr="008B547F">
        <w:rPr>
          <w:rFonts w:asciiTheme="minorHAnsi" w:hAnsiTheme="minorHAnsi" w:cstheme="minorHAnsi"/>
          <w:sz w:val="18"/>
          <w:szCs w:val="18"/>
        </w:rPr>
        <w:t>Contaminants in fish and other seafood for human consumption do not exceed levels estalished by Community legislation or other relevant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F339" w14:textId="77777777" w:rsidR="00C11697" w:rsidRDefault="00C11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956F" w14:textId="77777777" w:rsidR="00C11697" w:rsidRDefault="00C116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E801" w14:textId="77777777" w:rsidR="00C11697" w:rsidRDefault="00C11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0E2870"/>
    <w:lvl w:ilvl="0">
      <w:start w:val="1"/>
      <w:numFmt w:val="bullet"/>
      <w:pStyle w:val="ListBullet"/>
      <w:lvlText w:val=""/>
      <w:lvlJc w:val="left"/>
      <w:pPr>
        <w:tabs>
          <w:tab w:val="num" w:pos="1778"/>
        </w:tabs>
        <w:ind w:left="1701" w:hanging="283"/>
      </w:pPr>
      <w:rPr>
        <w:rFonts w:ascii="Symbol" w:hAnsi="Symbol" w:hint="default"/>
        <w:color w:val="auto"/>
      </w:rPr>
    </w:lvl>
  </w:abstractNum>
  <w:abstractNum w:abstractNumId="1" w15:restartNumberingAfterBreak="0">
    <w:nsid w:val="098D1427"/>
    <w:multiLevelType w:val="hybridMultilevel"/>
    <w:tmpl w:val="B942B44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F9185A"/>
    <w:multiLevelType w:val="hybridMultilevel"/>
    <w:tmpl w:val="797E6EB8"/>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56234"/>
    <w:multiLevelType w:val="hybridMultilevel"/>
    <w:tmpl w:val="797E6EB8"/>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D3081"/>
    <w:multiLevelType w:val="hybridMultilevel"/>
    <w:tmpl w:val="E38624B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4B154D"/>
    <w:multiLevelType w:val="hybridMultilevel"/>
    <w:tmpl w:val="749AB8DC"/>
    <w:lvl w:ilvl="0" w:tplc="0407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8A90D3B"/>
    <w:multiLevelType w:val="hybridMultilevel"/>
    <w:tmpl w:val="9D0EBF26"/>
    <w:lvl w:ilvl="0" w:tplc="FFFFFFF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211B38"/>
    <w:multiLevelType w:val="hybridMultilevel"/>
    <w:tmpl w:val="6B680D76"/>
    <w:lvl w:ilvl="0" w:tplc="8C120704">
      <w:start w:val="1"/>
      <w:numFmt w:val="decimal"/>
      <w:lvlText w:val="%1."/>
      <w:lvlJc w:val="left"/>
      <w:pPr>
        <w:ind w:left="2839" w:hanging="570"/>
      </w:pPr>
      <w:rPr>
        <w:rFonts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BC4EEF"/>
    <w:multiLevelType w:val="hybridMultilevel"/>
    <w:tmpl w:val="DD685C7A"/>
    <w:lvl w:ilvl="0" w:tplc="169263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5849F6"/>
    <w:multiLevelType w:val="hybridMultilevel"/>
    <w:tmpl w:val="544ECE5E"/>
    <w:lvl w:ilvl="0" w:tplc="6666F2B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D814FFC"/>
    <w:multiLevelType w:val="hybridMultilevel"/>
    <w:tmpl w:val="76A06026"/>
    <w:lvl w:ilvl="0" w:tplc="08090019">
      <w:start w:val="1"/>
      <w:numFmt w:val="lowerLetter"/>
      <w:lvlText w:val="%1."/>
      <w:lvlJc w:val="left"/>
      <w:pPr>
        <w:ind w:left="3054" w:hanging="360"/>
      </w:pPr>
    </w:lvl>
    <w:lvl w:ilvl="1" w:tplc="08090019">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11" w15:restartNumberingAfterBreak="0">
    <w:nsid w:val="42644018"/>
    <w:multiLevelType w:val="hybridMultilevel"/>
    <w:tmpl w:val="BB7E7F40"/>
    <w:lvl w:ilvl="0" w:tplc="04070019">
      <w:start w:val="1"/>
      <w:numFmt w:val="lowerLetter"/>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A364E0F"/>
    <w:multiLevelType w:val="multilevel"/>
    <w:tmpl w:val="7D6CF6D8"/>
    <w:lvl w:ilvl="0">
      <w:start w:val="1"/>
      <w:numFmt w:val="decimal"/>
      <w:pStyle w:val="BodyText"/>
      <w:lvlText w:val="%1."/>
      <w:lvlJc w:val="left"/>
      <w:pPr>
        <w:tabs>
          <w:tab w:val="num" w:pos="1418"/>
        </w:tabs>
        <w:ind w:left="1418" w:hanging="1134"/>
      </w:pPr>
      <w:rPr>
        <w:rFonts w:hint="default"/>
      </w:rPr>
    </w:lvl>
    <w:lvl w:ilvl="1">
      <w:start w:val="1"/>
      <w:numFmt w:val="lowerLetter"/>
      <w:lvlText w:val="%2."/>
      <w:lvlJc w:val="left"/>
      <w:pPr>
        <w:tabs>
          <w:tab w:val="num" w:pos="1494"/>
        </w:tabs>
        <w:ind w:left="1418" w:hanging="284"/>
      </w:pPr>
      <w:rPr>
        <w:rFonts w:hint="default"/>
      </w:rPr>
    </w:lvl>
    <w:lvl w:ilvl="2">
      <w:start w:val="1"/>
      <w:numFmt w:val="lowerRoman"/>
      <w:lvlText w:val="%3."/>
      <w:lvlJc w:val="left"/>
      <w:pPr>
        <w:tabs>
          <w:tab w:val="num" w:pos="2138"/>
        </w:tabs>
        <w:ind w:left="1701" w:hanging="283"/>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3" w15:restartNumberingAfterBreak="0">
    <w:nsid w:val="516C552B"/>
    <w:multiLevelType w:val="hybridMultilevel"/>
    <w:tmpl w:val="44086190"/>
    <w:lvl w:ilvl="0" w:tplc="0407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5CD51D9"/>
    <w:multiLevelType w:val="hybridMultilevel"/>
    <w:tmpl w:val="24EA86FE"/>
    <w:lvl w:ilvl="0" w:tplc="97CE301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AC72B99"/>
    <w:multiLevelType w:val="hybridMultilevel"/>
    <w:tmpl w:val="7ADA95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CBA706F"/>
    <w:multiLevelType w:val="hybridMultilevel"/>
    <w:tmpl w:val="DD50E5A6"/>
    <w:lvl w:ilvl="0" w:tplc="24620CC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0F77E39"/>
    <w:multiLevelType w:val="hybridMultilevel"/>
    <w:tmpl w:val="707222CE"/>
    <w:lvl w:ilvl="0" w:tplc="FFFFFFF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A7627E"/>
    <w:multiLevelType w:val="hybridMultilevel"/>
    <w:tmpl w:val="40A21B1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DBA1DFF"/>
    <w:multiLevelType w:val="hybridMultilevel"/>
    <w:tmpl w:val="54E07C7E"/>
    <w:lvl w:ilvl="0" w:tplc="0CA6A396">
      <w:start w:val="1"/>
      <w:numFmt w:val="decimal"/>
      <w:lvlText w:val="%1."/>
      <w:lvlJc w:val="left"/>
      <w:pPr>
        <w:ind w:left="502" w:hanging="360"/>
      </w:pPr>
      <w:rPr>
        <w:rFonts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2327881">
    <w:abstractNumId w:val="12"/>
  </w:num>
  <w:num w:numId="2" w16cid:durableId="671227801">
    <w:abstractNumId w:val="0"/>
  </w:num>
  <w:num w:numId="3" w16cid:durableId="391781126">
    <w:abstractNumId w:val="2"/>
  </w:num>
  <w:num w:numId="4" w16cid:durableId="733309543">
    <w:abstractNumId w:val="19"/>
  </w:num>
  <w:num w:numId="5" w16cid:durableId="1295870676">
    <w:abstractNumId w:val="4"/>
  </w:num>
  <w:num w:numId="6" w16cid:durableId="210308452">
    <w:abstractNumId w:val="15"/>
  </w:num>
  <w:num w:numId="7" w16cid:durableId="1468547283">
    <w:abstractNumId w:val="1"/>
  </w:num>
  <w:num w:numId="8" w16cid:durableId="428040358">
    <w:abstractNumId w:val="18"/>
  </w:num>
  <w:num w:numId="9" w16cid:durableId="210727779">
    <w:abstractNumId w:val="8"/>
  </w:num>
  <w:num w:numId="10" w16cid:durableId="1714235500">
    <w:abstractNumId w:val="16"/>
  </w:num>
  <w:num w:numId="11" w16cid:durableId="22244150">
    <w:abstractNumId w:val="14"/>
  </w:num>
  <w:num w:numId="12" w16cid:durableId="1047336599">
    <w:abstractNumId w:val="9"/>
  </w:num>
  <w:num w:numId="13" w16cid:durableId="949820138">
    <w:abstractNumId w:val="3"/>
  </w:num>
  <w:num w:numId="14" w16cid:durableId="1114178134">
    <w:abstractNumId w:val="10"/>
  </w:num>
  <w:num w:numId="15" w16cid:durableId="1284654420">
    <w:abstractNumId w:val="7"/>
  </w:num>
  <w:num w:numId="16" w16cid:durableId="776826728">
    <w:abstractNumId w:val="17"/>
  </w:num>
  <w:num w:numId="17" w16cid:durableId="1531145051">
    <w:abstractNumId w:val="13"/>
  </w:num>
  <w:num w:numId="18" w16cid:durableId="983586109">
    <w:abstractNumId w:val="6"/>
  </w:num>
  <w:num w:numId="19" w16cid:durableId="1505318765">
    <w:abstractNumId w:val="5"/>
  </w:num>
  <w:num w:numId="20" w16cid:durableId="177043349">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DF"/>
    <w:rsid w:val="000004AC"/>
    <w:rsid w:val="0000424A"/>
    <w:rsid w:val="00010574"/>
    <w:rsid w:val="000123A2"/>
    <w:rsid w:val="00012EE1"/>
    <w:rsid w:val="00021EBF"/>
    <w:rsid w:val="000305F9"/>
    <w:rsid w:val="00031DCA"/>
    <w:rsid w:val="0003491F"/>
    <w:rsid w:val="00037075"/>
    <w:rsid w:val="00042717"/>
    <w:rsid w:val="00051C99"/>
    <w:rsid w:val="00052893"/>
    <w:rsid w:val="000534D2"/>
    <w:rsid w:val="00057483"/>
    <w:rsid w:val="000654A5"/>
    <w:rsid w:val="000679A4"/>
    <w:rsid w:val="000737BE"/>
    <w:rsid w:val="000777D7"/>
    <w:rsid w:val="00080116"/>
    <w:rsid w:val="00083E59"/>
    <w:rsid w:val="00090052"/>
    <w:rsid w:val="00091CA2"/>
    <w:rsid w:val="00092BE8"/>
    <w:rsid w:val="000A1A69"/>
    <w:rsid w:val="000A2942"/>
    <w:rsid w:val="000A2DF1"/>
    <w:rsid w:val="000A4019"/>
    <w:rsid w:val="000A7CC2"/>
    <w:rsid w:val="000B3AED"/>
    <w:rsid w:val="000B604F"/>
    <w:rsid w:val="000E06A9"/>
    <w:rsid w:val="000E0C3B"/>
    <w:rsid w:val="000E1AB7"/>
    <w:rsid w:val="000E491E"/>
    <w:rsid w:val="000E5E25"/>
    <w:rsid w:val="000F05AA"/>
    <w:rsid w:val="000F1070"/>
    <w:rsid w:val="000F5575"/>
    <w:rsid w:val="00102802"/>
    <w:rsid w:val="0010351F"/>
    <w:rsid w:val="001051F7"/>
    <w:rsid w:val="0010671D"/>
    <w:rsid w:val="001137D7"/>
    <w:rsid w:val="00115E25"/>
    <w:rsid w:val="0012700D"/>
    <w:rsid w:val="001525AC"/>
    <w:rsid w:val="0016016B"/>
    <w:rsid w:val="00160C28"/>
    <w:rsid w:val="00161991"/>
    <w:rsid w:val="00162DD3"/>
    <w:rsid w:val="001641EF"/>
    <w:rsid w:val="001645A6"/>
    <w:rsid w:val="00164E6D"/>
    <w:rsid w:val="00180CFF"/>
    <w:rsid w:val="001839C3"/>
    <w:rsid w:val="00185362"/>
    <w:rsid w:val="001864A3"/>
    <w:rsid w:val="00191F47"/>
    <w:rsid w:val="00192131"/>
    <w:rsid w:val="00193400"/>
    <w:rsid w:val="0019692F"/>
    <w:rsid w:val="001A2663"/>
    <w:rsid w:val="001B037A"/>
    <w:rsid w:val="001B50AF"/>
    <w:rsid w:val="001C02D8"/>
    <w:rsid w:val="001C1D27"/>
    <w:rsid w:val="001C2709"/>
    <w:rsid w:val="001C6D64"/>
    <w:rsid w:val="001D1A8F"/>
    <w:rsid w:val="001D3AAE"/>
    <w:rsid w:val="001D44D3"/>
    <w:rsid w:val="001D5681"/>
    <w:rsid w:val="001D5DEC"/>
    <w:rsid w:val="001E3759"/>
    <w:rsid w:val="001E38B0"/>
    <w:rsid w:val="001E735D"/>
    <w:rsid w:val="001E779A"/>
    <w:rsid w:val="001F36ED"/>
    <w:rsid w:val="001F5932"/>
    <w:rsid w:val="001F6CCF"/>
    <w:rsid w:val="00202FE4"/>
    <w:rsid w:val="002047E4"/>
    <w:rsid w:val="00211AA0"/>
    <w:rsid w:val="0022743D"/>
    <w:rsid w:val="00231EF1"/>
    <w:rsid w:val="00236004"/>
    <w:rsid w:val="002377FB"/>
    <w:rsid w:val="00242DDF"/>
    <w:rsid w:val="0024567C"/>
    <w:rsid w:val="002458F4"/>
    <w:rsid w:val="00245F6A"/>
    <w:rsid w:val="00247886"/>
    <w:rsid w:val="00253832"/>
    <w:rsid w:val="0025401B"/>
    <w:rsid w:val="0025468F"/>
    <w:rsid w:val="0025535A"/>
    <w:rsid w:val="00255C8B"/>
    <w:rsid w:val="00261632"/>
    <w:rsid w:val="0026247A"/>
    <w:rsid w:val="00266004"/>
    <w:rsid w:val="00270D19"/>
    <w:rsid w:val="00274CE3"/>
    <w:rsid w:val="002752C6"/>
    <w:rsid w:val="00277B7E"/>
    <w:rsid w:val="002938A8"/>
    <w:rsid w:val="00294196"/>
    <w:rsid w:val="002B0F5F"/>
    <w:rsid w:val="002B4E93"/>
    <w:rsid w:val="002C2A4C"/>
    <w:rsid w:val="002C5865"/>
    <w:rsid w:val="002E0A89"/>
    <w:rsid w:val="002E0B8E"/>
    <w:rsid w:val="002E0E30"/>
    <w:rsid w:val="002E3946"/>
    <w:rsid w:val="002E66C1"/>
    <w:rsid w:val="002E66E4"/>
    <w:rsid w:val="002F2510"/>
    <w:rsid w:val="002F2829"/>
    <w:rsid w:val="002F56C3"/>
    <w:rsid w:val="00301E52"/>
    <w:rsid w:val="00302071"/>
    <w:rsid w:val="00302D21"/>
    <w:rsid w:val="003075BF"/>
    <w:rsid w:val="00307CF3"/>
    <w:rsid w:val="00310FD2"/>
    <w:rsid w:val="00315592"/>
    <w:rsid w:val="003217FA"/>
    <w:rsid w:val="00323C97"/>
    <w:rsid w:val="0033405F"/>
    <w:rsid w:val="00335C41"/>
    <w:rsid w:val="00340BF0"/>
    <w:rsid w:val="003419F6"/>
    <w:rsid w:val="00341E37"/>
    <w:rsid w:val="0034537F"/>
    <w:rsid w:val="00350BA4"/>
    <w:rsid w:val="00354698"/>
    <w:rsid w:val="00354A66"/>
    <w:rsid w:val="00371A05"/>
    <w:rsid w:val="0037327D"/>
    <w:rsid w:val="00376B7C"/>
    <w:rsid w:val="00376C97"/>
    <w:rsid w:val="00377022"/>
    <w:rsid w:val="00381577"/>
    <w:rsid w:val="003912A9"/>
    <w:rsid w:val="00394D79"/>
    <w:rsid w:val="003A54D3"/>
    <w:rsid w:val="003B061C"/>
    <w:rsid w:val="003D06DC"/>
    <w:rsid w:val="003E41F3"/>
    <w:rsid w:val="003E4887"/>
    <w:rsid w:val="003E6135"/>
    <w:rsid w:val="003E7770"/>
    <w:rsid w:val="003F33F3"/>
    <w:rsid w:val="00402124"/>
    <w:rsid w:val="0040377E"/>
    <w:rsid w:val="00421ED1"/>
    <w:rsid w:val="0042288A"/>
    <w:rsid w:val="00424393"/>
    <w:rsid w:val="00426196"/>
    <w:rsid w:val="0043228D"/>
    <w:rsid w:val="0044000F"/>
    <w:rsid w:val="0044309D"/>
    <w:rsid w:val="00445F7B"/>
    <w:rsid w:val="00446785"/>
    <w:rsid w:val="00447BB6"/>
    <w:rsid w:val="00452C1F"/>
    <w:rsid w:val="0045435B"/>
    <w:rsid w:val="00460F97"/>
    <w:rsid w:val="004633B5"/>
    <w:rsid w:val="004711BC"/>
    <w:rsid w:val="00474D28"/>
    <w:rsid w:val="00476A6A"/>
    <w:rsid w:val="004778B1"/>
    <w:rsid w:val="00477AD9"/>
    <w:rsid w:val="00481F26"/>
    <w:rsid w:val="00483107"/>
    <w:rsid w:val="004838F2"/>
    <w:rsid w:val="00484650"/>
    <w:rsid w:val="00492462"/>
    <w:rsid w:val="00494AEA"/>
    <w:rsid w:val="004965BD"/>
    <w:rsid w:val="004A0AAA"/>
    <w:rsid w:val="004B06FF"/>
    <w:rsid w:val="004B09E6"/>
    <w:rsid w:val="004B49B4"/>
    <w:rsid w:val="004C0DFC"/>
    <w:rsid w:val="004C2D13"/>
    <w:rsid w:val="004C3406"/>
    <w:rsid w:val="004D3F3F"/>
    <w:rsid w:val="004E05C0"/>
    <w:rsid w:val="004E7BDB"/>
    <w:rsid w:val="004F0A6C"/>
    <w:rsid w:val="004F24D5"/>
    <w:rsid w:val="004F26E2"/>
    <w:rsid w:val="004F69E7"/>
    <w:rsid w:val="004F6D35"/>
    <w:rsid w:val="004F75D7"/>
    <w:rsid w:val="004F7BBC"/>
    <w:rsid w:val="0050364E"/>
    <w:rsid w:val="0050585E"/>
    <w:rsid w:val="005059F5"/>
    <w:rsid w:val="00511FAC"/>
    <w:rsid w:val="00515D55"/>
    <w:rsid w:val="0052409F"/>
    <w:rsid w:val="0052467B"/>
    <w:rsid w:val="0052523B"/>
    <w:rsid w:val="0052620A"/>
    <w:rsid w:val="00537DAF"/>
    <w:rsid w:val="00540406"/>
    <w:rsid w:val="00540B21"/>
    <w:rsid w:val="00540C0D"/>
    <w:rsid w:val="00543299"/>
    <w:rsid w:val="0055266D"/>
    <w:rsid w:val="0056378D"/>
    <w:rsid w:val="00570D8B"/>
    <w:rsid w:val="00576CDA"/>
    <w:rsid w:val="0057796E"/>
    <w:rsid w:val="005837DF"/>
    <w:rsid w:val="00590794"/>
    <w:rsid w:val="00591324"/>
    <w:rsid w:val="00594AF2"/>
    <w:rsid w:val="005A3B98"/>
    <w:rsid w:val="005A70A2"/>
    <w:rsid w:val="005C1384"/>
    <w:rsid w:val="005C29DB"/>
    <w:rsid w:val="005C3BF5"/>
    <w:rsid w:val="005D0737"/>
    <w:rsid w:val="005D2304"/>
    <w:rsid w:val="005D72CA"/>
    <w:rsid w:val="005E3409"/>
    <w:rsid w:val="005E5180"/>
    <w:rsid w:val="005E5DC0"/>
    <w:rsid w:val="005F0D61"/>
    <w:rsid w:val="005F15FF"/>
    <w:rsid w:val="005F3758"/>
    <w:rsid w:val="005F5A7D"/>
    <w:rsid w:val="005F611D"/>
    <w:rsid w:val="00602ABC"/>
    <w:rsid w:val="00604BF2"/>
    <w:rsid w:val="00605E44"/>
    <w:rsid w:val="00614509"/>
    <w:rsid w:val="00616B2B"/>
    <w:rsid w:val="00620B06"/>
    <w:rsid w:val="0062123C"/>
    <w:rsid w:val="0063048C"/>
    <w:rsid w:val="00632BE5"/>
    <w:rsid w:val="00633720"/>
    <w:rsid w:val="00635105"/>
    <w:rsid w:val="0063678F"/>
    <w:rsid w:val="006507D4"/>
    <w:rsid w:val="00652E0D"/>
    <w:rsid w:val="00661B67"/>
    <w:rsid w:val="006756D4"/>
    <w:rsid w:val="00680D62"/>
    <w:rsid w:val="00681319"/>
    <w:rsid w:val="00683647"/>
    <w:rsid w:val="006846B2"/>
    <w:rsid w:val="00691DDF"/>
    <w:rsid w:val="00692A7C"/>
    <w:rsid w:val="00697282"/>
    <w:rsid w:val="00697AC3"/>
    <w:rsid w:val="006B0954"/>
    <w:rsid w:val="006B1D32"/>
    <w:rsid w:val="006B2511"/>
    <w:rsid w:val="006B39A6"/>
    <w:rsid w:val="006C2FE6"/>
    <w:rsid w:val="006C4DB5"/>
    <w:rsid w:val="006D4ED0"/>
    <w:rsid w:val="006D5098"/>
    <w:rsid w:val="006F07FB"/>
    <w:rsid w:val="006F1609"/>
    <w:rsid w:val="006F28D5"/>
    <w:rsid w:val="006F5B76"/>
    <w:rsid w:val="006F78FA"/>
    <w:rsid w:val="006F7A57"/>
    <w:rsid w:val="007026D1"/>
    <w:rsid w:val="00702E58"/>
    <w:rsid w:val="00703159"/>
    <w:rsid w:val="00703389"/>
    <w:rsid w:val="00704AA4"/>
    <w:rsid w:val="00706790"/>
    <w:rsid w:val="00707F0F"/>
    <w:rsid w:val="00710C43"/>
    <w:rsid w:val="007113CA"/>
    <w:rsid w:val="00712F74"/>
    <w:rsid w:val="00720D2A"/>
    <w:rsid w:val="0072397C"/>
    <w:rsid w:val="0072582A"/>
    <w:rsid w:val="00730581"/>
    <w:rsid w:val="00730BD9"/>
    <w:rsid w:val="0073448C"/>
    <w:rsid w:val="00743053"/>
    <w:rsid w:val="007463F0"/>
    <w:rsid w:val="00755624"/>
    <w:rsid w:val="00762CD9"/>
    <w:rsid w:val="007704D5"/>
    <w:rsid w:val="00770A3B"/>
    <w:rsid w:val="00780D11"/>
    <w:rsid w:val="0078118C"/>
    <w:rsid w:val="00791486"/>
    <w:rsid w:val="007915B7"/>
    <w:rsid w:val="00792C59"/>
    <w:rsid w:val="0079320B"/>
    <w:rsid w:val="00796301"/>
    <w:rsid w:val="00796DC2"/>
    <w:rsid w:val="00797D80"/>
    <w:rsid w:val="007A3181"/>
    <w:rsid w:val="007B0EBC"/>
    <w:rsid w:val="007B26A0"/>
    <w:rsid w:val="007B689F"/>
    <w:rsid w:val="007C1355"/>
    <w:rsid w:val="007C47A0"/>
    <w:rsid w:val="007C4A71"/>
    <w:rsid w:val="007D3CB7"/>
    <w:rsid w:val="007D600B"/>
    <w:rsid w:val="007D76C6"/>
    <w:rsid w:val="007E10DA"/>
    <w:rsid w:val="007E19B3"/>
    <w:rsid w:val="007E35B7"/>
    <w:rsid w:val="007F01C0"/>
    <w:rsid w:val="007F48D0"/>
    <w:rsid w:val="00800245"/>
    <w:rsid w:val="00804F39"/>
    <w:rsid w:val="00806A00"/>
    <w:rsid w:val="008117CB"/>
    <w:rsid w:val="00811C59"/>
    <w:rsid w:val="00816780"/>
    <w:rsid w:val="00827D29"/>
    <w:rsid w:val="00831C81"/>
    <w:rsid w:val="00833E6A"/>
    <w:rsid w:val="00843D54"/>
    <w:rsid w:val="008453CA"/>
    <w:rsid w:val="00847909"/>
    <w:rsid w:val="008522EB"/>
    <w:rsid w:val="00852D3A"/>
    <w:rsid w:val="00857FF2"/>
    <w:rsid w:val="0086228F"/>
    <w:rsid w:val="00863806"/>
    <w:rsid w:val="008646A9"/>
    <w:rsid w:val="0086796A"/>
    <w:rsid w:val="00871713"/>
    <w:rsid w:val="008801EA"/>
    <w:rsid w:val="00880D65"/>
    <w:rsid w:val="008A1F07"/>
    <w:rsid w:val="008A4CFA"/>
    <w:rsid w:val="008A588F"/>
    <w:rsid w:val="008B03F7"/>
    <w:rsid w:val="008B2397"/>
    <w:rsid w:val="008B23FB"/>
    <w:rsid w:val="008B451B"/>
    <w:rsid w:val="008B5138"/>
    <w:rsid w:val="008B547F"/>
    <w:rsid w:val="008C2DEC"/>
    <w:rsid w:val="008E10D3"/>
    <w:rsid w:val="008F1C5E"/>
    <w:rsid w:val="008F4E5E"/>
    <w:rsid w:val="008F55C4"/>
    <w:rsid w:val="0090066B"/>
    <w:rsid w:val="009024DC"/>
    <w:rsid w:val="00903B37"/>
    <w:rsid w:val="00905E6E"/>
    <w:rsid w:val="00911253"/>
    <w:rsid w:val="00913580"/>
    <w:rsid w:val="00913A63"/>
    <w:rsid w:val="00923419"/>
    <w:rsid w:val="0092471D"/>
    <w:rsid w:val="00925405"/>
    <w:rsid w:val="0093018D"/>
    <w:rsid w:val="00930F26"/>
    <w:rsid w:val="0093151B"/>
    <w:rsid w:val="009427A8"/>
    <w:rsid w:val="0094703F"/>
    <w:rsid w:val="00950EC0"/>
    <w:rsid w:val="00951643"/>
    <w:rsid w:val="00956EC0"/>
    <w:rsid w:val="00961952"/>
    <w:rsid w:val="0096230F"/>
    <w:rsid w:val="00962C13"/>
    <w:rsid w:val="00967D08"/>
    <w:rsid w:val="009776A3"/>
    <w:rsid w:val="009779CA"/>
    <w:rsid w:val="0098723A"/>
    <w:rsid w:val="00992766"/>
    <w:rsid w:val="00994570"/>
    <w:rsid w:val="009A28A3"/>
    <w:rsid w:val="009A3DB7"/>
    <w:rsid w:val="009A672E"/>
    <w:rsid w:val="009B1C9E"/>
    <w:rsid w:val="009B3625"/>
    <w:rsid w:val="009B5D05"/>
    <w:rsid w:val="009C0A35"/>
    <w:rsid w:val="009C36D3"/>
    <w:rsid w:val="009C4D38"/>
    <w:rsid w:val="009F1BCF"/>
    <w:rsid w:val="009F42B6"/>
    <w:rsid w:val="00A008CB"/>
    <w:rsid w:val="00A0550B"/>
    <w:rsid w:val="00A07842"/>
    <w:rsid w:val="00A10506"/>
    <w:rsid w:val="00A16313"/>
    <w:rsid w:val="00A21F92"/>
    <w:rsid w:val="00A23E83"/>
    <w:rsid w:val="00A245CB"/>
    <w:rsid w:val="00A27AC2"/>
    <w:rsid w:val="00A37682"/>
    <w:rsid w:val="00A40551"/>
    <w:rsid w:val="00A446AC"/>
    <w:rsid w:val="00A46D7E"/>
    <w:rsid w:val="00A46FC8"/>
    <w:rsid w:val="00A531EF"/>
    <w:rsid w:val="00A559A6"/>
    <w:rsid w:val="00A604A3"/>
    <w:rsid w:val="00A61980"/>
    <w:rsid w:val="00A64AE6"/>
    <w:rsid w:val="00A6524B"/>
    <w:rsid w:val="00A67186"/>
    <w:rsid w:val="00A77044"/>
    <w:rsid w:val="00A77489"/>
    <w:rsid w:val="00A80438"/>
    <w:rsid w:val="00A86A3E"/>
    <w:rsid w:val="00A8750C"/>
    <w:rsid w:val="00A91076"/>
    <w:rsid w:val="00A9190E"/>
    <w:rsid w:val="00A953E3"/>
    <w:rsid w:val="00A97680"/>
    <w:rsid w:val="00AB0E90"/>
    <w:rsid w:val="00AC1983"/>
    <w:rsid w:val="00AC6017"/>
    <w:rsid w:val="00AC7122"/>
    <w:rsid w:val="00AE1D90"/>
    <w:rsid w:val="00AE605C"/>
    <w:rsid w:val="00AE6DC9"/>
    <w:rsid w:val="00AE778D"/>
    <w:rsid w:val="00AF0996"/>
    <w:rsid w:val="00AF4DC7"/>
    <w:rsid w:val="00AF70E1"/>
    <w:rsid w:val="00B01D3D"/>
    <w:rsid w:val="00B044B6"/>
    <w:rsid w:val="00B04FBD"/>
    <w:rsid w:val="00B15081"/>
    <w:rsid w:val="00B20468"/>
    <w:rsid w:val="00B30480"/>
    <w:rsid w:val="00B31523"/>
    <w:rsid w:val="00B4087F"/>
    <w:rsid w:val="00B41D4D"/>
    <w:rsid w:val="00B51992"/>
    <w:rsid w:val="00B54D9A"/>
    <w:rsid w:val="00B64E56"/>
    <w:rsid w:val="00B66F4D"/>
    <w:rsid w:val="00B730B6"/>
    <w:rsid w:val="00B744DE"/>
    <w:rsid w:val="00B7503D"/>
    <w:rsid w:val="00B75FB9"/>
    <w:rsid w:val="00B80659"/>
    <w:rsid w:val="00B82161"/>
    <w:rsid w:val="00B85421"/>
    <w:rsid w:val="00B8762B"/>
    <w:rsid w:val="00B9747A"/>
    <w:rsid w:val="00BA1E38"/>
    <w:rsid w:val="00BA2840"/>
    <w:rsid w:val="00BA4280"/>
    <w:rsid w:val="00BB5F14"/>
    <w:rsid w:val="00BC721F"/>
    <w:rsid w:val="00BD41B7"/>
    <w:rsid w:val="00BD5ED1"/>
    <w:rsid w:val="00BE1647"/>
    <w:rsid w:val="00BE25B9"/>
    <w:rsid w:val="00BE3DAC"/>
    <w:rsid w:val="00BE4D9A"/>
    <w:rsid w:val="00BF5316"/>
    <w:rsid w:val="00C0163E"/>
    <w:rsid w:val="00C01C15"/>
    <w:rsid w:val="00C01F19"/>
    <w:rsid w:val="00C03071"/>
    <w:rsid w:val="00C03B55"/>
    <w:rsid w:val="00C03DFC"/>
    <w:rsid w:val="00C04FA6"/>
    <w:rsid w:val="00C07955"/>
    <w:rsid w:val="00C11697"/>
    <w:rsid w:val="00C26AF8"/>
    <w:rsid w:val="00C26F45"/>
    <w:rsid w:val="00C27164"/>
    <w:rsid w:val="00C33A21"/>
    <w:rsid w:val="00C363B0"/>
    <w:rsid w:val="00C363EF"/>
    <w:rsid w:val="00C43A9F"/>
    <w:rsid w:val="00C476D9"/>
    <w:rsid w:val="00C5234F"/>
    <w:rsid w:val="00C53AA7"/>
    <w:rsid w:val="00C55BAD"/>
    <w:rsid w:val="00C61C77"/>
    <w:rsid w:val="00C629E2"/>
    <w:rsid w:val="00C656F1"/>
    <w:rsid w:val="00C7228F"/>
    <w:rsid w:val="00C73410"/>
    <w:rsid w:val="00C74EEE"/>
    <w:rsid w:val="00C7553D"/>
    <w:rsid w:val="00C779D3"/>
    <w:rsid w:val="00C870FD"/>
    <w:rsid w:val="00C90BD1"/>
    <w:rsid w:val="00C93ABA"/>
    <w:rsid w:val="00C95148"/>
    <w:rsid w:val="00C95172"/>
    <w:rsid w:val="00C95840"/>
    <w:rsid w:val="00CA07C2"/>
    <w:rsid w:val="00CA3478"/>
    <w:rsid w:val="00CB02A7"/>
    <w:rsid w:val="00CB0E87"/>
    <w:rsid w:val="00CB4237"/>
    <w:rsid w:val="00CB6EDA"/>
    <w:rsid w:val="00CB79ED"/>
    <w:rsid w:val="00CC24A8"/>
    <w:rsid w:val="00CC2590"/>
    <w:rsid w:val="00CC3CF2"/>
    <w:rsid w:val="00CD089B"/>
    <w:rsid w:val="00CD4CD8"/>
    <w:rsid w:val="00CD6E9D"/>
    <w:rsid w:val="00CE0951"/>
    <w:rsid w:val="00CE38B1"/>
    <w:rsid w:val="00CE45AD"/>
    <w:rsid w:val="00CE7DBA"/>
    <w:rsid w:val="00D01A23"/>
    <w:rsid w:val="00D059FB"/>
    <w:rsid w:val="00D06ECD"/>
    <w:rsid w:val="00D128A7"/>
    <w:rsid w:val="00D22D56"/>
    <w:rsid w:val="00D22F72"/>
    <w:rsid w:val="00D24357"/>
    <w:rsid w:val="00D27A62"/>
    <w:rsid w:val="00D34CE1"/>
    <w:rsid w:val="00D375CE"/>
    <w:rsid w:val="00D42D9D"/>
    <w:rsid w:val="00D514FC"/>
    <w:rsid w:val="00D53AFE"/>
    <w:rsid w:val="00D60CC1"/>
    <w:rsid w:val="00D6191B"/>
    <w:rsid w:val="00D63121"/>
    <w:rsid w:val="00D65E24"/>
    <w:rsid w:val="00D706A4"/>
    <w:rsid w:val="00D70D30"/>
    <w:rsid w:val="00D773D1"/>
    <w:rsid w:val="00D85759"/>
    <w:rsid w:val="00D87C18"/>
    <w:rsid w:val="00D900E1"/>
    <w:rsid w:val="00D94359"/>
    <w:rsid w:val="00DA3269"/>
    <w:rsid w:val="00DA6487"/>
    <w:rsid w:val="00DA7D0F"/>
    <w:rsid w:val="00DB0269"/>
    <w:rsid w:val="00DB1123"/>
    <w:rsid w:val="00DB24D4"/>
    <w:rsid w:val="00DB26DB"/>
    <w:rsid w:val="00DB2800"/>
    <w:rsid w:val="00DB4997"/>
    <w:rsid w:val="00DB57EF"/>
    <w:rsid w:val="00DB608A"/>
    <w:rsid w:val="00DC05AE"/>
    <w:rsid w:val="00DC3D34"/>
    <w:rsid w:val="00DC5C2F"/>
    <w:rsid w:val="00DC6401"/>
    <w:rsid w:val="00DD3883"/>
    <w:rsid w:val="00DE29A2"/>
    <w:rsid w:val="00DE4423"/>
    <w:rsid w:val="00DE6C43"/>
    <w:rsid w:val="00DE72BB"/>
    <w:rsid w:val="00DF71AA"/>
    <w:rsid w:val="00DF7BCD"/>
    <w:rsid w:val="00E02399"/>
    <w:rsid w:val="00E0454C"/>
    <w:rsid w:val="00E045B7"/>
    <w:rsid w:val="00E04ACA"/>
    <w:rsid w:val="00E066D3"/>
    <w:rsid w:val="00E12837"/>
    <w:rsid w:val="00E138DA"/>
    <w:rsid w:val="00E13CAA"/>
    <w:rsid w:val="00E159A7"/>
    <w:rsid w:val="00E21BF0"/>
    <w:rsid w:val="00E22A85"/>
    <w:rsid w:val="00E30294"/>
    <w:rsid w:val="00E31690"/>
    <w:rsid w:val="00E324B7"/>
    <w:rsid w:val="00E325B5"/>
    <w:rsid w:val="00E35A77"/>
    <w:rsid w:val="00E404C4"/>
    <w:rsid w:val="00E41106"/>
    <w:rsid w:val="00E45DAC"/>
    <w:rsid w:val="00E60AB9"/>
    <w:rsid w:val="00E60C8A"/>
    <w:rsid w:val="00E6250E"/>
    <w:rsid w:val="00E6259F"/>
    <w:rsid w:val="00E66231"/>
    <w:rsid w:val="00E74993"/>
    <w:rsid w:val="00E77C9F"/>
    <w:rsid w:val="00E81389"/>
    <w:rsid w:val="00E84D11"/>
    <w:rsid w:val="00E85778"/>
    <w:rsid w:val="00E92992"/>
    <w:rsid w:val="00E92A72"/>
    <w:rsid w:val="00E963B5"/>
    <w:rsid w:val="00E97D8A"/>
    <w:rsid w:val="00EA13EE"/>
    <w:rsid w:val="00EA13FE"/>
    <w:rsid w:val="00EA309F"/>
    <w:rsid w:val="00EA4B1B"/>
    <w:rsid w:val="00EB4D7F"/>
    <w:rsid w:val="00EB607C"/>
    <w:rsid w:val="00EB6887"/>
    <w:rsid w:val="00EC015A"/>
    <w:rsid w:val="00EC03B1"/>
    <w:rsid w:val="00ED0FF5"/>
    <w:rsid w:val="00ED4CB4"/>
    <w:rsid w:val="00ED4E2E"/>
    <w:rsid w:val="00EE085E"/>
    <w:rsid w:val="00EE1169"/>
    <w:rsid w:val="00EE17A7"/>
    <w:rsid w:val="00EE6028"/>
    <w:rsid w:val="00EF337A"/>
    <w:rsid w:val="00EF7CC9"/>
    <w:rsid w:val="00F06634"/>
    <w:rsid w:val="00F11BD1"/>
    <w:rsid w:val="00F20DA9"/>
    <w:rsid w:val="00F217AB"/>
    <w:rsid w:val="00F22B82"/>
    <w:rsid w:val="00F2379B"/>
    <w:rsid w:val="00F24E48"/>
    <w:rsid w:val="00F31245"/>
    <w:rsid w:val="00F3406D"/>
    <w:rsid w:val="00F34E20"/>
    <w:rsid w:val="00F43560"/>
    <w:rsid w:val="00F476C1"/>
    <w:rsid w:val="00F5124F"/>
    <w:rsid w:val="00F724BA"/>
    <w:rsid w:val="00F770A9"/>
    <w:rsid w:val="00F77A89"/>
    <w:rsid w:val="00F77EFF"/>
    <w:rsid w:val="00F870C2"/>
    <w:rsid w:val="00F90CC3"/>
    <w:rsid w:val="00F91819"/>
    <w:rsid w:val="00F92D08"/>
    <w:rsid w:val="00F93208"/>
    <w:rsid w:val="00F9384B"/>
    <w:rsid w:val="00F96A23"/>
    <w:rsid w:val="00FA2BA1"/>
    <w:rsid w:val="00FA4656"/>
    <w:rsid w:val="00FA7FCD"/>
    <w:rsid w:val="00FB1542"/>
    <w:rsid w:val="00FB5BA5"/>
    <w:rsid w:val="00FB67A6"/>
    <w:rsid w:val="00FC5893"/>
    <w:rsid w:val="00FC6678"/>
    <w:rsid w:val="00FC67E6"/>
    <w:rsid w:val="00FC77AD"/>
    <w:rsid w:val="00FD0748"/>
    <w:rsid w:val="00FD44EF"/>
    <w:rsid w:val="00FD5493"/>
    <w:rsid w:val="00FD5896"/>
    <w:rsid w:val="00FD6A1C"/>
    <w:rsid w:val="00FD7CC1"/>
    <w:rsid w:val="00FE1E5D"/>
    <w:rsid w:val="00FE7190"/>
    <w:rsid w:val="00FF2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79A60"/>
  <w15:chartTrackingRefBased/>
  <w15:docId w15:val="{E0EEBCF8-579C-437F-8346-27768185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355"/>
    <w:pPr>
      <w:tabs>
        <w:tab w:val="left" w:pos="1418"/>
      </w:tabs>
      <w:spacing w:after="120" w:line="276" w:lineRule="auto"/>
      <w:jc w:val="both"/>
    </w:pPr>
    <w:rPr>
      <w:rFonts w:ascii="Calibri" w:hAnsi="Calibri"/>
      <w:sz w:val="22"/>
    </w:rPr>
  </w:style>
  <w:style w:type="paragraph" w:styleId="Heading1">
    <w:name w:val="heading 1"/>
    <w:basedOn w:val="Heading2"/>
    <w:next w:val="BodyText"/>
    <w:qFormat/>
    <w:rsid w:val="00BF5316"/>
    <w:pPr>
      <w:outlineLvl w:val="0"/>
    </w:pPr>
    <w:rPr>
      <w:i w:val="0"/>
      <w:sz w:val="26"/>
      <w:szCs w:val="26"/>
    </w:rPr>
  </w:style>
  <w:style w:type="paragraph" w:styleId="Heading2">
    <w:name w:val="heading 2"/>
    <w:next w:val="BodyText"/>
    <w:link w:val="Heading2Char"/>
    <w:qFormat/>
    <w:rsid w:val="00712F74"/>
    <w:pPr>
      <w:keepNext/>
      <w:spacing w:before="200" w:after="120" w:line="276" w:lineRule="auto"/>
      <w:jc w:val="both"/>
      <w:outlineLvl w:val="1"/>
    </w:pPr>
    <w:rPr>
      <w:rFonts w:ascii="Calibri" w:hAnsi="Calibri"/>
      <w:i/>
      <w:noProof/>
      <w:sz w:val="22"/>
      <w:szCs w:val="22"/>
    </w:rPr>
  </w:style>
  <w:style w:type="paragraph" w:styleId="Heading3">
    <w:name w:val="heading 3"/>
    <w:next w:val="BodyText"/>
    <w:qFormat/>
    <w:pPr>
      <w:keepNext/>
      <w:spacing w:line="280" w:lineRule="atLeast"/>
      <w:ind w:left="1134"/>
      <w:outlineLvl w:val="2"/>
    </w:pPr>
    <w:rPr>
      <w:rFonts w:ascii="Arial" w:hAnsi="Arial"/>
      <w:b/>
      <w:noProof/>
    </w:rPr>
  </w:style>
  <w:style w:type="paragraph" w:styleId="Heading4">
    <w:name w:val="heading 4"/>
    <w:basedOn w:val="Normal"/>
    <w:next w:val="Normal"/>
    <w:qFormat/>
    <w:pPr>
      <w:keepNext/>
      <w:outlineLvl w:val="3"/>
    </w:pPr>
    <w:rPr>
      <w:bCs/>
      <w:sz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357"/>
        <w:tab w:val="center" w:pos="4320"/>
        <w:tab w:val="right" w:pos="8640"/>
      </w:tabs>
      <w:spacing w:line="280" w:lineRule="atLeast"/>
    </w:pPr>
    <w:rPr>
      <w:rFonts w:ascii="Arial" w:hAnsi="Arial"/>
      <w:sz w:val="20"/>
    </w:rPr>
  </w:style>
  <w:style w:type="paragraph" w:styleId="Footer">
    <w:name w:val="footer"/>
    <w:aliases w:val="Footer1"/>
    <w:basedOn w:val="Normal"/>
    <w:link w:val="FooterChar"/>
    <w:uiPriority w:val="99"/>
    <w:pPr>
      <w:tabs>
        <w:tab w:val="center" w:pos="4320"/>
        <w:tab w:val="right" w:pos="8640"/>
      </w:tabs>
    </w:pPr>
  </w:style>
  <w:style w:type="character" w:styleId="PageNumber">
    <w:name w:val="page number"/>
    <w:basedOn w:val="DefaultParagraphFont"/>
  </w:style>
  <w:style w:type="paragraph" w:styleId="TOC2">
    <w:name w:val="toc 2"/>
    <w:next w:val="Normal"/>
    <w:autoRedefine/>
    <w:semiHidden/>
    <w:pPr>
      <w:tabs>
        <w:tab w:val="left" w:pos="1134"/>
        <w:tab w:val="left" w:pos="2268"/>
        <w:tab w:val="left" w:pos="2552"/>
        <w:tab w:val="left" w:pos="3119"/>
        <w:tab w:val="right" w:leader="dot" w:pos="8448"/>
      </w:tabs>
      <w:spacing w:before="60" w:after="60"/>
      <w:ind w:left="3119" w:right="1134" w:hanging="1418"/>
    </w:pPr>
    <w:rPr>
      <w:rFonts w:ascii="Arial" w:hAnsi="Arial"/>
      <w:noProof/>
    </w:rPr>
  </w:style>
  <w:style w:type="paragraph" w:styleId="TOC3">
    <w:name w:val="toc 3"/>
    <w:basedOn w:val="BodyText"/>
    <w:next w:val="Normal"/>
    <w:autoRedefine/>
    <w:semiHidden/>
    <w:pPr>
      <w:tabs>
        <w:tab w:val="left" w:pos="851"/>
        <w:tab w:val="left" w:pos="1134"/>
        <w:tab w:val="left" w:pos="2268"/>
        <w:tab w:val="right" w:leader="dot" w:pos="8448"/>
      </w:tabs>
      <w:spacing w:after="0" w:line="280" w:lineRule="atLeast"/>
      <w:ind w:left="2268" w:right="1134"/>
    </w:pPr>
    <w:rPr>
      <w:rFonts w:ascii="Arial" w:hAnsi="Arial"/>
      <w:noProof/>
      <w:sz w:val="20"/>
    </w:rPr>
  </w:style>
  <w:style w:type="paragraph" w:styleId="BodyText">
    <w:name w:val="Body Text"/>
    <w:basedOn w:val="Normal"/>
    <w:link w:val="BodyTextChar"/>
    <w:pPr>
      <w:numPr>
        <w:numId w:val="1"/>
      </w:numPr>
      <w:tabs>
        <w:tab w:val="left" w:pos="1701"/>
      </w:tabs>
      <w:spacing w:after="140"/>
    </w:pPr>
  </w:style>
  <w:style w:type="paragraph" w:styleId="TOC4">
    <w:name w:val="toc 4"/>
    <w:basedOn w:val="Normal"/>
    <w:next w:val="Normal"/>
    <w:autoRedefine/>
    <w:semiHidden/>
    <w:pPr>
      <w:tabs>
        <w:tab w:val="right" w:leader="dot" w:pos="8448"/>
        <w:tab w:val="right" w:pos="8505"/>
      </w:tabs>
      <w:spacing w:line="280" w:lineRule="atLeast"/>
      <w:ind w:left="2835" w:right="1134"/>
    </w:pPr>
    <w:rPr>
      <w:rFonts w:ascii="Arial" w:hAnsi="Arial"/>
      <w:sz w:val="20"/>
    </w:rPr>
  </w:style>
  <w:style w:type="paragraph" w:customStyle="1" w:styleId="IntroductionText">
    <w:name w:val="Introduction Text"/>
    <w:basedOn w:val="BodyText"/>
    <w:next w:val="BodyText"/>
    <w:pPr>
      <w:numPr>
        <w:numId w:val="0"/>
      </w:numPr>
      <w:ind w:left="1134"/>
    </w:pPr>
    <w:rPr>
      <w:b/>
    </w:rPr>
  </w:style>
  <w:style w:type="paragraph" w:styleId="EndnoteText">
    <w:name w:val="endnote text"/>
    <w:basedOn w:val="Normal"/>
    <w:semiHidden/>
    <w:pPr>
      <w:spacing w:after="140"/>
    </w:pPr>
  </w:style>
  <w:style w:type="paragraph" w:styleId="EnvelopeAddress">
    <w:name w:val="envelope address"/>
    <w:basedOn w:val="Normal"/>
    <w:pPr>
      <w:framePr w:w="7920" w:h="1980" w:hRule="exact" w:hSpace="180" w:wrap="auto" w:hAnchor="page" w:xAlign="center" w:yAlign="bottom"/>
      <w:tabs>
        <w:tab w:val="left" w:pos="357"/>
      </w:tabs>
      <w:spacing w:line="280" w:lineRule="atLeast"/>
      <w:ind w:left="2880"/>
    </w:pPr>
    <w:rPr>
      <w:rFonts w:ascii="Arial" w:hAnsi="Arial"/>
      <w:sz w:val="20"/>
    </w:rPr>
  </w:style>
  <w:style w:type="character" w:styleId="FollowedHyperlink">
    <w:name w:val="FollowedHyperlink"/>
    <w:rPr>
      <w:color w:val="808080"/>
      <w:u w:val="none"/>
    </w:rPr>
  </w:style>
  <w:style w:type="paragraph" w:styleId="FootnoteText">
    <w:name w:val="footnote text"/>
    <w:link w:val="FootnoteTextChar"/>
    <w:pPr>
      <w:spacing w:line="200" w:lineRule="atLeast"/>
      <w:ind w:left="1134"/>
    </w:pPr>
    <w:rPr>
      <w:rFonts w:ascii="Arial" w:hAnsi="Arial"/>
      <w:noProof/>
      <w:sz w:val="16"/>
    </w:rPr>
  </w:style>
  <w:style w:type="character" w:styleId="Hyperlink">
    <w:name w:val="Hyperlink"/>
    <w:rPr>
      <w:color w:val="16288E"/>
      <w:u w:val="none"/>
    </w:rPr>
  </w:style>
  <w:style w:type="paragraph" w:customStyle="1" w:styleId="ZchnZchn1CharCharCarCar">
    <w:name w:val="Zchn Zchn1 Char Char Car Car"/>
    <w:basedOn w:val="Normal"/>
    <w:pPr>
      <w:tabs>
        <w:tab w:val="clear" w:pos="1418"/>
      </w:tabs>
      <w:spacing w:after="160" w:line="240" w:lineRule="exact"/>
    </w:pPr>
    <w:rPr>
      <w:rFonts w:ascii="Tahoma" w:hAnsi="Tahoma"/>
      <w:lang w:val="en-US" w:eastAsia="en-US"/>
    </w:rPr>
  </w:style>
  <w:style w:type="paragraph" w:styleId="ListBullet">
    <w:name w:val="List Bullet"/>
    <w:basedOn w:val="Normal"/>
    <w:pPr>
      <w:numPr>
        <w:numId w:val="2"/>
      </w:numPr>
      <w:tabs>
        <w:tab w:val="clear" w:pos="1778"/>
        <w:tab w:val="left" w:pos="1701"/>
      </w:tabs>
      <w:spacing w:after="140"/>
    </w:pPr>
  </w:style>
  <w:style w:type="paragraph" w:styleId="ListNumber">
    <w:name w:val="List Number"/>
    <w:basedOn w:val="Normal"/>
    <w:pPr>
      <w:spacing w:after="140"/>
    </w:pPr>
  </w:style>
  <w:style w:type="paragraph" w:styleId="Title">
    <w:name w:val="Title"/>
    <w:basedOn w:val="Heading1"/>
    <w:link w:val="TitleChar"/>
    <w:qFormat/>
    <w:rsid w:val="005F5A7D"/>
    <w:pPr>
      <w:spacing w:before="240" w:after="240"/>
    </w:pPr>
    <w:rPr>
      <w:sz w:val="40"/>
      <w:szCs w:val="40"/>
    </w:rPr>
  </w:style>
  <w:style w:type="character" w:styleId="FootnoteReference">
    <w:name w:val="footnote reference"/>
    <w:aliases w:val="stylish"/>
    <w:rPr>
      <w:vertAlign w:val="superscript"/>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FooterChar">
    <w:name w:val="Footer Char"/>
    <w:aliases w:val="Footer1 Char"/>
    <w:link w:val="Footer"/>
    <w:uiPriority w:val="99"/>
    <w:rsid w:val="00792C59"/>
    <w:rPr>
      <w:rFonts w:ascii="Arial" w:hAnsi="Arial"/>
    </w:rPr>
  </w:style>
  <w:style w:type="paragraph" w:customStyle="1" w:styleId="MediumGrid3-Accent51">
    <w:name w:val="Medium Grid 3 - Accent 51"/>
    <w:hidden/>
    <w:uiPriority w:val="99"/>
    <w:semiHidden/>
    <w:rsid w:val="005F611D"/>
    <w:rPr>
      <w:rFonts w:ascii="Arial" w:hAnsi="Arial"/>
    </w:rPr>
  </w:style>
  <w:style w:type="character" w:customStyle="1" w:styleId="Heading2Char">
    <w:name w:val="Heading 2 Char"/>
    <w:link w:val="Heading2"/>
    <w:rsid w:val="00712F74"/>
    <w:rPr>
      <w:rFonts w:ascii="Calibri" w:hAnsi="Calibri"/>
      <w:i/>
      <w:noProof/>
      <w:sz w:val="22"/>
      <w:szCs w:val="22"/>
    </w:rPr>
  </w:style>
  <w:style w:type="paragraph" w:customStyle="1" w:styleId="MediumList2-Accent21">
    <w:name w:val="Medium List 2 - Accent 21"/>
    <w:hidden/>
    <w:uiPriority w:val="99"/>
    <w:semiHidden/>
    <w:rsid w:val="006B39A6"/>
    <w:rPr>
      <w:rFonts w:ascii="Calibri" w:hAnsi="Calibri"/>
      <w:sz w:val="22"/>
    </w:rPr>
  </w:style>
  <w:style w:type="paragraph" w:customStyle="1" w:styleId="ColorfulShading-Accent11">
    <w:name w:val="Colorful Shading - Accent 11"/>
    <w:hidden/>
    <w:uiPriority w:val="71"/>
    <w:rsid w:val="001839C3"/>
    <w:rPr>
      <w:rFonts w:ascii="Calibri" w:hAnsi="Calibri"/>
      <w:sz w:val="22"/>
    </w:rPr>
  </w:style>
  <w:style w:type="paragraph" w:styleId="DocumentMap">
    <w:name w:val="Document Map"/>
    <w:basedOn w:val="Normal"/>
    <w:link w:val="DocumentMapChar"/>
    <w:rsid w:val="00202FE4"/>
    <w:rPr>
      <w:rFonts w:ascii="Lucida Grande" w:hAnsi="Lucida Grande" w:cs="Lucida Grande"/>
      <w:sz w:val="24"/>
      <w:szCs w:val="24"/>
    </w:rPr>
  </w:style>
  <w:style w:type="character" w:customStyle="1" w:styleId="DocumentMapChar">
    <w:name w:val="Document Map Char"/>
    <w:link w:val="DocumentMap"/>
    <w:rsid w:val="00202FE4"/>
    <w:rPr>
      <w:rFonts w:ascii="Lucida Grande" w:hAnsi="Lucida Grande" w:cs="Lucida Grande"/>
      <w:sz w:val="24"/>
      <w:szCs w:val="24"/>
      <w:lang w:eastAsia="en-GB"/>
    </w:rPr>
  </w:style>
  <w:style w:type="paragraph" w:customStyle="1" w:styleId="ColorfulList-Accent11">
    <w:name w:val="Colorful List - Accent 11"/>
    <w:basedOn w:val="Normal"/>
    <w:uiPriority w:val="34"/>
    <w:qFormat/>
    <w:rsid w:val="002458F4"/>
    <w:pPr>
      <w:tabs>
        <w:tab w:val="clear" w:pos="1418"/>
      </w:tabs>
      <w:ind w:left="720"/>
      <w:contextualSpacing/>
    </w:pPr>
    <w:rPr>
      <w:rFonts w:eastAsia="Calibri"/>
      <w:szCs w:val="22"/>
      <w:lang w:eastAsia="en-US"/>
    </w:rPr>
  </w:style>
  <w:style w:type="character" w:customStyle="1" w:styleId="CommentTextChar">
    <w:name w:val="Comment Text Char"/>
    <w:link w:val="CommentText"/>
    <w:uiPriority w:val="99"/>
    <w:rsid w:val="002458F4"/>
    <w:rPr>
      <w:rFonts w:ascii="Calibri" w:hAnsi="Calibri"/>
      <w:sz w:val="22"/>
      <w:lang w:eastAsia="en-GB"/>
    </w:rPr>
  </w:style>
  <w:style w:type="paragraph" w:styleId="ListParagraph">
    <w:name w:val="List Paragraph"/>
    <w:aliases w:val="Heading 2_sj,List Paragraph1,Listenabsatz1,_Bullet,Parágrafo da Lista,Normal bullet 2,Bullet list,Dot pt,Liststycke,No Spacing1,List Paragraph Char Char Char,Indicator Text,Numbered Para 1,Bullet 1,Bullet Points,MAIN CONTENT"/>
    <w:basedOn w:val="Normal"/>
    <w:link w:val="ListParagraphChar"/>
    <w:uiPriority w:val="34"/>
    <w:qFormat/>
    <w:rsid w:val="00A0550B"/>
    <w:pPr>
      <w:tabs>
        <w:tab w:val="clear" w:pos="1418"/>
      </w:tabs>
      <w:ind w:left="720"/>
      <w:contextualSpacing/>
    </w:pPr>
    <w:rPr>
      <w:rFonts w:eastAsia="Calibri"/>
      <w:szCs w:val="22"/>
      <w:lang w:eastAsia="en-US"/>
    </w:rPr>
  </w:style>
  <w:style w:type="character" w:customStyle="1" w:styleId="ListParagraphChar">
    <w:name w:val="List Paragraph Char"/>
    <w:aliases w:val="Heading 2_sj Char,List Paragraph1 Char,Listenabsatz1 Char,_Bullet Char,Parágrafo da Lista Char,Normal bullet 2 Char,Bullet list Char,Dot pt Char,Liststycke Char,No Spacing1 Char,List Paragraph Char Char Char Char,Indicator Text Char"/>
    <w:link w:val="ListParagraph"/>
    <w:uiPriority w:val="34"/>
    <w:qFormat/>
    <w:locked/>
    <w:rsid w:val="00A0550B"/>
    <w:rPr>
      <w:rFonts w:ascii="Calibri" w:eastAsia="Calibri" w:hAnsi="Calibri"/>
      <w:sz w:val="22"/>
      <w:szCs w:val="22"/>
      <w:lang w:eastAsia="en-US"/>
    </w:rPr>
  </w:style>
  <w:style w:type="character" w:customStyle="1" w:styleId="FootnoteTextChar">
    <w:name w:val="Footnote Text Char"/>
    <w:basedOn w:val="DefaultParagraphFont"/>
    <w:link w:val="FootnoteText"/>
    <w:rsid w:val="00925405"/>
    <w:rPr>
      <w:rFonts w:ascii="Arial" w:hAnsi="Arial"/>
      <w:noProof/>
      <w:sz w:val="16"/>
    </w:rPr>
  </w:style>
  <w:style w:type="character" w:customStyle="1" w:styleId="TitleChar">
    <w:name w:val="Title Char"/>
    <w:basedOn w:val="DefaultParagraphFont"/>
    <w:link w:val="Title"/>
    <w:rsid w:val="000A2DF1"/>
    <w:rPr>
      <w:rFonts w:ascii="Calibri" w:hAnsi="Calibri"/>
      <w:noProof/>
      <w:sz w:val="40"/>
      <w:szCs w:val="40"/>
    </w:rPr>
  </w:style>
  <w:style w:type="paragraph" w:customStyle="1" w:styleId="Docheader">
    <w:name w:val="Doc header"/>
    <w:basedOn w:val="Normal"/>
    <w:rsid w:val="00484650"/>
    <w:pPr>
      <w:tabs>
        <w:tab w:val="clear" w:pos="1418"/>
        <w:tab w:val="left" w:pos="567"/>
      </w:tabs>
      <w:spacing w:line="280" w:lineRule="exact"/>
    </w:pPr>
    <w:rPr>
      <w:rFonts w:ascii="Arial" w:hAnsi="Arial"/>
      <w:sz w:val="24"/>
      <w:lang w:val="en-US" w:eastAsia="en-US"/>
    </w:rPr>
  </w:style>
  <w:style w:type="paragraph" w:styleId="Revision">
    <w:name w:val="Revision"/>
    <w:hidden/>
    <w:uiPriority w:val="99"/>
    <w:semiHidden/>
    <w:rsid w:val="00B15081"/>
    <w:rPr>
      <w:rFonts w:ascii="Calibri" w:hAnsi="Calibri"/>
      <w:sz w:val="22"/>
    </w:rPr>
  </w:style>
  <w:style w:type="character" w:styleId="UnresolvedMention">
    <w:name w:val="Unresolved Mention"/>
    <w:basedOn w:val="DefaultParagraphFont"/>
    <w:uiPriority w:val="99"/>
    <w:semiHidden/>
    <w:unhideWhenUsed/>
    <w:rsid w:val="00161991"/>
    <w:rPr>
      <w:color w:val="605E5C"/>
      <w:shd w:val="clear" w:color="auto" w:fill="E1DFDD"/>
    </w:rPr>
  </w:style>
  <w:style w:type="character" w:customStyle="1" w:styleId="cf01">
    <w:name w:val="cf01"/>
    <w:basedOn w:val="DefaultParagraphFont"/>
    <w:rsid w:val="00DE29A2"/>
    <w:rPr>
      <w:rFonts w:ascii="Segoe UI" w:hAnsi="Segoe UI" w:cs="Segoe UI" w:hint="default"/>
      <w:sz w:val="18"/>
      <w:szCs w:val="18"/>
    </w:rPr>
  </w:style>
  <w:style w:type="character" w:customStyle="1" w:styleId="BodyTextChar">
    <w:name w:val="Body Text Char"/>
    <w:basedOn w:val="DefaultParagraphFont"/>
    <w:link w:val="BodyText"/>
    <w:rsid w:val="00185362"/>
    <w:rPr>
      <w:rFonts w:ascii="Calibri" w:hAnsi="Calibri"/>
      <w:sz w:val="22"/>
    </w:rPr>
  </w:style>
  <w:style w:type="character" w:styleId="Strong">
    <w:name w:val="Strong"/>
    <w:basedOn w:val="DefaultParagraphFont"/>
    <w:uiPriority w:val="22"/>
    <w:qFormat/>
    <w:rsid w:val="008B54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022598">
      <w:bodyDiv w:val="1"/>
      <w:marLeft w:val="0"/>
      <w:marRight w:val="0"/>
      <w:marTop w:val="0"/>
      <w:marBottom w:val="0"/>
      <w:divBdr>
        <w:top w:val="none" w:sz="0" w:space="0" w:color="auto"/>
        <w:left w:val="none" w:sz="0" w:space="0" w:color="auto"/>
        <w:bottom w:val="none" w:sz="0" w:space="0" w:color="auto"/>
        <w:right w:val="none" w:sz="0" w:space="0" w:color="auto"/>
      </w:divBdr>
    </w:div>
    <w:div w:id="197043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17CB0-5A97-465D-BE3E-EC3B459F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1244</Words>
  <Characters>7126</Characters>
  <Application>Microsoft Office Word</Application>
  <DocSecurity>0</DocSecurity>
  <Lines>59</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Agenda Item 1</vt:lpstr>
      <vt:lpstr>Agenda Item 1</vt:lpstr>
    </vt:vector>
  </TitlesOfParts>
  <Company>OSPAR</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1</dc:title>
  <dc:subject/>
  <dc:creator>Laura DeLaTorre</dc:creator>
  <cp:keywords/>
  <cp:lastModifiedBy>Barbara Middleton</cp:lastModifiedBy>
  <cp:revision>8</cp:revision>
  <cp:lastPrinted>2019-10-02T09:09:00Z</cp:lastPrinted>
  <dcterms:created xsi:type="dcterms:W3CDTF">2025-02-11T16:51:00Z</dcterms:created>
  <dcterms:modified xsi:type="dcterms:W3CDTF">2025-04-02T09:40:00Z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7e1ac800e3ec52162b5e7e55fd5c5c92f5dcb3ffd6fb2f5595a49f5f83fce1fc</vt:lpwstr>
  </property>
</Properties>
</file>