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24" w:type="dxa"/>
        <w:tblBorders>
          <w:bottom w:val="single" w:sz="4" w:space="0" w:color="auto"/>
        </w:tblBorders>
        <w:tblCellMar>
          <w:top w:w="85" w:type="dxa"/>
          <w:left w:w="0" w:type="dxa"/>
          <w:bottom w:w="85" w:type="dxa"/>
          <w:right w:w="0" w:type="dxa"/>
        </w:tblCellMar>
        <w:tblLook w:val="01E0" w:firstRow="1" w:lastRow="1" w:firstColumn="1" w:lastColumn="1" w:noHBand="0" w:noVBand="0"/>
      </w:tblPr>
      <w:tblGrid>
        <w:gridCol w:w="4049"/>
        <w:gridCol w:w="5675"/>
      </w:tblGrid>
      <w:tr w:rsidR="005E3467" w:rsidRPr="005E1A7D" w14:paraId="1407A65F" w14:textId="0E21F40A" w:rsidTr="00F83E97">
        <w:trPr>
          <w:trHeight w:val="329"/>
        </w:trPr>
        <w:tc>
          <w:tcPr>
            <w:tcW w:w="4049" w:type="dxa"/>
            <w:tcMar>
              <w:top w:w="0" w:type="dxa"/>
              <w:bottom w:w="0" w:type="dxa"/>
            </w:tcMar>
          </w:tcPr>
          <w:p w14:paraId="21BD171D" w14:textId="6FE1D148" w:rsidR="005E3467" w:rsidRPr="00456195" w:rsidRDefault="005E3467" w:rsidP="00E778D4">
            <w:pPr>
              <w:rPr>
                <w:rFonts w:ascii="Calibri" w:hAnsi="Calibri"/>
                <w:sz w:val="26"/>
                <w:szCs w:val="26"/>
              </w:rPr>
            </w:pPr>
            <w:bookmarkStart w:id="0" w:name="_Toc65047572"/>
            <w:bookmarkStart w:id="1" w:name="_Toc65047913"/>
            <w:r w:rsidRPr="00456195">
              <w:rPr>
                <w:rFonts w:ascii="Calibri" w:hAnsi="Calibri"/>
                <w:sz w:val="26"/>
                <w:szCs w:val="26"/>
              </w:rPr>
              <w:t xml:space="preserve">Agenda Item </w:t>
            </w:r>
            <w:r w:rsidR="00E65CA7">
              <w:rPr>
                <w:rFonts w:ascii="Calibri" w:hAnsi="Calibri"/>
                <w:sz w:val="26"/>
                <w:szCs w:val="26"/>
              </w:rPr>
              <w:t>8</w:t>
            </w:r>
            <w:r w:rsidR="008A0B9B">
              <w:rPr>
                <w:rFonts w:ascii="Calibri" w:hAnsi="Calibri"/>
                <w:sz w:val="26"/>
                <w:szCs w:val="26"/>
              </w:rPr>
              <w:t>.</w:t>
            </w:r>
            <w:r w:rsidR="00E65CA7">
              <w:rPr>
                <w:rFonts w:ascii="Calibri" w:hAnsi="Calibri"/>
                <w:sz w:val="26"/>
                <w:szCs w:val="26"/>
              </w:rPr>
              <w:t>1</w:t>
            </w:r>
          </w:p>
        </w:tc>
        <w:tc>
          <w:tcPr>
            <w:tcW w:w="5675" w:type="dxa"/>
            <w:tcMar>
              <w:top w:w="0" w:type="dxa"/>
              <w:bottom w:w="0" w:type="dxa"/>
            </w:tcMar>
          </w:tcPr>
          <w:p w14:paraId="3D161A9C" w14:textId="05D58497" w:rsidR="005E3467" w:rsidRPr="005E1A7D" w:rsidRDefault="00732026" w:rsidP="00E778D4">
            <w:pPr>
              <w:jc w:val="right"/>
              <w:rPr>
                <w:rFonts w:ascii="Calibri" w:hAnsi="Calibri"/>
                <w:sz w:val="26"/>
                <w:szCs w:val="26"/>
                <w:highlight w:val="yellow"/>
              </w:rPr>
            </w:pPr>
            <w:proofErr w:type="gramStart"/>
            <w:r w:rsidRPr="008A0B9B">
              <w:rPr>
                <w:sz w:val="26"/>
                <w:szCs w:val="26"/>
              </w:rPr>
              <w:t>CoG(</w:t>
            </w:r>
            <w:proofErr w:type="gramEnd"/>
            <w:r w:rsidR="009867DD" w:rsidRPr="008A0B9B">
              <w:rPr>
                <w:sz w:val="26"/>
                <w:szCs w:val="26"/>
              </w:rPr>
              <w:t>1</w:t>
            </w:r>
            <w:r w:rsidRPr="008A0B9B">
              <w:rPr>
                <w:sz w:val="26"/>
                <w:szCs w:val="26"/>
              </w:rPr>
              <w:t xml:space="preserve">) </w:t>
            </w:r>
            <w:r w:rsidR="00132581" w:rsidRPr="008A0B9B">
              <w:rPr>
                <w:rFonts w:ascii="Calibri" w:hAnsi="Calibri"/>
                <w:sz w:val="26"/>
                <w:szCs w:val="26"/>
              </w:rPr>
              <w:t>2</w:t>
            </w:r>
            <w:r w:rsidR="009867DD" w:rsidRPr="008A0B9B">
              <w:rPr>
                <w:rFonts w:ascii="Calibri" w:hAnsi="Calibri"/>
                <w:sz w:val="26"/>
                <w:szCs w:val="26"/>
              </w:rPr>
              <w:t>4</w:t>
            </w:r>
            <w:r w:rsidR="00C67EDA" w:rsidRPr="008A0B9B">
              <w:rPr>
                <w:rFonts w:ascii="Calibri" w:hAnsi="Calibri"/>
                <w:sz w:val="26"/>
                <w:szCs w:val="26"/>
              </w:rPr>
              <w:t>/</w:t>
            </w:r>
            <w:r w:rsidR="008A0B9B" w:rsidRPr="008A0B9B">
              <w:rPr>
                <w:rFonts w:ascii="Calibri" w:hAnsi="Calibri"/>
                <w:sz w:val="26"/>
                <w:szCs w:val="26"/>
              </w:rPr>
              <w:t>0</w:t>
            </w:r>
            <w:r w:rsidR="00E65CA7">
              <w:rPr>
                <w:rFonts w:ascii="Calibri" w:hAnsi="Calibri"/>
                <w:sz w:val="26"/>
                <w:szCs w:val="26"/>
              </w:rPr>
              <w:t>8</w:t>
            </w:r>
            <w:r w:rsidR="00456195" w:rsidRPr="008A0B9B">
              <w:rPr>
                <w:rFonts w:ascii="Calibri" w:hAnsi="Calibri"/>
                <w:sz w:val="26"/>
                <w:szCs w:val="26"/>
              </w:rPr>
              <w:t>/</w:t>
            </w:r>
            <w:r w:rsidR="008A0B9B" w:rsidRPr="008A0B9B">
              <w:rPr>
                <w:rFonts w:ascii="Calibri" w:hAnsi="Calibri"/>
                <w:sz w:val="26"/>
                <w:szCs w:val="26"/>
              </w:rPr>
              <w:t>0</w:t>
            </w:r>
            <w:r w:rsidR="00E65CA7">
              <w:rPr>
                <w:rFonts w:ascii="Calibri" w:hAnsi="Calibri"/>
                <w:sz w:val="26"/>
                <w:szCs w:val="26"/>
              </w:rPr>
              <w:t>1, Annex 7</w:t>
            </w:r>
          </w:p>
        </w:tc>
      </w:tr>
      <w:tr w:rsidR="005E3467" w:rsidRPr="001361C6" w14:paraId="2C66CBB2" w14:textId="010D9927" w:rsidTr="00F83E97">
        <w:trPr>
          <w:trHeight w:val="226"/>
        </w:trPr>
        <w:tc>
          <w:tcPr>
            <w:tcW w:w="9724" w:type="dxa"/>
            <w:gridSpan w:val="2"/>
            <w:tcMar>
              <w:top w:w="0" w:type="dxa"/>
              <w:bottom w:w="0" w:type="dxa"/>
            </w:tcMar>
          </w:tcPr>
          <w:p w14:paraId="048639DF" w14:textId="4321C19E" w:rsidR="005E3467" w:rsidRPr="00456195" w:rsidRDefault="005E3467" w:rsidP="00E778D4">
            <w:pPr>
              <w:pStyle w:val="Docheader"/>
              <w:spacing w:line="276" w:lineRule="auto"/>
              <w:rPr>
                <w:rFonts w:ascii="Calibri" w:hAnsi="Calibri"/>
                <w:i/>
                <w:sz w:val="26"/>
                <w:szCs w:val="26"/>
                <w:lang w:val="en-GB"/>
              </w:rPr>
            </w:pPr>
            <w:r w:rsidRPr="00456195">
              <w:rPr>
                <w:rFonts w:ascii="Calibri" w:hAnsi="Calibri"/>
                <w:sz w:val="26"/>
                <w:szCs w:val="26"/>
                <w:lang w:val="en-GB"/>
              </w:rPr>
              <w:t>OSPAR Convention for the Protection of the Marine Environment of the North-East Atlantic</w:t>
            </w:r>
          </w:p>
        </w:tc>
      </w:tr>
      <w:tr w:rsidR="00EF7C1D" w:rsidRPr="009867DD" w14:paraId="1D13CFAC" w14:textId="7A71F03F" w:rsidTr="00F83E97">
        <w:trPr>
          <w:trHeight w:val="226"/>
        </w:trPr>
        <w:tc>
          <w:tcPr>
            <w:tcW w:w="9724" w:type="dxa"/>
            <w:gridSpan w:val="2"/>
            <w:tcMar>
              <w:top w:w="0" w:type="dxa"/>
              <w:bottom w:w="0" w:type="dxa"/>
            </w:tcMar>
          </w:tcPr>
          <w:p w14:paraId="06829540" w14:textId="359951F4" w:rsidR="00732026" w:rsidRPr="00732026" w:rsidRDefault="00732026" w:rsidP="00732026">
            <w:pPr>
              <w:pStyle w:val="Docheader"/>
              <w:rPr>
                <w:rFonts w:ascii="Calibri" w:hAnsi="Calibri"/>
                <w:sz w:val="26"/>
                <w:szCs w:val="26"/>
                <w:lang w:val="en-GB"/>
              </w:rPr>
            </w:pPr>
            <w:r w:rsidRPr="00732026">
              <w:rPr>
                <w:rFonts w:ascii="Calibri" w:hAnsi="Calibri"/>
                <w:sz w:val="26"/>
                <w:szCs w:val="26"/>
                <w:lang w:val="en-GB"/>
              </w:rPr>
              <w:t>Meeting of the Coordination Group (CoG)</w:t>
            </w:r>
          </w:p>
          <w:p w14:paraId="4D359EA4" w14:textId="04689213" w:rsidR="00E778D4" w:rsidRPr="00456195" w:rsidRDefault="009867DD" w:rsidP="00732026">
            <w:pPr>
              <w:pStyle w:val="Docheader"/>
              <w:spacing w:line="276" w:lineRule="auto"/>
              <w:rPr>
                <w:rFonts w:ascii="Calibri" w:hAnsi="Calibri"/>
                <w:sz w:val="26"/>
                <w:szCs w:val="26"/>
                <w:lang w:val="en-GB"/>
              </w:rPr>
            </w:pPr>
            <w:r w:rsidRPr="009867DD">
              <w:rPr>
                <w:rFonts w:ascii="Calibri" w:hAnsi="Calibri"/>
                <w:sz w:val="26"/>
                <w:szCs w:val="26"/>
                <w:lang w:val="en-GB"/>
              </w:rPr>
              <w:t>London (United Kingdom): 14-15 May 2024</w:t>
            </w:r>
          </w:p>
        </w:tc>
      </w:tr>
      <w:bookmarkEnd w:id="0"/>
      <w:bookmarkEnd w:id="1"/>
    </w:tbl>
    <w:p w14:paraId="7A1A5069" w14:textId="77777777" w:rsidR="008C64D9" w:rsidRDefault="008C64D9" w:rsidP="00332BDB">
      <w:pPr>
        <w:pStyle w:val="ListParagraph"/>
        <w:numPr>
          <w:ilvl w:val="0"/>
          <w:numId w:val="0"/>
        </w:numPr>
      </w:pPr>
    </w:p>
    <w:p w14:paraId="6B61E7F0" w14:textId="45E80490" w:rsidR="00671D09" w:rsidRDefault="00671D09" w:rsidP="00671D09">
      <w:pPr>
        <w:rPr>
          <w:sz w:val="32"/>
          <w:szCs w:val="32"/>
        </w:rPr>
      </w:pPr>
      <w:r w:rsidRPr="0043041A">
        <w:rPr>
          <w:sz w:val="32"/>
          <w:szCs w:val="32"/>
        </w:rPr>
        <w:t>202</w:t>
      </w:r>
      <w:r>
        <w:rPr>
          <w:sz w:val="32"/>
          <w:szCs w:val="32"/>
        </w:rPr>
        <w:t>4</w:t>
      </w:r>
      <w:r w:rsidRPr="0043041A">
        <w:rPr>
          <w:sz w:val="32"/>
          <w:szCs w:val="32"/>
        </w:rPr>
        <w:t>-202</w:t>
      </w:r>
      <w:r>
        <w:rPr>
          <w:sz w:val="32"/>
          <w:szCs w:val="32"/>
        </w:rPr>
        <w:t>7</w:t>
      </w:r>
      <w:r w:rsidRPr="0043041A">
        <w:rPr>
          <w:sz w:val="32"/>
          <w:szCs w:val="32"/>
        </w:rPr>
        <w:t xml:space="preserve"> Terms of Reference for the Intersessional Correspondence Group on Managing the Delivery of the</w:t>
      </w:r>
      <w:r>
        <w:rPr>
          <w:sz w:val="32"/>
          <w:szCs w:val="32"/>
        </w:rPr>
        <w:t xml:space="preserve"> next Assessment</w:t>
      </w:r>
      <w:r w:rsidRPr="0043041A">
        <w:rPr>
          <w:sz w:val="32"/>
          <w:szCs w:val="32"/>
        </w:rPr>
        <w:t xml:space="preserve"> (ICG-QSR)</w:t>
      </w:r>
    </w:p>
    <w:p w14:paraId="260BDF2B" w14:textId="77777777" w:rsidR="00671D09" w:rsidRDefault="00671D09" w:rsidP="00671D09">
      <w:pPr>
        <w:rPr>
          <w:sz w:val="28"/>
          <w:szCs w:val="28"/>
        </w:rPr>
      </w:pPr>
    </w:p>
    <w:p w14:paraId="307D4D90" w14:textId="77777777" w:rsidR="00671D09" w:rsidRDefault="00671D09" w:rsidP="00671D09">
      <w:pPr>
        <w:rPr>
          <w:sz w:val="28"/>
          <w:szCs w:val="28"/>
        </w:rPr>
      </w:pPr>
      <w:r w:rsidRPr="0043041A">
        <w:rPr>
          <w:sz w:val="28"/>
          <w:szCs w:val="28"/>
        </w:rPr>
        <w:t>Background</w:t>
      </w:r>
    </w:p>
    <w:p w14:paraId="52155817" w14:textId="77777777" w:rsidR="00671D09" w:rsidRPr="0043041A" w:rsidRDefault="00671D09" w:rsidP="00671D09">
      <w:pPr>
        <w:pStyle w:val="ListParagraph"/>
        <w:numPr>
          <w:ilvl w:val="0"/>
          <w:numId w:val="32"/>
        </w:numPr>
        <w:tabs>
          <w:tab w:val="clear" w:pos="567"/>
        </w:tabs>
        <w:spacing w:before="0" w:after="200"/>
      </w:pPr>
      <w:r w:rsidRPr="0043041A">
        <w:t xml:space="preserve">Article 6 of the OSPAR Convention </w:t>
      </w:r>
      <w:r>
        <w:t>requires Contracting Parties to undertake and publish at regular intervals joint assessments of the quality status of the marine environment and of its development, including an evaluation of the effectiveness of the measures taken and planned for the protection of the marine environment and the identification of priorities for action.</w:t>
      </w:r>
    </w:p>
    <w:p w14:paraId="17E14ED6" w14:textId="77777777" w:rsidR="00671D09" w:rsidRDefault="00671D09" w:rsidP="00671D09">
      <w:pPr>
        <w:pStyle w:val="ListParagraph"/>
        <w:numPr>
          <w:ilvl w:val="0"/>
          <w:numId w:val="32"/>
        </w:numPr>
        <w:tabs>
          <w:tab w:val="clear" w:pos="567"/>
        </w:tabs>
        <w:spacing w:before="0" w:after="200"/>
      </w:pPr>
      <w:r>
        <w:t xml:space="preserve">OSPAR’s </w:t>
      </w:r>
      <w:hyperlink r:id="rId8" w:history="1">
        <w:r w:rsidRPr="005E5B09">
          <w:rPr>
            <w:rStyle w:val="Hyperlink"/>
          </w:rPr>
          <w:t>Quality Status Report 2023</w:t>
        </w:r>
      </w:hyperlink>
      <w:r>
        <w:t xml:space="preserve"> was published in September 2023, made up of a hierarchy of assessments including an overall synthesis report, thematic assessments, indicator and other assessments and data from OSPAR’s data and information management system. It is OSPAR’s </w:t>
      </w:r>
      <w:r w:rsidRPr="005E5B09">
        <w:t>most authoritative assessment yet of the state of the marine environment of the North-East Atlantic.</w:t>
      </w:r>
    </w:p>
    <w:p w14:paraId="399A3179" w14:textId="77777777" w:rsidR="00671D09" w:rsidRPr="00BA2878" w:rsidRDefault="00671D09" w:rsidP="00671D09">
      <w:pPr>
        <w:pStyle w:val="ListParagraph"/>
        <w:numPr>
          <w:ilvl w:val="0"/>
          <w:numId w:val="32"/>
        </w:numPr>
        <w:tabs>
          <w:tab w:val="clear" w:pos="567"/>
        </w:tabs>
        <w:spacing w:before="0" w:after="200"/>
      </w:pPr>
      <w:r>
        <w:t xml:space="preserve">Initial feedback was collected from experts involved in the QSR 2023 during the 2022-2023 intersessional period. </w:t>
      </w:r>
      <w:r w:rsidRPr="00BA2878">
        <w:t xml:space="preserve">There is a need to continue collecting feedback in a structured way </w:t>
      </w:r>
      <w:proofErr w:type="gramStart"/>
      <w:r w:rsidRPr="00BA2878">
        <w:t>in order to</w:t>
      </w:r>
      <w:proofErr w:type="gramEnd"/>
      <w:r w:rsidRPr="00BA2878">
        <w:t xml:space="preserve"> extract conclusions and lessons learnt.</w:t>
      </w:r>
    </w:p>
    <w:p w14:paraId="6B68BE9A" w14:textId="13F6DCD4" w:rsidR="00671D09" w:rsidRPr="005E5B09" w:rsidRDefault="00671D09" w:rsidP="00671D09">
      <w:pPr>
        <w:pStyle w:val="ListParagraph"/>
        <w:numPr>
          <w:ilvl w:val="0"/>
          <w:numId w:val="32"/>
        </w:numPr>
        <w:tabs>
          <w:tab w:val="clear" w:pos="567"/>
        </w:tabs>
        <w:spacing w:before="0" w:after="200"/>
      </w:pPr>
      <w:r>
        <w:t xml:space="preserve">The 2023 OSPAR Commission meeting agreed </w:t>
      </w:r>
      <w:r w:rsidRPr="005E5B09">
        <w:t>to publish its next assessment.</w:t>
      </w:r>
      <w:r>
        <w:t xml:space="preserve"> This is designed to align with the next cycle of the EU’s Marine Strategy Framework Directive (MSFD) and review progress in implementing OSPAR’s North-East Atlantic Environment Strategy 2030 (NEAES 2030).</w:t>
      </w:r>
    </w:p>
    <w:p w14:paraId="2C651D5F" w14:textId="77777777" w:rsidR="00671D09" w:rsidRPr="00342865" w:rsidRDefault="00671D09" w:rsidP="00671D09">
      <w:pPr>
        <w:ind w:left="360"/>
        <w:rPr>
          <w:sz w:val="28"/>
          <w:szCs w:val="28"/>
        </w:rPr>
      </w:pPr>
      <w:r w:rsidRPr="00342865">
        <w:rPr>
          <w:sz w:val="28"/>
          <w:szCs w:val="28"/>
        </w:rPr>
        <w:t>Objectives</w:t>
      </w:r>
    </w:p>
    <w:p w14:paraId="3E249011" w14:textId="25FCCE50" w:rsidR="00671D09" w:rsidRDefault="00671D09" w:rsidP="00671D09">
      <w:pPr>
        <w:pStyle w:val="ListParagraph"/>
        <w:numPr>
          <w:ilvl w:val="0"/>
          <w:numId w:val="32"/>
        </w:numPr>
        <w:tabs>
          <w:tab w:val="clear" w:pos="567"/>
        </w:tabs>
        <w:spacing w:before="0" w:after="200"/>
      </w:pPr>
      <w:r>
        <w:t>ICG-QSR will be guided by the following objectives during the 2024-2027 intersessional period:</w:t>
      </w:r>
    </w:p>
    <w:p w14:paraId="1BB7ABC1" w14:textId="4B9DA9D7" w:rsidR="00671D09" w:rsidRDefault="00671D09" w:rsidP="00671D09">
      <w:pPr>
        <w:pStyle w:val="ListParagraph"/>
        <w:numPr>
          <w:ilvl w:val="0"/>
          <w:numId w:val="33"/>
        </w:numPr>
        <w:tabs>
          <w:tab w:val="clear" w:pos="567"/>
        </w:tabs>
        <w:spacing w:before="0" w:after="200"/>
      </w:pPr>
      <w:r>
        <w:t>address</w:t>
      </w:r>
      <w:r w:rsidR="00190E74">
        <w:t xml:space="preserve"> and apply</w:t>
      </w:r>
      <w:r>
        <w:t xml:space="preserve"> the lessons learnt from the QSR </w:t>
      </w:r>
      <w:proofErr w:type="gramStart"/>
      <w:r>
        <w:t>2023;</w:t>
      </w:r>
      <w:proofErr w:type="gramEnd"/>
    </w:p>
    <w:p w14:paraId="7044BAD7" w14:textId="77777777" w:rsidR="00671D09" w:rsidRPr="005A45C0" w:rsidRDefault="00671D09" w:rsidP="00671D09">
      <w:pPr>
        <w:pStyle w:val="ListParagraph"/>
        <w:numPr>
          <w:ilvl w:val="0"/>
          <w:numId w:val="33"/>
        </w:numPr>
        <w:tabs>
          <w:tab w:val="clear" w:pos="567"/>
        </w:tabs>
        <w:spacing w:before="0" w:after="200"/>
      </w:pPr>
      <w:r>
        <w:t xml:space="preserve">contribute to the update and revision of the OSPAR Joint Assessment and Monitoring Programme (JAMP) for </w:t>
      </w:r>
      <w:r w:rsidRPr="005A45C0">
        <w:t xml:space="preserve">the period 2024 – </w:t>
      </w:r>
      <w:proofErr w:type="gramStart"/>
      <w:r w:rsidRPr="005A45C0">
        <w:t>2028;</w:t>
      </w:r>
      <w:proofErr w:type="gramEnd"/>
    </w:p>
    <w:p w14:paraId="17C0BEFF" w14:textId="7C12A666" w:rsidR="00671D09" w:rsidRDefault="00671D09" w:rsidP="00671D09">
      <w:pPr>
        <w:pStyle w:val="ListParagraph"/>
        <w:numPr>
          <w:ilvl w:val="0"/>
          <w:numId w:val="33"/>
        </w:numPr>
        <w:tabs>
          <w:tab w:val="clear" w:pos="567"/>
        </w:tabs>
        <w:spacing w:before="0" w:after="200"/>
      </w:pPr>
      <w:r>
        <w:t xml:space="preserve">continue to </w:t>
      </w:r>
      <w:proofErr w:type="gramStart"/>
      <w:r>
        <w:t>develop  the</w:t>
      </w:r>
      <w:proofErr w:type="gramEnd"/>
      <w:r>
        <w:t xml:space="preserve"> next assessment;</w:t>
      </w:r>
    </w:p>
    <w:p w14:paraId="586BFDE6" w14:textId="728682B9" w:rsidR="00671D09" w:rsidRDefault="00671D09" w:rsidP="00671D09">
      <w:pPr>
        <w:pStyle w:val="ListParagraph"/>
        <w:numPr>
          <w:ilvl w:val="0"/>
          <w:numId w:val="33"/>
        </w:numPr>
        <w:tabs>
          <w:tab w:val="clear" w:pos="567"/>
        </w:tabs>
        <w:spacing w:before="0" w:after="200"/>
      </w:pPr>
      <w:r>
        <w:t xml:space="preserve">review and update the timeline, guidance products and </w:t>
      </w:r>
      <w:proofErr w:type="gramStart"/>
      <w:r>
        <w:t>templates;</w:t>
      </w:r>
      <w:proofErr w:type="gramEnd"/>
    </w:p>
    <w:p w14:paraId="41F84269" w14:textId="77777777" w:rsidR="00671D09" w:rsidRDefault="00671D09" w:rsidP="00671D09">
      <w:pPr>
        <w:pStyle w:val="ListParagraph"/>
        <w:numPr>
          <w:ilvl w:val="0"/>
          <w:numId w:val="33"/>
        </w:numPr>
        <w:tabs>
          <w:tab w:val="clear" w:pos="567"/>
        </w:tabs>
        <w:spacing w:before="0" w:after="200"/>
      </w:pPr>
      <w:r>
        <w:t xml:space="preserve">ensure regular communication between all actors involved in the development of the next assessment, in particular their role and linkages between </w:t>
      </w:r>
      <w:proofErr w:type="gramStart"/>
      <w:r>
        <w:t>them;</w:t>
      </w:r>
      <w:proofErr w:type="gramEnd"/>
    </w:p>
    <w:p w14:paraId="6C189886" w14:textId="77777777" w:rsidR="00671D09" w:rsidRDefault="00671D09" w:rsidP="00671D09">
      <w:pPr>
        <w:pStyle w:val="ListParagraph"/>
        <w:numPr>
          <w:ilvl w:val="0"/>
          <w:numId w:val="33"/>
        </w:numPr>
        <w:tabs>
          <w:tab w:val="clear" w:pos="567"/>
        </w:tabs>
        <w:spacing w:before="0" w:after="200"/>
      </w:pPr>
      <w:r>
        <w:lastRenderedPageBreak/>
        <w:t xml:space="preserve">communicate structure and purpose of the next </w:t>
      </w:r>
      <w:proofErr w:type="gramStart"/>
      <w:r>
        <w:t>assessment;</w:t>
      </w:r>
      <w:proofErr w:type="gramEnd"/>
      <w:r>
        <w:t xml:space="preserve"> </w:t>
      </w:r>
    </w:p>
    <w:p w14:paraId="06A0397B" w14:textId="77777777" w:rsidR="00671D09" w:rsidRDefault="00671D09" w:rsidP="00671D09">
      <w:pPr>
        <w:pStyle w:val="ListParagraph"/>
        <w:numPr>
          <w:ilvl w:val="0"/>
          <w:numId w:val="33"/>
        </w:numPr>
        <w:tabs>
          <w:tab w:val="clear" w:pos="567"/>
        </w:tabs>
        <w:spacing w:before="0" w:after="200"/>
      </w:pPr>
      <w:r>
        <w:t xml:space="preserve">prepare for quality control and review of assessment </w:t>
      </w:r>
      <w:proofErr w:type="gramStart"/>
      <w:r>
        <w:t>products;</w:t>
      </w:r>
      <w:proofErr w:type="gramEnd"/>
    </w:p>
    <w:p w14:paraId="4BC9CD45" w14:textId="2D51F429" w:rsidR="00671D09" w:rsidRDefault="00671D09" w:rsidP="00671D09">
      <w:pPr>
        <w:pStyle w:val="ListParagraph"/>
        <w:numPr>
          <w:ilvl w:val="0"/>
          <w:numId w:val="33"/>
        </w:numPr>
        <w:tabs>
          <w:tab w:val="clear" w:pos="567"/>
        </w:tabs>
        <w:spacing w:before="0" w:after="200"/>
      </w:pPr>
      <w:r>
        <w:t>provide programme management oversight for the next assessment; and</w:t>
      </w:r>
    </w:p>
    <w:p w14:paraId="5370277F" w14:textId="7549225B" w:rsidR="00671D09" w:rsidRPr="00A404EF" w:rsidRDefault="00671D09" w:rsidP="00A404EF">
      <w:pPr>
        <w:pStyle w:val="ListParagraph"/>
        <w:numPr>
          <w:ilvl w:val="0"/>
          <w:numId w:val="33"/>
        </w:numPr>
        <w:tabs>
          <w:tab w:val="clear" w:pos="567"/>
        </w:tabs>
        <w:spacing w:before="0" w:after="200"/>
      </w:pPr>
      <w:r>
        <w:t>when requested, provide</w:t>
      </w:r>
      <w:r w:rsidRPr="00257D5F">
        <w:t xml:space="preserve"> advice on monitoring and assessment</w:t>
      </w:r>
      <w:r>
        <w:t>.</w:t>
      </w:r>
    </w:p>
    <w:p w14:paraId="10A81CA4" w14:textId="77777777" w:rsidR="00671D09" w:rsidRPr="00342865" w:rsidRDefault="00671D09" w:rsidP="00671D09">
      <w:pPr>
        <w:ind w:left="426"/>
        <w:rPr>
          <w:sz w:val="28"/>
          <w:szCs w:val="28"/>
        </w:rPr>
      </w:pPr>
      <w:r w:rsidRPr="00342865">
        <w:rPr>
          <w:sz w:val="28"/>
          <w:szCs w:val="28"/>
        </w:rPr>
        <w:t>Scope of work</w:t>
      </w:r>
    </w:p>
    <w:p w14:paraId="1C5F6977" w14:textId="75F8DDA4" w:rsidR="00671D09" w:rsidRPr="0043041A" w:rsidRDefault="00671D09" w:rsidP="00671D09">
      <w:pPr>
        <w:pStyle w:val="ListParagraph"/>
        <w:numPr>
          <w:ilvl w:val="0"/>
          <w:numId w:val="32"/>
        </w:numPr>
        <w:tabs>
          <w:tab w:val="clear" w:pos="567"/>
        </w:tabs>
        <w:spacing w:before="0" w:after="200"/>
      </w:pPr>
      <w:r>
        <w:t xml:space="preserve">ICG-QSR will continue to address the feedback already provided by experts and others involved in the QSR 2023 process, and continue </w:t>
      </w:r>
      <w:proofErr w:type="gramStart"/>
      <w:r>
        <w:t>to  consider</w:t>
      </w:r>
      <w:proofErr w:type="gramEnd"/>
      <w:r>
        <w:t xml:space="preserve"> what improvements can be made to the next assessment processes.</w:t>
      </w:r>
    </w:p>
    <w:p w14:paraId="135DC251" w14:textId="675BE1F3" w:rsidR="00671D09" w:rsidRDefault="00671D09" w:rsidP="00671D09">
      <w:pPr>
        <w:pStyle w:val="ListParagraph"/>
        <w:numPr>
          <w:ilvl w:val="0"/>
          <w:numId w:val="32"/>
        </w:numPr>
        <w:tabs>
          <w:tab w:val="clear" w:pos="567"/>
        </w:tabs>
        <w:spacing w:before="0" w:after="200"/>
      </w:pPr>
      <w:r>
        <w:t>ICG-QSR will contribute to a proposal for an updated JAMP, based on a draft to be produced by the Secretariat, taking account of the discussion at OSPAR 2024 and other feedback.</w:t>
      </w:r>
    </w:p>
    <w:p w14:paraId="0EF446DD" w14:textId="4AF80D67" w:rsidR="00671D09" w:rsidRDefault="00671D09" w:rsidP="00671D09">
      <w:pPr>
        <w:pStyle w:val="ListParagraph"/>
        <w:numPr>
          <w:ilvl w:val="0"/>
          <w:numId w:val="32"/>
        </w:numPr>
        <w:tabs>
          <w:tab w:val="clear" w:pos="567"/>
        </w:tabs>
        <w:spacing w:before="0" w:after="200"/>
      </w:pPr>
      <w:r>
        <w:t>ICG-QSR will develop options and recommendations on the scope of the next assessment for consideration by CoG. This will take account of the need to review and potentially update the NEAES 2030, needs of EU Member States to report under the MSFD, as well as the resources and capacity of Contracting Parties.</w:t>
      </w:r>
    </w:p>
    <w:p w14:paraId="4C4F50EB" w14:textId="2927185D" w:rsidR="00671D09" w:rsidRPr="0043041A" w:rsidRDefault="00671D09" w:rsidP="00671D09">
      <w:pPr>
        <w:pStyle w:val="ListParagraph"/>
        <w:numPr>
          <w:ilvl w:val="0"/>
          <w:numId w:val="32"/>
        </w:numPr>
        <w:tabs>
          <w:tab w:val="clear" w:pos="567"/>
        </w:tabs>
        <w:spacing w:before="0" w:after="200"/>
      </w:pPr>
      <w:r>
        <w:t xml:space="preserve">ICG-QSR will develop and maintain a plan for the delivery of the next assessment setting out key milestones and deliverables, and an indication of resources.   </w:t>
      </w:r>
    </w:p>
    <w:p w14:paraId="19E02FE6" w14:textId="7E821270" w:rsidR="00671D09" w:rsidRDefault="00671D09" w:rsidP="00671D09">
      <w:pPr>
        <w:pStyle w:val="ListParagraph"/>
        <w:numPr>
          <w:ilvl w:val="0"/>
          <w:numId w:val="32"/>
        </w:numPr>
        <w:tabs>
          <w:tab w:val="clear" w:pos="567"/>
        </w:tabs>
        <w:spacing w:before="0" w:after="200"/>
      </w:pPr>
      <w:r>
        <w:t xml:space="preserve">ICG-QSR will provide programme management </w:t>
      </w:r>
      <w:r w:rsidRPr="00FA4999">
        <w:t xml:space="preserve">oversight of the next </w:t>
      </w:r>
      <w:proofErr w:type="gramStart"/>
      <w:r w:rsidRPr="00FA4999">
        <w:t>assessment, and</w:t>
      </w:r>
      <w:proofErr w:type="gramEnd"/>
      <w:r w:rsidRPr="00FA4999">
        <w:t xml:space="preserve"> will have the mandate to guide the Committees in delivery of products</w:t>
      </w:r>
      <w:r w:rsidRPr="00421460">
        <w:t xml:space="preserve"> and assessments to the </w:t>
      </w:r>
      <w:r>
        <w:t xml:space="preserve">required </w:t>
      </w:r>
      <w:r w:rsidRPr="00421460">
        <w:t>format and standard</w:t>
      </w:r>
      <w:r>
        <w:t>. It will, as far as practicable, make use of guidance and processes developed under the QSR 2023, while making any appropriate improvements and adjustments identified through the lessons learnt exercise.</w:t>
      </w:r>
    </w:p>
    <w:p w14:paraId="489A4CF1" w14:textId="77777777" w:rsidR="00671D09" w:rsidRDefault="00671D09" w:rsidP="00671D09">
      <w:pPr>
        <w:pStyle w:val="ListParagraph"/>
        <w:numPr>
          <w:ilvl w:val="0"/>
          <w:numId w:val="32"/>
        </w:numPr>
        <w:tabs>
          <w:tab w:val="clear" w:pos="567"/>
        </w:tabs>
        <w:spacing w:before="0" w:after="200"/>
      </w:pPr>
      <w:r>
        <w:t>ICG-QSR will provide a forum to coordinate general advice on monitoring and assessment where an OSPAR-wide view is required.</w:t>
      </w:r>
    </w:p>
    <w:p w14:paraId="628690D7" w14:textId="27ADE283" w:rsidR="00671D09" w:rsidRPr="00186AA0" w:rsidRDefault="00671D09" w:rsidP="00671D09">
      <w:pPr>
        <w:ind w:left="360"/>
        <w:rPr>
          <w:sz w:val="28"/>
          <w:szCs w:val="28"/>
        </w:rPr>
      </w:pPr>
      <w:r w:rsidRPr="00186AA0">
        <w:rPr>
          <w:sz w:val="28"/>
          <w:szCs w:val="28"/>
        </w:rPr>
        <w:t>Deliverables in 2024</w:t>
      </w:r>
      <w:r>
        <w:rPr>
          <w:sz w:val="28"/>
          <w:szCs w:val="28"/>
        </w:rPr>
        <w:t>-</w:t>
      </w:r>
      <w:r w:rsidRPr="00186AA0">
        <w:rPr>
          <w:sz w:val="28"/>
          <w:szCs w:val="28"/>
        </w:rPr>
        <w:t>202</w:t>
      </w:r>
      <w:r>
        <w:rPr>
          <w:sz w:val="28"/>
          <w:szCs w:val="28"/>
        </w:rPr>
        <w:t>7</w:t>
      </w:r>
    </w:p>
    <w:p w14:paraId="5F6F7965" w14:textId="79324F56" w:rsidR="00671D09" w:rsidRDefault="00671D09" w:rsidP="00671D09">
      <w:pPr>
        <w:pStyle w:val="ListParagraph"/>
        <w:numPr>
          <w:ilvl w:val="0"/>
          <w:numId w:val="32"/>
        </w:numPr>
        <w:tabs>
          <w:tab w:val="clear" w:pos="567"/>
        </w:tabs>
        <w:spacing w:before="0" w:after="200"/>
      </w:pPr>
      <w:r>
        <w:t>ICG-QSR will be responsible for the following deliverables in the 2024-2027 meeting cycles:</w:t>
      </w:r>
    </w:p>
    <w:p w14:paraId="52910A1B" w14:textId="1A1A85AA" w:rsidR="00671D09" w:rsidRPr="000028EC" w:rsidRDefault="00671D09" w:rsidP="00671D09">
      <w:pPr>
        <w:pStyle w:val="ListParagraph"/>
        <w:numPr>
          <w:ilvl w:val="0"/>
          <w:numId w:val="34"/>
        </w:numPr>
        <w:tabs>
          <w:tab w:val="clear" w:pos="567"/>
        </w:tabs>
        <w:spacing w:before="0" w:after="200"/>
      </w:pPr>
      <w:r>
        <w:t>Implement the l</w:t>
      </w:r>
      <w:r w:rsidRPr="000028EC">
        <w:t>esson</w:t>
      </w:r>
      <w:r w:rsidR="000A5FB5">
        <w:t>s</w:t>
      </w:r>
      <w:r w:rsidRPr="000028EC">
        <w:t xml:space="preserve"> learnt </w:t>
      </w:r>
      <w:r>
        <w:t xml:space="preserve">from the QSR </w:t>
      </w:r>
      <w:r w:rsidRPr="000028EC">
        <w:t>questionnaire</w:t>
      </w:r>
      <w:r>
        <w:t xml:space="preserve"> in the next </w:t>
      </w:r>
      <w:proofErr w:type="gramStart"/>
      <w:r>
        <w:t>assessment</w:t>
      </w:r>
      <w:r w:rsidRPr="000028EC">
        <w:t>;</w:t>
      </w:r>
      <w:proofErr w:type="gramEnd"/>
    </w:p>
    <w:p w14:paraId="213D95A9" w14:textId="06868222" w:rsidR="00671D09" w:rsidRPr="000028EC" w:rsidRDefault="00671D09" w:rsidP="00671D09">
      <w:pPr>
        <w:pStyle w:val="ListParagraph"/>
        <w:numPr>
          <w:ilvl w:val="0"/>
          <w:numId w:val="34"/>
        </w:numPr>
        <w:tabs>
          <w:tab w:val="clear" w:pos="567"/>
        </w:tabs>
        <w:spacing w:before="0" w:after="200"/>
      </w:pPr>
      <w:r w:rsidRPr="000028EC">
        <w:t xml:space="preserve">Recommendations on scope of the </w:t>
      </w:r>
      <w:r>
        <w:t>next</w:t>
      </w:r>
      <w:r w:rsidRPr="000028EC">
        <w:t xml:space="preserve"> assessment and plan for its delivery – by </w:t>
      </w:r>
      <w:proofErr w:type="gramStart"/>
      <w:r w:rsidRPr="000028EC">
        <w:t>CoG(</w:t>
      </w:r>
      <w:proofErr w:type="gramEnd"/>
      <w:r w:rsidRPr="000028EC">
        <w:t>1) 2024;</w:t>
      </w:r>
    </w:p>
    <w:p w14:paraId="52A344CB" w14:textId="1060DD65" w:rsidR="00671D09" w:rsidRPr="000028EC" w:rsidDel="00F63D77" w:rsidRDefault="00671D09" w:rsidP="00671D09">
      <w:pPr>
        <w:pStyle w:val="ListParagraph"/>
        <w:numPr>
          <w:ilvl w:val="0"/>
          <w:numId w:val="34"/>
        </w:numPr>
        <w:tabs>
          <w:tab w:val="clear" w:pos="567"/>
        </w:tabs>
        <w:spacing w:before="0" w:after="200"/>
      </w:pPr>
      <w:r>
        <w:t>Promote the implementation of the revised</w:t>
      </w:r>
      <w:r w:rsidRPr="000028EC" w:rsidDel="00F63D77">
        <w:t xml:space="preserve"> JAMP </w:t>
      </w:r>
      <w:r>
        <w:t xml:space="preserve">by ensuring monitoring standards (CEMP guidelines) are in </w:t>
      </w:r>
      <w:proofErr w:type="gramStart"/>
      <w:r>
        <w:t>place;</w:t>
      </w:r>
      <w:proofErr w:type="gramEnd"/>
    </w:p>
    <w:p w14:paraId="5C92F5C3" w14:textId="6F1A20BE" w:rsidR="00671D09" w:rsidRDefault="00671D09" w:rsidP="00671D09">
      <w:pPr>
        <w:pStyle w:val="ListParagraph"/>
        <w:numPr>
          <w:ilvl w:val="0"/>
          <w:numId w:val="34"/>
        </w:numPr>
        <w:tabs>
          <w:tab w:val="clear" w:pos="567"/>
        </w:tabs>
        <w:spacing w:before="0" w:after="200"/>
      </w:pPr>
      <w:r w:rsidRPr="000028EC">
        <w:t xml:space="preserve">Report on lessons learnt - by </w:t>
      </w:r>
      <w:proofErr w:type="gramStart"/>
      <w:r w:rsidRPr="000028EC">
        <w:t>CoG(</w:t>
      </w:r>
      <w:proofErr w:type="gramEnd"/>
      <w:r>
        <w:t>1</w:t>
      </w:r>
      <w:r w:rsidRPr="000028EC">
        <w:t>) 2024;</w:t>
      </w:r>
      <w:r>
        <w:t xml:space="preserve"> </w:t>
      </w:r>
    </w:p>
    <w:p w14:paraId="0CEB27C3" w14:textId="5866FA94" w:rsidR="00671D09" w:rsidRDefault="00671D09" w:rsidP="00671D09">
      <w:pPr>
        <w:pStyle w:val="ListParagraph"/>
        <w:numPr>
          <w:ilvl w:val="0"/>
          <w:numId w:val="34"/>
        </w:numPr>
        <w:tabs>
          <w:tab w:val="clear" w:pos="567"/>
        </w:tabs>
        <w:spacing w:before="0" w:after="200"/>
      </w:pPr>
      <w:r w:rsidRPr="000028EC">
        <w:t xml:space="preserve">Programme management for Committees to deliver the </w:t>
      </w:r>
      <w:r>
        <w:t>next</w:t>
      </w:r>
      <w:r w:rsidRPr="000028EC">
        <w:t xml:space="preserve"> assessment and guidance products– by </w:t>
      </w:r>
      <w:proofErr w:type="gramStart"/>
      <w:r w:rsidRPr="000028EC">
        <w:t>CoG(</w:t>
      </w:r>
      <w:proofErr w:type="gramEnd"/>
      <w:r w:rsidRPr="000028EC">
        <w:t>2) 2024</w:t>
      </w:r>
      <w:r w:rsidR="000A5FB5">
        <w:t xml:space="preserve">. This includes assessment templates and overarching </w:t>
      </w:r>
      <w:proofErr w:type="gramStart"/>
      <w:r w:rsidR="000A5FB5">
        <w:t>timelines</w:t>
      </w:r>
      <w:r>
        <w:t>;</w:t>
      </w:r>
      <w:proofErr w:type="gramEnd"/>
      <w:r>
        <w:t xml:space="preserve"> </w:t>
      </w:r>
    </w:p>
    <w:p w14:paraId="3449BC44" w14:textId="39104ACF" w:rsidR="00E01B5F" w:rsidRDefault="00E01B5F" w:rsidP="00E01B5F">
      <w:pPr>
        <w:pStyle w:val="ListParagraph"/>
        <w:numPr>
          <w:ilvl w:val="0"/>
          <w:numId w:val="34"/>
        </w:numPr>
        <w:tabs>
          <w:tab w:val="clear" w:pos="567"/>
        </w:tabs>
        <w:spacing w:before="0" w:after="200"/>
      </w:pPr>
      <w:r>
        <w:lastRenderedPageBreak/>
        <w:t xml:space="preserve">Promote the use and update of the OSPAR Science Agenda for future </w:t>
      </w:r>
      <w:proofErr w:type="gramStart"/>
      <w:r>
        <w:t>assessments;</w:t>
      </w:r>
      <w:proofErr w:type="gramEnd"/>
    </w:p>
    <w:p w14:paraId="1B0A66F8" w14:textId="72DA76FE" w:rsidR="002D5839" w:rsidRDefault="002D5839" w:rsidP="00671D09">
      <w:pPr>
        <w:pStyle w:val="ListParagraph"/>
        <w:numPr>
          <w:ilvl w:val="0"/>
          <w:numId w:val="34"/>
        </w:numPr>
        <w:tabs>
          <w:tab w:val="clear" w:pos="567"/>
        </w:tabs>
        <w:spacing w:before="0" w:after="200"/>
      </w:pPr>
      <w:r>
        <w:t xml:space="preserve">Reach out to ICGS and expert groups to inform them on the structure and purpose of the next assessment, and inform them on wider work in OSPAR to promote timely linkage of groups where </w:t>
      </w:r>
      <w:proofErr w:type="gramStart"/>
      <w:r>
        <w:t>relevant;</w:t>
      </w:r>
      <w:proofErr w:type="gramEnd"/>
    </w:p>
    <w:p w14:paraId="34612939" w14:textId="599498F5" w:rsidR="00671D09" w:rsidRDefault="00671D09" w:rsidP="00671D09">
      <w:pPr>
        <w:pStyle w:val="ListParagraph"/>
        <w:numPr>
          <w:ilvl w:val="0"/>
          <w:numId w:val="34"/>
        </w:numPr>
        <w:tabs>
          <w:tab w:val="clear" w:pos="567"/>
        </w:tabs>
        <w:spacing w:before="0" w:after="200"/>
      </w:pPr>
      <w:r>
        <w:t xml:space="preserve">Support dialogue and knowledge exchange with other actors, such as European Commission and Regional Seas Conventions, particularly </w:t>
      </w:r>
      <w:proofErr w:type="gramStart"/>
      <w:r>
        <w:t>with regard to</w:t>
      </w:r>
      <w:proofErr w:type="gramEnd"/>
      <w:r>
        <w:t xml:space="preserve"> the next MSFD cycle and other assessments; and</w:t>
      </w:r>
    </w:p>
    <w:p w14:paraId="01F5A74A" w14:textId="60C03D15" w:rsidR="002D5839" w:rsidRDefault="002D5839" w:rsidP="00671D09">
      <w:pPr>
        <w:pStyle w:val="ListParagraph"/>
        <w:numPr>
          <w:ilvl w:val="0"/>
          <w:numId w:val="34"/>
        </w:numPr>
        <w:tabs>
          <w:tab w:val="clear" w:pos="567"/>
        </w:tabs>
        <w:spacing w:before="0" w:after="200"/>
      </w:pPr>
      <w:r>
        <w:t>Prepare a procedure that allows ICG-QSR to perform quality control and review assessments for e.g. coherence</w:t>
      </w:r>
      <w:r w:rsidR="00E01B5F">
        <w:t>.</w:t>
      </w:r>
    </w:p>
    <w:p w14:paraId="12728458" w14:textId="77777777" w:rsidR="00671D09" w:rsidRPr="00C945BF" w:rsidRDefault="00671D09" w:rsidP="00671D09">
      <w:pPr>
        <w:ind w:left="426"/>
        <w:rPr>
          <w:sz w:val="28"/>
          <w:szCs w:val="28"/>
        </w:rPr>
      </w:pPr>
      <w:r w:rsidRPr="00C945BF">
        <w:rPr>
          <w:sz w:val="28"/>
          <w:szCs w:val="28"/>
        </w:rPr>
        <w:t>Working procedures</w:t>
      </w:r>
    </w:p>
    <w:p w14:paraId="4E4BD8A5" w14:textId="77777777" w:rsidR="00671D09" w:rsidRDefault="00671D09" w:rsidP="00671D09">
      <w:pPr>
        <w:pStyle w:val="ListParagraph"/>
        <w:numPr>
          <w:ilvl w:val="0"/>
          <w:numId w:val="32"/>
        </w:numPr>
        <w:tabs>
          <w:tab w:val="clear" w:pos="567"/>
        </w:tabs>
        <w:spacing w:before="0" w:after="200"/>
      </w:pPr>
      <w:r w:rsidRPr="00C945BF">
        <w:t>ICG-QSR will report to the Coordination Group</w:t>
      </w:r>
      <w:r>
        <w:t>.</w:t>
      </w:r>
    </w:p>
    <w:p w14:paraId="4EC30004" w14:textId="2589AFD7" w:rsidR="00671D09" w:rsidRPr="009010BC" w:rsidRDefault="00671D09" w:rsidP="00671D09">
      <w:pPr>
        <w:pStyle w:val="ListParagraph"/>
        <w:numPr>
          <w:ilvl w:val="0"/>
          <w:numId w:val="32"/>
        </w:numPr>
        <w:tabs>
          <w:tab w:val="clear" w:pos="567"/>
        </w:tabs>
        <w:spacing w:before="0" w:after="200"/>
      </w:pPr>
      <w:r w:rsidRPr="009010BC">
        <w:t>ICG-QSR will work through correspondence</w:t>
      </w:r>
      <w:r>
        <w:t xml:space="preserve"> and on-line meetings.  It may hold up to two in-person meetings each year</w:t>
      </w:r>
      <w:r w:rsidRPr="009010BC">
        <w:t xml:space="preserve"> in accordance with the ongoing workload. The number of these meetings is likely to increase as the activity required </w:t>
      </w:r>
      <w:proofErr w:type="gramStart"/>
      <w:r w:rsidRPr="009010BC">
        <w:t>for the production of</w:t>
      </w:r>
      <w:proofErr w:type="gramEnd"/>
      <w:r w:rsidRPr="009010BC">
        <w:t xml:space="preserve"> </w:t>
      </w:r>
      <w:r>
        <w:t>the</w:t>
      </w:r>
      <w:r w:rsidRPr="009010BC">
        <w:t xml:space="preserve"> </w:t>
      </w:r>
      <w:r>
        <w:t xml:space="preserve">next assessment </w:t>
      </w:r>
      <w:r w:rsidRPr="009010BC">
        <w:t>advances and ramps up.</w:t>
      </w:r>
    </w:p>
    <w:p w14:paraId="29E47DA2" w14:textId="77777777" w:rsidR="00671D09" w:rsidRDefault="00671D09" w:rsidP="00671D09">
      <w:pPr>
        <w:pStyle w:val="ListParagraph"/>
        <w:numPr>
          <w:ilvl w:val="0"/>
          <w:numId w:val="32"/>
        </w:numPr>
        <w:tabs>
          <w:tab w:val="clear" w:pos="567"/>
        </w:tabs>
        <w:spacing w:before="0" w:after="200"/>
      </w:pPr>
      <w:r>
        <w:t>ICG-QSR will be supported by the Secretariat</w:t>
      </w:r>
      <w:r w:rsidRPr="009010BC">
        <w:t>.</w:t>
      </w:r>
    </w:p>
    <w:p w14:paraId="3DB48412" w14:textId="77777777" w:rsidR="00671D09" w:rsidRPr="00C945BF" w:rsidRDefault="00671D09" w:rsidP="00671D09">
      <w:pPr>
        <w:ind w:left="360"/>
        <w:rPr>
          <w:sz w:val="28"/>
          <w:szCs w:val="28"/>
        </w:rPr>
      </w:pPr>
      <w:r w:rsidRPr="00C945BF">
        <w:rPr>
          <w:sz w:val="28"/>
          <w:szCs w:val="28"/>
        </w:rPr>
        <w:t>Co-convenors and participation</w:t>
      </w:r>
    </w:p>
    <w:p w14:paraId="513B86AC" w14:textId="77777777" w:rsidR="00671D09" w:rsidRDefault="00671D09" w:rsidP="00671D09">
      <w:pPr>
        <w:pStyle w:val="ListParagraph"/>
        <w:numPr>
          <w:ilvl w:val="0"/>
          <w:numId w:val="32"/>
        </w:numPr>
        <w:tabs>
          <w:tab w:val="clear" w:pos="567"/>
        </w:tabs>
        <w:spacing w:before="0" w:after="200"/>
      </w:pPr>
      <w:r>
        <w:t>ICG-QSR will be convened by Patrick Roose (Belgium) and another co-convenor TBD.</w:t>
      </w:r>
    </w:p>
    <w:p w14:paraId="73AA500B" w14:textId="77777777" w:rsidR="00671D09" w:rsidRDefault="00671D09" w:rsidP="00671D09">
      <w:pPr>
        <w:pStyle w:val="ListParagraph"/>
        <w:numPr>
          <w:ilvl w:val="0"/>
          <w:numId w:val="32"/>
        </w:numPr>
        <w:tabs>
          <w:tab w:val="clear" w:pos="567"/>
        </w:tabs>
        <w:spacing w:before="0" w:after="200"/>
      </w:pPr>
      <w:r w:rsidRPr="00C945BF">
        <w:t xml:space="preserve">Participation is open to all Contracting Parties and Observers in accordance with the OSPAR Rules of Procedure. In addition, OSPAR Committee Chairs, Working Group Chairs, and ICG Convenors will be encouraged to attend ICG QSR meetings, as required. They will be copied in on ICG-QSR proceeding to keep them informed of progress and issues. </w:t>
      </w:r>
    </w:p>
    <w:p w14:paraId="67CDB4D9" w14:textId="77777777" w:rsidR="00671D09" w:rsidRPr="00C945BF" w:rsidRDefault="00671D09" w:rsidP="00671D09">
      <w:pPr>
        <w:pStyle w:val="ListParagraph"/>
        <w:numPr>
          <w:ilvl w:val="0"/>
          <w:numId w:val="32"/>
        </w:numPr>
        <w:tabs>
          <w:tab w:val="clear" w:pos="567"/>
        </w:tabs>
        <w:spacing w:before="0" w:after="200"/>
      </w:pPr>
      <w:r w:rsidRPr="00C945BF">
        <w:t>All Contracting Parties are encouraged to engage in ICG-QSR</w:t>
      </w:r>
      <w:r>
        <w:t xml:space="preserve"> from the beginning of the process</w:t>
      </w:r>
      <w:r w:rsidRPr="00C945BF">
        <w:t>.</w:t>
      </w:r>
    </w:p>
    <w:p w14:paraId="323D0E7F" w14:textId="77777777" w:rsidR="00671D09" w:rsidRDefault="00671D09" w:rsidP="00332BDB">
      <w:pPr>
        <w:pStyle w:val="ListParagraph"/>
        <w:numPr>
          <w:ilvl w:val="0"/>
          <w:numId w:val="0"/>
        </w:numPr>
      </w:pPr>
    </w:p>
    <w:p w14:paraId="3433E3C4" w14:textId="77777777" w:rsidR="008C64D9" w:rsidRDefault="008C64D9" w:rsidP="00332BDB">
      <w:pPr>
        <w:pStyle w:val="ListParagraph"/>
        <w:numPr>
          <w:ilvl w:val="0"/>
          <w:numId w:val="0"/>
        </w:numPr>
      </w:pPr>
    </w:p>
    <w:sectPr w:rsidR="008C64D9" w:rsidSect="00587A95">
      <w:headerReference w:type="even" r:id="rId9"/>
      <w:headerReference w:type="default" r:id="rId10"/>
      <w:footerReference w:type="even" r:id="rId11"/>
      <w:footerReference w:type="default" r:id="rId12"/>
      <w:pgSz w:w="11906" w:h="16838"/>
      <w:pgMar w:top="1134" w:right="1134" w:bottom="1134"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26808" w14:textId="77777777" w:rsidR="00052A3A" w:rsidRDefault="00052A3A">
      <w:pPr>
        <w:spacing w:after="0" w:line="240" w:lineRule="auto"/>
      </w:pPr>
      <w:r>
        <w:separator/>
      </w:r>
    </w:p>
  </w:endnote>
  <w:endnote w:type="continuationSeparator" w:id="0">
    <w:p w14:paraId="79DB8E00" w14:textId="77777777" w:rsidR="00052A3A" w:rsidRDefault="0005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D441C2" w:rsidRPr="005200B2" w14:paraId="5CE5E258" w14:textId="77777777" w:rsidTr="00644069">
      <w:trPr>
        <w:cantSplit/>
        <w:trHeight w:hRule="exact" w:val="284"/>
      </w:trPr>
      <w:tc>
        <w:tcPr>
          <w:tcW w:w="1699" w:type="pct"/>
          <w:tcBorders>
            <w:top w:val="single" w:sz="4" w:space="0" w:color="auto"/>
          </w:tcBorders>
        </w:tcPr>
        <w:p w14:paraId="711B918B"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1602" w:type="pct"/>
          <w:tcBorders>
            <w:top w:val="single" w:sz="4" w:space="0" w:color="auto"/>
          </w:tcBorders>
        </w:tcPr>
        <w:p w14:paraId="49AB7602" w14:textId="77777777" w:rsidR="00D441C2" w:rsidRPr="00FC1B75" w:rsidRDefault="00D441C2" w:rsidP="001A66C0">
          <w:pPr>
            <w:tabs>
              <w:tab w:val="left" w:pos="272"/>
              <w:tab w:val="center" w:pos="2281"/>
              <w:tab w:val="left" w:pos="4096"/>
            </w:tabs>
            <w:spacing w:after="0" w:line="240" w:lineRule="auto"/>
            <w:ind w:left="-675"/>
            <w:jc w:val="center"/>
            <w:rPr>
              <w:sz w:val="20"/>
            </w:rPr>
          </w:pPr>
          <w:r w:rsidRPr="00FC1B75">
            <w:rPr>
              <w:sz w:val="20"/>
            </w:rPr>
            <w:tab/>
          </w:r>
        </w:p>
      </w:tc>
      <w:tc>
        <w:tcPr>
          <w:tcW w:w="1699" w:type="pct"/>
          <w:tcBorders>
            <w:top w:val="single" w:sz="4" w:space="0" w:color="auto"/>
          </w:tcBorders>
        </w:tcPr>
        <w:p w14:paraId="51DB15F3" w14:textId="6D7BEF34" w:rsidR="00D441C2" w:rsidRPr="00FC1B75" w:rsidRDefault="00FF531D" w:rsidP="001A66C0">
          <w:pPr>
            <w:tabs>
              <w:tab w:val="left" w:pos="1292"/>
              <w:tab w:val="left" w:pos="1575"/>
            </w:tabs>
            <w:spacing w:after="0" w:line="240" w:lineRule="auto"/>
            <w:jc w:val="right"/>
            <w:rPr>
              <w:sz w:val="20"/>
            </w:rPr>
          </w:pPr>
          <w:proofErr w:type="gramStart"/>
          <w:r w:rsidRPr="008A0B9B">
            <w:rPr>
              <w:sz w:val="20"/>
            </w:rPr>
            <w:t>CoG(</w:t>
          </w:r>
          <w:proofErr w:type="gramEnd"/>
          <w:r w:rsidR="00A96702" w:rsidRPr="008A0B9B">
            <w:rPr>
              <w:sz w:val="20"/>
            </w:rPr>
            <w:t>1</w:t>
          </w:r>
          <w:r w:rsidRPr="008A0B9B">
            <w:rPr>
              <w:sz w:val="20"/>
            </w:rPr>
            <w:t>) 2</w:t>
          </w:r>
          <w:r w:rsidR="00A96702" w:rsidRPr="008A0B9B">
            <w:rPr>
              <w:sz w:val="20"/>
            </w:rPr>
            <w:t>4</w:t>
          </w:r>
          <w:r w:rsidR="00721602" w:rsidRPr="008A0B9B">
            <w:rPr>
              <w:sz w:val="20"/>
            </w:rPr>
            <w:t>/</w:t>
          </w:r>
          <w:r w:rsidR="008A0B9B" w:rsidRPr="008A0B9B">
            <w:rPr>
              <w:sz w:val="20"/>
            </w:rPr>
            <w:t>0</w:t>
          </w:r>
          <w:r w:rsidR="00E65CA7">
            <w:rPr>
              <w:sz w:val="20"/>
            </w:rPr>
            <w:t>8</w:t>
          </w:r>
          <w:r w:rsidR="00456195" w:rsidRPr="008A0B9B">
            <w:rPr>
              <w:sz w:val="20"/>
            </w:rPr>
            <w:t>/</w:t>
          </w:r>
          <w:r w:rsidR="008A0B9B" w:rsidRPr="008A0B9B">
            <w:rPr>
              <w:sz w:val="20"/>
            </w:rPr>
            <w:t>0</w:t>
          </w:r>
          <w:r w:rsidR="00E65CA7">
            <w:rPr>
              <w:sz w:val="20"/>
            </w:rPr>
            <w:t>1, Annex 7</w:t>
          </w:r>
        </w:p>
      </w:tc>
    </w:tr>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C6600" w14:textId="77777777" w:rsidR="00052A3A" w:rsidRDefault="00052A3A">
      <w:pPr>
        <w:spacing w:after="0" w:line="240" w:lineRule="auto"/>
      </w:pPr>
      <w:r>
        <w:separator/>
      </w:r>
    </w:p>
  </w:footnote>
  <w:footnote w:type="continuationSeparator" w:id="0">
    <w:p w14:paraId="0E3CFDFB" w14:textId="77777777" w:rsidR="00052A3A" w:rsidRDefault="0005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61A3EE2"/>
    <w:multiLevelType w:val="hybridMultilevel"/>
    <w:tmpl w:val="288CDE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E64546"/>
    <w:multiLevelType w:val="hybridMultilevel"/>
    <w:tmpl w:val="BF84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16B9F"/>
    <w:multiLevelType w:val="hybridMultilevel"/>
    <w:tmpl w:val="24C4C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9"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D2E1B"/>
    <w:multiLevelType w:val="hybridMultilevel"/>
    <w:tmpl w:val="E4BEE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041842">
    <w:abstractNumId w:val="28"/>
  </w:num>
  <w:num w:numId="2" w16cid:durableId="1577203518">
    <w:abstractNumId w:val="26"/>
  </w:num>
  <w:num w:numId="3" w16cid:durableId="1775056939">
    <w:abstractNumId w:val="18"/>
  </w:num>
  <w:num w:numId="4" w16cid:durableId="1120340384">
    <w:abstractNumId w:val="11"/>
  </w:num>
  <w:num w:numId="5" w16cid:durableId="1680503377">
    <w:abstractNumId w:val="29"/>
  </w:num>
  <w:num w:numId="6" w16cid:durableId="1537692044">
    <w:abstractNumId w:val="7"/>
  </w:num>
  <w:num w:numId="7" w16cid:durableId="900365357">
    <w:abstractNumId w:val="6"/>
  </w:num>
  <w:num w:numId="8" w16cid:durableId="707989655">
    <w:abstractNumId w:val="15"/>
  </w:num>
  <w:num w:numId="9" w16cid:durableId="1195459002">
    <w:abstractNumId w:val="25"/>
  </w:num>
  <w:num w:numId="10" w16cid:durableId="224417769">
    <w:abstractNumId w:val="12"/>
  </w:num>
  <w:num w:numId="11" w16cid:durableId="1424915345">
    <w:abstractNumId w:val="4"/>
  </w:num>
  <w:num w:numId="12" w16cid:durableId="799540626">
    <w:abstractNumId w:val="17"/>
  </w:num>
  <w:num w:numId="13" w16cid:durableId="2134319734">
    <w:abstractNumId w:val="23"/>
  </w:num>
  <w:num w:numId="14" w16cid:durableId="540484118">
    <w:abstractNumId w:val="22"/>
  </w:num>
  <w:num w:numId="15" w16cid:durableId="1302690109">
    <w:abstractNumId w:val="20"/>
  </w:num>
  <w:num w:numId="16" w16cid:durableId="416948179">
    <w:abstractNumId w:val="31"/>
  </w:num>
  <w:num w:numId="17" w16cid:durableId="647242856">
    <w:abstractNumId w:val="24"/>
  </w:num>
  <w:num w:numId="18" w16cid:durableId="1273785212">
    <w:abstractNumId w:val="8"/>
  </w:num>
  <w:num w:numId="19" w16cid:durableId="1854295772">
    <w:abstractNumId w:val="10"/>
  </w:num>
  <w:num w:numId="20" w16cid:durableId="230194214">
    <w:abstractNumId w:val="32"/>
  </w:num>
  <w:num w:numId="21" w16cid:durableId="768547967">
    <w:abstractNumId w:val="16"/>
  </w:num>
  <w:num w:numId="22" w16cid:durableId="437607372">
    <w:abstractNumId w:val="21"/>
  </w:num>
  <w:num w:numId="23" w16cid:durableId="1291477459">
    <w:abstractNumId w:val="0"/>
  </w:num>
  <w:num w:numId="24" w16cid:durableId="1039624673">
    <w:abstractNumId w:val="14"/>
  </w:num>
  <w:num w:numId="25" w16cid:durableId="312494286">
    <w:abstractNumId w:val="27"/>
  </w:num>
  <w:num w:numId="26" w16cid:durableId="1745451488">
    <w:abstractNumId w:val="5"/>
  </w:num>
  <w:num w:numId="27" w16cid:durableId="1614245435">
    <w:abstractNumId w:val="13"/>
  </w:num>
  <w:num w:numId="28" w16cid:durableId="173307286">
    <w:abstractNumId w:val="30"/>
  </w:num>
  <w:num w:numId="29" w16cid:durableId="1579711018">
    <w:abstractNumId w:val="1"/>
  </w:num>
  <w:num w:numId="30" w16cid:durableId="415975385">
    <w:abstractNumId w:val="9"/>
  </w:num>
  <w:num w:numId="31" w16cid:durableId="1034111741">
    <w:abstractNumId w:val="3"/>
  </w:num>
  <w:num w:numId="32" w16cid:durableId="1468477592">
    <w:abstractNumId w:val="33"/>
  </w:num>
  <w:num w:numId="33" w16cid:durableId="1218737105">
    <w:abstractNumId w:val="19"/>
  </w:num>
  <w:num w:numId="34" w16cid:durableId="126939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3172A"/>
    <w:rsid w:val="0005025E"/>
    <w:rsid w:val="00052A3A"/>
    <w:rsid w:val="000660C7"/>
    <w:rsid w:val="000729F6"/>
    <w:rsid w:val="00075671"/>
    <w:rsid w:val="00096A4E"/>
    <w:rsid w:val="000A3863"/>
    <w:rsid w:val="000A4371"/>
    <w:rsid w:val="000A49BE"/>
    <w:rsid w:val="000A5FB5"/>
    <w:rsid w:val="000B4BC4"/>
    <w:rsid w:val="000B7973"/>
    <w:rsid w:val="000E4C69"/>
    <w:rsid w:val="000F15FD"/>
    <w:rsid w:val="000F3490"/>
    <w:rsid w:val="00113DFB"/>
    <w:rsid w:val="001142E4"/>
    <w:rsid w:val="00116F99"/>
    <w:rsid w:val="00132581"/>
    <w:rsid w:val="001361C6"/>
    <w:rsid w:val="0015265A"/>
    <w:rsid w:val="00155E9B"/>
    <w:rsid w:val="001577D1"/>
    <w:rsid w:val="001706AF"/>
    <w:rsid w:val="00184048"/>
    <w:rsid w:val="00190E74"/>
    <w:rsid w:val="00192877"/>
    <w:rsid w:val="00195860"/>
    <w:rsid w:val="001A66C0"/>
    <w:rsid w:val="001B11E9"/>
    <w:rsid w:val="001D02DB"/>
    <w:rsid w:val="001D123C"/>
    <w:rsid w:val="001D7493"/>
    <w:rsid w:val="001E1EEB"/>
    <w:rsid w:val="001E565D"/>
    <w:rsid w:val="001E7695"/>
    <w:rsid w:val="001F2312"/>
    <w:rsid w:val="0022321D"/>
    <w:rsid w:val="00231122"/>
    <w:rsid w:val="002334BB"/>
    <w:rsid w:val="0025104B"/>
    <w:rsid w:val="002538DA"/>
    <w:rsid w:val="00267B5A"/>
    <w:rsid w:val="00272283"/>
    <w:rsid w:val="00272AB7"/>
    <w:rsid w:val="00274D90"/>
    <w:rsid w:val="00276D8C"/>
    <w:rsid w:val="0027765B"/>
    <w:rsid w:val="00281858"/>
    <w:rsid w:val="00284B4D"/>
    <w:rsid w:val="00285B5D"/>
    <w:rsid w:val="002A1220"/>
    <w:rsid w:val="002B6A57"/>
    <w:rsid w:val="002C0B9B"/>
    <w:rsid w:val="002D5839"/>
    <w:rsid w:val="002E5F22"/>
    <w:rsid w:val="002F21B1"/>
    <w:rsid w:val="003030D1"/>
    <w:rsid w:val="00310973"/>
    <w:rsid w:val="00314194"/>
    <w:rsid w:val="003157DC"/>
    <w:rsid w:val="003307C0"/>
    <w:rsid w:val="00332BDB"/>
    <w:rsid w:val="00333834"/>
    <w:rsid w:val="00344400"/>
    <w:rsid w:val="00346977"/>
    <w:rsid w:val="00350C6A"/>
    <w:rsid w:val="00377E09"/>
    <w:rsid w:val="003851F2"/>
    <w:rsid w:val="003A2734"/>
    <w:rsid w:val="003A54C0"/>
    <w:rsid w:val="003A64F1"/>
    <w:rsid w:val="003B3DBE"/>
    <w:rsid w:val="003C4DD5"/>
    <w:rsid w:val="003D7AD9"/>
    <w:rsid w:val="003E2C56"/>
    <w:rsid w:val="003E318E"/>
    <w:rsid w:val="003F2411"/>
    <w:rsid w:val="003F63DC"/>
    <w:rsid w:val="004052B8"/>
    <w:rsid w:val="00407C6B"/>
    <w:rsid w:val="0041389D"/>
    <w:rsid w:val="004178B9"/>
    <w:rsid w:val="00421F82"/>
    <w:rsid w:val="00431157"/>
    <w:rsid w:val="004434AD"/>
    <w:rsid w:val="00454A1F"/>
    <w:rsid w:val="00456195"/>
    <w:rsid w:val="00461B42"/>
    <w:rsid w:val="0046520E"/>
    <w:rsid w:val="0047154D"/>
    <w:rsid w:val="00476DA7"/>
    <w:rsid w:val="00494408"/>
    <w:rsid w:val="004B04CA"/>
    <w:rsid w:val="004B2FCB"/>
    <w:rsid w:val="004B7BC2"/>
    <w:rsid w:val="004C74DD"/>
    <w:rsid w:val="004E03EE"/>
    <w:rsid w:val="004E7EBD"/>
    <w:rsid w:val="004F4BE9"/>
    <w:rsid w:val="005176C6"/>
    <w:rsid w:val="005364BE"/>
    <w:rsid w:val="005810E5"/>
    <w:rsid w:val="00586BCA"/>
    <w:rsid w:val="00587A95"/>
    <w:rsid w:val="005945BD"/>
    <w:rsid w:val="005966EC"/>
    <w:rsid w:val="005A4F19"/>
    <w:rsid w:val="005B2177"/>
    <w:rsid w:val="005C3BF0"/>
    <w:rsid w:val="005D1842"/>
    <w:rsid w:val="005D2865"/>
    <w:rsid w:val="005E1A7D"/>
    <w:rsid w:val="005E31D5"/>
    <w:rsid w:val="005E3467"/>
    <w:rsid w:val="005E704B"/>
    <w:rsid w:val="005F2B25"/>
    <w:rsid w:val="005F2F9F"/>
    <w:rsid w:val="00604A5A"/>
    <w:rsid w:val="00614F56"/>
    <w:rsid w:val="00617E69"/>
    <w:rsid w:val="00623B28"/>
    <w:rsid w:val="00644069"/>
    <w:rsid w:val="006454D2"/>
    <w:rsid w:val="006545C9"/>
    <w:rsid w:val="00656054"/>
    <w:rsid w:val="00671D09"/>
    <w:rsid w:val="00672EC6"/>
    <w:rsid w:val="00675CBC"/>
    <w:rsid w:val="00677333"/>
    <w:rsid w:val="006820A8"/>
    <w:rsid w:val="006A6627"/>
    <w:rsid w:val="006C7A3B"/>
    <w:rsid w:val="006D632F"/>
    <w:rsid w:val="006F35D1"/>
    <w:rsid w:val="00702BB6"/>
    <w:rsid w:val="00710B3A"/>
    <w:rsid w:val="00721602"/>
    <w:rsid w:val="00732026"/>
    <w:rsid w:val="007453B3"/>
    <w:rsid w:val="00751FDB"/>
    <w:rsid w:val="00753A2F"/>
    <w:rsid w:val="00764604"/>
    <w:rsid w:val="00764BA7"/>
    <w:rsid w:val="00767659"/>
    <w:rsid w:val="00767890"/>
    <w:rsid w:val="007730A7"/>
    <w:rsid w:val="00782F01"/>
    <w:rsid w:val="007860B9"/>
    <w:rsid w:val="00786C3D"/>
    <w:rsid w:val="007C46E6"/>
    <w:rsid w:val="007D2F4D"/>
    <w:rsid w:val="007E5094"/>
    <w:rsid w:val="007F2512"/>
    <w:rsid w:val="00814B8B"/>
    <w:rsid w:val="008165BC"/>
    <w:rsid w:val="00817CC8"/>
    <w:rsid w:val="008228A1"/>
    <w:rsid w:val="00827B57"/>
    <w:rsid w:val="00840459"/>
    <w:rsid w:val="0084274F"/>
    <w:rsid w:val="008434DA"/>
    <w:rsid w:val="00843564"/>
    <w:rsid w:val="008463A4"/>
    <w:rsid w:val="00882D21"/>
    <w:rsid w:val="00885AF2"/>
    <w:rsid w:val="00897F80"/>
    <w:rsid w:val="008A0B9B"/>
    <w:rsid w:val="008A6952"/>
    <w:rsid w:val="008C4FF3"/>
    <w:rsid w:val="008C64D9"/>
    <w:rsid w:val="008D0BA6"/>
    <w:rsid w:val="008D5510"/>
    <w:rsid w:val="008E3F79"/>
    <w:rsid w:val="008E5E77"/>
    <w:rsid w:val="00915FEC"/>
    <w:rsid w:val="00922151"/>
    <w:rsid w:val="00922273"/>
    <w:rsid w:val="009248A2"/>
    <w:rsid w:val="00924F0E"/>
    <w:rsid w:val="009328A7"/>
    <w:rsid w:val="00963972"/>
    <w:rsid w:val="0096607F"/>
    <w:rsid w:val="00966D98"/>
    <w:rsid w:val="00967D1B"/>
    <w:rsid w:val="00974B1E"/>
    <w:rsid w:val="009751E8"/>
    <w:rsid w:val="0097550C"/>
    <w:rsid w:val="009867DD"/>
    <w:rsid w:val="009930DB"/>
    <w:rsid w:val="009957ED"/>
    <w:rsid w:val="009A6770"/>
    <w:rsid w:val="009C1F9C"/>
    <w:rsid w:val="009C6549"/>
    <w:rsid w:val="009C7FF6"/>
    <w:rsid w:val="009D0BED"/>
    <w:rsid w:val="009D71E1"/>
    <w:rsid w:val="009E0E53"/>
    <w:rsid w:val="009E48E5"/>
    <w:rsid w:val="009E4EF9"/>
    <w:rsid w:val="00A141BD"/>
    <w:rsid w:val="00A1575F"/>
    <w:rsid w:val="00A404EF"/>
    <w:rsid w:val="00A4424E"/>
    <w:rsid w:val="00A729A2"/>
    <w:rsid w:val="00A7546B"/>
    <w:rsid w:val="00A81963"/>
    <w:rsid w:val="00A8197C"/>
    <w:rsid w:val="00A8222E"/>
    <w:rsid w:val="00A96702"/>
    <w:rsid w:val="00A977E6"/>
    <w:rsid w:val="00AA21A1"/>
    <w:rsid w:val="00AA4DE0"/>
    <w:rsid w:val="00AB0D0F"/>
    <w:rsid w:val="00AC0C1E"/>
    <w:rsid w:val="00AC2B5A"/>
    <w:rsid w:val="00AD1CBE"/>
    <w:rsid w:val="00AE2EC9"/>
    <w:rsid w:val="00B1633D"/>
    <w:rsid w:val="00B226EE"/>
    <w:rsid w:val="00B227A4"/>
    <w:rsid w:val="00B2403A"/>
    <w:rsid w:val="00B250E8"/>
    <w:rsid w:val="00B36158"/>
    <w:rsid w:val="00B4417B"/>
    <w:rsid w:val="00B47C93"/>
    <w:rsid w:val="00B7223A"/>
    <w:rsid w:val="00B72EB4"/>
    <w:rsid w:val="00B8760A"/>
    <w:rsid w:val="00BB45BB"/>
    <w:rsid w:val="00BE0874"/>
    <w:rsid w:val="00BE6AF7"/>
    <w:rsid w:val="00BF1427"/>
    <w:rsid w:val="00BF75F9"/>
    <w:rsid w:val="00BF7BA3"/>
    <w:rsid w:val="00C065C9"/>
    <w:rsid w:val="00C11E88"/>
    <w:rsid w:val="00C152DD"/>
    <w:rsid w:val="00C24FA5"/>
    <w:rsid w:val="00C53438"/>
    <w:rsid w:val="00C67EDA"/>
    <w:rsid w:val="00C72440"/>
    <w:rsid w:val="00C745AE"/>
    <w:rsid w:val="00C80E3C"/>
    <w:rsid w:val="00C956E3"/>
    <w:rsid w:val="00C973BA"/>
    <w:rsid w:val="00CA2845"/>
    <w:rsid w:val="00CB65FB"/>
    <w:rsid w:val="00CC5CCF"/>
    <w:rsid w:val="00CC7F6B"/>
    <w:rsid w:val="00CE023A"/>
    <w:rsid w:val="00CF0971"/>
    <w:rsid w:val="00CF6E94"/>
    <w:rsid w:val="00D0065F"/>
    <w:rsid w:val="00D06AC0"/>
    <w:rsid w:val="00D314B9"/>
    <w:rsid w:val="00D441C2"/>
    <w:rsid w:val="00D445C1"/>
    <w:rsid w:val="00D47847"/>
    <w:rsid w:val="00D47BE7"/>
    <w:rsid w:val="00D52ACB"/>
    <w:rsid w:val="00D65421"/>
    <w:rsid w:val="00D70350"/>
    <w:rsid w:val="00D81B43"/>
    <w:rsid w:val="00D87E5D"/>
    <w:rsid w:val="00D93B77"/>
    <w:rsid w:val="00DB5BB9"/>
    <w:rsid w:val="00DE2228"/>
    <w:rsid w:val="00DF40A6"/>
    <w:rsid w:val="00E01B5F"/>
    <w:rsid w:val="00E0599B"/>
    <w:rsid w:val="00E14723"/>
    <w:rsid w:val="00E226CC"/>
    <w:rsid w:val="00E37072"/>
    <w:rsid w:val="00E46ABC"/>
    <w:rsid w:val="00E51BCB"/>
    <w:rsid w:val="00E54224"/>
    <w:rsid w:val="00E5589B"/>
    <w:rsid w:val="00E65CA7"/>
    <w:rsid w:val="00E778D4"/>
    <w:rsid w:val="00EA4552"/>
    <w:rsid w:val="00EB4BFE"/>
    <w:rsid w:val="00EC3990"/>
    <w:rsid w:val="00EC4F75"/>
    <w:rsid w:val="00EC7005"/>
    <w:rsid w:val="00EE0716"/>
    <w:rsid w:val="00EE2688"/>
    <w:rsid w:val="00EF0A7E"/>
    <w:rsid w:val="00EF3306"/>
    <w:rsid w:val="00EF3E92"/>
    <w:rsid w:val="00EF4D83"/>
    <w:rsid w:val="00EF7C1D"/>
    <w:rsid w:val="00EF7C64"/>
    <w:rsid w:val="00F31F57"/>
    <w:rsid w:val="00F32D8E"/>
    <w:rsid w:val="00F35BCA"/>
    <w:rsid w:val="00F4024B"/>
    <w:rsid w:val="00F451FF"/>
    <w:rsid w:val="00F51A09"/>
    <w:rsid w:val="00F74A86"/>
    <w:rsid w:val="00F766E6"/>
    <w:rsid w:val="00F83E97"/>
    <w:rsid w:val="00FA005A"/>
    <w:rsid w:val="00FB7A43"/>
    <w:rsid w:val="00FC1457"/>
    <w:rsid w:val="00FD4D09"/>
    <w:rsid w:val="00FF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3"/>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p.ospar.org/en/ospar-assessments/quality-status-reports/qsr-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Lucy Ritchie</cp:lastModifiedBy>
  <cp:revision>2</cp:revision>
  <cp:lastPrinted>2018-02-09T14:52:00Z</cp:lastPrinted>
  <dcterms:created xsi:type="dcterms:W3CDTF">2024-07-26T15:51:00Z</dcterms:created>
  <dcterms:modified xsi:type="dcterms:W3CDTF">2024-07-26T15:51:00Z</dcterms:modified>
</cp:coreProperties>
</file>