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3588" w14:textId="2195E7CE" w:rsidR="0000652A" w:rsidRDefault="0000652A" w:rsidP="005124D9">
      <w:pPr>
        <w:spacing w:after="0" w:line="240" w:lineRule="auto"/>
        <w:jc w:val="right"/>
        <w:rPr>
          <w:rFonts w:ascii="Calibri" w:eastAsia="Times New Roman" w:hAnsi="Calibri" w:cs="Times New Roman"/>
          <w:noProof/>
          <w:sz w:val="28"/>
          <w:szCs w:val="28"/>
        </w:rPr>
      </w:pPr>
      <w:r w:rsidRPr="00C41102">
        <w:rPr>
          <w:rFonts w:ascii="Calibri" w:eastAsia="Times New Roman" w:hAnsi="Calibri" w:cs="Times New Roman"/>
          <w:noProof/>
          <w:sz w:val="28"/>
          <w:szCs w:val="28"/>
        </w:rPr>
        <w:t xml:space="preserve">Annex </w:t>
      </w:r>
      <w:r w:rsidR="005124D9">
        <w:rPr>
          <w:rFonts w:ascii="Calibri" w:eastAsia="Times New Roman" w:hAnsi="Calibri" w:cs="Times New Roman"/>
          <w:noProof/>
          <w:sz w:val="28"/>
          <w:szCs w:val="28"/>
        </w:rPr>
        <w:t>8</w:t>
      </w:r>
    </w:p>
    <w:p w14:paraId="5A2DC5B2" w14:textId="22292C57" w:rsidR="005124D9" w:rsidRPr="00C41102" w:rsidRDefault="005124D9" w:rsidP="005124D9">
      <w:pPr>
        <w:spacing w:after="0" w:line="240" w:lineRule="auto"/>
        <w:jc w:val="right"/>
        <w:rPr>
          <w:rFonts w:ascii="Calibri" w:eastAsia="Times New Roman" w:hAnsi="Calibri" w:cs="Times New Roman"/>
          <w:noProof/>
          <w:sz w:val="28"/>
          <w:szCs w:val="28"/>
        </w:rPr>
      </w:pPr>
      <w:r>
        <w:rPr>
          <w:rFonts w:ascii="Calibri" w:eastAsia="Times New Roman" w:hAnsi="Calibri" w:cs="Times New Roman"/>
          <w:noProof/>
          <w:sz w:val="28"/>
          <w:szCs w:val="28"/>
        </w:rPr>
        <w:t xml:space="preserve">(Ref. </w:t>
      </w:r>
      <w:r>
        <w:rPr>
          <w:rFonts w:ascii="Calibri" w:eastAsia="Times New Roman" w:hAnsi="Calibri" w:cs="Calibri"/>
          <w:noProof/>
          <w:sz w:val="28"/>
          <w:szCs w:val="28"/>
        </w:rPr>
        <w:t>§</w:t>
      </w:r>
      <w:r>
        <w:rPr>
          <w:rFonts w:ascii="Calibri" w:eastAsia="Times New Roman" w:hAnsi="Calibri" w:cs="Times New Roman"/>
          <w:noProof/>
          <w:sz w:val="28"/>
          <w:szCs w:val="28"/>
        </w:rPr>
        <w:t xml:space="preserve"> </w:t>
      </w:r>
      <w:r w:rsidR="004D50F6">
        <w:rPr>
          <w:rFonts w:ascii="Calibri" w:eastAsia="Times New Roman" w:hAnsi="Calibri" w:cs="Times New Roman"/>
          <w:noProof/>
          <w:sz w:val="28"/>
          <w:szCs w:val="28"/>
        </w:rPr>
        <w:t>5.4</w:t>
      </w:r>
      <w:r>
        <w:rPr>
          <w:rFonts w:ascii="Calibri" w:eastAsia="Times New Roman" w:hAnsi="Calibri" w:cs="Times New Roman"/>
          <w:noProof/>
          <w:sz w:val="28"/>
          <w:szCs w:val="28"/>
        </w:rPr>
        <w:t>)</w:t>
      </w:r>
    </w:p>
    <w:tbl>
      <w:tblPr>
        <w:tblW w:w="9724" w:type="dxa"/>
        <w:tblCellMar>
          <w:top w:w="85" w:type="dxa"/>
          <w:left w:w="0" w:type="dxa"/>
          <w:bottom w:w="85" w:type="dxa"/>
          <w:right w:w="0" w:type="dxa"/>
        </w:tblCellMar>
        <w:tblLook w:val="01E0" w:firstRow="1" w:lastRow="1" w:firstColumn="1" w:lastColumn="1" w:noHBand="0" w:noVBand="0"/>
      </w:tblPr>
      <w:tblGrid>
        <w:gridCol w:w="9639"/>
        <w:gridCol w:w="85"/>
      </w:tblGrid>
      <w:tr w:rsidR="005124D9" w:rsidRPr="003D6163" w14:paraId="577ECE32" w14:textId="77777777" w:rsidTr="004D50F6">
        <w:trPr>
          <w:gridAfter w:val="1"/>
          <w:wAfter w:w="85" w:type="dxa"/>
          <w:trHeight w:val="284"/>
        </w:trPr>
        <w:tc>
          <w:tcPr>
            <w:tcW w:w="9639" w:type="dxa"/>
          </w:tcPr>
          <w:p w14:paraId="6B73E0AA" w14:textId="77777777" w:rsidR="005124D9" w:rsidRPr="003D6163" w:rsidRDefault="005124D9" w:rsidP="005124D9">
            <w:pPr>
              <w:spacing w:after="0"/>
              <w:rPr>
                <w:rFonts w:eastAsia="Cambria" w:cstheme="minorHAnsi"/>
                <w:i/>
                <w:sz w:val="26"/>
                <w:szCs w:val="26"/>
              </w:rPr>
            </w:pPr>
            <w:r w:rsidRPr="003D6163">
              <w:rPr>
                <w:rFonts w:eastAsia="Cambria" w:cstheme="minorHAnsi"/>
                <w:sz w:val="26"/>
                <w:szCs w:val="26"/>
              </w:rPr>
              <w:t>OSPAR Convention for the Protection of the Marine Environment of the North-East Atlantic</w:t>
            </w:r>
          </w:p>
        </w:tc>
      </w:tr>
      <w:tr w:rsidR="004D50F6" w:rsidRPr="000F69E2" w14:paraId="202F5372" w14:textId="77777777" w:rsidTr="004D50F6">
        <w:trPr>
          <w:trHeight w:val="284"/>
        </w:trPr>
        <w:tc>
          <w:tcPr>
            <w:tcW w:w="9724" w:type="dxa"/>
            <w:gridSpan w:val="2"/>
            <w:tcBorders>
              <w:bottom w:val="single" w:sz="4" w:space="0" w:color="808080" w:themeColor="background1" w:themeShade="80"/>
            </w:tcBorders>
          </w:tcPr>
          <w:p w14:paraId="522619E6" w14:textId="77777777" w:rsidR="004D50F6" w:rsidRPr="000F69E2" w:rsidRDefault="004D50F6" w:rsidP="00D36E32">
            <w:pPr>
              <w:pStyle w:val="Docheader"/>
              <w:tabs>
                <w:tab w:val="left" w:pos="1134"/>
                <w:tab w:val="left" w:pos="1701"/>
              </w:tabs>
              <w:spacing w:line="276" w:lineRule="auto"/>
              <w:contextualSpacing/>
              <w:rPr>
                <w:rFonts w:cs="Calibri"/>
                <w:sz w:val="22"/>
                <w:szCs w:val="22"/>
                <w:lang w:val="en-GB"/>
              </w:rPr>
            </w:pPr>
            <w:r w:rsidRPr="000F69E2">
              <w:rPr>
                <w:rFonts w:cs="Calibri"/>
                <w:sz w:val="22"/>
                <w:szCs w:val="22"/>
                <w:lang w:val="en-GB"/>
              </w:rPr>
              <w:t>Meeting of the OSPAR Commission (OSPAR)</w:t>
            </w:r>
          </w:p>
          <w:p w14:paraId="1ABC6D11" w14:textId="77777777" w:rsidR="004D50F6" w:rsidRPr="000F69E2" w:rsidRDefault="004D50F6" w:rsidP="00D36E32">
            <w:pPr>
              <w:pStyle w:val="Docheader"/>
              <w:tabs>
                <w:tab w:val="left" w:pos="1134"/>
                <w:tab w:val="left" w:pos="1701"/>
              </w:tabs>
              <w:spacing w:line="276" w:lineRule="auto"/>
              <w:contextualSpacing/>
              <w:rPr>
                <w:rFonts w:cs="Calibri"/>
                <w:sz w:val="22"/>
                <w:szCs w:val="22"/>
                <w:lang w:val="en-GB"/>
              </w:rPr>
            </w:pPr>
            <w:r w:rsidRPr="000F69E2">
              <w:rPr>
                <w:rFonts w:cs="Calibri"/>
                <w:sz w:val="22"/>
                <w:szCs w:val="22"/>
                <w:lang w:val="en-GB"/>
              </w:rPr>
              <w:t>Online: 19 June 2025</w:t>
            </w:r>
          </w:p>
          <w:p w14:paraId="49B0D6DA" w14:textId="77777777" w:rsidR="004D50F6" w:rsidRPr="000F69E2" w:rsidRDefault="004D50F6" w:rsidP="00D36E32">
            <w:pPr>
              <w:pStyle w:val="Docheader"/>
              <w:tabs>
                <w:tab w:val="left" w:pos="1134"/>
                <w:tab w:val="left" w:pos="1701"/>
              </w:tabs>
              <w:spacing w:line="276" w:lineRule="auto"/>
              <w:contextualSpacing/>
              <w:rPr>
                <w:rFonts w:cs="Calibri"/>
                <w:sz w:val="22"/>
                <w:szCs w:val="22"/>
                <w:lang w:val="en-GB"/>
              </w:rPr>
            </w:pPr>
            <w:r w:rsidRPr="000F69E2">
              <w:rPr>
                <w:rFonts w:cs="Calibri"/>
                <w:sz w:val="22"/>
                <w:szCs w:val="22"/>
                <w:lang w:val="en-GB"/>
              </w:rPr>
              <w:t>Vigo: 23-27 June 2025</w:t>
            </w:r>
          </w:p>
        </w:tc>
      </w:tr>
    </w:tbl>
    <w:p w14:paraId="2D25F040" w14:textId="3864A407" w:rsidR="000008A6" w:rsidRPr="000008A6" w:rsidRDefault="000008A6" w:rsidP="005124D9">
      <w:pPr>
        <w:spacing w:before="200" w:after="200"/>
        <w:jc w:val="left"/>
        <w:rPr>
          <w:rFonts w:ascii="Calibri" w:eastAsia="Times New Roman" w:hAnsi="Calibri" w:cs="Times New Roman"/>
          <w:noProof/>
          <w:sz w:val="40"/>
          <w:szCs w:val="40"/>
        </w:rPr>
      </w:pPr>
      <w:r w:rsidRPr="000008A6">
        <w:rPr>
          <w:rFonts w:ascii="Calibri" w:eastAsia="Times New Roman" w:hAnsi="Calibri" w:cs="Times New Roman"/>
          <w:noProof/>
          <w:sz w:val="40"/>
          <w:szCs w:val="40"/>
        </w:rPr>
        <w:t>Terms of Reference for the Governance Group 202</w:t>
      </w:r>
      <w:r w:rsidR="00C75CE6">
        <w:rPr>
          <w:rFonts w:ascii="Calibri" w:eastAsia="Times New Roman" w:hAnsi="Calibri" w:cs="Times New Roman"/>
          <w:noProof/>
          <w:sz w:val="40"/>
          <w:szCs w:val="40"/>
        </w:rPr>
        <w:t>5</w:t>
      </w:r>
      <w:r w:rsidRPr="000008A6">
        <w:rPr>
          <w:rFonts w:ascii="Calibri" w:eastAsia="Times New Roman" w:hAnsi="Calibri" w:cs="Times New Roman"/>
          <w:noProof/>
          <w:sz w:val="40"/>
          <w:szCs w:val="40"/>
        </w:rPr>
        <w:t xml:space="preserve"> – 202</w:t>
      </w:r>
      <w:r w:rsidR="002E3495">
        <w:rPr>
          <w:rFonts w:ascii="Calibri" w:eastAsia="Times New Roman" w:hAnsi="Calibri" w:cs="Times New Roman"/>
          <w:noProof/>
          <w:sz w:val="40"/>
          <w:szCs w:val="40"/>
        </w:rPr>
        <w:t>7</w:t>
      </w:r>
    </w:p>
    <w:p w14:paraId="4C91FA0B" w14:textId="77777777" w:rsidR="000008A6" w:rsidRPr="00B875B6" w:rsidRDefault="000008A6" w:rsidP="000008A6">
      <w:pPr>
        <w:spacing w:after="200"/>
        <w:jc w:val="left"/>
        <w:rPr>
          <w:b/>
          <w:bCs/>
          <w:sz w:val="28"/>
          <w:szCs w:val="28"/>
        </w:rPr>
      </w:pPr>
      <w:r w:rsidRPr="00B875B6">
        <w:rPr>
          <w:b/>
          <w:bCs/>
          <w:sz w:val="28"/>
          <w:szCs w:val="28"/>
        </w:rPr>
        <w:t xml:space="preserve">Background </w:t>
      </w:r>
    </w:p>
    <w:p w14:paraId="07215D86" w14:textId="22E04028" w:rsidR="006E114E" w:rsidRDefault="000008A6" w:rsidP="005124D9">
      <w:pPr>
        <w:numPr>
          <w:ilvl w:val="0"/>
          <w:numId w:val="31"/>
        </w:numPr>
        <w:ind w:left="0" w:firstLine="0"/>
      </w:pPr>
      <w:r w:rsidRPr="008A6430">
        <w:t>The North-East Atlantic Environment Strategy 2030 (NEAES) agreed at the OSPAR Ministerial meeting on 1 October 2021</w:t>
      </w:r>
      <w:r w:rsidR="006B7E18">
        <w:t>,</w:t>
      </w:r>
      <w:r w:rsidRPr="008A6430">
        <w:t xml:space="preserve"> outlines OSPAR’s vision and strategic and operational objectives for this decade. </w:t>
      </w:r>
      <w:r w:rsidR="00242D67">
        <w:t xml:space="preserve">It is </w:t>
      </w:r>
      <w:r w:rsidRPr="008A6430">
        <w:t>ambitious, broad-ranging and the issues it seeks to address are complex and often at the edges of our current knowledge on the marine environment. Although Contracting Parties committed to fund its implementation, on-going pressures on resources means that Contracting Parties and the Secretariat need to ensure that available resources are being targeted in an efficient and effective way</w:t>
      </w:r>
      <w:r w:rsidR="00C617CF">
        <w:t xml:space="preserve"> and focussed on where OSPAR can add most value</w:t>
      </w:r>
      <w:r w:rsidRPr="008A6430">
        <w:t>. OSPAR’s structures and ways of working need to be fit for purpose, with a strengthened focus on actions and measures.</w:t>
      </w:r>
      <w:r w:rsidR="00242D67" w:rsidRPr="00242D67">
        <w:t xml:space="preserve"> </w:t>
      </w:r>
    </w:p>
    <w:p w14:paraId="7FED4806" w14:textId="2C9A3457" w:rsidR="006E114E" w:rsidRDefault="00242D67" w:rsidP="005124D9">
      <w:pPr>
        <w:numPr>
          <w:ilvl w:val="0"/>
          <w:numId w:val="31"/>
        </w:numPr>
        <w:ind w:left="0" w:firstLine="0"/>
      </w:pPr>
      <w:r>
        <w:t xml:space="preserve">The NEAES 2030 </w:t>
      </w:r>
      <w:r w:rsidRPr="008A6430">
        <w:t xml:space="preserve">is supported by an Implementation Plan that contains specific actions and tasks to achieve the objectives of the Strategy. An exercise to assess the sufficiency of tasks to implement the operational objectives </w:t>
      </w:r>
      <w:r w:rsidR="004E6801">
        <w:t xml:space="preserve">was </w:t>
      </w:r>
      <w:r w:rsidRPr="008A6430">
        <w:t xml:space="preserve">conducted during the spring 2023 </w:t>
      </w:r>
      <w:r w:rsidR="004E6801">
        <w:t xml:space="preserve">and 2025 </w:t>
      </w:r>
      <w:r w:rsidRPr="008A6430">
        <w:t>meeting cycle</w:t>
      </w:r>
      <w:r w:rsidR="004E6801">
        <w:t>s</w:t>
      </w:r>
      <w:r w:rsidR="006B7E18">
        <w:t>,</w:t>
      </w:r>
      <w:r w:rsidRPr="008A6430">
        <w:t xml:space="preserve"> </w:t>
      </w:r>
      <w:r w:rsidR="004E6801">
        <w:t xml:space="preserve">highlighting </w:t>
      </w:r>
      <w:r w:rsidR="00462169">
        <w:t xml:space="preserve">resourcing and structural issues with regards to delivery of the </w:t>
      </w:r>
      <w:r>
        <w:t>NEAES 2030</w:t>
      </w:r>
      <w:r w:rsidR="004E6801">
        <w:t xml:space="preserve"> </w:t>
      </w:r>
      <w:r w:rsidR="00C617CF">
        <w:t>and OSPAR’s governance structures</w:t>
      </w:r>
      <w:r>
        <w:t>.</w:t>
      </w:r>
    </w:p>
    <w:p w14:paraId="62B4AB82" w14:textId="70C96326" w:rsidR="006E114E" w:rsidRDefault="000008A6" w:rsidP="005124D9">
      <w:pPr>
        <w:numPr>
          <w:ilvl w:val="0"/>
          <w:numId w:val="31"/>
        </w:numPr>
        <w:ind w:left="0" w:firstLine="0"/>
      </w:pPr>
      <w:r w:rsidRPr="008A6430">
        <w:t xml:space="preserve">The OSPAR Commission </w:t>
      </w:r>
      <w:r w:rsidR="004E6801">
        <w:t xml:space="preserve">has </w:t>
      </w:r>
      <w:r w:rsidR="00C617CF">
        <w:t>completed</w:t>
      </w:r>
      <w:r w:rsidR="004E6801">
        <w:t xml:space="preserve"> a mid-term </w:t>
      </w:r>
      <w:r w:rsidRPr="008A6430">
        <w:t xml:space="preserve">review </w:t>
      </w:r>
      <w:r w:rsidR="004E6801">
        <w:t xml:space="preserve">of </w:t>
      </w:r>
      <w:r w:rsidRPr="008A6430">
        <w:t>the NEAES</w:t>
      </w:r>
      <w:r w:rsidR="00FE73F5">
        <w:t xml:space="preserve"> </w:t>
      </w:r>
      <w:r w:rsidRPr="008A6430">
        <w:t>in the light of the findings of the QSR 2023 and other emerging issues and evidence</w:t>
      </w:r>
      <w:r w:rsidR="00C617CF">
        <w:t>. The overall conclusion of the mid-term review is that, largely speaking, the NEAES 2030 remains fit for purpose and did not require significant updating. At the same time, some Committees have reported significant resourcing challenges with the implementation</w:t>
      </w:r>
      <w:r w:rsidR="00171474">
        <w:t xml:space="preserve"> of</w:t>
      </w:r>
      <w:r w:rsidR="00C617CF">
        <w:t xml:space="preserve"> the NEAES 2030</w:t>
      </w:r>
      <w:r w:rsidRPr="008A6430">
        <w:t xml:space="preserve">.  </w:t>
      </w:r>
    </w:p>
    <w:p w14:paraId="4CE4A2EA" w14:textId="5E230F9F" w:rsidR="008A6430" w:rsidRPr="002B2FF5" w:rsidRDefault="000008A6" w:rsidP="005124D9">
      <w:pPr>
        <w:numPr>
          <w:ilvl w:val="0"/>
          <w:numId w:val="31"/>
        </w:numPr>
        <w:ind w:left="0" w:firstLine="0"/>
      </w:pPr>
      <w:r w:rsidRPr="008A6430">
        <w:t xml:space="preserve">In order to address </w:t>
      </w:r>
      <w:r w:rsidR="00226ED8">
        <w:t xml:space="preserve">these challenges in relation to the implementation of the NEAES 2030, OSPAR 2025 decided to revive the Governance Group to review OSPAR’s </w:t>
      </w:r>
      <w:r w:rsidRPr="008A6430">
        <w:t xml:space="preserve">wider organisational </w:t>
      </w:r>
      <w:r w:rsidR="00226ED8">
        <w:t xml:space="preserve">structure </w:t>
      </w:r>
      <w:r w:rsidRPr="008A6430">
        <w:t xml:space="preserve">and resource allocation </w:t>
      </w:r>
      <w:r w:rsidR="00226ED8">
        <w:t>mechanisms</w:t>
      </w:r>
      <w:r w:rsidRPr="008A6430">
        <w:t xml:space="preserve">.  </w:t>
      </w:r>
    </w:p>
    <w:p w14:paraId="47B61893" w14:textId="16EE3E9C" w:rsidR="000008A6" w:rsidRDefault="000008A6" w:rsidP="008A6430">
      <w:pPr>
        <w:spacing w:after="200"/>
        <w:rPr>
          <w:b/>
          <w:bCs/>
          <w:sz w:val="28"/>
          <w:szCs w:val="28"/>
        </w:rPr>
      </w:pPr>
      <w:r w:rsidRPr="00B875B6">
        <w:rPr>
          <w:b/>
          <w:bCs/>
          <w:sz w:val="28"/>
          <w:szCs w:val="28"/>
        </w:rPr>
        <w:t>Objectives</w:t>
      </w:r>
    </w:p>
    <w:p w14:paraId="4DD91C1E" w14:textId="51F3FC5C" w:rsidR="006E114E" w:rsidRDefault="000008A6" w:rsidP="006E114E">
      <w:pPr>
        <w:numPr>
          <w:ilvl w:val="0"/>
          <w:numId w:val="31"/>
        </w:numPr>
        <w:spacing w:after="200"/>
        <w:ind w:left="0" w:firstLine="0"/>
      </w:pPr>
      <w:r w:rsidRPr="008A6430">
        <w:t>The objectives of the Governance Group (</w:t>
      </w:r>
      <w:r w:rsidR="002C7EFD">
        <w:t>GG</w:t>
      </w:r>
      <w:r w:rsidRPr="008A6430">
        <w:t>) are to:</w:t>
      </w:r>
    </w:p>
    <w:p w14:paraId="2162D962" w14:textId="09DD4946" w:rsidR="002925D2" w:rsidRDefault="000008A6" w:rsidP="00C41102">
      <w:pPr>
        <w:numPr>
          <w:ilvl w:val="1"/>
          <w:numId w:val="31"/>
        </w:numPr>
        <w:spacing w:after="200" w:line="240" w:lineRule="auto"/>
      </w:pPr>
      <w:r w:rsidRPr="008A6430">
        <w:t xml:space="preserve">Review the extent to which current OSPAR structures and ways of working are effective in </w:t>
      </w:r>
      <w:r w:rsidR="00255CDF">
        <w:t xml:space="preserve">implementing </w:t>
      </w:r>
      <w:r w:rsidR="0059462F">
        <w:t>t</w:t>
      </w:r>
      <w:r w:rsidR="00255CDF">
        <w:t xml:space="preserve">he OSPAR Convention and </w:t>
      </w:r>
      <w:r w:rsidRPr="008A6430">
        <w:t>delivering the NEAES 2030</w:t>
      </w:r>
      <w:r w:rsidR="002E3495">
        <w:t xml:space="preserve"> (as agreed in Agreement </w:t>
      </w:r>
      <w:r w:rsidR="001B0C9C">
        <w:t>20</w:t>
      </w:r>
      <w:r w:rsidR="002E3495">
        <w:t>25-XX on the revised NEAES 2030. See operational objective SX.O3)</w:t>
      </w:r>
      <w:r w:rsidRPr="008A6430">
        <w:t xml:space="preserve">; </w:t>
      </w:r>
    </w:p>
    <w:p w14:paraId="7477D4FC" w14:textId="67FE35C3" w:rsidR="006E114E" w:rsidRDefault="002925D2" w:rsidP="00C41102">
      <w:pPr>
        <w:numPr>
          <w:ilvl w:val="1"/>
          <w:numId w:val="31"/>
        </w:numPr>
        <w:spacing w:after="200" w:line="240" w:lineRule="auto"/>
      </w:pPr>
      <w:r>
        <w:t xml:space="preserve">Review the extent to which </w:t>
      </w:r>
      <w:r w:rsidR="00226ED8">
        <w:t xml:space="preserve">the mechanisms for securing and </w:t>
      </w:r>
      <w:r>
        <w:t>allocati</w:t>
      </w:r>
      <w:r w:rsidR="00226ED8">
        <w:t>ng</w:t>
      </w:r>
      <w:r>
        <w:t xml:space="preserve"> human and financial resources are effective in </w:t>
      </w:r>
      <w:r w:rsidR="00226ED8">
        <w:t>supporting the implementation of</w:t>
      </w:r>
      <w:r>
        <w:t xml:space="preserve"> the OSPAR Convention and delivering the NEAES 2030; </w:t>
      </w:r>
      <w:r w:rsidR="000008A6" w:rsidRPr="008A6430">
        <w:t>and</w:t>
      </w:r>
    </w:p>
    <w:p w14:paraId="02EFB4C9" w14:textId="56565313" w:rsidR="000008A6" w:rsidRPr="008A6430" w:rsidRDefault="000008A6" w:rsidP="00C41102">
      <w:pPr>
        <w:numPr>
          <w:ilvl w:val="1"/>
          <w:numId w:val="31"/>
        </w:numPr>
        <w:spacing w:after="200" w:line="240" w:lineRule="auto"/>
      </w:pPr>
      <w:r w:rsidRPr="008A6430">
        <w:lastRenderedPageBreak/>
        <w:t xml:space="preserve">Make recommendations </w:t>
      </w:r>
      <w:r w:rsidR="002E3495">
        <w:t>as necessary</w:t>
      </w:r>
      <w:r w:rsidRPr="008A6430">
        <w:t xml:space="preserve">. </w:t>
      </w:r>
    </w:p>
    <w:p w14:paraId="40F73D50" w14:textId="7484B10F" w:rsidR="000008A6" w:rsidRDefault="000008A6" w:rsidP="008A6430">
      <w:pPr>
        <w:spacing w:after="200"/>
        <w:rPr>
          <w:b/>
          <w:bCs/>
          <w:sz w:val="28"/>
          <w:szCs w:val="28"/>
        </w:rPr>
      </w:pPr>
      <w:r w:rsidRPr="00B875B6">
        <w:rPr>
          <w:b/>
          <w:bCs/>
          <w:sz w:val="28"/>
          <w:szCs w:val="28"/>
        </w:rPr>
        <w:t>Scope of work</w:t>
      </w:r>
    </w:p>
    <w:p w14:paraId="1D1ADBC4" w14:textId="686D0E29" w:rsidR="006E114E" w:rsidRDefault="000008A6" w:rsidP="006E114E">
      <w:pPr>
        <w:numPr>
          <w:ilvl w:val="0"/>
          <w:numId w:val="31"/>
        </w:numPr>
        <w:spacing w:after="200"/>
        <w:ind w:left="0" w:firstLine="0"/>
      </w:pPr>
      <w:r w:rsidRPr="008A6430">
        <w:t>The G</w:t>
      </w:r>
      <w:r w:rsidR="002C7EFD">
        <w:t>G</w:t>
      </w:r>
      <w:r w:rsidRPr="008A6430">
        <w:t xml:space="preserve"> should consider the following questions:</w:t>
      </w:r>
    </w:p>
    <w:p w14:paraId="50F03FEB" w14:textId="68B978C0" w:rsidR="006E114E" w:rsidRDefault="0096232F" w:rsidP="006E114E">
      <w:pPr>
        <w:numPr>
          <w:ilvl w:val="1"/>
          <w:numId w:val="31"/>
        </w:numPr>
        <w:spacing w:after="200"/>
      </w:pPr>
      <w:r w:rsidRPr="006E114E">
        <w:rPr>
          <w:b/>
          <w:bCs/>
        </w:rPr>
        <w:t>Overall structure:</w:t>
      </w:r>
      <w:r>
        <w:t xml:space="preserve"> </w:t>
      </w:r>
      <w:r w:rsidR="000008A6" w:rsidRPr="008A6430">
        <w:t xml:space="preserve">Are OSPAR’s </w:t>
      </w:r>
      <w:r w:rsidR="0059462F">
        <w:t xml:space="preserve">overall </w:t>
      </w:r>
      <w:r w:rsidR="000008A6" w:rsidRPr="008A6430">
        <w:t xml:space="preserve">structures (HOD, CoG, Committees, working groups, ICGs) appropriate for delivery of the </w:t>
      </w:r>
      <w:r w:rsidR="0059462F">
        <w:t xml:space="preserve">Convention and </w:t>
      </w:r>
      <w:r w:rsidR="000008A6" w:rsidRPr="008A6430">
        <w:t>NEAES; are there gaps (or duplication) in responsibility?</w:t>
      </w:r>
      <w:r w:rsidR="00867060">
        <w:t xml:space="preserve"> </w:t>
      </w:r>
      <w:r w:rsidR="00226ED8">
        <w:t xml:space="preserve">Is there a sufficient separation of </w:t>
      </w:r>
      <w:r w:rsidR="00171474">
        <w:t>decision-making</w:t>
      </w:r>
      <w:r w:rsidR="00226ED8">
        <w:t xml:space="preserve"> powers to allow for efficient and effective </w:t>
      </w:r>
      <w:r w:rsidR="00593039">
        <w:t xml:space="preserve">governance? Is the current </w:t>
      </w:r>
      <w:r w:rsidR="00226ED8">
        <w:t xml:space="preserve">timing </w:t>
      </w:r>
      <w:r w:rsidR="00593039">
        <w:t xml:space="preserve">and duration </w:t>
      </w:r>
      <w:r w:rsidR="00226ED8">
        <w:t xml:space="preserve">of </w:t>
      </w:r>
      <w:r w:rsidR="00867060">
        <w:t>meeting</w:t>
      </w:r>
      <w:r w:rsidR="00226ED8">
        <w:t>s</w:t>
      </w:r>
      <w:r w:rsidR="00867060">
        <w:t xml:space="preserve"> </w:t>
      </w:r>
      <w:r w:rsidR="00593039">
        <w:t xml:space="preserve">of </w:t>
      </w:r>
      <w:r w:rsidR="00867060">
        <w:t>OSPAR, HOD, CoG, and Committees</w:t>
      </w:r>
      <w:r w:rsidR="00593039">
        <w:t xml:space="preserve"> </w:t>
      </w:r>
      <w:r w:rsidR="00867060">
        <w:t>appropriate</w:t>
      </w:r>
      <w:r w:rsidR="00593039">
        <w:t xml:space="preserve"> </w:t>
      </w:r>
      <w:r w:rsidR="00867060">
        <w:t>to ensure the best use of (human and financial) resources for OSPAR Contracting Parties and the OSPAR Secretariat</w:t>
      </w:r>
      <w:r w:rsidR="00233439">
        <w:t>?</w:t>
      </w:r>
    </w:p>
    <w:p w14:paraId="5A529885" w14:textId="77777777" w:rsidR="006E114E" w:rsidRDefault="00EF7AA4" w:rsidP="006E114E">
      <w:pPr>
        <w:numPr>
          <w:ilvl w:val="1"/>
          <w:numId w:val="31"/>
        </w:numPr>
        <w:spacing w:after="200"/>
      </w:pPr>
      <w:r w:rsidRPr="006E114E">
        <w:rPr>
          <w:b/>
          <w:bCs/>
        </w:rPr>
        <w:t>Subsidiary body mandates</w:t>
      </w:r>
      <w:r>
        <w:t xml:space="preserve">: </w:t>
      </w:r>
      <w:r w:rsidR="000008A6" w:rsidRPr="008A6430">
        <w:t xml:space="preserve">Can the mandates </w:t>
      </w:r>
      <w:r w:rsidR="00F4744B">
        <w:t xml:space="preserve">given to the different subsidiary bodies </w:t>
      </w:r>
      <w:r w:rsidR="001558A3">
        <w:t xml:space="preserve">and their interactions </w:t>
      </w:r>
      <w:r w:rsidR="000008A6" w:rsidRPr="008A6430">
        <w:t>be improved, whether in order to address new issues, improve the flow of information, or increase efficiency?</w:t>
      </w:r>
    </w:p>
    <w:p w14:paraId="74E6BA38" w14:textId="5B82BAB5" w:rsidR="006E114E" w:rsidRDefault="00EF7AA4" w:rsidP="006E114E">
      <w:pPr>
        <w:numPr>
          <w:ilvl w:val="1"/>
          <w:numId w:val="31"/>
        </w:numPr>
        <w:spacing w:after="200"/>
      </w:pPr>
      <w:r w:rsidRPr="006E114E">
        <w:rPr>
          <w:b/>
          <w:bCs/>
        </w:rPr>
        <w:t xml:space="preserve">Allocation of OSPAR </w:t>
      </w:r>
      <w:r w:rsidR="0015137B">
        <w:rPr>
          <w:b/>
          <w:bCs/>
        </w:rPr>
        <w:t xml:space="preserve">(human and financial) </w:t>
      </w:r>
      <w:r w:rsidRPr="006E114E">
        <w:rPr>
          <w:b/>
          <w:bCs/>
        </w:rPr>
        <w:t>resources</w:t>
      </w:r>
      <w:r w:rsidR="00FA51D5" w:rsidRPr="006E114E">
        <w:rPr>
          <w:b/>
          <w:bCs/>
        </w:rPr>
        <w:t xml:space="preserve"> and priorities</w:t>
      </w:r>
      <w:r w:rsidRPr="006E114E">
        <w:rPr>
          <w:b/>
          <w:bCs/>
        </w:rPr>
        <w:t xml:space="preserve">: </w:t>
      </w:r>
      <w:r w:rsidR="000008A6" w:rsidRPr="008A6430">
        <w:t xml:space="preserve">How </w:t>
      </w:r>
      <w:r w:rsidR="00FA51D5">
        <w:t xml:space="preserve">should priorities be identified and how can </w:t>
      </w:r>
      <w:r w:rsidR="0096232F">
        <w:t xml:space="preserve">the </w:t>
      </w:r>
      <w:r w:rsidR="000008A6" w:rsidRPr="008A6430">
        <w:t xml:space="preserve">resources </w:t>
      </w:r>
      <w:r w:rsidR="0096232F">
        <w:t xml:space="preserve">of the </w:t>
      </w:r>
      <w:r w:rsidR="000008A6" w:rsidRPr="008A6430">
        <w:t xml:space="preserve">Contracting </w:t>
      </w:r>
      <w:r w:rsidR="00F4744B" w:rsidRPr="008A6430">
        <w:t>Part</w:t>
      </w:r>
      <w:r w:rsidR="00F4744B">
        <w:t>ies</w:t>
      </w:r>
      <w:r w:rsidR="0096232F">
        <w:t xml:space="preserve"> and the </w:t>
      </w:r>
      <w:r w:rsidR="000008A6" w:rsidRPr="008A6430">
        <w:t xml:space="preserve">Secretariat be best matched to </w:t>
      </w:r>
      <w:r w:rsidR="0015137B">
        <w:t xml:space="preserve">these </w:t>
      </w:r>
      <w:r w:rsidR="000008A6" w:rsidRPr="008A6430">
        <w:t>priorities?</w:t>
      </w:r>
    </w:p>
    <w:p w14:paraId="4809135C" w14:textId="70B53433" w:rsidR="006E114E" w:rsidRDefault="00EF7AA4" w:rsidP="006E114E">
      <w:pPr>
        <w:numPr>
          <w:ilvl w:val="1"/>
          <w:numId w:val="31"/>
        </w:numPr>
        <w:spacing w:after="200"/>
      </w:pPr>
      <w:r w:rsidRPr="006E114E">
        <w:rPr>
          <w:b/>
          <w:bCs/>
        </w:rPr>
        <w:t>CoG</w:t>
      </w:r>
      <w:r>
        <w:t xml:space="preserve">: </w:t>
      </w:r>
      <w:r w:rsidR="00255CDF">
        <w:t>how can the work of CoG be made</w:t>
      </w:r>
      <w:r w:rsidR="007B2069">
        <w:t xml:space="preserve"> m</w:t>
      </w:r>
      <w:r>
        <w:t>ore</w:t>
      </w:r>
      <w:r w:rsidR="007B2069">
        <w:t xml:space="preserve"> effective</w:t>
      </w:r>
      <w:r w:rsidR="00255CDF">
        <w:t xml:space="preserve"> as a means of coordinating the Committees </w:t>
      </w:r>
      <w:r w:rsidR="002B276C">
        <w:t xml:space="preserve">and CoG </w:t>
      </w:r>
      <w:r w:rsidR="00620BFB">
        <w:t>s</w:t>
      </w:r>
      <w:r w:rsidR="002B276C">
        <w:t xml:space="preserve">ubsidiary </w:t>
      </w:r>
      <w:r w:rsidR="00620BFB">
        <w:t>b</w:t>
      </w:r>
      <w:r w:rsidR="002B276C">
        <w:t xml:space="preserve">odies </w:t>
      </w:r>
      <w:r w:rsidR="00255CDF">
        <w:t>to support O</w:t>
      </w:r>
      <w:r>
        <w:t>SPAR</w:t>
      </w:r>
      <w:r w:rsidR="00255CDF">
        <w:t xml:space="preserve"> in meeting the objectives of the Convention</w:t>
      </w:r>
      <w:r>
        <w:t xml:space="preserve"> and the </w:t>
      </w:r>
      <w:r w:rsidR="00255CDF">
        <w:t>NEAES 2030</w:t>
      </w:r>
      <w:r w:rsidR="000008A6" w:rsidRPr="008A6430">
        <w:t>?</w:t>
      </w:r>
    </w:p>
    <w:p w14:paraId="3E59BCAF" w14:textId="2B3F2590" w:rsidR="00044D6A" w:rsidRPr="008A6430" w:rsidRDefault="00EF7AA4" w:rsidP="006E114E">
      <w:pPr>
        <w:numPr>
          <w:ilvl w:val="1"/>
          <w:numId w:val="31"/>
        </w:numPr>
        <w:spacing w:after="200"/>
      </w:pPr>
      <w:r w:rsidRPr="006E114E">
        <w:rPr>
          <w:b/>
          <w:bCs/>
        </w:rPr>
        <w:t xml:space="preserve">External support: </w:t>
      </w:r>
      <w:r w:rsidR="00044D6A" w:rsidRPr="007544BF">
        <w:t>How can O</w:t>
      </w:r>
      <w:r>
        <w:t>SPAR</w:t>
      </w:r>
      <w:r w:rsidR="00044D6A" w:rsidRPr="007544BF">
        <w:t xml:space="preserve"> </w:t>
      </w:r>
      <w:r w:rsidR="00E727ED">
        <w:t xml:space="preserve">further </w:t>
      </w:r>
      <w:r w:rsidR="00044D6A" w:rsidRPr="007544BF">
        <w:t>develop</w:t>
      </w:r>
      <w:r w:rsidR="00E727ED">
        <w:t xml:space="preserve"> and strengthen</w:t>
      </w:r>
      <w:r w:rsidR="00044D6A" w:rsidRPr="007544BF">
        <w:t xml:space="preserve"> engagement with </w:t>
      </w:r>
      <w:r w:rsidR="00255CDF">
        <w:t xml:space="preserve">its observer organisations and </w:t>
      </w:r>
      <w:r w:rsidR="00044D6A" w:rsidRPr="007544BF">
        <w:t xml:space="preserve">other </w:t>
      </w:r>
      <w:r w:rsidR="00044D6A">
        <w:t>c</w:t>
      </w:r>
      <w:r w:rsidR="00044D6A" w:rsidRPr="007544BF">
        <w:t xml:space="preserve">ompetent bodies and organisations to </w:t>
      </w:r>
      <w:r>
        <w:t xml:space="preserve">help </w:t>
      </w:r>
      <w:r w:rsidR="00044D6A" w:rsidRPr="007544BF">
        <w:t>achieve its objectives</w:t>
      </w:r>
      <w:r>
        <w:t>?</w:t>
      </w:r>
    </w:p>
    <w:p w14:paraId="38D5DB15" w14:textId="3AC52FB5" w:rsidR="006E114E" w:rsidRDefault="000008A6" w:rsidP="006E114E">
      <w:pPr>
        <w:numPr>
          <w:ilvl w:val="0"/>
          <w:numId w:val="31"/>
        </w:numPr>
        <w:spacing w:after="200"/>
        <w:ind w:left="0" w:firstLine="0"/>
      </w:pPr>
      <w:r w:rsidRPr="008A6430">
        <w:t xml:space="preserve">The GG should </w:t>
      </w:r>
      <w:r w:rsidR="00AD7DA3" w:rsidRPr="006E114E">
        <w:rPr>
          <w:i/>
        </w:rPr>
        <w:t>inter alia</w:t>
      </w:r>
      <w:r w:rsidR="00AD7DA3">
        <w:t xml:space="preserve"> </w:t>
      </w:r>
      <w:r w:rsidRPr="008A6430">
        <w:t>take into account relevant information from the summary of outputs from the OSPAR workshop on governance held on 26-27 March 2018, the NEAES Implementation Plan, assessment</w:t>
      </w:r>
      <w:r w:rsidR="00FE685B">
        <w:t>s</w:t>
      </w:r>
      <w:r w:rsidRPr="008A6430">
        <w:t xml:space="preserve"> of sufficiency of tasks</w:t>
      </w:r>
      <w:r w:rsidR="00FE685B">
        <w:t xml:space="preserve"> undertaken in 2023 and 2025</w:t>
      </w:r>
      <w:r w:rsidRPr="008A6430">
        <w:t xml:space="preserve">, </w:t>
      </w:r>
      <w:r w:rsidR="00FE685B">
        <w:t xml:space="preserve">the 2022 </w:t>
      </w:r>
      <w:r w:rsidRPr="008A6430">
        <w:t xml:space="preserve">CoG workshop on selective operational objectives, </w:t>
      </w:r>
      <w:r w:rsidR="00FE685B">
        <w:t xml:space="preserve">the 2023 </w:t>
      </w:r>
      <w:r w:rsidRPr="008A6430">
        <w:t>QSR thematic assessments</w:t>
      </w:r>
      <w:r w:rsidR="00FE685B">
        <w:t>, and relevant resourc</w:t>
      </w:r>
      <w:r w:rsidR="00593039">
        <w:t>ing</w:t>
      </w:r>
      <w:r w:rsidR="00FE685B">
        <w:t xml:space="preserve"> issues highlighted </w:t>
      </w:r>
      <w:r w:rsidR="00593039">
        <w:t xml:space="preserve">by Committees and </w:t>
      </w:r>
      <w:r w:rsidR="00FE685B">
        <w:t xml:space="preserve">at CoG(1) 2025 </w:t>
      </w:r>
      <w:r w:rsidR="00593039">
        <w:t xml:space="preserve">and </w:t>
      </w:r>
      <w:r w:rsidR="00FE685B">
        <w:t>HOD(2) 2025</w:t>
      </w:r>
      <w:r w:rsidRPr="008A6430">
        <w:t>.</w:t>
      </w:r>
    </w:p>
    <w:p w14:paraId="2DBD16F8" w14:textId="39C41369" w:rsidR="000008A6" w:rsidRPr="008A6430" w:rsidRDefault="000008A6" w:rsidP="006E114E">
      <w:pPr>
        <w:numPr>
          <w:ilvl w:val="0"/>
          <w:numId w:val="31"/>
        </w:numPr>
        <w:spacing w:after="200"/>
        <w:ind w:left="0" w:firstLine="0"/>
      </w:pPr>
      <w:r w:rsidRPr="008A6430">
        <w:t>The GG should consider any implications</w:t>
      </w:r>
      <w:r w:rsidR="00255CDF" w:rsidRPr="00255CDF">
        <w:t xml:space="preserve"> </w:t>
      </w:r>
      <w:r w:rsidR="00255CDF" w:rsidRPr="008A6430">
        <w:t>arising from its recommendations</w:t>
      </w:r>
      <w:r w:rsidRPr="008A6430">
        <w:t xml:space="preserve"> for the design and implementation of the</w:t>
      </w:r>
      <w:r w:rsidR="00255CDF">
        <w:t xml:space="preserve"> NEAES 2030, </w:t>
      </w:r>
      <w:r w:rsidR="00EF7AA4">
        <w:t xml:space="preserve">and on the wider balance between </w:t>
      </w:r>
      <w:r w:rsidR="00854777">
        <w:t>monitoring and assessment, measures and implementation reporting</w:t>
      </w:r>
      <w:r w:rsidRPr="008A6430">
        <w:t>.</w:t>
      </w:r>
    </w:p>
    <w:p w14:paraId="4A26E695" w14:textId="7EB7DF73" w:rsidR="000008A6" w:rsidRPr="00B875B6" w:rsidRDefault="000008A6" w:rsidP="001B0C9C">
      <w:pPr>
        <w:keepNext/>
        <w:spacing w:after="200"/>
        <w:rPr>
          <w:b/>
          <w:bCs/>
          <w:sz w:val="24"/>
          <w:szCs w:val="24"/>
        </w:rPr>
      </w:pPr>
      <w:r w:rsidRPr="00B875B6">
        <w:rPr>
          <w:b/>
          <w:bCs/>
          <w:sz w:val="28"/>
          <w:szCs w:val="28"/>
        </w:rPr>
        <w:t>Working procedures</w:t>
      </w:r>
    </w:p>
    <w:p w14:paraId="3DDFBF4E" w14:textId="086EEFF2" w:rsidR="006E114E" w:rsidRDefault="000008A6" w:rsidP="006E114E">
      <w:pPr>
        <w:numPr>
          <w:ilvl w:val="0"/>
          <w:numId w:val="31"/>
        </w:numPr>
        <w:spacing w:after="200"/>
        <w:ind w:left="0" w:firstLine="0"/>
      </w:pPr>
      <w:r w:rsidRPr="008A6430">
        <w:t xml:space="preserve">The GG will start its work in </w:t>
      </w:r>
      <w:r w:rsidR="00593039">
        <w:t>September</w:t>
      </w:r>
      <w:r w:rsidR="00C75CE6" w:rsidRPr="008A6430">
        <w:t xml:space="preserve"> </w:t>
      </w:r>
      <w:r w:rsidRPr="008A6430">
        <w:t>202</w:t>
      </w:r>
      <w:r w:rsidR="00C75CE6">
        <w:t>5</w:t>
      </w:r>
      <w:r w:rsidR="001B0C9C">
        <w:t>,</w:t>
      </w:r>
      <w:r w:rsidRPr="008A6430">
        <w:t xml:space="preserve"> </w:t>
      </w:r>
      <w:r w:rsidR="001B0C9C">
        <w:t xml:space="preserve">report on preliminary findings to OSPAR 2026 </w:t>
      </w:r>
      <w:r w:rsidRPr="008A6430">
        <w:t xml:space="preserve">and </w:t>
      </w:r>
      <w:r w:rsidR="00593039">
        <w:t xml:space="preserve">make recommendations to OSPAR </w:t>
      </w:r>
      <w:r w:rsidR="00655D03">
        <w:t>202</w:t>
      </w:r>
      <w:r w:rsidR="001B0C9C">
        <w:t>7</w:t>
      </w:r>
      <w:r w:rsidR="001B0C9C" w:rsidRPr="001B0C9C">
        <w:t xml:space="preserve"> </w:t>
      </w:r>
      <w:r w:rsidR="001B0C9C">
        <w:t>as necessary</w:t>
      </w:r>
      <w:r w:rsidR="00655D03">
        <w:t>.</w:t>
      </w:r>
    </w:p>
    <w:p w14:paraId="6E88DE6A" w14:textId="22F7D1CF" w:rsidR="000008A6" w:rsidRDefault="000008A6" w:rsidP="006E114E">
      <w:pPr>
        <w:numPr>
          <w:ilvl w:val="0"/>
          <w:numId w:val="31"/>
        </w:numPr>
        <w:spacing w:after="200"/>
        <w:ind w:left="0" w:firstLine="0"/>
      </w:pPr>
      <w:r w:rsidRPr="008A6430">
        <w:t>The GG will work through correspondence and meetings</w:t>
      </w:r>
      <w:r w:rsidR="00B3065B">
        <w:t xml:space="preserve"> (both online and in-person)</w:t>
      </w:r>
      <w:r w:rsidRPr="008A6430">
        <w:t>. It may wish to consider whether the organisation of a workshop would be appropriate or whether to make use of external reviewers or facilitators</w:t>
      </w:r>
      <w:r w:rsidR="00171474">
        <w:t>,</w:t>
      </w:r>
      <w:r w:rsidRPr="008A6430">
        <w:t xml:space="preserve"> as appropriate.</w:t>
      </w:r>
    </w:p>
    <w:p w14:paraId="6C610954" w14:textId="6D5ED43E" w:rsidR="002E3495" w:rsidRPr="008A6430" w:rsidRDefault="002E3495" w:rsidP="006E114E">
      <w:pPr>
        <w:numPr>
          <w:ilvl w:val="0"/>
          <w:numId w:val="31"/>
        </w:numPr>
        <w:spacing w:after="200"/>
        <w:ind w:left="0" w:firstLine="0"/>
      </w:pPr>
      <w:r>
        <w:t>The GG will report to HOD.</w:t>
      </w:r>
    </w:p>
    <w:p w14:paraId="4BC803E0" w14:textId="54E32A14" w:rsidR="006E114E" w:rsidRPr="006E114E" w:rsidRDefault="000008A6" w:rsidP="001B0C9C">
      <w:pPr>
        <w:keepNext/>
        <w:spacing w:after="200"/>
        <w:rPr>
          <w:b/>
          <w:bCs/>
          <w:sz w:val="28"/>
          <w:szCs w:val="28"/>
        </w:rPr>
      </w:pPr>
      <w:r w:rsidRPr="00B875B6">
        <w:rPr>
          <w:b/>
          <w:bCs/>
          <w:sz w:val="28"/>
          <w:szCs w:val="28"/>
        </w:rPr>
        <w:lastRenderedPageBreak/>
        <w:t>Co-convenor and participation</w:t>
      </w:r>
    </w:p>
    <w:p w14:paraId="3A13CE74" w14:textId="4E40BD05" w:rsidR="0041680C" w:rsidRDefault="000008A6" w:rsidP="0041680C">
      <w:pPr>
        <w:numPr>
          <w:ilvl w:val="0"/>
          <w:numId w:val="31"/>
        </w:numPr>
        <w:spacing w:after="200"/>
        <w:ind w:left="0" w:firstLine="0"/>
      </w:pPr>
      <w:r w:rsidRPr="008A6430">
        <w:t xml:space="preserve">The GG will be convened by </w:t>
      </w:r>
      <w:r w:rsidR="007D3EA9">
        <w:t>the OSPAR Secretariat</w:t>
      </w:r>
      <w:r w:rsidR="00655D03">
        <w:t xml:space="preserve"> </w:t>
      </w:r>
      <w:r w:rsidRPr="008A6430">
        <w:t>and is open to representatives from all Contracting Parties and the Committee Chairs.</w:t>
      </w:r>
    </w:p>
    <w:sectPr w:rsidR="0041680C" w:rsidSect="00C41102">
      <w:headerReference w:type="even" r:id="rId8"/>
      <w:headerReference w:type="default" r:id="rId9"/>
      <w:footerReference w:type="even" r:id="rId10"/>
      <w:footerReference w:type="default" r:id="rId11"/>
      <w:headerReference w:type="first" r:id="rId12"/>
      <w:footerReference w:type="first" r:id="rId13"/>
      <w:pgSz w:w="11906" w:h="16838"/>
      <w:pgMar w:top="709"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6EBC" w14:textId="77777777" w:rsidR="00846A9C" w:rsidRDefault="00846A9C">
      <w:pPr>
        <w:spacing w:after="0" w:line="240" w:lineRule="auto"/>
      </w:pPr>
      <w:r>
        <w:separator/>
      </w:r>
    </w:p>
  </w:endnote>
  <w:endnote w:type="continuationSeparator" w:id="0">
    <w:p w14:paraId="3B57F683" w14:textId="77777777" w:rsidR="00846A9C" w:rsidRDefault="0084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2694"/>
      <w:gridCol w:w="4110"/>
      <w:gridCol w:w="2843"/>
    </w:tblGrid>
    <w:tr w:rsidR="00D441C2" w:rsidRPr="00FC1B75" w14:paraId="3EA01348" w14:textId="77777777" w:rsidTr="00644069">
      <w:trPr>
        <w:cantSplit/>
      </w:trPr>
      <w:tc>
        <w:tcPr>
          <w:tcW w:w="2694" w:type="dxa"/>
          <w:tcBorders>
            <w:bottom w:val="single" w:sz="4" w:space="0" w:color="auto"/>
          </w:tcBorders>
        </w:tcPr>
        <w:p w14:paraId="691EDA4D" w14:textId="77777777" w:rsidR="00D441C2" w:rsidRPr="00FC1B75" w:rsidRDefault="00D441C2" w:rsidP="00644069">
          <w:pPr>
            <w:pStyle w:val="Footer"/>
            <w:spacing w:after="0" w:line="240" w:lineRule="auto"/>
            <w:rPr>
              <w:rFonts w:cs="Arial"/>
              <w:sz w:val="20"/>
            </w:rPr>
          </w:pPr>
        </w:p>
      </w:tc>
      <w:tc>
        <w:tcPr>
          <w:tcW w:w="4110" w:type="dxa"/>
          <w:tcBorders>
            <w:bottom w:val="single" w:sz="4" w:space="0" w:color="auto"/>
          </w:tcBorders>
        </w:tcPr>
        <w:p w14:paraId="5FA999DB" w14:textId="77777777" w:rsidR="00D441C2" w:rsidRPr="00FC1B75" w:rsidRDefault="00D441C2" w:rsidP="00644069">
          <w:pPr>
            <w:pStyle w:val="Footer"/>
            <w:spacing w:after="0" w:line="240" w:lineRule="auto"/>
            <w:rPr>
              <w:rFonts w:cs="Arial"/>
              <w:sz w:val="20"/>
            </w:rPr>
          </w:pPr>
        </w:p>
      </w:tc>
      <w:tc>
        <w:tcPr>
          <w:tcW w:w="2843" w:type="dxa"/>
          <w:tcBorders>
            <w:bottom w:val="single" w:sz="4" w:space="0" w:color="auto"/>
          </w:tcBorders>
        </w:tcPr>
        <w:p w14:paraId="08805741" w14:textId="77777777" w:rsidR="00D441C2" w:rsidRPr="00FC1B75" w:rsidRDefault="00D441C2" w:rsidP="00644069">
          <w:pPr>
            <w:pStyle w:val="Footer"/>
            <w:tabs>
              <w:tab w:val="left" w:pos="272"/>
            </w:tabs>
            <w:spacing w:after="0" w:line="240" w:lineRule="auto"/>
            <w:jc w:val="right"/>
            <w:rPr>
              <w:rFonts w:cs="Arial"/>
              <w:sz w:val="20"/>
            </w:rPr>
          </w:pPr>
          <w:r w:rsidRPr="00FC1B75">
            <w:rPr>
              <w:rStyle w:val="PageNumber"/>
              <w:sz w:val="20"/>
            </w:rPr>
            <w:fldChar w:fldCharType="begin"/>
          </w:r>
          <w:r w:rsidRPr="00FC1B75">
            <w:rPr>
              <w:rStyle w:val="PageNumber"/>
              <w:sz w:val="20"/>
            </w:rPr>
            <w:instrText xml:space="preserve"> PAGE </w:instrText>
          </w:r>
          <w:r w:rsidRPr="00FC1B75">
            <w:rPr>
              <w:rStyle w:val="PageNumber"/>
              <w:sz w:val="20"/>
            </w:rPr>
            <w:fldChar w:fldCharType="separate"/>
          </w:r>
          <w:r>
            <w:rPr>
              <w:rStyle w:val="PageNumber"/>
              <w:noProof/>
              <w:sz w:val="20"/>
            </w:rPr>
            <w:t>24</w:t>
          </w:r>
          <w:r w:rsidRPr="00FC1B75">
            <w:rPr>
              <w:rStyle w:val="PageNumber"/>
              <w:sz w:val="20"/>
            </w:rPr>
            <w:fldChar w:fldCharType="end"/>
          </w:r>
          <w:r w:rsidRPr="00FC1B75">
            <w:rPr>
              <w:rStyle w:val="PageNumber"/>
              <w:sz w:val="20"/>
            </w:rPr>
            <w:t xml:space="preserve"> of </w:t>
          </w:r>
          <w:r w:rsidRPr="00FC1B75">
            <w:rPr>
              <w:rStyle w:val="PageNumber"/>
              <w:sz w:val="20"/>
            </w:rPr>
            <w:fldChar w:fldCharType="begin"/>
          </w:r>
          <w:r w:rsidRPr="00FC1B75">
            <w:rPr>
              <w:rStyle w:val="PageNumber"/>
              <w:sz w:val="20"/>
            </w:rPr>
            <w:instrText xml:space="preserve"> NUMPAGES </w:instrText>
          </w:r>
          <w:r w:rsidRPr="00FC1B75">
            <w:rPr>
              <w:rStyle w:val="PageNumber"/>
              <w:sz w:val="20"/>
            </w:rPr>
            <w:fldChar w:fldCharType="separate"/>
          </w:r>
          <w:r w:rsidR="00E14723">
            <w:rPr>
              <w:rStyle w:val="PageNumber"/>
              <w:noProof/>
              <w:sz w:val="20"/>
            </w:rPr>
            <w:t>5</w:t>
          </w:r>
          <w:r w:rsidRPr="00FC1B75">
            <w:rPr>
              <w:rStyle w:val="PageNumber"/>
              <w:sz w:val="20"/>
            </w:rPr>
            <w:fldChar w:fldCharType="end"/>
          </w:r>
          <w:r w:rsidRPr="00FC1B75">
            <w:rPr>
              <w:rStyle w:val="PageNumber"/>
              <w:sz w:val="20"/>
            </w:rPr>
            <w:t xml:space="preserve"> </w:t>
          </w:r>
        </w:p>
      </w:tc>
    </w:tr>
    <w:tr w:rsidR="00D441C2" w:rsidRPr="00FC1B75" w14:paraId="588C31E6" w14:textId="77777777" w:rsidTr="00644069">
      <w:trPr>
        <w:cantSplit/>
      </w:trPr>
      <w:tc>
        <w:tcPr>
          <w:tcW w:w="2694" w:type="dxa"/>
          <w:tcBorders>
            <w:top w:val="single" w:sz="4" w:space="0" w:color="auto"/>
          </w:tcBorders>
        </w:tcPr>
        <w:p w14:paraId="1E10939D" w14:textId="77777777" w:rsidR="00D441C2" w:rsidRPr="00FC1B75" w:rsidRDefault="00D441C2" w:rsidP="00644069">
          <w:pPr>
            <w:pStyle w:val="Footer"/>
            <w:spacing w:after="0" w:line="240" w:lineRule="auto"/>
            <w:rPr>
              <w:rFonts w:cs="Arial"/>
              <w:sz w:val="20"/>
            </w:rPr>
          </w:pPr>
          <w:r w:rsidRPr="00FC1B75">
            <w:rPr>
              <w:rFonts w:cs="Arial"/>
              <w:sz w:val="20"/>
            </w:rPr>
            <w:t>OSPAR Commission</w:t>
          </w:r>
        </w:p>
      </w:tc>
      <w:tc>
        <w:tcPr>
          <w:tcW w:w="4110" w:type="dxa"/>
          <w:tcBorders>
            <w:top w:val="single" w:sz="4" w:space="0" w:color="auto"/>
          </w:tcBorders>
        </w:tcPr>
        <w:p w14:paraId="7CFBBB6F" w14:textId="77777777" w:rsidR="00D441C2" w:rsidRPr="00FC1B75" w:rsidRDefault="00D441C2" w:rsidP="00644069">
          <w:pPr>
            <w:tabs>
              <w:tab w:val="left" w:pos="272"/>
              <w:tab w:val="left" w:pos="1418"/>
              <w:tab w:val="center" w:pos="2281"/>
            </w:tabs>
            <w:spacing w:after="0" w:line="240" w:lineRule="auto"/>
            <w:ind w:left="-675"/>
            <w:jc w:val="center"/>
            <w:rPr>
              <w:sz w:val="20"/>
            </w:rPr>
          </w:pPr>
          <w:r w:rsidRPr="00FC1B75">
            <w:rPr>
              <w:sz w:val="20"/>
            </w:rPr>
            <w:tab/>
          </w:r>
        </w:p>
      </w:tc>
      <w:tc>
        <w:tcPr>
          <w:tcW w:w="2843" w:type="dxa"/>
          <w:tcBorders>
            <w:top w:val="single" w:sz="4" w:space="0" w:color="auto"/>
          </w:tcBorders>
        </w:tcPr>
        <w:p w14:paraId="60528383" w14:textId="77777777" w:rsidR="00D441C2" w:rsidRPr="00FC1B75" w:rsidRDefault="00D441C2" w:rsidP="00644069">
          <w:pPr>
            <w:tabs>
              <w:tab w:val="left" w:pos="77"/>
              <w:tab w:val="left" w:pos="272"/>
              <w:tab w:val="left" w:pos="361"/>
            </w:tabs>
            <w:spacing w:after="0" w:line="240" w:lineRule="auto"/>
            <w:jc w:val="right"/>
            <w:rPr>
              <w:sz w:val="20"/>
            </w:rPr>
          </w:pPr>
          <w:r>
            <w:rPr>
              <w:sz w:val="20"/>
            </w:rPr>
            <w:t>HASEC</w:t>
          </w:r>
          <w:r w:rsidRPr="00FC1B75">
            <w:rPr>
              <w:sz w:val="20"/>
            </w:rPr>
            <w:t xml:space="preserve"> 16/</w:t>
          </w:r>
          <w:r>
            <w:rPr>
              <w:sz w:val="20"/>
            </w:rPr>
            <w:t>5/1</w:t>
          </w:r>
        </w:p>
      </w:tc>
    </w:tr>
  </w:tbl>
  <w:p w14:paraId="15632152" w14:textId="77777777" w:rsidR="00D441C2" w:rsidRPr="00C302EF" w:rsidRDefault="00D441C2" w:rsidP="0064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000" w:firstRow="0" w:lastRow="0" w:firstColumn="0" w:lastColumn="0" w:noHBand="0" w:noVBand="0"/>
    </w:tblPr>
    <w:tblGrid>
      <w:gridCol w:w="2650"/>
      <w:gridCol w:w="3765"/>
      <w:gridCol w:w="3223"/>
    </w:tblGrid>
    <w:tr w:rsidR="00A86523" w:rsidRPr="007F2F8D" w14:paraId="22B6FABD" w14:textId="77777777" w:rsidTr="00EE6F8B">
      <w:trPr>
        <w:cantSplit/>
        <w:trHeight w:hRule="exact" w:val="284"/>
      </w:trPr>
      <w:tc>
        <w:tcPr>
          <w:tcW w:w="4999" w:type="pct"/>
          <w:gridSpan w:val="3"/>
          <w:tcBorders>
            <w:bottom w:val="single" w:sz="4" w:space="0" w:color="auto"/>
          </w:tcBorders>
        </w:tcPr>
        <w:p w14:paraId="066D1B24" w14:textId="77777777" w:rsidR="00A86523" w:rsidRPr="007F2F8D" w:rsidRDefault="00A86523" w:rsidP="00EE6F8B">
          <w:pPr>
            <w:pStyle w:val="Footer"/>
            <w:tabs>
              <w:tab w:val="center" w:pos="4800"/>
              <w:tab w:val="right" w:pos="9636"/>
            </w:tabs>
            <w:jc w:val="right"/>
            <w:rPr>
              <w:rFonts w:cs="Arial"/>
              <w:sz w:val="20"/>
            </w:rPr>
          </w:pPr>
          <w:r w:rsidRPr="007F2F8D">
            <w:rPr>
              <w:rStyle w:val="PageNumber"/>
              <w:sz w:val="20"/>
            </w:rPr>
            <w:fldChar w:fldCharType="begin"/>
          </w:r>
          <w:r w:rsidRPr="007F2F8D">
            <w:rPr>
              <w:rStyle w:val="PageNumber"/>
              <w:sz w:val="20"/>
            </w:rPr>
            <w:instrText xml:space="preserve"> PAGE </w:instrText>
          </w:r>
          <w:r w:rsidRPr="007F2F8D">
            <w:rPr>
              <w:rStyle w:val="PageNumber"/>
              <w:sz w:val="20"/>
            </w:rPr>
            <w:fldChar w:fldCharType="separate"/>
          </w:r>
          <w:r w:rsidRPr="007F2F8D">
            <w:rPr>
              <w:rStyle w:val="PageNumber"/>
              <w:noProof/>
              <w:sz w:val="20"/>
            </w:rPr>
            <w:t>1</w:t>
          </w:r>
          <w:r w:rsidRPr="007F2F8D">
            <w:rPr>
              <w:rStyle w:val="PageNumber"/>
              <w:sz w:val="20"/>
            </w:rPr>
            <w:fldChar w:fldCharType="end"/>
          </w:r>
          <w:r w:rsidRPr="007F2F8D">
            <w:rPr>
              <w:rStyle w:val="PageNumber"/>
              <w:sz w:val="20"/>
            </w:rPr>
            <w:t xml:space="preserve"> of </w:t>
          </w:r>
          <w:r w:rsidRPr="007F2F8D">
            <w:rPr>
              <w:rStyle w:val="PageNumber"/>
              <w:sz w:val="20"/>
            </w:rPr>
            <w:fldChar w:fldCharType="begin"/>
          </w:r>
          <w:r w:rsidRPr="007F2F8D">
            <w:rPr>
              <w:rStyle w:val="PageNumber"/>
              <w:sz w:val="20"/>
            </w:rPr>
            <w:instrText xml:space="preserve"> NUMPAGES </w:instrText>
          </w:r>
          <w:r w:rsidRPr="007F2F8D">
            <w:rPr>
              <w:rStyle w:val="PageNumber"/>
              <w:sz w:val="20"/>
            </w:rPr>
            <w:fldChar w:fldCharType="separate"/>
          </w:r>
          <w:r w:rsidRPr="007F2F8D">
            <w:rPr>
              <w:rStyle w:val="PageNumber"/>
              <w:noProof/>
              <w:sz w:val="20"/>
            </w:rPr>
            <w:t>1</w:t>
          </w:r>
          <w:r w:rsidRPr="007F2F8D">
            <w:rPr>
              <w:rStyle w:val="PageNumber"/>
              <w:sz w:val="20"/>
            </w:rPr>
            <w:fldChar w:fldCharType="end"/>
          </w:r>
        </w:p>
      </w:tc>
    </w:tr>
    <w:tr w:rsidR="00A86523" w:rsidRPr="007F2F8D" w14:paraId="3868DA17" w14:textId="77777777" w:rsidTr="00EE6F8B">
      <w:trPr>
        <w:cantSplit/>
        <w:trHeight w:hRule="exact" w:val="284"/>
      </w:trPr>
      <w:tc>
        <w:tcPr>
          <w:tcW w:w="1375" w:type="pct"/>
          <w:tcBorders>
            <w:top w:val="single" w:sz="4" w:space="0" w:color="auto"/>
          </w:tcBorders>
        </w:tcPr>
        <w:p w14:paraId="60BDE326" w14:textId="77777777" w:rsidR="00A86523" w:rsidRPr="007F2F8D" w:rsidRDefault="00A86523" w:rsidP="00A86523">
          <w:pPr>
            <w:pStyle w:val="Footer"/>
            <w:rPr>
              <w:rFonts w:cs="Arial"/>
              <w:sz w:val="20"/>
            </w:rPr>
          </w:pPr>
          <w:r w:rsidRPr="007F2F8D">
            <w:rPr>
              <w:rFonts w:cs="Arial"/>
              <w:sz w:val="20"/>
            </w:rPr>
            <w:t>OSPAR Commission</w:t>
          </w:r>
        </w:p>
      </w:tc>
      <w:tc>
        <w:tcPr>
          <w:tcW w:w="1953" w:type="pct"/>
          <w:tcBorders>
            <w:top w:val="single" w:sz="4" w:space="0" w:color="auto"/>
          </w:tcBorders>
        </w:tcPr>
        <w:p w14:paraId="6FC01560" w14:textId="15BDA12A" w:rsidR="00A86523" w:rsidRPr="007F2F8D" w:rsidRDefault="00EE6F8B" w:rsidP="00EE6F8B">
          <w:pPr>
            <w:tabs>
              <w:tab w:val="center" w:pos="2026"/>
              <w:tab w:val="left" w:pos="4096"/>
            </w:tabs>
            <w:spacing w:after="0" w:line="240" w:lineRule="auto"/>
            <w:ind w:left="-675"/>
            <w:jc w:val="center"/>
            <w:rPr>
              <w:sz w:val="20"/>
              <w:szCs w:val="20"/>
            </w:rPr>
          </w:pPr>
          <w:r>
            <w:rPr>
              <w:sz w:val="20"/>
              <w:szCs w:val="20"/>
            </w:rPr>
            <w:tab/>
            <w:t>Summary Record – OSPAR 2025</w:t>
          </w:r>
          <w:r w:rsidR="00A86523" w:rsidRPr="007F2F8D">
            <w:rPr>
              <w:sz w:val="20"/>
              <w:szCs w:val="20"/>
            </w:rPr>
            <w:tab/>
          </w:r>
        </w:p>
      </w:tc>
      <w:tc>
        <w:tcPr>
          <w:tcW w:w="1672" w:type="pct"/>
          <w:tcBorders>
            <w:top w:val="single" w:sz="4" w:space="0" w:color="auto"/>
          </w:tcBorders>
        </w:tcPr>
        <w:p w14:paraId="3700E548" w14:textId="57377204" w:rsidR="00A86523" w:rsidRPr="007F2F8D" w:rsidRDefault="00EE6F8B" w:rsidP="00EE6F8B">
          <w:pPr>
            <w:tabs>
              <w:tab w:val="left" w:pos="1292"/>
              <w:tab w:val="left" w:pos="1575"/>
            </w:tabs>
            <w:spacing w:after="0" w:line="240" w:lineRule="auto"/>
            <w:ind w:left="595"/>
            <w:jc w:val="right"/>
            <w:rPr>
              <w:sz w:val="20"/>
              <w:szCs w:val="20"/>
            </w:rPr>
          </w:pPr>
          <w:r>
            <w:rPr>
              <w:rFonts w:ascii="Calibri" w:eastAsia="Calibri" w:hAnsi="Calibri" w:cs="Times New Roman"/>
              <w:sz w:val="20"/>
              <w:szCs w:val="20"/>
            </w:rPr>
            <w:t xml:space="preserve">OSPAR 25/14/01, Annex </w:t>
          </w:r>
          <w:r w:rsidR="005124D9">
            <w:rPr>
              <w:rFonts w:ascii="Calibri" w:eastAsia="Calibri" w:hAnsi="Calibri" w:cs="Times New Roman"/>
              <w:sz w:val="20"/>
              <w:szCs w:val="20"/>
            </w:rPr>
            <w:t>8</w:t>
          </w:r>
        </w:p>
      </w:tc>
    </w:tr>
  </w:tbl>
  <w:p w14:paraId="17B1497A" w14:textId="388BE622" w:rsidR="00D441C2" w:rsidRDefault="00D441C2" w:rsidP="00814B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0626" w14:textId="77777777" w:rsidR="00CC6422" w:rsidRDefault="00CC6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5E87" w14:textId="77777777" w:rsidR="00846A9C" w:rsidRDefault="00846A9C">
      <w:pPr>
        <w:spacing w:after="0" w:line="240" w:lineRule="auto"/>
      </w:pPr>
      <w:r>
        <w:separator/>
      </w:r>
    </w:p>
  </w:footnote>
  <w:footnote w:type="continuationSeparator" w:id="0">
    <w:p w14:paraId="33C89847" w14:textId="77777777" w:rsidR="00846A9C" w:rsidRDefault="00846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0842" w14:textId="77777777" w:rsidR="00D441C2" w:rsidRPr="00414838" w:rsidRDefault="00D441C2" w:rsidP="00644069">
    <w:pPr>
      <w:pStyle w:val="Header"/>
    </w:pPr>
  </w:p>
  <w:p w14:paraId="0299D420" w14:textId="77777777" w:rsidR="00D441C2" w:rsidRDefault="00D441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62B9" w14:textId="77777777" w:rsidR="00D441C2" w:rsidRDefault="00D441C2">
    <w:pPr>
      <w:pStyle w:val="Header"/>
    </w:pPr>
  </w:p>
  <w:p w14:paraId="296FD015" w14:textId="77777777" w:rsidR="00D441C2" w:rsidRDefault="00D441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AB30" w14:textId="77777777" w:rsidR="00CC6422" w:rsidRDefault="00CC6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4DF"/>
    <w:multiLevelType w:val="hybridMultilevel"/>
    <w:tmpl w:val="D1C60E74"/>
    <w:lvl w:ilvl="0" w:tplc="6EAACDE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A9D"/>
    <w:multiLevelType w:val="hybridMultilevel"/>
    <w:tmpl w:val="50CC00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42A670C"/>
    <w:multiLevelType w:val="multilevel"/>
    <w:tmpl w:val="29DA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21506"/>
    <w:multiLevelType w:val="hybridMultilevel"/>
    <w:tmpl w:val="84508EEE"/>
    <w:lvl w:ilvl="0" w:tplc="4E268ED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00B64"/>
    <w:multiLevelType w:val="hybridMultilevel"/>
    <w:tmpl w:val="6770B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80100"/>
    <w:multiLevelType w:val="hybridMultilevel"/>
    <w:tmpl w:val="09F0AC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A2053"/>
    <w:multiLevelType w:val="hybridMultilevel"/>
    <w:tmpl w:val="B37E5A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5B6501"/>
    <w:multiLevelType w:val="hybridMultilevel"/>
    <w:tmpl w:val="8056FC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C67B0"/>
    <w:multiLevelType w:val="hybridMultilevel"/>
    <w:tmpl w:val="2F10D692"/>
    <w:lvl w:ilvl="0" w:tplc="E0D0116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623BC"/>
    <w:multiLevelType w:val="hybridMultilevel"/>
    <w:tmpl w:val="2B00E4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E338EC"/>
    <w:multiLevelType w:val="hybridMultilevel"/>
    <w:tmpl w:val="FAFC636E"/>
    <w:lvl w:ilvl="0" w:tplc="5A280348">
      <w:start w:val="1"/>
      <w:numFmt w:val="decimal"/>
      <w:lvlText w:val="8.%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633E7"/>
    <w:multiLevelType w:val="hybridMultilevel"/>
    <w:tmpl w:val="D5A8136A"/>
    <w:lvl w:ilvl="0" w:tplc="9C0E3A10">
      <w:start w:val="2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992B4F"/>
    <w:multiLevelType w:val="hybridMultilevel"/>
    <w:tmpl w:val="8272E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BA6F82"/>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372575"/>
    <w:multiLevelType w:val="hybridMultilevel"/>
    <w:tmpl w:val="D674AD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14318E"/>
    <w:multiLevelType w:val="hybridMultilevel"/>
    <w:tmpl w:val="695EBE7A"/>
    <w:lvl w:ilvl="0" w:tplc="E5FEFE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DB5062"/>
    <w:multiLevelType w:val="hybridMultilevel"/>
    <w:tmpl w:val="22FA4924"/>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545CE"/>
    <w:multiLevelType w:val="hybridMultilevel"/>
    <w:tmpl w:val="43965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12061D"/>
    <w:multiLevelType w:val="hybridMultilevel"/>
    <w:tmpl w:val="473C60C6"/>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31C5F"/>
    <w:multiLevelType w:val="hybridMultilevel"/>
    <w:tmpl w:val="395E36DE"/>
    <w:lvl w:ilvl="0" w:tplc="E936673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45C93"/>
    <w:multiLevelType w:val="hybridMultilevel"/>
    <w:tmpl w:val="CD3281D4"/>
    <w:lvl w:ilvl="0" w:tplc="485C80DC">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7E2D40"/>
    <w:multiLevelType w:val="hybridMultilevel"/>
    <w:tmpl w:val="89B20760"/>
    <w:lvl w:ilvl="0" w:tplc="98989ED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B4BEF"/>
    <w:multiLevelType w:val="hybridMultilevel"/>
    <w:tmpl w:val="FC5E477E"/>
    <w:lvl w:ilvl="0" w:tplc="94A4EE4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E106F0"/>
    <w:multiLevelType w:val="hybridMultilevel"/>
    <w:tmpl w:val="C4569926"/>
    <w:lvl w:ilvl="0" w:tplc="3AA66F2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C2AAB"/>
    <w:multiLevelType w:val="hybridMultilevel"/>
    <w:tmpl w:val="19B45D18"/>
    <w:lvl w:ilvl="0" w:tplc="730CFF7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A32632"/>
    <w:multiLevelType w:val="hybridMultilevel"/>
    <w:tmpl w:val="29C6DD2C"/>
    <w:lvl w:ilvl="0" w:tplc="32D22B30">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9150F9"/>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6742C0"/>
    <w:multiLevelType w:val="multilevel"/>
    <w:tmpl w:val="ABB029A4"/>
    <w:lvl w:ilvl="0">
      <w:start w:val="1"/>
      <w:numFmt w:val="decimal"/>
      <w:lvlText w:val="%1."/>
      <w:lvlJc w:val="left"/>
      <w:pPr>
        <w:ind w:left="717" w:hanging="360"/>
      </w:pPr>
    </w:lvl>
    <w:lvl w:ilvl="1">
      <w:start w:val="1"/>
      <w:numFmt w:val="decimal"/>
      <w:lvlText w:val="%1.%2."/>
      <w:lvlJc w:val="left"/>
      <w:pPr>
        <w:ind w:left="432" w:hanging="432"/>
      </w:pPr>
      <w:rPr>
        <w:b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8" w15:restartNumberingAfterBreak="0">
    <w:nsid w:val="6A8D70C5"/>
    <w:multiLevelType w:val="hybridMultilevel"/>
    <w:tmpl w:val="97C4C876"/>
    <w:lvl w:ilvl="0" w:tplc="848A391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55306"/>
    <w:multiLevelType w:val="hybridMultilevel"/>
    <w:tmpl w:val="DC542550"/>
    <w:lvl w:ilvl="0" w:tplc="08090019">
      <w:start w:val="1"/>
      <w:numFmt w:val="lowerLetter"/>
      <w:lvlText w:val="%1."/>
      <w:lvlJc w:val="left"/>
      <w:pPr>
        <w:ind w:left="1287" w:hanging="360"/>
      </w:pPr>
    </w:lvl>
    <w:lvl w:ilvl="1" w:tplc="0809001B">
      <w:start w:val="1"/>
      <w:numFmt w:val="lowerRoman"/>
      <w:lvlText w:val="%2."/>
      <w:lvlJc w:val="right"/>
      <w:pPr>
        <w:ind w:left="2007" w:hanging="360"/>
      </w:p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0" w15:restartNumberingAfterBreak="0">
    <w:nsid w:val="6E6018B9"/>
    <w:multiLevelType w:val="hybridMultilevel"/>
    <w:tmpl w:val="9C060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93F27"/>
    <w:multiLevelType w:val="hybridMultilevel"/>
    <w:tmpl w:val="D5E07B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755749F8"/>
    <w:multiLevelType w:val="hybridMultilevel"/>
    <w:tmpl w:val="41C20AFE"/>
    <w:lvl w:ilvl="0" w:tplc="730CFF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E57DB"/>
    <w:multiLevelType w:val="hybridMultilevel"/>
    <w:tmpl w:val="5CAC8590"/>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937567">
    <w:abstractNumId w:val="29"/>
  </w:num>
  <w:num w:numId="2" w16cid:durableId="311056738">
    <w:abstractNumId w:val="27"/>
  </w:num>
  <w:num w:numId="3" w16cid:durableId="1550261755">
    <w:abstractNumId w:val="20"/>
  </w:num>
  <w:num w:numId="4" w16cid:durableId="136840990">
    <w:abstractNumId w:val="12"/>
  </w:num>
  <w:num w:numId="5" w16cid:durableId="1721980400">
    <w:abstractNumId w:val="30"/>
  </w:num>
  <w:num w:numId="6" w16cid:durableId="238710511">
    <w:abstractNumId w:val="7"/>
  </w:num>
  <w:num w:numId="7" w16cid:durableId="887835061">
    <w:abstractNumId w:val="6"/>
  </w:num>
  <w:num w:numId="8" w16cid:durableId="929198973">
    <w:abstractNumId w:val="17"/>
  </w:num>
  <w:num w:numId="9" w16cid:durableId="554969439">
    <w:abstractNumId w:val="26"/>
  </w:num>
  <w:num w:numId="10" w16cid:durableId="1779639934">
    <w:abstractNumId w:val="13"/>
  </w:num>
  <w:num w:numId="11" w16cid:durableId="1310982950">
    <w:abstractNumId w:val="3"/>
  </w:num>
  <w:num w:numId="12" w16cid:durableId="1943947988">
    <w:abstractNumId w:val="19"/>
  </w:num>
  <w:num w:numId="13" w16cid:durableId="1503007742">
    <w:abstractNumId w:val="24"/>
  </w:num>
  <w:num w:numId="14" w16cid:durableId="138235809">
    <w:abstractNumId w:val="23"/>
  </w:num>
  <w:num w:numId="15" w16cid:durableId="1210797554">
    <w:abstractNumId w:val="21"/>
  </w:num>
  <w:num w:numId="16" w16cid:durableId="503397004">
    <w:abstractNumId w:val="32"/>
  </w:num>
  <w:num w:numId="17" w16cid:durableId="1989555311">
    <w:abstractNumId w:val="25"/>
  </w:num>
  <w:num w:numId="18" w16cid:durableId="625279668">
    <w:abstractNumId w:val="8"/>
  </w:num>
  <w:num w:numId="19" w16cid:durableId="1730806691">
    <w:abstractNumId w:val="10"/>
  </w:num>
  <w:num w:numId="20" w16cid:durableId="126820800">
    <w:abstractNumId w:val="33"/>
  </w:num>
  <w:num w:numId="21" w16cid:durableId="2048721180">
    <w:abstractNumId w:val="18"/>
  </w:num>
  <w:num w:numId="22" w16cid:durableId="1949197000">
    <w:abstractNumId w:val="22"/>
  </w:num>
  <w:num w:numId="23" w16cid:durableId="1549563681">
    <w:abstractNumId w:val="0"/>
  </w:num>
  <w:num w:numId="24" w16cid:durableId="513812479">
    <w:abstractNumId w:val="16"/>
  </w:num>
  <w:num w:numId="25" w16cid:durableId="367992682">
    <w:abstractNumId w:val="28"/>
  </w:num>
  <w:num w:numId="26" w16cid:durableId="639775306">
    <w:abstractNumId w:val="4"/>
  </w:num>
  <w:num w:numId="27" w16cid:durableId="604574757">
    <w:abstractNumId w:val="14"/>
  </w:num>
  <w:num w:numId="28" w16cid:durableId="714044078">
    <w:abstractNumId w:val="31"/>
  </w:num>
  <w:num w:numId="29" w16cid:durableId="1380668508">
    <w:abstractNumId w:val="1"/>
  </w:num>
  <w:num w:numId="30" w16cid:durableId="213664942">
    <w:abstractNumId w:val="2"/>
  </w:num>
  <w:num w:numId="31" w16cid:durableId="1028219647">
    <w:abstractNumId w:val="15"/>
  </w:num>
  <w:num w:numId="32" w16cid:durableId="1445610871">
    <w:abstractNumId w:val="11"/>
  </w:num>
  <w:num w:numId="33" w16cid:durableId="731463574">
    <w:abstractNumId w:val="9"/>
  </w:num>
  <w:num w:numId="34" w16cid:durableId="1213078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67"/>
    <w:rsid w:val="00000063"/>
    <w:rsid w:val="000008A6"/>
    <w:rsid w:val="00002404"/>
    <w:rsid w:val="0000652A"/>
    <w:rsid w:val="0000755D"/>
    <w:rsid w:val="0003172A"/>
    <w:rsid w:val="00044D6A"/>
    <w:rsid w:val="0005025E"/>
    <w:rsid w:val="000660C7"/>
    <w:rsid w:val="00075671"/>
    <w:rsid w:val="00095A71"/>
    <w:rsid w:val="000A34FA"/>
    <w:rsid w:val="000A3863"/>
    <w:rsid w:val="000A4371"/>
    <w:rsid w:val="000A49BE"/>
    <w:rsid w:val="000B0561"/>
    <w:rsid w:val="000B4BC4"/>
    <w:rsid w:val="000B7973"/>
    <w:rsid w:val="000D351D"/>
    <w:rsid w:val="000E4C69"/>
    <w:rsid w:val="000E56AC"/>
    <w:rsid w:val="000F15FD"/>
    <w:rsid w:val="000F3490"/>
    <w:rsid w:val="001142E4"/>
    <w:rsid w:val="00132581"/>
    <w:rsid w:val="001361C6"/>
    <w:rsid w:val="0015137B"/>
    <w:rsid w:val="0015265A"/>
    <w:rsid w:val="0015535F"/>
    <w:rsid w:val="001558A3"/>
    <w:rsid w:val="00155E9B"/>
    <w:rsid w:val="001577D1"/>
    <w:rsid w:val="00161F07"/>
    <w:rsid w:val="001706AF"/>
    <w:rsid w:val="00171474"/>
    <w:rsid w:val="00184048"/>
    <w:rsid w:val="00192877"/>
    <w:rsid w:val="00194344"/>
    <w:rsid w:val="00195860"/>
    <w:rsid w:val="001A66C0"/>
    <w:rsid w:val="001B0C9C"/>
    <w:rsid w:val="001B11E9"/>
    <w:rsid w:val="001C6C34"/>
    <w:rsid w:val="001D02DB"/>
    <w:rsid w:val="001D1E8F"/>
    <w:rsid w:val="001D6797"/>
    <w:rsid w:val="001D7493"/>
    <w:rsid w:val="001E00F4"/>
    <w:rsid w:val="001E565D"/>
    <w:rsid w:val="001E7695"/>
    <w:rsid w:val="001F2312"/>
    <w:rsid w:val="00210AE1"/>
    <w:rsid w:val="0022321D"/>
    <w:rsid w:val="00226352"/>
    <w:rsid w:val="00226ED8"/>
    <w:rsid w:val="00231122"/>
    <w:rsid w:val="00233439"/>
    <w:rsid w:val="002376FE"/>
    <w:rsid w:val="00242D67"/>
    <w:rsid w:val="00255CDF"/>
    <w:rsid w:val="00267B5A"/>
    <w:rsid w:val="00272A67"/>
    <w:rsid w:val="00272AB7"/>
    <w:rsid w:val="00274D90"/>
    <w:rsid w:val="00276D8C"/>
    <w:rsid w:val="0027765B"/>
    <w:rsid w:val="00281858"/>
    <w:rsid w:val="00284B4D"/>
    <w:rsid w:val="00285B5D"/>
    <w:rsid w:val="002925D2"/>
    <w:rsid w:val="002A1220"/>
    <w:rsid w:val="002B09C6"/>
    <w:rsid w:val="002B276C"/>
    <w:rsid w:val="002B2FF5"/>
    <w:rsid w:val="002C0B9B"/>
    <w:rsid w:val="002C7EFD"/>
    <w:rsid w:val="002E3495"/>
    <w:rsid w:val="002E5F22"/>
    <w:rsid w:val="002F21B1"/>
    <w:rsid w:val="002F23A9"/>
    <w:rsid w:val="003030D1"/>
    <w:rsid w:val="00304F1D"/>
    <w:rsid w:val="00305CA9"/>
    <w:rsid w:val="00310973"/>
    <w:rsid w:val="00314194"/>
    <w:rsid w:val="003157DC"/>
    <w:rsid w:val="003307C0"/>
    <w:rsid w:val="00333834"/>
    <w:rsid w:val="00336044"/>
    <w:rsid w:val="0034379C"/>
    <w:rsid w:val="00346977"/>
    <w:rsid w:val="00350C6A"/>
    <w:rsid w:val="003510C2"/>
    <w:rsid w:val="00377E09"/>
    <w:rsid w:val="003851F2"/>
    <w:rsid w:val="00390AC7"/>
    <w:rsid w:val="003A01D7"/>
    <w:rsid w:val="003A54C0"/>
    <w:rsid w:val="003A64F1"/>
    <w:rsid w:val="003B3DBE"/>
    <w:rsid w:val="003C4DD5"/>
    <w:rsid w:val="003D7AD9"/>
    <w:rsid w:val="003E2C56"/>
    <w:rsid w:val="003E318E"/>
    <w:rsid w:val="003F2411"/>
    <w:rsid w:val="003F7278"/>
    <w:rsid w:val="00403D89"/>
    <w:rsid w:val="004052B8"/>
    <w:rsid w:val="00410959"/>
    <w:rsid w:val="004132F3"/>
    <w:rsid w:val="0041389D"/>
    <w:rsid w:val="0041680C"/>
    <w:rsid w:val="004178B9"/>
    <w:rsid w:val="0042130C"/>
    <w:rsid w:val="00421F82"/>
    <w:rsid w:val="00431157"/>
    <w:rsid w:val="00436AFF"/>
    <w:rsid w:val="004434AD"/>
    <w:rsid w:val="0045217E"/>
    <w:rsid w:val="00454A1F"/>
    <w:rsid w:val="00456195"/>
    <w:rsid w:val="0046081D"/>
    <w:rsid w:val="00462169"/>
    <w:rsid w:val="0046520E"/>
    <w:rsid w:val="0047154D"/>
    <w:rsid w:val="004718AE"/>
    <w:rsid w:val="00476DA7"/>
    <w:rsid w:val="00482A30"/>
    <w:rsid w:val="00486B4D"/>
    <w:rsid w:val="00493D77"/>
    <w:rsid w:val="00494408"/>
    <w:rsid w:val="004B04CA"/>
    <w:rsid w:val="004B2FCB"/>
    <w:rsid w:val="004B5C4E"/>
    <w:rsid w:val="004B7BC2"/>
    <w:rsid w:val="004C74DD"/>
    <w:rsid w:val="004D50F6"/>
    <w:rsid w:val="004E6801"/>
    <w:rsid w:val="004E7EBD"/>
    <w:rsid w:val="004F4BE9"/>
    <w:rsid w:val="004F6128"/>
    <w:rsid w:val="0050125B"/>
    <w:rsid w:val="00501C4C"/>
    <w:rsid w:val="00501CEF"/>
    <w:rsid w:val="005124D9"/>
    <w:rsid w:val="005176C6"/>
    <w:rsid w:val="00530683"/>
    <w:rsid w:val="00533F75"/>
    <w:rsid w:val="005507B8"/>
    <w:rsid w:val="005742C6"/>
    <w:rsid w:val="005810E5"/>
    <w:rsid w:val="005857CE"/>
    <w:rsid w:val="00586BCA"/>
    <w:rsid w:val="00587A95"/>
    <w:rsid w:val="00593039"/>
    <w:rsid w:val="005945BD"/>
    <w:rsid w:val="0059462F"/>
    <w:rsid w:val="005966EC"/>
    <w:rsid w:val="005A4F19"/>
    <w:rsid w:val="005B2177"/>
    <w:rsid w:val="005C5428"/>
    <w:rsid w:val="005D1842"/>
    <w:rsid w:val="005D5275"/>
    <w:rsid w:val="005E30D2"/>
    <w:rsid w:val="005E31D5"/>
    <w:rsid w:val="005E3467"/>
    <w:rsid w:val="005E704B"/>
    <w:rsid w:val="005F2B25"/>
    <w:rsid w:val="005F2F9F"/>
    <w:rsid w:val="006017F3"/>
    <w:rsid w:val="00604A5A"/>
    <w:rsid w:val="006108FD"/>
    <w:rsid w:val="00614F56"/>
    <w:rsid w:val="00620BFB"/>
    <w:rsid w:val="00623B28"/>
    <w:rsid w:val="00644069"/>
    <w:rsid w:val="006454D2"/>
    <w:rsid w:val="006545C9"/>
    <w:rsid w:val="00655D03"/>
    <w:rsid w:val="00655F5A"/>
    <w:rsid w:val="00656054"/>
    <w:rsid w:val="00675CBC"/>
    <w:rsid w:val="006820A8"/>
    <w:rsid w:val="0068336F"/>
    <w:rsid w:val="006A6627"/>
    <w:rsid w:val="006B6936"/>
    <w:rsid w:val="006B7E18"/>
    <w:rsid w:val="006C7A3B"/>
    <w:rsid w:val="006D632F"/>
    <w:rsid w:val="006E114E"/>
    <w:rsid w:val="006F35D1"/>
    <w:rsid w:val="006F5FAF"/>
    <w:rsid w:val="00702BB6"/>
    <w:rsid w:val="00710B3A"/>
    <w:rsid w:val="0071504A"/>
    <w:rsid w:val="00721602"/>
    <w:rsid w:val="0072412A"/>
    <w:rsid w:val="00732026"/>
    <w:rsid w:val="007428E1"/>
    <w:rsid w:val="007453B3"/>
    <w:rsid w:val="00751FDB"/>
    <w:rsid w:val="00753A2F"/>
    <w:rsid w:val="007544BF"/>
    <w:rsid w:val="00763CB6"/>
    <w:rsid w:val="00764604"/>
    <w:rsid w:val="00767659"/>
    <w:rsid w:val="00767890"/>
    <w:rsid w:val="007730A7"/>
    <w:rsid w:val="00782F01"/>
    <w:rsid w:val="00786C3D"/>
    <w:rsid w:val="0079059C"/>
    <w:rsid w:val="007A7407"/>
    <w:rsid w:val="007B2069"/>
    <w:rsid w:val="007B6EF5"/>
    <w:rsid w:val="007B77FC"/>
    <w:rsid w:val="007C2D61"/>
    <w:rsid w:val="007C46E6"/>
    <w:rsid w:val="007D2F4D"/>
    <w:rsid w:val="007D3EA9"/>
    <w:rsid w:val="007E5094"/>
    <w:rsid w:val="007F2512"/>
    <w:rsid w:val="00814B8B"/>
    <w:rsid w:val="008165BC"/>
    <w:rsid w:val="00817CC8"/>
    <w:rsid w:val="008228A1"/>
    <w:rsid w:val="00827B57"/>
    <w:rsid w:val="0084274F"/>
    <w:rsid w:val="008434DA"/>
    <w:rsid w:val="00843564"/>
    <w:rsid w:val="0084366E"/>
    <w:rsid w:val="008463A4"/>
    <w:rsid w:val="00846A9C"/>
    <w:rsid w:val="00854777"/>
    <w:rsid w:val="00867060"/>
    <w:rsid w:val="0087750A"/>
    <w:rsid w:val="00882D21"/>
    <w:rsid w:val="00885AF2"/>
    <w:rsid w:val="00893C41"/>
    <w:rsid w:val="00897F80"/>
    <w:rsid w:val="008A6430"/>
    <w:rsid w:val="008A6952"/>
    <w:rsid w:val="008B46E5"/>
    <w:rsid w:val="008C4FF3"/>
    <w:rsid w:val="008C6C86"/>
    <w:rsid w:val="008C73D8"/>
    <w:rsid w:val="008D0BA6"/>
    <w:rsid w:val="008E3F79"/>
    <w:rsid w:val="008E5E77"/>
    <w:rsid w:val="00915FEC"/>
    <w:rsid w:val="00916350"/>
    <w:rsid w:val="00921676"/>
    <w:rsid w:val="00922273"/>
    <w:rsid w:val="009248A2"/>
    <w:rsid w:val="00924F0E"/>
    <w:rsid w:val="009328A7"/>
    <w:rsid w:val="0096232F"/>
    <w:rsid w:val="00963972"/>
    <w:rsid w:val="0096607F"/>
    <w:rsid w:val="00967D1B"/>
    <w:rsid w:val="00973E39"/>
    <w:rsid w:val="00974B1E"/>
    <w:rsid w:val="009751E8"/>
    <w:rsid w:val="0097550C"/>
    <w:rsid w:val="009930DB"/>
    <w:rsid w:val="009957ED"/>
    <w:rsid w:val="009A6770"/>
    <w:rsid w:val="009B18D0"/>
    <w:rsid w:val="009C1F9C"/>
    <w:rsid w:val="009C6549"/>
    <w:rsid w:val="009C7FF6"/>
    <w:rsid w:val="009D0BED"/>
    <w:rsid w:val="009E0E53"/>
    <w:rsid w:val="009E48E5"/>
    <w:rsid w:val="009E4EF9"/>
    <w:rsid w:val="00A141BD"/>
    <w:rsid w:val="00A372BB"/>
    <w:rsid w:val="00A4424E"/>
    <w:rsid w:val="00A57CF5"/>
    <w:rsid w:val="00A7546B"/>
    <w:rsid w:val="00A8197C"/>
    <w:rsid w:val="00A8222E"/>
    <w:rsid w:val="00A847CD"/>
    <w:rsid w:val="00A86523"/>
    <w:rsid w:val="00A977E6"/>
    <w:rsid w:val="00AA21A1"/>
    <w:rsid w:val="00AA4DE0"/>
    <w:rsid w:val="00AB0D0F"/>
    <w:rsid w:val="00AC0C1E"/>
    <w:rsid w:val="00AD1CBE"/>
    <w:rsid w:val="00AD7DA3"/>
    <w:rsid w:val="00AE1CC4"/>
    <w:rsid w:val="00AE266A"/>
    <w:rsid w:val="00AE2EC9"/>
    <w:rsid w:val="00AF0D8F"/>
    <w:rsid w:val="00B1633D"/>
    <w:rsid w:val="00B20A66"/>
    <w:rsid w:val="00B226EE"/>
    <w:rsid w:val="00B227A4"/>
    <w:rsid w:val="00B2403A"/>
    <w:rsid w:val="00B250E8"/>
    <w:rsid w:val="00B3065B"/>
    <w:rsid w:val="00B36158"/>
    <w:rsid w:val="00B4417B"/>
    <w:rsid w:val="00B4445A"/>
    <w:rsid w:val="00B47C93"/>
    <w:rsid w:val="00B7223A"/>
    <w:rsid w:val="00B72EB4"/>
    <w:rsid w:val="00B875B6"/>
    <w:rsid w:val="00B8760A"/>
    <w:rsid w:val="00BB45BB"/>
    <w:rsid w:val="00BC06F9"/>
    <w:rsid w:val="00BE0874"/>
    <w:rsid w:val="00BE2924"/>
    <w:rsid w:val="00BE6AF7"/>
    <w:rsid w:val="00BF7BA3"/>
    <w:rsid w:val="00C065C9"/>
    <w:rsid w:val="00C11E88"/>
    <w:rsid w:val="00C152DD"/>
    <w:rsid w:val="00C24FA5"/>
    <w:rsid w:val="00C33ECF"/>
    <w:rsid w:val="00C41102"/>
    <w:rsid w:val="00C53438"/>
    <w:rsid w:val="00C617CF"/>
    <w:rsid w:val="00C67EDA"/>
    <w:rsid w:val="00C72440"/>
    <w:rsid w:val="00C745AE"/>
    <w:rsid w:val="00C75CE6"/>
    <w:rsid w:val="00C956E3"/>
    <w:rsid w:val="00C973BA"/>
    <w:rsid w:val="00CA21B4"/>
    <w:rsid w:val="00CC5CCF"/>
    <w:rsid w:val="00CC6422"/>
    <w:rsid w:val="00CC7F6B"/>
    <w:rsid w:val="00CD2F5C"/>
    <w:rsid w:val="00CD493D"/>
    <w:rsid w:val="00CD6FB8"/>
    <w:rsid w:val="00CD7B69"/>
    <w:rsid w:val="00CE023A"/>
    <w:rsid w:val="00CE42A1"/>
    <w:rsid w:val="00CF6E94"/>
    <w:rsid w:val="00D0065F"/>
    <w:rsid w:val="00D0510B"/>
    <w:rsid w:val="00D053DB"/>
    <w:rsid w:val="00D06AC0"/>
    <w:rsid w:val="00D07116"/>
    <w:rsid w:val="00D121AA"/>
    <w:rsid w:val="00D30A18"/>
    <w:rsid w:val="00D41A55"/>
    <w:rsid w:val="00D441C2"/>
    <w:rsid w:val="00D445C1"/>
    <w:rsid w:val="00D47847"/>
    <w:rsid w:val="00D60301"/>
    <w:rsid w:val="00D63313"/>
    <w:rsid w:val="00D65421"/>
    <w:rsid w:val="00D654BF"/>
    <w:rsid w:val="00D86154"/>
    <w:rsid w:val="00D87E5D"/>
    <w:rsid w:val="00D93B77"/>
    <w:rsid w:val="00DB5BB9"/>
    <w:rsid w:val="00DD1AFF"/>
    <w:rsid w:val="00DE2228"/>
    <w:rsid w:val="00DF40A6"/>
    <w:rsid w:val="00E04D49"/>
    <w:rsid w:val="00E0599B"/>
    <w:rsid w:val="00E14723"/>
    <w:rsid w:val="00E14FFD"/>
    <w:rsid w:val="00E27202"/>
    <w:rsid w:val="00E4549B"/>
    <w:rsid w:val="00E46ABC"/>
    <w:rsid w:val="00E54224"/>
    <w:rsid w:val="00E54463"/>
    <w:rsid w:val="00E5589B"/>
    <w:rsid w:val="00E57DBF"/>
    <w:rsid w:val="00E727ED"/>
    <w:rsid w:val="00E737A9"/>
    <w:rsid w:val="00E778D4"/>
    <w:rsid w:val="00EA4552"/>
    <w:rsid w:val="00EB4047"/>
    <w:rsid w:val="00EB4BFE"/>
    <w:rsid w:val="00EC3990"/>
    <w:rsid w:val="00EC4403"/>
    <w:rsid w:val="00EC7005"/>
    <w:rsid w:val="00EE0716"/>
    <w:rsid w:val="00EE2688"/>
    <w:rsid w:val="00EE6F8B"/>
    <w:rsid w:val="00EF0A7E"/>
    <w:rsid w:val="00EF3306"/>
    <w:rsid w:val="00EF4D83"/>
    <w:rsid w:val="00EF5205"/>
    <w:rsid w:val="00EF7AA4"/>
    <w:rsid w:val="00EF7C1D"/>
    <w:rsid w:val="00EF7C64"/>
    <w:rsid w:val="00F21913"/>
    <w:rsid w:val="00F231F7"/>
    <w:rsid w:val="00F31F57"/>
    <w:rsid w:val="00F32D8E"/>
    <w:rsid w:val="00F35BCA"/>
    <w:rsid w:val="00F36D50"/>
    <w:rsid w:val="00F4024B"/>
    <w:rsid w:val="00F451FF"/>
    <w:rsid w:val="00F4744B"/>
    <w:rsid w:val="00F51A09"/>
    <w:rsid w:val="00F64349"/>
    <w:rsid w:val="00F74A86"/>
    <w:rsid w:val="00F752F8"/>
    <w:rsid w:val="00F766E6"/>
    <w:rsid w:val="00F83E97"/>
    <w:rsid w:val="00F87CA4"/>
    <w:rsid w:val="00F9013D"/>
    <w:rsid w:val="00FA51D5"/>
    <w:rsid w:val="00FB045D"/>
    <w:rsid w:val="00FB45B9"/>
    <w:rsid w:val="00FB7A43"/>
    <w:rsid w:val="00FC1457"/>
    <w:rsid w:val="00FD4D09"/>
    <w:rsid w:val="00FE608F"/>
    <w:rsid w:val="00FE685B"/>
    <w:rsid w:val="00FE73F5"/>
    <w:rsid w:val="00FF53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50276"/>
  <w15:docId w15:val="{7A8FF8B7-9BA1-481E-A7F5-BED59944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88"/>
    <w:pPr>
      <w:spacing w:after="120"/>
      <w:jc w:val="both"/>
    </w:pPr>
  </w:style>
  <w:style w:type="paragraph" w:styleId="Heading1">
    <w:name w:val="heading 1"/>
    <w:basedOn w:val="Normal"/>
    <w:next w:val="Normal"/>
    <w:link w:val="Heading1Char"/>
    <w:uiPriority w:val="9"/>
    <w:qFormat/>
    <w:rsid w:val="00E778D4"/>
    <w:pPr>
      <w:spacing w:before="200"/>
      <w:outlineLvl w:val="0"/>
    </w:pPr>
    <w:rPr>
      <w:rFonts w:ascii="Calibri" w:hAnsi="Calibri" w:cs="Arial"/>
      <w:kern w:val="28"/>
      <w:sz w:val="26"/>
      <w:szCs w:val="26"/>
    </w:rPr>
  </w:style>
  <w:style w:type="paragraph" w:styleId="Heading2">
    <w:name w:val="heading 2"/>
    <w:basedOn w:val="Normal"/>
    <w:next w:val="BodyText"/>
    <w:link w:val="Heading2Char"/>
    <w:qFormat/>
    <w:rsid w:val="00E54224"/>
    <w:pPr>
      <w:spacing w:before="240" w:line="240" w:lineRule="atLeast"/>
      <w:outlineLvl w:val="1"/>
    </w:pPr>
    <w:rPr>
      <w:rFonts w:ascii="Calibri" w:hAnsi="Calibri" w:cs="Arial"/>
      <w:b/>
    </w:rPr>
  </w:style>
  <w:style w:type="paragraph" w:styleId="Heading3">
    <w:name w:val="heading 3"/>
    <w:basedOn w:val="Normal"/>
    <w:next w:val="Normal"/>
    <w:link w:val="Heading3Char"/>
    <w:uiPriority w:val="9"/>
    <w:unhideWhenUsed/>
    <w:qFormat/>
    <w:rsid w:val="00EF3306"/>
    <w:pPr>
      <w:outlineLvl w:val="2"/>
    </w:pPr>
    <w:rPr>
      <w:rFonts w:ascii="Calibri" w:eastAsia="Calibri" w:hAnsi="Calibri"/>
      <w:i/>
    </w:rPr>
  </w:style>
  <w:style w:type="paragraph" w:styleId="Heading4">
    <w:name w:val="heading 4"/>
    <w:basedOn w:val="Normal"/>
    <w:next w:val="Normal"/>
    <w:link w:val="Heading4Char"/>
    <w:uiPriority w:val="9"/>
    <w:semiHidden/>
    <w:unhideWhenUsed/>
    <w:qFormat/>
    <w:rsid w:val="007678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4224"/>
    <w:rPr>
      <w:rFonts w:ascii="Calibri" w:hAnsi="Calibri" w:cs="Arial"/>
      <w:b/>
    </w:rPr>
  </w:style>
  <w:style w:type="paragraph" w:styleId="Header">
    <w:name w:val="header"/>
    <w:aliases w:val="Header1"/>
    <w:basedOn w:val="Normal"/>
    <w:link w:val="HeaderChar"/>
    <w:rsid w:val="005E3467"/>
    <w:pPr>
      <w:tabs>
        <w:tab w:val="center" w:pos="4320"/>
        <w:tab w:val="right" w:pos="8640"/>
      </w:tabs>
    </w:pPr>
    <w:rPr>
      <w:rFonts w:ascii="Calibri" w:eastAsia="Times New Roman" w:hAnsi="Calibri" w:cs="Times New Roman"/>
      <w:szCs w:val="20"/>
      <w:lang w:eastAsia="en-GB"/>
    </w:rPr>
  </w:style>
  <w:style w:type="character" w:customStyle="1" w:styleId="HeaderChar">
    <w:name w:val="Header Char"/>
    <w:aliases w:val="Header1 Char"/>
    <w:basedOn w:val="DefaultParagraphFont"/>
    <w:link w:val="Header"/>
    <w:rsid w:val="005E3467"/>
    <w:rPr>
      <w:rFonts w:ascii="Calibri" w:eastAsia="Times New Roman" w:hAnsi="Calibri" w:cs="Times New Roman"/>
      <w:szCs w:val="20"/>
      <w:lang w:eastAsia="en-GB"/>
    </w:rPr>
  </w:style>
  <w:style w:type="paragraph" w:styleId="Footer">
    <w:name w:val="footer"/>
    <w:aliases w:val="Footer1"/>
    <w:basedOn w:val="Normal"/>
    <w:link w:val="FooterChar"/>
    <w:uiPriority w:val="99"/>
    <w:rsid w:val="005E3467"/>
    <w:rPr>
      <w:rFonts w:ascii="Calibri" w:eastAsia="Times New Roman" w:hAnsi="Calibri" w:cs="Times New Roman"/>
      <w:szCs w:val="20"/>
      <w:lang w:eastAsia="en-GB"/>
    </w:rPr>
  </w:style>
  <w:style w:type="character" w:customStyle="1" w:styleId="FooterChar">
    <w:name w:val="Footer Char"/>
    <w:aliases w:val="Footer1 Char"/>
    <w:basedOn w:val="DefaultParagraphFont"/>
    <w:link w:val="Footer"/>
    <w:uiPriority w:val="99"/>
    <w:rsid w:val="005E3467"/>
    <w:rPr>
      <w:rFonts w:ascii="Calibri" w:eastAsia="Times New Roman" w:hAnsi="Calibri" w:cs="Times New Roman"/>
      <w:szCs w:val="20"/>
      <w:lang w:eastAsia="en-GB"/>
    </w:rPr>
  </w:style>
  <w:style w:type="character" w:styleId="PageNumber">
    <w:name w:val="page number"/>
    <w:basedOn w:val="DefaultParagraphFont"/>
    <w:rsid w:val="005E3467"/>
  </w:style>
  <w:style w:type="paragraph" w:styleId="Title">
    <w:name w:val="Title"/>
    <w:basedOn w:val="Normal"/>
    <w:link w:val="TitleChar"/>
    <w:qFormat/>
    <w:rsid w:val="00C11E88"/>
    <w:pPr>
      <w:spacing w:before="240" w:after="240"/>
      <w:outlineLvl w:val="0"/>
    </w:pPr>
    <w:rPr>
      <w:rFonts w:ascii="Calibri" w:hAnsi="Calibri" w:cs="Arial"/>
      <w:kern w:val="28"/>
      <w:sz w:val="40"/>
    </w:rPr>
  </w:style>
  <w:style w:type="character" w:customStyle="1" w:styleId="TitleChar">
    <w:name w:val="Title Char"/>
    <w:basedOn w:val="DefaultParagraphFont"/>
    <w:link w:val="Title"/>
    <w:rsid w:val="00C11E88"/>
    <w:rPr>
      <w:rFonts w:ascii="Calibri" w:hAnsi="Calibri" w:cs="Arial"/>
      <w:kern w:val="28"/>
      <w:sz w:val="40"/>
    </w:rPr>
  </w:style>
  <w:style w:type="paragraph" w:customStyle="1" w:styleId="Docheader">
    <w:name w:val="Doc header"/>
    <w:basedOn w:val="Normal"/>
    <w:rsid w:val="005E3467"/>
    <w:pPr>
      <w:tabs>
        <w:tab w:val="left" w:pos="567"/>
      </w:tabs>
      <w:spacing w:line="280" w:lineRule="exact"/>
    </w:pPr>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5E3467"/>
  </w:style>
  <w:style w:type="character" w:customStyle="1" w:styleId="BodyTextChar">
    <w:name w:val="Body Text Char"/>
    <w:basedOn w:val="DefaultParagraphFont"/>
    <w:link w:val="BodyText"/>
    <w:uiPriority w:val="99"/>
    <w:semiHidden/>
    <w:rsid w:val="005E3467"/>
  </w:style>
  <w:style w:type="character" w:customStyle="1" w:styleId="Heading1Char">
    <w:name w:val="Heading 1 Char"/>
    <w:basedOn w:val="DefaultParagraphFont"/>
    <w:link w:val="Heading1"/>
    <w:uiPriority w:val="9"/>
    <w:rsid w:val="00E778D4"/>
    <w:rPr>
      <w:rFonts w:ascii="Calibri" w:hAnsi="Calibri" w:cs="Arial"/>
      <w:kern w:val="28"/>
      <w:sz w:val="26"/>
      <w:szCs w:val="26"/>
    </w:rPr>
  </w:style>
  <w:style w:type="paragraph" w:styleId="ListParagraph">
    <w:name w:val="List Paragraph"/>
    <w:aliases w:val="_Bullet,Heading 2_sj,List Paragraph1,Listenabsatz1,Normal bullet 2,Bullet list,Dot pt,Parágrafo da Lista,Liststycke,No Spacing1,List Paragraph Char Char Char,Indicator Text,Numbered Para 1,Bullet 1,Bullet Points,MAIN CONTENT,Listeavsnitt"/>
    <w:basedOn w:val="Normal"/>
    <w:link w:val="ListParagraphChar"/>
    <w:uiPriority w:val="34"/>
    <w:qFormat/>
    <w:rsid w:val="00C67EDA"/>
    <w:pPr>
      <w:numPr>
        <w:numId w:val="3"/>
      </w:numPr>
      <w:tabs>
        <w:tab w:val="left" w:pos="567"/>
      </w:tabs>
      <w:spacing w:before="120"/>
      <w:ind w:left="0" w:firstLine="0"/>
    </w:pPr>
    <w:rPr>
      <w:rFonts w:cs="Arial"/>
    </w:rPr>
  </w:style>
  <w:style w:type="character" w:styleId="Hyperlink">
    <w:name w:val="Hyperlink"/>
    <w:uiPriority w:val="99"/>
    <w:rsid w:val="00C11E88"/>
    <w:rPr>
      <w:rFonts w:ascii="Arial" w:hAnsi="Arial"/>
      <w:color w:val="16288E"/>
      <w:u w:val="none"/>
    </w:rPr>
  </w:style>
  <w:style w:type="paragraph" w:styleId="NoSpacing">
    <w:name w:val="No Spacing"/>
    <w:uiPriority w:val="1"/>
    <w:qFormat/>
    <w:rsid w:val="00C11E88"/>
    <w:pPr>
      <w:spacing w:after="0" w:line="240" w:lineRule="auto"/>
    </w:pPr>
    <w:rPr>
      <w:rFonts w:ascii="Calibri" w:eastAsia="Times New Roman" w:hAnsi="Calibri" w:cs="Times New Roman"/>
      <w:lang w:eastAsia="en-GB"/>
    </w:rPr>
  </w:style>
  <w:style w:type="paragraph" w:styleId="PlainText">
    <w:name w:val="Plain Text"/>
    <w:basedOn w:val="Normal"/>
    <w:link w:val="PlainTextChar"/>
    <w:uiPriority w:val="99"/>
    <w:rsid w:val="00C11E88"/>
    <w:pPr>
      <w:spacing w:after="0" w:line="240" w:lineRule="auto"/>
      <w:jc w:val="left"/>
    </w:pPr>
    <w:rPr>
      <w:rFonts w:ascii="Calibri" w:eastAsia="Times New Roman" w:hAnsi="Calibri" w:cs="Times New Roman"/>
      <w:szCs w:val="21"/>
      <w:lang w:val="es-ES"/>
    </w:rPr>
  </w:style>
  <w:style w:type="character" w:customStyle="1" w:styleId="PlainTextChar">
    <w:name w:val="Plain Text Char"/>
    <w:basedOn w:val="DefaultParagraphFont"/>
    <w:link w:val="PlainText"/>
    <w:uiPriority w:val="99"/>
    <w:rsid w:val="00C11E88"/>
    <w:rPr>
      <w:rFonts w:ascii="Calibri" w:eastAsia="Times New Roman" w:hAnsi="Calibri" w:cs="Times New Roman"/>
      <w:szCs w:val="21"/>
      <w:lang w:val="es-ES"/>
    </w:rPr>
  </w:style>
  <w:style w:type="character" w:customStyle="1" w:styleId="Heading3Char">
    <w:name w:val="Heading 3 Char"/>
    <w:basedOn w:val="DefaultParagraphFont"/>
    <w:link w:val="Heading3"/>
    <w:uiPriority w:val="9"/>
    <w:rsid w:val="00EF3306"/>
    <w:rPr>
      <w:rFonts w:ascii="Calibri" w:eastAsia="Calibri" w:hAnsi="Calibri"/>
      <w:i/>
    </w:rPr>
  </w:style>
  <w:style w:type="paragraph" w:styleId="BalloonText">
    <w:name w:val="Balloon Text"/>
    <w:basedOn w:val="Normal"/>
    <w:link w:val="BalloonTextChar"/>
    <w:uiPriority w:val="99"/>
    <w:semiHidden/>
    <w:unhideWhenUsed/>
    <w:rsid w:val="003A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F1"/>
    <w:rPr>
      <w:rFonts w:ascii="Tahoma" w:hAnsi="Tahoma" w:cs="Tahoma"/>
      <w:sz w:val="16"/>
      <w:szCs w:val="16"/>
    </w:rPr>
  </w:style>
  <w:style w:type="character" w:styleId="CommentReference">
    <w:name w:val="annotation reference"/>
    <w:basedOn w:val="DefaultParagraphFont"/>
    <w:uiPriority w:val="99"/>
    <w:semiHidden/>
    <w:unhideWhenUsed/>
    <w:rsid w:val="0047154D"/>
    <w:rPr>
      <w:sz w:val="16"/>
      <w:szCs w:val="16"/>
    </w:rPr>
  </w:style>
  <w:style w:type="paragraph" w:styleId="CommentText">
    <w:name w:val="annotation text"/>
    <w:basedOn w:val="Normal"/>
    <w:link w:val="CommentTextChar"/>
    <w:uiPriority w:val="99"/>
    <w:unhideWhenUsed/>
    <w:rsid w:val="0047154D"/>
    <w:pPr>
      <w:spacing w:line="240" w:lineRule="auto"/>
    </w:pPr>
    <w:rPr>
      <w:sz w:val="20"/>
      <w:szCs w:val="20"/>
    </w:rPr>
  </w:style>
  <w:style w:type="character" w:customStyle="1" w:styleId="CommentTextChar">
    <w:name w:val="Comment Text Char"/>
    <w:basedOn w:val="DefaultParagraphFont"/>
    <w:link w:val="CommentText"/>
    <w:uiPriority w:val="99"/>
    <w:rsid w:val="0047154D"/>
    <w:rPr>
      <w:sz w:val="20"/>
      <w:szCs w:val="20"/>
    </w:rPr>
  </w:style>
  <w:style w:type="paragraph" w:styleId="CommentSubject">
    <w:name w:val="annotation subject"/>
    <w:basedOn w:val="CommentText"/>
    <w:next w:val="CommentText"/>
    <w:link w:val="CommentSubjectChar"/>
    <w:uiPriority w:val="99"/>
    <w:semiHidden/>
    <w:unhideWhenUsed/>
    <w:rsid w:val="0047154D"/>
    <w:rPr>
      <w:b/>
      <w:bCs/>
    </w:rPr>
  </w:style>
  <w:style w:type="character" w:customStyle="1" w:styleId="CommentSubjectChar">
    <w:name w:val="Comment Subject Char"/>
    <w:basedOn w:val="CommentTextChar"/>
    <w:link w:val="CommentSubject"/>
    <w:uiPriority w:val="99"/>
    <w:semiHidden/>
    <w:rsid w:val="0047154D"/>
    <w:rPr>
      <w:b/>
      <w:bCs/>
      <w:sz w:val="20"/>
      <w:szCs w:val="20"/>
    </w:rPr>
  </w:style>
  <w:style w:type="paragraph" w:styleId="Revision">
    <w:name w:val="Revision"/>
    <w:hidden/>
    <w:uiPriority w:val="99"/>
    <w:semiHidden/>
    <w:rsid w:val="005945BD"/>
    <w:pPr>
      <w:spacing w:after="0" w:line="240" w:lineRule="auto"/>
    </w:pPr>
  </w:style>
  <w:style w:type="character" w:styleId="BookTitle">
    <w:name w:val="Book Title"/>
    <w:basedOn w:val="DefaultParagraphFont"/>
    <w:uiPriority w:val="33"/>
    <w:qFormat/>
    <w:rsid w:val="008A6952"/>
    <w:rPr>
      <w:b/>
      <w:bCs/>
      <w:smallCaps/>
      <w:spacing w:val="5"/>
    </w:rPr>
  </w:style>
  <w:style w:type="paragraph" w:styleId="FootnoteText">
    <w:name w:val="footnote text"/>
    <w:aliases w:val="Ftnote Txt 11ptG"/>
    <w:basedOn w:val="Normal"/>
    <w:link w:val="FootnoteTextChar"/>
    <w:uiPriority w:val="99"/>
    <w:unhideWhenUsed/>
    <w:rsid w:val="002F21B1"/>
    <w:pPr>
      <w:spacing w:after="0" w:line="240" w:lineRule="auto"/>
    </w:pPr>
    <w:rPr>
      <w:sz w:val="24"/>
      <w:szCs w:val="24"/>
    </w:rPr>
  </w:style>
  <w:style w:type="character" w:customStyle="1" w:styleId="FootnoteTextChar">
    <w:name w:val="Footnote Text Char"/>
    <w:aliases w:val="Ftnote Txt 11ptG Char"/>
    <w:basedOn w:val="DefaultParagraphFont"/>
    <w:link w:val="FootnoteText"/>
    <w:uiPriority w:val="99"/>
    <w:rsid w:val="002F21B1"/>
    <w:rPr>
      <w:sz w:val="24"/>
      <w:szCs w:val="24"/>
    </w:rPr>
  </w:style>
  <w:style w:type="character" w:styleId="FootnoteReference">
    <w:name w:val="footnote reference"/>
    <w:aliases w:val="stylish"/>
    <w:basedOn w:val="DefaultParagraphFont"/>
    <w:unhideWhenUsed/>
    <w:rsid w:val="00DB5BB9"/>
    <w:rPr>
      <w:rFonts w:ascii="Calibri" w:hAnsi="Calibri"/>
      <w:sz w:val="20"/>
      <w:vertAlign w:val="superscript"/>
    </w:rPr>
  </w:style>
  <w:style w:type="character" w:customStyle="1" w:styleId="ListParagraphChar">
    <w:name w:val="List Paragraph Char"/>
    <w:aliases w:val="_Bullet Char,Heading 2_sj Char,List Paragraph1 Char,Listenabsatz1 Char,Normal bullet 2 Char,Bullet list Char,Dot pt Char,Parágrafo da Lista Char,Liststycke Char,No Spacing1 Char,List Paragraph Char Char Char Char,Indicator Text Char"/>
    <w:basedOn w:val="DefaultParagraphFont"/>
    <w:link w:val="ListParagraph"/>
    <w:uiPriority w:val="34"/>
    <w:qFormat/>
    <w:rsid w:val="002E5F22"/>
    <w:rPr>
      <w:rFonts w:cs="Arial"/>
    </w:rPr>
  </w:style>
  <w:style w:type="character" w:customStyle="1" w:styleId="Heading4Char">
    <w:name w:val="Heading 4 Char"/>
    <w:basedOn w:val="DefaultParagraphFont"/>
    <w:link w:val="Heading4"/>
    <w:uiPriority w:val="9"/>
    <w:semiHidden/>
    <w:rsid w:val="00767890"/>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semiHidden/>
    <w:unhideWhenUsed/>
    <w:qFormat/>
    <w:rsid w:val="00767890"/>
    <w:pPr>
      <w:spacing w:after="200" w:line="240" w:lineRule="auto"/>
    </w:pPr>
    <w:rPr>
      <w:i/>
      <w:iCs/>
      <w:color w:val="1F497D" w:themeColor="text2"/>
      <w:sz w:val="18"/>
      <w:szCs w:val="18"/>
    </w:rPr>
  </w:style>
  <w:style w:type="table" w:styleId="TableGrid">
    <w:name w:val="Table Grid"/>
    <w:basedOn w:val="TableNormal"/>
    <w:uiPriority w:val="59"/>
    <w:rsid w:val="00767890"/>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lstomnmnande1">
    <w:name w:val="Olöst omnämnande1"/>
    <w:basedOn w:val="DefaultParagraphFont"/>
    <w:uiPriority w:val="99"/>
    <w:semiHidden/>
    <w:unhideWhenUsed/>
    <w:rsid w:val="003030D1"/>
    <w:rPr>
      <w:color w:val="605E5C"/>
      <w:shd w:val="clear" w:color="auto" w:fill="E1DFDD"/>
    </w:rPr>
  </w:style>
  <w:style w:type="character" w:styleId="FollowedHyperlink">
    <w:name w:val="FollowedHyperlink"/>
    <w:basedOn w:val="DefaultParagraphFont"/>
    <w:uiPriority w:val="99"/>
    <w:semiHidden/>
    <w:unhideWhenUsed/>
    <w:rsid w:val="00FB04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243CB-6B19-421B-95EF-037F5076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791</Words>
  <Characters>4513</Characters>
  <Application>Microsoft Office Word</Application>
  <DocSecurity>0</DocSecurity>
  <Lines>37</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Hewlett-Packard Company</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Avellan</dc:creator>
  <cp:lastModifiedBy>Barbara Middleton</cp:lastModifiedBy>
  <cp:revision>7</cp:revision>
  <cp:lastPrinted>2023-03-27T16:50:00Z</cp:lastPrinted>
  <dcterms:created xsi:type="dcterms:W3CDTF">2025-06-24T07:05:00Z</dcterms:created>
  <dcterms:modified xsi:type="dcterms:W3CDTF">2025-06-30T08:28:00Z</dcterms:modified>
</cp:coreProperties>
</file>