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top w:w="85" w:type="dxa"/>
          <w:left w:w="0" w:type="dxa"/>
          <w:bottom w:w="85" w:type="dxa"/>
          <w:right w:w="0" w:type="dxa"/>
        </w:tblCellMar>
        <w:tblLook w:val="01E0" w:firstRow="1" w:lastRow="1" w:firstColumn="1" w:lastColumn="1" w:noHBand="0" w:noVBand="0"/>
      </w:tblPr>
      <w:tblGrid>
        <w:gridCol w:w="4049"/>
        <w:gridCol w:w="5590"/>
      </w:tblGrid>
      <w:tr w:rsidR="00664686" w:rsidRPr="00707F03" w14:paraId="7A7CF5F9" w14:textId="77777777" w:rsidTr="001E0A5C">
        <w:trPr>
          <w:trHeight w:val="284"/>
        </w:trPr>
        <w:tc>
          <w:tcPr>
            <w:tcW w:w="4049" w:type="dxa"/>
          </w:tcPr>
          <w:p w14:paraId="12756200" w14:textId="77777777" w:rsidR="00664686" w:rsidRPr="00664686" w:rsidRDefault="00664686" w:rsidP="001E0A5C">
            <w:pPr>
              <w:spacing w:after="0"/>
              <w:outlineLvl w:val="0"/>
              <w:rPr>
                <w:rFonts w:ascii="Calibri" w:hAnsi="Calibri" w:cs="Calibri"/>
                <w:kern w:val="28"/>
                <w:sz w:val="24"/>
                <w:szCs w:val="24"/>
                <w:lang w:eastAsia="en-GB"/>
              </w:rPr>
            </w:pPr>
            <w:bookmarkStart w:id="0" w:name="_Hlk158559494"/>
            <w:bookmarkStart w:id="1" w:name="_Hlk124264294"/>
            <w:r w:rsidRPr="00664686">
              <w:rPr>
                <w:rFonts w:ascii="Calibri" w:hAnsi="Calibri" w:cs="Calibri"/>
                <w:kern w:val="28"/>
                <w:sz w:val="24"/>
                <w:szCs w:val="24"/>
                <w:lang w:eastAsia="en-GB"/>
              </w:rPr>
              <w:t>Agenda Item 12</w:t>
            </w:r>
          </w:p>
        </w:tc>
        <w:tc>
          <w:tcPr>
            <w:tcW w:w="5590" w:type="dxa"/>
          </w:tcPr>
          <w:p w14:paraId="3C3D515F" w14:textId="5DE91665" w:rsidR="00664686" w:rsidRPr="00664686" w:rsidRDefault="00664686" w:rsidP="001E0A5C">
            <w:pPr>
              <w:spacing w:after="0"/>
              <w:jc w:val="right"/>
              <w:outlineLvl w:val="0"/>
              <w:rPr>
                <w:rFonts w:ascii="Calibri" w:hAnsi="Calibri" w:cs="Calibri"/>
                <w:kern w:val="28"/>
                <w:sz w:val="24"/>
                <w:szCs w:val="24"/>
                <w:lang w:eastAsia="en-GB"/>
              </w:rPr>
            </w:pPr>
            <w:r w:rsidRPr="00664686">
              <w:rPr>
                <w:rFonts w:ascii="Calibri" w:hAnsi="Calibri" w:cs="Calibri"/>
                <w:kern w:val="28"/>
                <w:sz w:val="24"/>
                <w:szCs w:val="24"/>
                <w:lang w:eastAsia="en-GB"/>
              </w:rPr>
              <w:t>RSC 12/01/01-Annex.0</w:t>
            </w:r>
            <w:r w:rsidRPr="00664686">
              <w:rPr>
                <w:rFonts w:ascii="Calibri" w:hAnsi="Calibri" w:cs="Calibri"/>
                <w:kern w:val="28"/>
                <w:sz w:val="24"/>
                <w:szCs w:val="24"/>
                <w:lang w:eastAsia="en-GB"/>
              </w:rPr>
              <w:t>8</w:t>
            </w:r>
          </w:p>
          <w:p w14:paraId="17678C45" w14:textId="77777777" w:rsidR="00664686" w:rsidRPr="00664686" w:rsidRDefault="00664686" w:rsidP="001E0A5C">
            <w:pPr>
              <w:spacing w:after="0"/>
              <w:jc w:val="right"/>
              <w:outlineLvl w:val="0"/>
              <w:rPr>
                <w:rFonts w:ascii="Calibri" w:hAnsi="Calibri" w:cs="Calibri"/>
                <w:kern w:val="28"/>
                <w:sz w:val="24"/>
                <w:szCs w:val="24"/>
                <w:lang w:eastAsia="en-GB"/>
              </w:rPr>
            </w:pPr>
            <w:r w:rsidRPr="00664686">
              <w:rPr>
                <w:rFonts w:ascii="Calibri" w:hAnsi="Calibri" w:cs="Calibri"/>
                <w:kern w:val="28"/>
                <w:sz w:val="24"/>
                <w:szCs w:val="24"/>
                <w:lang w:eastAsia="en-GB"/>
              </w:rPr>
              <w:t>Original: English</w:t>
            </w:r>
          </w:p>
        </w:tc>
      </w:tr>
      <w:tr w:rsidR="00664686" w:rsidRPr="00707F03" w14:paraId="2D78647D" w14:textId="77777777" w:rsidTr="001E0A5C">
        <w:trPr>
          <w:trHeight w:val="284"/>
        </w:trPr>
        <w:tc>
          <w:tcPr>
            <w:tcW w:w="9639" w:type="dxa"/>
            <w:gridSpan w:val="2"/>
          </w:tcPr>
          <w:p w14:paraId="26F55987" w14:textId="77777777" w:rsidR="00664686" w:rsidRPr="00664686" w:rsidRDefault="00664686" w:rsidP="001E0A5C">
            <w:pPr>
              <w:spacing w:after="0"/>
              <w:outlineLvl w:val="0"/>
              <w:rPr>
                <w:rFonts w:ascii="Calibri" w:hAnsi="Calibri" w:cs="Calibri"/>
                <w:i/>
                <w:kern w:val="28"/>
                <w:sz w:val="24"/>
                <w:szCs w:val="24"/>
                <w:lang w:eastAsia="en-GB"/>
              </w:rPr>
            </w:pPr>
            <w:r w:rsidRPr="00664686">
              <w:rPr>
                <w:rFonts w:ascii="Calibri" w:hAnsi="Calibri" w:cs="Calibri"/>
                <w:kern w:val="28"/>
                <w:sz w:val="24"/>
                <w:szCs w:val="24"/>
                <w:lang w:eastAsia="en-GB"/>
              </w:rPr>
              <w:t>OSPAR Convention for the Protection of the Marine Environment of the North-East Atlantic</w:t>
            </w:r>
          </w:p>
        </w:tc>
      </w:tr>
      <w:tr w:rsidR="00664686" w:rsidRPr="00707F03" w14:paraId="3C0F4E7E" w14:textId="77777777" w:rsidTr="001E0A5C">
        <w:trPr>
          <w:trHeight w:val="540"/>
        </w:trPr>
        <w:tc>
          <w:tcPr>
            <w:tcW w:w="9639" w:type="dxa"/>
            <w:gridSpan w:val="2"/>
            <w:tcBorders>
              <w:bottom w:val="single" w:sz="4" w:space="0" w:color="808080"/>
            </w:tcBorders>
          </w:tcPr>
          <w:p w14:paraId="7EB3DE15" w14:textId="77777777" w:rsidR="00664686" w:rsidRPr="00664686" w:rsidRDefault="00664686" w:rsidP="001E0A5C">
            <w:pPr>
              <w:spacing w:after="0"/>
              <w:outlineLvl w:val="0"/>
              <w:rPr>
                <w:rFonts w:ascii="Calibri" w:hAnsi="Calibri" w:cs="Calibri"/>
                <w:kern w:val="28"/>
                <w:sz w:val="24"/>
                <w:szCs w:val="24"/>
                <w:lang w:eastAsia="en-GB"/>
              </w:rPr>
            </w:pPr>
            <w:r w:rsidRPr="00664686">
              <w:rPr>
                <w:rFonts w:ascii="Calibri" w:hAnsi="Calibri" w:cs="Calibri"/>
                <w:kern w:val="28"/>
                <w:sz w:val="24"/>
                <w:szCs w:val="24"/>
                <w:lang w:eastAsia="en-GB"/>
              </w:rPr>
              <w:t xml:space="preserve">Meeting of the Radioactive Substances Committee (RSC) </w:t>
            </w:r>
          </w:p>
          <w:p w14:paraId="555BC131" w14:textId="77777777" w:rsidR="00664686" w:rsidRPr="00664686" w:rsidRDefault="00664686" w:rsidP="001E0A5C">
            <w:pPr>
              <w:spacing w:before="120" w:after="0"/>
              <w:outlineLvl w:val="0"/>
              <w:rPr>
                <w:rFonts w:ascii="Calibri" w:hAnsi="Calibri" w:cs="Calibri"/>
                <w:kern w:val="28"/>
                <w:sz w:val="24"/>
                <w:szCs w:val="24"/>
                <w:lang w:eastAsia="en-GB"/>
              </w:rPr>
            </w:pPr>
            <w:r w:rsidRPr="00664686">
              <w:rPr>
                <w:rFonts w:ascii="Calibri" w:hAnsi="Calibri" w:cs="Calibri"/>
                <w:kern w:val="28"/>
                <w:sz w:val="24"/>
                <w:szCs w:val="24"/>
                <w:lang w:eastAsia="en-GB"/>
              </w:rPr>
              <w:t>Monaco: 11–14 February 2025</w:t>
            </w:r>
          </w:p>
        </w:tc>
      </w:tr>
    </w:tbl>
    <w:p w14:paraId="06EF7FC0" w14:textId="5CFD5C88" w:rsidR="00E54068" w:rsidRPr="00645941" w:rsidRDefault="00E54068" w:rsidP="00E54068">
      <w:pPr>
        <w:tabs>
          <w:tab w:val="left" w:pos="720"/>
          <w:tab w:val="left" w:pos="1440"/>
          <w:tab w:val="left" w:pos="2160"/>
          <w:tab w:val="left" w:pos="2880"/>
          <w:tab w:val="left" w:pos="4680"/>
          <w:tab w:val="left" w:pos="5400"/>
          <w:tab w:val="right" w:pos="9000"/>
        </w:tabs>
        <w:spacing w:before="240" w:after="120" w:line="240" w:lineRule="atLeast"/>
        <w:rPr>
          <w:rFonts w:asciiTheme="minorHAnsi" w:hAnsiTheme="minorHAnsi" w:cstheme="minorHAnsi"/>
          <w:sz w:val="40"/>
          <w:szCs w:val="40"/>
        </w:rPr>
      </w:pPr>
      <w:r>
        <w:rPr>
          <w:rFonts w:asciiTheme="minorHAnsi" w:hAnsiTheme="minorHAnsi" w:cstheme="minorHAnsi"/>
          <w:sz w:val="40"/>
          <w:szCs w:val="40"/>
        </w:rPr>
        <w:t xml:space="preserve">Intersessional </w:t>
      </w:r>
      <w:r w:rsidRPr="00645941">
        <w:rPr>
          <w:rFonts w:asciiTheme="minorHAnsi" w:hAnsiTheme="minorHAnsi" w:cstheme="minorHAnsi"/>
          <w:sz w:val="40"/>
          <w:szCs w:val="40"/>
        </w:rPr>
        <w:t xml:space="preserve">Correspondence Group to consider the assessment methodologies </w:t>
      </w:r>
      <w:bookmarkEnd w:id="0"/>
      <w:r w:rsidRPr="00645941">
        <w:rPr>
          <w:rFonts w:asciiTheme="minorHAnsi" w:hAnsiTheme="minorHAnsi" w:cstheme="minorHAnsi"/>
          <w:sz w:val="40"/>
          <w:szCs w:val="40"/>
        </w:rPr>
        <w:t>required to evaluate progress against NEAES 2030 (ICG-RAM)</w:t>
      </w:r>
    </w:p>
    <w:p w14:paraId="2D04A764" w14:textId="77777777" w:rsidR="00E54068" w:rsidRPr="00645941" w:rsidRDefault="00E54068" w:rsidP="00E54068">
      <w:pPr>
        <w:spacing w:before="240"/>
        <w:rPr>
          <w:rFonts w:asciiTheme="minorHAnsi" w:hAnsiTheme="minorHAnsi" w:cstheme="minorHAnsi"/>
          <w:b/>
        </w:rPr>
      </w:pPr>
      <w:r w:rsidRPr="00645941">
        <w:rPr>
          <w:rFonts w:asciiTheme="minorHAnsi" w:hAnsiTheme="minorHAnsi" w:cstheme="minorHAnsi"/>
          <w:b/>
        </w:rPr>
        <w:t>Introduction</w:t>
      </w:r>
    </w:p>
    <w:p w14:paraId="26967B79" w14:textId="77777777" w:rsidR="00E54068" w:rsidRPr="00645941" w:rsidRDefault="00E54068" w:rsidP="00E54068">
      <w:pPr>
        <w:numPr>
          <w:ilvl w:val="0"/>
          <w:numId w:val="10"/>
        </w:numPr>
        <w:spacing w:after="0"/>
        <w:contextualSpacing/>
        <w:rPr>
          <w:rFonts w:asciiTheme="minorHAnsi" w:hAnsiTheme="minorHAnsi" w:cstheme="minorHAnsi"/>
        </w:rPr>
      </w:pPr>
      <w:r w:rsidRPr="00645941">
        <w:rPr>
          <w:rFonts w:asciiTheme="minorHAnsi" w:hAnsiTheme="minorHAnsi" w:cstheme="minorHAnsi"/>
        </w:rPr>
        <w:t>ICG RAM was first convened by RSC(2) 2022 to consider whether existing assessment methodologies and reporting approaches are fit for purpose for NEAES 2030 or whether new arrangements are required.</w:t>
      </w:r>
    </w:p>
    <w:p w14:paraId="760BAA1E" w14:textId="77777777" w:rsidR="00E54068" w:rsidRPr="00645941" w:rsidRDefault="00E54068" w:rsidP="00E54068">
      <w:pPr>
        <w:numPr>
          <w:ilvl w:val="0"/>
          <w:numId w:val="10"/>
        </w:numPr>
        <w:spacing w:before="120"/>
        <w:rPr>
          <w:rFonts w:asciiTheme="minorHAnsi" w:hAnsiTheme="minorHAnsi" w:cstheme="minorHAnsi"/>
        </w:rPr>
      </w:pPr>
      <w:r w:rsidRPr="00645941">
        <w:rPr>
          <w:rFonts w:asciiTheme="minorHAnsi" w:hAnsiTheme="minorHAnsi" w:cstheme="minorHAnsi"/>
        </w:rPr>
        <w:t>ICG reported to RSC 2023 as in RSC 23/04/01 and RSC 23/05/01 and RSC agreed to reconvene the ICG to finalise the work taking into account the input from the meeting and report back to RSC in 2024. RSC23 also noted that the issue of good enough Minimum Detectable Activity (MDA)s remained unresolved and that there would be benefit in collating information on national approaches to setting and reporting MDAs.</w:t>
      </w:r>
    </w:p>
    <w:p w14:paraId="43B1AAD1" w14:textId="7F897694" w:rsidR="00E54068" w:rsidRDefault="00E54068" w:rsidP="001663B3">
      <w:pPr>
        <w:numPr>
          <w:ilvl w:val="0"/>
          <w:numId w:val="10"/>
        </w:numPr>
        <w:spacing w:before="120"/>
        <w:rPr>
          <w:rFonts w:asciiTheme="minorHAnsi" w:hAnsiTheme="minorHAnsi" w:cstheme="minorHAnsi"/>
        </w:rPr>
      </w:pPr>
      <w:r w:rsidRPr="001663B3">
        <w:rPr>
          <w:rFonts w:asciiTheme="minorHAnsi" w:hAnsiTheme="minorHAnsi" w:cstheme="minorHAnsi"/>
        </w:rPr>
        <w:t xml:space="preserve">RSC 2024 considered documents RSC 24/03/01, RSC 24/04/01 and RSC 24/04/02 which were reports from ICG RAM on discharges, environmental concentrations and MDAs respectively. RSC 2024 agreed that the ICG should continue its work to define common indictors for radioactive substances </w:t>
      </w:r>
      <w:r w:rsidR="001663B3">
        <w:rPr>
          <w:rFonts w:asciiTheme="minorHAnsi" w:hAnsiTheme="minorHAnsi" w:cstheme="minorHAnsi"/>
        </w:rPr>
        <w:t>.</w:t>
      </w:r>
    </w:p>
    <w:p w14:paraId="34CEF08A" w14:textId="00BD406E" w:rsidR="004571EB" w:rsidRDefault="004571EB" w:rsidP="004571EB">
      <w:pPr>
        <w:numPr>
          <w:ilvl w:val="0"/>
          <w:numId w:val="10"/>
        </w:numPr>
        <w:spacing w:after="0"/>
        <w:contextualSpacing/>
        <w:rPr>
          <w:rFonts w:asciiTheme="minorHAnsi" w:hAnsiTheme="minorHAnsi" w:cstheme="minorHAnsi"/>
        </w:rPr>
      </w:pPr>
      <w:r>
        <w:rPr>
          <w:rFonts w:asciiTheme="minorHAnsi" w:hAnsiTheme="minorHAnsi" w:cstheme="minorHAnsi"/>
        </w:rPr>
        <w:t xml:space="preserve">RSC 2025 agreed the common indicators for discharges from the nuclear sector and environmental concentration of artificial radionuclides and tasked the ICG with developing appropriate agreements. </w:t>
      </w:r>
    </w:p>
    <w:p w14:paraId="11F2D9FD" w14:textId="77777777" w:rsidR="00E54068" w:rsidRPr="00645941" w:rsidRDefault="00E54068" w:rsidP="001663B3">
      <w:pPr>
        <w:numPr>
          <w:ilvl w:val="0"/>
          <w:numId w:val="10"/>
        </w:numPr>
        <w:spacing w:before="120"/>
        <w:rPr>
          <w:rFonts w:asciiTheme="minorHAnsi" w:hAnsiTheme="minorHAnsi" w:cstheme="minorHAnsi"/>
        </w:rPr>
      </w:pPr>
      <w:r w:rsidRPr="00645941">
        <w:rPr>
          <w:rFonts w:asciiTheme="minorHAnsi" w:hAnsiTheme="minorHAnsi" w:cstheme="minorHAnsi"/>
        </w:rPr>
        <w:t>This intersessional work will also contribute to task S3:01-T6, S3:02-T4, S3:04-T1 of the NEAES implementation plan.</w:t>
      </w:r>
    </w:p>
    <w:p w14:paraId="2CA16C05" w14:textId="77777777" w:rsidR="00E54068" w:rsidRPr="00645941" w:rsidRDefault="00E54068" w:rsidP="00E54068">
      <w:pPr>
        <w:contextualSpacing/>
        <w:rPr>
          <w:rFonts w:asciiTheme="minorHAnsi" w:hAnsiTheme="minorHAnsi" w:cstheme="minorHAnsi"/>
        </w:rPr>
      </w:pPr>
    </w:p>
    <w:p w14:paraId="47B9BCA1" w14:textId="77777777" w:rsidR="00E54068" w:rsidRPr="00645941" w:rsidRDefault="00E54068" w:rsidP="00E54068">
      <w:pPr>
        <w:spacing w:before="240"/>
        <w:rPr>
          <w:rFonts w:asciiTheme="minorHAnsi" w:hAnsiTheme="minorHAnsi" w:cstheme="minorHAnsi"/>
          <w:b/>
        </w:rPr>
      </w:pPr>
      <w:r w:rsidRPr="00645941">
        <w:rPr>
          <w:rFonts w:asciiTheme="minorHAnsi" w:hAnsiTheme="minorHAnsi" w:cstheme="minorHAnsi"/>
          <w:b/>
        </w:rPr>
        <w:t>Objectives</w:t>
      </w:r>
    </w:p>
    <w:p w14:paraId="3B864AE6" w14:textId="77777777" w:rsidR="00E54068" w:rsidRPr="00645941" w:rsidRDefault="00E54068" w:rsidP="00E54068">
      <w:pPr>
        <w:numPr>
          <w:ilvl w:val="0"/>
          <w:numId w:val="10"/>
        </w:numPr>
        <w:spacing w:before="120"/>
        <w:rPr>
          <w:rFonts w:asciiTheme="minorHAnsi" w:hAnsiTheme="minorHAnsi" w:cstheme="minorHAnsi"/>
        </w:rPr>
      </w:pPr>
      <w:r w:rsidRPr="00645941">
        <w:rPr>
          <w:rFonts w:asciiTheme="minorHAnsi" w:hAnsiTheme="minorHAnsi" w:cstheme="minorHAnsi"/>
        </w:rPr>
        <w:t xml:space="preserve">Define common OSPAR indicators related to radioactive substances, in a form suitable for publication as an OSPAR Agreement and to submit to RSC for approval. </w:t>
      </w:r>
    </w:p>
    <w:p w14:paraId="29F42E4D" w14:textId="77777777" w:rsidR="00E54068" w:rsidRPr="00645941" w:rsidRDefault="00E54068" w:rsidP="00E54068">
      <w:pPr>
        <w:spacing w:before="240"/>
        <w:rPr>
          <w:rFonts w:asciiTheme="minorHAnsi" w:hAnsiTheme="minorHAnsi" w:cstheme="minorHAnsi"/>
          <w:b/>
        </w:rPr>
      </w:pPr>
      <w:r w:rsidRPr="00645941">
        <w:rPr>
          <w:rFonts w:asciiTheme="minorHAnsi" w:hAnsiTheme="minorHAnsi" w:cstheme="minorHAnsi"/>
          <w:b/>
        </w:rPr>
        <w:t xml:space="preserve">Scope of work </w:t>
      </w:r>
    </w:p>
    <w:p w14:paraId="17A10429" w14:textId="459024DA" w:rsidR="00E54068" w:rsidRPr="00645941" w:rsidRDefault="00E54068" w:rsidP="00E54068">
      <w:pPr>
        <w:numPr>
          <w:ilvl w:val="0"/>
          <w:numId w:val="10"/>
        </w:numPr>
        <w:spacing w:before="120"/>
        <w:rPr>
          <w:rFonts w:asciiTheme="minorHAnsi" w:hAnsiTheme="minorHAnsi" w:cstheme="minorHAnsi"/>
        </w:rPr>
      </w:pPr>
      <w:r w:rsidRPr="00645941">
        <w:rPr>
          <w:rFonts w:asciiTheme="minorHAnsi" w:hAnsiTheme="minorHAnsi" w:cstheme="minorHAnsi"/>
        </w:rPr>
        <w:t xml:space="preserve">By </w:t>
      </w:r>
      <w:r w:rsidR="001663B3">
        <w:rPr>
          <w:rFonts w:asciiTheme="minorHAnsi" w:hAnsiTheme="minorHAnsi" w:cstheme="minorHAnsi"/>
        </w:rPr>
        <w:t xml:space="preserve">HOD(2) </w:t>
      </w:r>
      <w:r>
        <w:rPr>
          <w:rFonts w:asciiTheme="minorHAnsi" w:hAnsiTheme="minorHAnsi" w:cstheme="minorHAnsi"/>
        </w:rPr>
        <w:t>20</w:t>
      </w:r>
      <w:r w:rsidRPr="00645941">
        <w:rPr>
          <w:rFonts w:asciiTheme="minorHAnsi" w:hAnsiTheme="minorHAnsi" w:cstheme="minorHAnsi"/>
        </w:rPr>
        <w:t>25 define OSPAR common indicators on:</w:t>
      </w:r>
    </w:p>
    <w:p w14:paraId="1729579D" w14:textId="77777777" w:rsidR="00E54068" w:rsidRPr="00645941" w:rsidRDefault="00E54068" w:rsidP="00E54068">
      <w:pPr>
        <w:pStyle w:val="ListParagraph"/>
        <w:numPr>
          <w:ilvl w:val="1"/>
          <w:numId w:val="10"/>
        </w:numPr>
        <w:tabs>
          <w:tab w:val="clear" w:pos="567"/>
          <w:tab w:val="left" w:pos="720"/>
        </w:tabs>
        <w:spacing w:after="120" w:line="254" w:lineRule="auto"/>
        <w:jc w:val="left"/>
        <w:rPr>
          <w:rFonts w:asciiTheme="minorHAnsi" w:hAnsiTheme="minorHAnsi" w:cstheme="minorHAnsi"/>
        </w:rPr>
      </w:pPr>
      <w:r w:rsidRPr="00645941">
        <w:rPr>
          <w:rFonts w:asciiTheme="minorHAnsi" w:hAnsiTheme="minorHAnsi" w:cstheme="minorHAnsi"/>
        </w:rPr>
        <w:t xml:space="preserve"> discharges of radionuclides from the nuclear sector;</w:t>
      </w:r>
    </w:p>
    <w:p w14:paraId="2812D6C9" w14:textId="77777777" w:rsidR="00E54068" w:rsidRPr="00645941" w:rsidRDefault="00E54068" w:rsidP="00E54068">
      <w:pPr>
        <w:pStyle w:val="ListParagraph"/>
        <w:numPr>
          <w:ilvl w:val="1"/>
          <w:numId w:val="10"/>
        </w:numPr>
        <w:tabs>
          <w:tab w:val="clear" w:pos="567"/>
          <w:tab w:val="left" w:pos="720"/>
        </w:tabs>
        <w:spacing w:after="120" w:line="254" w:lineRule="auto"/>
        <w:jc w:val="left"/>
        <w:rPr>
          <w:rFonts w:asciiTheme="minorHAnsi" w:hAnsiTheme="minorHAnsi" w:cstheme="minorHAnsi"/>
        </w:rPr>
      </w:pPr>
      <w:r w:rsidRPr="00645941">
        <w:rPr>
          <w:rFonts w:asciiTheme="minorHAnsi" w:hAnsiTheme="minorHAnsi" w:cstheme="minorHAnsi"/>
        </w:rPr>
        <w:t>environmental concentrations of artificial radionuclides.</w:t>
      </w:r>
    </w:p>
    <w:p w14:paraId="75C6B20F" w14:textId="77777777" w:rsidR="00E54068" w:rsidRPr="00645941" w:rsidRDefault="00E54068" w:rsidP="00E54068">
      <w:pPr>
        <w:pStyle w:val="ListParagraph"/>
        <w:tabs>
          <w:tab w:val="clear" w:pos="567"/>
          <w:tab w:val="left" w:pos="720"/>
        </w:tabs>
        <w:spacing w:after="120" w:line="254" w:lineRule="auto"/>
        <w:ind w:left="1080"/>
        <w:jc w:val="left"/>
        <w:rPr>
          <w:rFonts w:asciiTheme="minorHAnsi" w:hAnsiTheme="minorHAnsi" w:cstheme="minorHAnsi"/>
        </w:rPr>
      </w:pPr>
    </w:p>
    <w:p w14:paraId="62A9EFDE" w14:textId="77777777" w:rsidR="00E54068" w:rsidRPr="00645941" w:rsidRDefault="00E54068" w:rsidP="00E54068">
      <w:pPr>
        <w:pStyle w:val="ListParagraph"/>
        <w:numPr>
          <w:ilvl w:val="0"/>
          <w:numId w:val="10"/>
        </w:numPr>
        <w:tabs>
          <w:tab w:val="clear" w:pos="567"/>
          <w:tab w:val="left" w:pos="720"/>
        </w:tabs>
        <w:spacing w:after="120" w:line="254" w:lineRule="auto"/>
        <w:jc w:val="left"/>
        <w:rPr>
          <w:rFonts w:asciiTheme="minorHAnsi" w:hAnsiTheme="minorHAnsi" w:cstheme="minorHAnsi"/>
        </w:rPr>
      </w:pPr>
      <w:r w:rsidRPr="00645941">
        <w:rPr>
          <w:rFonts w:asciiTheme="minorHAnsi" w:hAnsiTheme="minorHAnsi" w:cstheme="minorHAnsi"/>
        </w:rPr>
        <w:t>Continue to develop an OSPAR common indicator for ‘discharges of radionuclides from the non-nuclear sector’.</w:t>
      </w:r>
    </w:p>
    <w:p w14:paraId="2C6412C2" w14:textId="77777777" w:rsidR="00E54068" w:rsidRPr="00645941" w:rsidRDefault="00E54068" w:rsidP="00E54068">
      <w:pPr>
        <w:pStyle w:val="ListParagraph"/>
        <w:tabs>
          <w:tab w:val="clear" w:pos="567"/>
          <w:tab w:val="left" w:pos="720"/>
        </w:tabs>
        <w:spacing w:after="120" w:line="254" w:lineRule="auto"/>
        <w:ind w:left="360"/>
        <w:jc w:val="left"/>
        <w:rPr>
          <w:rFonts w:asciiTheme="minorHAnsi" w:hAnsiTheme="minorHAnsi" w:cstheme="minorHAnsi"/>
        </w:rPr>
      </w:pPr>
    </w:p>
    <w:p w14:paraId="163060AA" w14:textId="45E29211" w:rsidR="00E54068" w:rsidRPr="00645941" w:rsidRDefault="00E54068" w:rsidP="00E54068">
      <w:pPr>
        <w:pStyle w:val="ListParagraph"/>
        <w:numPr>
          <w:ilvl w:val="0"/>
          <w:numId w:val="10"/>
        </w:numPr>
        <w:tabs>
          <w:tab w:val="clear" w:pos="567"/>
          <w:tab w:val="left" w:pos="720"/>
        </w:tabs>
        <w:spacing w:after="120" w:line="254" w:lineRule="auto"/>
        <w:jc w:val="left"/>
        <w:rPr>
          <w:rFonts w:asciiTheme="minorHAnsi" w:hAnsiTheme="minorHAnsi" w:cstheme="minorHAnsi"/>
        </w:rPr>
      </w:pPr>
      <w:r w:rsidRPr="00645941">
        <w:rPr>
          <w:rFonts w:asciiTheme="minorHAnsi" w:hAnsiTheme="minorHAnsi" w:cstheme="minorHAnsi"/>
        </w:rPr>
        <w:t>In taking forward its work the ICG shall have regard the previous discussions and agreements of the radioactive substances committee as detailed in the summary records of RSC</w:t>
      </w:r>
      <w:r>
        <w:rPr>
          <w:rFonts w:asciiTheme="minorHAnsi" w:hAnsiTheme="minorHAnsi" w:cstheme="minorHAnsi"/>
        </w:rPr>
        <w:t xml:space="preserve"> 20</w:t>
      </w:r>
      <w:r w:rsidRPr="00645941">
        <w:rPr>
          <w:rFonts w:asciiTheme="minorHAnsi" w:hAnsiTheme="minorHAnsi" w:cstheme="minorHAnsi"/>
        </w:rPr>
        <w:t>22, RSC</w:t>
      </w:r>
      <w:r>
        <w:rPr>
          <w:rFonts w:asciiTheme="minorHAnsi" w:hAnsiTheme="minorHAnsi" w:cstheme="minorHAnsi"/>
        </w:rPr>
        <w:t xml:space="preserve"> 20</w:t>
      </w:r>
      <w:r w:rsidRPr="00645941">
        <w:rPr>
          <w:rFonts w:asciiTheme="minorHAnsi" w:hAnsiTheme="minorHAnsi" w:cstheme="minorHAnsi"/>
        </w:rPr>
        <w:t>23</w:t>
      </w:r>
      <w:r w:rsidR="001663B3">
        <w:rPr>
          <w:rFonts w:asciiTheme="minorHAnsi" w:hAnsiTheme="minorHAnsi" w:cstheme="minorHAnsi"/>
        </w:rPr>
        <w:t>,</w:t>
      </w:r>
      <w:r w:rsidRPr="00645941">
        <w:rPr>
          <w:rFonts w:asciiTheme="minorHAnsi" w:hAnsiTheme="minorHAnsi" w:cstheme="minorHAnsi"/>
        </w:rPr>
        <w:t xml:space="preserve"> RSC</w:t>
      </w:r>
      <w:r>
        <w:rPr>
          <w:rFonts w:asciiTheme="minorHAnsi" w:hAnsiTheme="minorHAnsi" w:cstheme="minorHAnsi"/>
        </w:rPr>
        <w:t xml:space="preserve"> 20</w:t>
      </w:r>
      <w:r w:rsidRPr="00645941">
        <w:rPr>
          <w:rFonts w:asciiTheme="minorHAnsi" w:hAnsiTheme="minorHAnsi" w:cstheme="minorHAnsi"/>
        </w:rPr>
        <w:t>24</w:t>
      </w:r>
      <w:r w:rsidR="001663B3">
        <w:rPr>
          <w:rFonts w:asciiTheme="minorHAnsi" w:hAnsiTheme="minorHAnsi" w:cstheme="minorHAnsi"/>
        </w:rPr>
        <w:t xml:space="preserve"> and RSC 2025</w:t>
      </w:r>
      <w:r w:rsidRPr="00645941">
        <w:rPr>
          <w:rFonts w:asciiTheme="minorHAnsi" w:hAnsiTheme="minorHAnsi" w:cstheme="minorHAnsi"/>
        </w:rPr>
        <w:t xml:space="preserve">, including: </w:t>
      </w:r>
    </w:p>
    <w:p w14:paraId="58F91879" w14:textId="77777777" w:rsidR="00E54068" w:rsidRPr="00645941" w:rsidRDefault="00E54068" w:rsidP="00E54068">
      <w:pPr>
        <w:pStyle w:val="ListParagraph"/>
        <w:jc w:val="right"/>
        <w:rPr>
          <w:rFonts w:asciiTheme="minorHAnsi" w:hAnsiTheme="minorHAnsi" w:cstheme="minorHAnsi"/>
        </w:rPr>
      </w:pPr>
    </w:p>
    <w:p w14:paraId="672CB511" w14:textId="77777777" w:rsidR="00E54068" w:rsidRPr="00645941" w:rsidRDefault="00E54068" w:rsidP="00E54068">
      <w:pPr>
        <w:pStyle w:val="ListParagraph"/>
        <w:numPr>
          <w:ilvl w:val="1"/>
          <w:numId w:val="10"/>
        </w:numPr>
        <w:tabs>
          <w:tab w:val="clear" w:pos="567"/>
          <w:tab w:val="left" w:pos="720"/>
        </w:tabs>
        <w:spacing w:after="120" w:line="254" w:lineRule="auto"/>
        <w:jc w:val="left"/>
        <w:rPr>
          <w:rFonts w:asciiTheme="minorHAnsi" w:hAnsiTheme="minorHAnsi" w:cstheme="minorHAnsi"/>
        </w:rPr>
      </w:pPr>
      <w:r w:rsidRPr="00645941">
        <w:rPr>
          <w:rFonts w:asciiTheme="minorHAnsi" w:hAnsiTheme="minorHAnsi" w:cstheme="minorHAnsi"/>
        </w:rPr>
        <w:t xml:space="preserve">The agreement to accept </w:t>
      </w:r>
      <w:bookmarkStart w:id="2" w:name="_Hlk158652311"/>
      <w:r w:rsidRPr="00645941">
        <w:rPr>
          <w:rFonts w:asciiTheme="minorHAnsi" w:hAnsiTheme="minorHAnsi" w:cstheme="minorHAnsi"/>
        </w:rPr>
        <w:t>the recommendations on selecting MDAs set out in RSC</w:t>
      </w:r>
      <w:r>
        <w:rPr>
          <w:rFonts w:asciiTheme="minorHAnsi" w:hAnsiTheme="minorHAnsi" w:cstheme="minorHAnsi"/>
        </w:rPr>
        <w:t xml:space="preserve"> </w:t>
      </w:r>
      <w:r w:rsidRPr="00645941">
        <w:rPr>
          <w:rFonts w:asciiTheme="minorHAnsi" w:hAnsiTheme="minorHAnsi" w:cstheme="minorHAnsi"/>
        </w:rPr>
        <w:t>24/04/02, subject to any refinements necessary as a result of ICG-RAM’s ongoing work;</w:t>
      </w:r>
      <w:bookmarkEnd w:id="2"/>
    </w:p>
    <w:p w14:paraId="392B4895" w14:textId="77777777" w:rsidR="00E54068" w:rsidRPr="00645941" w:rsidRDefault="00E54068" w:rsidP="00E54068">
      <w:pPr>
        <w:pStyle w:val="ListParagraph"/>
        <w:numPr>
          <w:ilvl w:val="1"/>
          <w:numId w:val="10"/>
        </w:numPr>
        <w:tabs>
          <w:tab w:val="clear" w:pos="567"/>
          <w:tab w:val="left" w:pos="720"/>
        </w:tabs>
        <w:spacing w:after="120" w:line="254" w:lineRule="auto"/>
        <w:jc w:val="left"/>
        <w:rPr>
          <w:rFonts w:asciiTheme="minorHAnsi" w:hAnsiTheme="minorHAnsi" w:cstheme="minorHAnsi"/>
        </w:rPr>
      </w:pPr>
      <w:r w:rsidRPr="00645941">
        <w:rPr>
          <w:rFonts w:asciiTheme="minorHAnsi" w:hAnsiTheme="minorHAnsi" w:cstheme="minorHAnsi"/>
        </w:rPr>
        <w:t>The agreement at RSC</w:t>
      </w:r>
      <w:r>
        <w:rPr>
          <w:rFonts w:asciiTheme="minorHAnsi" w:hAnsiTheme="minorHAnsi" w:cstheme="minorHAnsi"/>
        </w:rPr>
        <w:t xml:space="preserve"> 20</w:t>
      </w:r>
      <w:r w:rsidRPr="00645941">
        <w:rPr>
          <w:rFonts w:asciiTheme="minorHAnsi" w:hAnsiTheme="minorHAnsi" w:cstheme="minorHAnsi"/>
        </w:rPr>
        <w:t>24 agreed not to develop a common indic</w:t>
      </w:r>
      <w:r>
        <w:rPr>
          <w:rFonts w:asciiTheme="minorHAnsi" w:hAnsiTheme="minorHAnsi" w:cstheme="minorHAnsi"/>
        </w:rPr>
        <w:t>a</w:t>
      </w:r>
      <w:r w:rsidRPr="00645941">
        <w:rPr>
          <w:rFonts w:asciiTheme="minorHAnsi" w:hAnsiTheme="minorHAnsi" w:cstheme="minorHAnsi"/>
        </w:rPr>
        <w:t>tor for environmental concentrations of naturally occurring radionuclides;</w:t>
      </w:r>
    </w:p>
    <w:p w14:paraId="561EDD0E" w14:textId="77777777" w:rsidR="004571EB" w:rsidRDefault="00E54068" w:rsidP="004571EB">
      <w:pPr>
        <w:pStyle w:val="ListParagraph"/>
        <w:numPr>
          <w:ilvl w:val="1"/>
          <w:numId w:val="10"/>
        </w:numPr>
        <w:tabs>
          <w:tab w:val="clear" w:pos="567"/>
          <w:tab w:val="left" w:pos="720"/>
        </w:tabs>
        <w:spacing w:after="120" w:line="254" w:lineRule="auto"/>
        <w:jc w:val="left"/>
        <w:rPr>
          <w:rFonts w:asciiTheme="minorHAnsi" w:hAnsiTheme="minorHAnsi" w:cstheme="minorHAnsi"/>
        </w:rPr>
      </w:pPr>
      <w:r w:rsidRPr="00645941">
        <w:rPr>
          <w:rFonts w:asciiTheme="minorHAnsi" w:hAnsiTheme="minorHAnsi" w:cstheme="minorHAnsi"/>
        </w:rPr>
        <w:t>The need to include information on quality assurance</w:t>
      </w:r>
      <w:r w:rsidR="001663B3">
        <w:rPr>
          <w:rFonts w:asciiTheme="minorHAnsi" w:hAnsiTheme="minorHAnsi" w:cstheme="minorHAnsi"/>
        </w:rPr>
        <w:t>;</w:t>
      </w:r>
    </w:p>
    <w:p w14:paraId="74BD646F" w14:textId="77777777" w:rsidR="004571EB" w:rsidRDefault="004571EB" w:rsidP="004571EB">
      <w:pPr>
        <w:pStyle w:val="ListParagraph"/>
        <w:tabs>
          <w:tab w:val="clear" w:pos="567"/>
          <w:tab w:val="left" w:pos="720"/>
        </w:tabs>
        <w:spacing w:after="120" w:line="254" w:lineRule="auto"/>
        <w:ind w:left="1080"/>
        <w:jc w:val="left"/>
        <w:rPr>
          <w:rFonts w:asciiTheme="minorHAnsi" w:hAnsiTheme="minorHAnsi" w:cstheme="minorHAnsi"/>
        </w:rPr>
      </w:pPr>
    </w:p>
    <w:p w14:paraId="3FB97208" w14:textId="77777777" w:rsidR="00E54068" w:rsidRPr="00645941" w:rsidRDefault="00E54068" w:rsidP="00E54068">
      <w:pPr>
        <w:numPr>
          <w:ilvl w:val="0"/>
          <w:numId w:val="10"/>
        </w:numPr>
        <w:spacing w:before="120"/>
        <w:rPr>
          <w:rFonts w:asciiTheme="minorHAnsi" w:hAnsiTheme="minorHAnsi" w:cstheme="minorHAnsi"/>
        </w:rPr>
      </w:pPr>
      <w:r w:rsidRPr="00645941">
        <w:rPr>
          <w:rFonts w:asciiTheme="minorHAnsi" w:hAnsiTheme="minorHAnsi" w:cstheme="minorHAnsi"/>
        </w:rPr>
        <w:t xml:space="preserve">Develop an operational definition of close to zero that can be used in future assessments taking into account the responses to the questionnaire on MDAs completed in 2023. </w:t>
      </w:r>
    </w:p>
    <w:p w14:paraId="35ED21CF" w14:textId="77777777" w:rsidR="004571EB" w:rsidRDefault="00E54068" w:rsidP="004571EB">
      <w:pPr>
        <w:pStyle w:val="ListParagraph"/>
        <w:numPr>
          <w:ilvl w:val="0"/>
          <w:numId w:val="10"/>
        </w:numPr>
        <w:tabs>
          <w:tab w:val="clear" w:pos="567"/>
          <w:tab w:val="left" w:pos="720"/>
        </w:tabs>
        <w:spacing w:after="120" w:line="254" w:lineRule="auto"/>
        <w:jc w:val="left"/>
        <w:rPr>
          <w:rFonts w:asciiTheme="minorHAnsi" w:hAnsiTheme="minorHAnsi" w:cstheme="minorHAnsi"/>
        </w:rPr>
      </w:pPr>
      <w:bookmarkStart w:id="3" w:name="_Hlk158560352"/>
      <w:r w:rsidRPr="00645941">
        <w:rPr>
          <w:rFonts w:asciiTheme="minorHAnsi" w:hAnsiTheme="minorHAnsi" w:cstheme="minorHAnsi"/>
        </w:rPr>
        <w:lastRenderedPageBreak/>
        <w:t xml:space="preserve">Consider the structure and format of the annual assessment reports and indicator assessment reports </w:t>
      </w:r>
      <w:bookmarkEnd w:id="3"/>
      <w:r w:rsidRPr="00645941">
        <w:rPr>
          <w:rFonts w:asciiTheme="minorHAnsi" w:hAnsiTheme="minorHAnsi" w:cstheme="minorHAnsi"/>
        </w:rPr>
        <w:t>in conjunction with RSC EAP and the OSPAR Secretariat.</w:t>
      </w:r>
    </w:p>
    <w:p w14:paraId="01AD5F73" w14:textId="77777777" w:rsidR="004571EB" w:rsidRDefault="004571EB" w:rsidP="004571EB">
      <w:pPr>
        <w:pStyle w:val="ListParagraph"/>
        <w:tabs>
          <w:tab w:val="clear" w:pos="567"/>
          <w:tab w:val="left" w:pos="720"/>
        </w:tabs>
        <w:spacing w:after="120" w:line="254" w:lineRule="auto"/>
        <w:ind w:left="360"/>
        <w:jc w:val="left"/>
        <w:rPr>
          <w:rFonts w:asciiTheme="minorHAnsi" w:hAnsiTheme="minorHAnsi" w:cstheme="minorHAnsi"/>
        </w:rPr>
      </w:pPr>
    </w:p>
    <w:p w14:paraId="610BA4A5" w14:textId="6536C841" w:rsidR="004571EB" w:rsidRPr="004571EB" w:rsidRDefault="004571EB" w:rsidP="004571EB">
      <w:pPr>
        <w:pStyle w:val="ListParagraph"/>
        <w:numPr>
          <w:ilvl w:val="0"/>
          <w:numId w:val="10"/>
        </w:numPr>
        <w:tabs>
          <w:tab w:val="clear" w:pos="567"/>
          <w:tab w:val="left" w:pos="720"/>
        </w:tabs>
        <w:spacing w:after="120" w:line="254" w:lineRule="auto"/>
        <w:jc w:val="left"/>
        <w:rPr>
          <w:rFonts w:asciiTheme="minorHAnsi" w:hAnsiTheme="minorHAnsi" w:cstheme="minorHAnsi"/>
        </w:rPr>
      </w:pPr>
      <w:r>
        <w:rPr>
          <w:rFonts w:asciiTheme="minorHAnsi" w:hAnsiTheme="minorHAnsi" w:cstheme="minorHAnsi"/>
        </w:rPr>
        <w:t xml:space="preserve">The ICG shall </w:t>
      </w:r>
      <w:r w:rsidRPr="004571EB">
        <w:rPr>
          <w:rFonts w:asciiTheme="minorHAnsi" w:hAnsiTheme="minorHAnsi" w:cstheme="minorHAnsi"/>
        </w:rPr>
        <w:t>contribute to the work on harmonisation of monitoring programmes for environmental concentrations being undertaken by RSC EAP.</w:t>
      </w:r>
    </w:p>
    <w:p w14:paraId="48587984" w14:textId="05FCD4DC" w:rsidR="00E54068" w:rsidRPr="00645941" w:rsidRDefault="004571EB" w:rsidP="00E54068">
      <w:pPr>
        <w:numPr>
          <w:ilvl w:val="0"/>
          <w:numId w:val="10"/>
        </w:numPr>
        <w:spacing w:before="120"/>
        <w:rPr>
          <w:rFonts w:asciiTheme="minorHAnsi" w:hAnsiTheme="minorHAnsi" w:cstheme="minorHAnsi"/>
        </w:rPr>
      </w:pPr>
      <w:r>
        <w:rPr>
          <w:rFonts w:asciiTheme="minorHAnsi" w:hAnsiTheme="minorHAnsi" w:cstheme="minorHAnsi"/>
        </w:rPr>
        <w:t>The ICG shall consider options for increasing automation of assessments, including the use of HARSAT.</w:t>
      </w:r>
    </w:p>
    <w:p w14:paraId="053AAA47" w14:textId="77777777" w:rsidR="00E54068" w:rsidRPr="00645941" w:rsidRDefault="00E54068" w:rsidP="00E54068">
      <w:pPr>
        <w:spacing w:before="240"/>
        <w:rPr>
          <w:rFonts w:asciiTheme="minorHAnsi" w:hAnsiTheme="minorHAnsi" w:cstheme="minorHAnsi"/>
          <w:b/>
        </w:rPr>
      </w:pPr>
      <w:r w:rsidRPr="00645941">
        <w:rPr>
          <w:rFonts w:asciiTheme="minorHAnsi" w:hAnsiTheme="minorHAnsi" w:cstheme="minorHAnsi"/>
          <w:b/>
        </w:rPr>
        <w:t>Participants and mode of work</w:t>
      </w:r>
    </w:p>
    <w:p w14:paraId="36A319CB" w14:textId="77777777" w:rsidR="00E54068" w:rsidRPr="00645941" w:rsidRDefault="00E54068" w:rsidP="00E54068">
      <w:pPr>
        <w:numPr>
          <w:ilvl w:val="0"/>
          <w:numId w:val="10"/>
        </w:numPr>
        <w:spacing w:before="120"/>
        <w:rPr>
          <w:rFonts w:asciiTheme="minorHAnsi" w:hAnsiTheme="minorHAnsi" w:cstheme="minorHAnsi"/>
        </w:rPr>
      </w:pPr>
      <w:r w:rsidRPr="00645941">
        <w:rPr>
          <w:rFonts w:asciiTheme="minorHAnsi" w:hAnsiTheme="minorHAnsi" w:cstheme="minorHAnsi"/>
        </w:rPr>
        <w:t xml:space="preserve">The ICG will be co-convened by </w:t>
      </w:r>
      <w:r w:rsidRPr="001739B9">
        <w:rPr>
          <w:rFonts w:asciiTheme="minorHAnsi" w:hAnsiTheme="minorHAnsi" w:cstheme="minorHAnsi"/>
        </w:rPr>
        <w:t>France (Nathalie Reynal) and the United Kingdom (Adam Stackhouse), with participation from Belgium, Norway, Portugal, Spain, Sweden, World Nuclear Association and the IAEA</w:t>
      </w:r>
      <w:r w:rsidRPr="00645941">
        <w:rPr>
          <w:rFonts w:asciiTheme="minorHAnsi" w:hAnsiTheme="minorHAnsi" w:cstheme="minorHAnsi"/>
        </w:rPr>
        <w:t xml:space="preserve">. In accordance with OSPAR Rules of Procedure, the ICG will be opened to all Contracting Parties and Observers. </w:t>
      </w:r>
    </w:p>
    <w:p w14:paraId="2A215CD6" w14:textId="77777777" w:rsidR="00E54068" w:rsidRPr="00645941" w:rsidRDefault="00E54068" w:rsidP="00E54068">
      <w:pPr>
        <w:numPr>
          <w:ilvl w:val="0"/>
          <w:numId w:val="10"/>
        </w:numPr>
        <w:spacing w:before="120"/>
        <w:rPr>
          <w:rFonts w:asciiTheme="minorHAnsi" w:hAnsiTheme="minorHAnsi" w:cstheme="minorHAnsi"/>
        </w:rPr>
      </w:pPr>
      <w:r w:rsidRPr="00645941">
        <w:rPr>
          <w:rFonts w:asciiTheme="minorHAnsi" w:hAnsiTheme="minorHAnsi" w:cstheme="minorHAnsi"/>
        </w:rPr>
        <w:t xml:space="preserve">The ICG liaise with the RSC EAP on potential changes to the current indicators, assessment methods and reporting requirements and assessment products. </w:t>
      </w:r>
    </w:p>
    <w:p w14:paraId="5CF33A48" w14:textId="4C8B15AE" w:rsidR="00E54068" w:rsidRPr="00645941" w:rsidRDefault="00E54068" w:rsidP="00E54068">
      <w:pPr>
        <w:numPr>
          <w:ilvl w:val="0"/>
          <w:numId w:val="10"/>
        </w:numPr>
        <w:spacing w:before="120"/>
        <w:rPr>
          <w:rFonts w:asciiTheme="minorHAnsi" w:hAnsiTheme="minorHAnsi" w:cstheme="minorHAnsi"/>
        </w:rPr>
      </w:pPr>
      <w:r w:rsidRPr="00645941">
        <w:rPr>
          <w:rFonts w:asciiTheme="minorHAnsi" w:hAnsiTheme="minorHAnsi" w:cstheme="minorHAnsi"/>
        </w:rPr>
        <w:t>The ICG will work via correspondence and virtual meetings. Face-to-face meetings, if appropriate.</w:t>
      </w:r>
    </w:p>
    <w:p w14:paraId="7A0FD35D" w14:textId="77777777" w:rsidR="00E54068" w:rsidRPr="00645941" w:rsidRDefault="00E54068" w:rsidP="00E54068">
      <w:pPr>
        <w:spacing w:before="240"/>
        <w:rPr>
          <w:rFonts w:asciiTheme="minorHAnsi" w:hAnsiTheme="minorHAnsi" w:cstheme="minorHAnsi"/>
          <w:b/>
        </w:rPr>
      </w:pPr>
      <w:r w:rsidRPr="00645941">
        <w:rPr>
          <w:rFonts w:asciiTheme="minorHAnsi" w:hAnsiTheme="minorHAnsi" w:cstheme="minorHAnsi"/>
          <w:b/>
        </w:rPr>
        <w:t>Timetable</w:t>
      </w:r>
    </w:p>
    <w:p w14:paraId="4C2C969D" w14:textId="77777777" w:rsidR="00E54068" w:rsidRPr="00645941" w:rsidRDefault="00E54068" w:rsidP="00E54068">
      <w:pPr>
        <w:numPr>
          <w:ilvl w:val="0"/>
          <w:numId w:val="10"/>
        </w:numPr>
        <w:spacing w:before="120"/>
        <w:rPr>
          <w:rFonts w:asciiTheme="minorHAnsi" w:hAnsiTheme="minorHAnsi" w:cstheme="minorHAnsi"/>
        </w:rPr>
      </w:pPr>
      <w:r w:rsidRPr="00645941">
        <w:rPr>
          <w:rFonts w:asciiTheme="minorHAnsi" w:hAnsiTheme="minorHAnsi" w:cstheme="minorHAnsi"/>
        </w:rPr>
        <w:t>Key milestone of the ICG including:</w:t>
      </w:r>
    </w:p>
    <w:p w14:paraId="659ADA60" w14:textId="77777777" w:rsidR="00E54068" w:rsidRPr="00645941" w:rsidRDefault="00E54068" w:rsidP="00E54068">
      <w:pPr>
        <w:contextualSpacing/>
        <w:jc w:val="left"/>
        <w:rPr>
          <w:rFonts w:asciiTheme="minorHAnsi" w:hAnsiTheme="minorHAnsi" w:cstheme="minorHAnsi"/>
        </w:rPr>
      </w:pPr>
    </w:p>
    <w:tbl>
      <w:tblPr>
        <w:tblStyle w:val="TableGrid"/>
        <w:tblW w:w="9777" w:type="dxa"/>
        <w:tblLook w:val="04A0" w:firstRow="1" w:lastRow="0" w:firstColumn="1" w:lastColumn="0" w:noHBand="0" w:noVBand="1"/>
      </w:tblPr>
      <w:tblGrid>
        <w:gridCol w:w="3823"/>
        <w:gridCol w:w="5954"/>
      </w:tblGrid>
      <w:tr w:rsidR="00E54068" w:rsidRPr="00645941" w14:paraId="3D0FC9D0" w14:textId="77777777" w:rsidTr="00685AF8">
        <w:tc>
          <w:tcPr>
            <w:tcW w:w="38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B890D0" w14:textId="77777777" w:rsidR="00E54068" w:rsidRPr="00645941" w:rsidRDefault="00E54068" w:rsidP="00685AF8">
            <w:pPr>
              <w:rPr>
                <w:rFonts w:asciiTheme="minorHAnsi" w:hAnsiTheme="minorHAnsi" w:cstheme="minorHAnsi"/>
              </w:rPr>
            </w:pPr>
            <w:r w:rsidRPr="00645941">
              <w:rPr>
                <w:rFonts w:asciiTheme="minorHAnsi" w:hAnsiTheme="minorHAnsi" w:cstheme="minorHAnsi"/>
              </w:rPr>
              <w:t>Date</w:t>
            </w:r>
          </w:p>
        </w:tc>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398194F" w14:textId="77777777" w:rsidR="00E54068" w:rsidRPr="00645941" w:rsidRDefault="00E54068" w:rsidP="00685AF8">
            <w:pPr>
              <w:rPr>
                <w:rFonts w:asciiTheme="minorHAnsi" w:hAnsiTheme="minorHAnsi" w:cstheme="minorHAnsi"/>
              </w:rPr>
            </w:pPr>
            <w:r w:rsidRPr="00645941">
              <w:rPr>
                <w:rFonts w:asciiTheme="minorHAnsi" w:hAnsiTheme="minorHAnsi" w:cstheme="minorHAnsi"/>
              </w:rPr>
              <w:t>Action</w:t>
            </w:r>
          </w:p>
        </w:tc>
      </w:tr>
      <w:tr w:rsidR="00E54068" w:rsidRPr="00645941" w14:paraId="46A10C20" w14:textId="77777777" w:rsidTr="00685AF8">
        <w:tc>
          <w:tcPr>
            <w:tcW w:w="3823" w:type="dxa"/>
            <w:tcBorders>
              <w:top w:val="single" w:sz="4" w:space="0" w:color="auto"/>
              <w:left w:val="single" w:sz="4" w:space="0" w:color="auto"/>
              <w:bottom w:val="single" w:sz="4" w:space="0" w:color="auto"/>
              <w:right w:val="single" w:sz="4" w:space="0" w:color="auto"/>
            </w:tcBorders>
            <w:hideMark/>
          </w:tcPr>
          <w:p w14:paraId="21BDF4E6" w14:textId="00C1C3DD" w:rsidR="00E54068" w:rsidRPr="00645941" w:rsidRDefault="004571EB" w:rsidP="00685AF8">
            <w:pPr>
              <w:rPr>
                <w:rFonts w:asciiTheme="minorHAnsi" w:hAnsiTheme="minorHAnsi" w:cstheme="minorHAnsi"/>
              </w:rPr>
            </w:pPr>
            <w:r>
              <w:rPr>
                <w:rFonts w:asciiTheme="minorHAnsi" w:hAnsiTheme="minorHAnsi" w:cstheme="minorHAnsi"/>
              </w:rPr>
              <w:t>End March</w:t>
            </w:r>
          </w:p>
        </w:tc>
        <w:tc>
          <w:tcPr>
            <w:tcW w:w="5954" w:type="dxa"/>
            <w:tcBorders>
              <w:top w:val="single" w:sz="4" w:space="0" w:color="auto"/>
              <w:left w:val="single" w:sz="4" w:space="0" w:color="auto"/>
              <w:bottom w:val="single" w:sz="4" w:space="0" w:color="auto"/>
              <w:right w:val="single" w:sz="4" w:space="0" w:color="auto"/>
            </w:tcBorders>
            <w:hideMark/>
          </w:tcPr>
          <w:p w14:paraId="0F68E836" w14:textId="7A5ECC5B" w:rsidR="00E54068" w:rsidRPr="00645941" w:rsidRDefault="004571EB" w:rsidP="00685AF8">
            <w:pPr>
              <w:rPr>
                <w:rFonts w:asciiTheme="minorHAnsi" w:hAnsiTheme="minorHAnsi" w:cstheme="minorHAnsi"/>
              </w:rPr>
            </w:pPr>
            <w:r>
              <w:rPr>
                <w:rFonts w:asciiTheme="minorHAnsi" w:hAnsiTheme="minorHAnsi" w:cstheme="minorHAnsi"/>
              </w:rPr>
              <w:t>Circulate Agreements to RSC for agreement by written procedure</w:t>
            </w:r>
          </w:p>
        </w:tc>
      </w:tr>
      <w:tr w:rsidR="00E54068" w:rsidRPr="00645941" w14:paraId="384C3836" w14:textId="77777777" w:rsidTr="00685AF8">
        <w:tc>
          <w:tcPr>
            <w:tcW w:w="3823" w:type="dxa"/>
            <w:tcBorders>
              <w:top w:val="single" w:sz="4" w:space="0" w:color="auto"/>
              <w:left w:val="single" w:sz="4" w:space="0" w:color="auto"/>
              <w:bottom w:val="single" w:sz="4" w:space="0" w:color="auto"/>
              <w:right w:val="single" w:sz="4" w:space="0" w:color="auto"/>
            </w:tcBorders>
            <w:hideMark/>
          </w:tcPr>
          <w:p w14:paraId="2B5AFD6B" w14:textId="1D59BAFE" w:rsidR="00E54068" w:rsidRPr="00645941" w:rsidRDefault="004571EB" w:rsidP="00685AF8">
            <w:pPr>
              <w:rPr>
                <w:rFonts w:asciiTheme="minorHAnsi" w:hAnsiTheme="minorHAnsi" w:cstheme="minorHAnsi"/>
              </w:rPr>
            </w:pPr>
            <w:r>
              <w:rPr>
                <w:rFonts w:asciiTheme="minorHAnsi" w:hAnsiTheme="minorHAnsi" w:cstheme="minorHAnsi"/>
              </w:rPr>
              <w:t xml:space="preserve">11 April </w:t>
            </w:r>
          </w:p>
        </w:tc>
        <w:tc>
          <w:tcPr>
            <w:tcW w:w="5954" w:type="dxa"/>
            <w:tcBorders>
              <w:top w:val="single" w:sz="4" w:space="0" w:color="auto"/>
              <w:left w:val="single" w:sz="4" w:space="0" w:color="auto"/>
              <w:bottom w:val="single" w:sz="4" w:space="0" w:color="auto"/>
              <w:right w:val="single" w:sz="4" w:space="0" w:color="auto"/>
            </w:tcBorders>
            <w:hideMark/>
          </w:tcPr>
          <w:p w14:paraId="5CB8CAE2" w14:textId="18B3798C" w:rsidR="00E54068" w:rsidRPr="00645941" w:rsidRDefault="004571EB" w:rsidP="00685AF8">
            <w:pPr>
              <w:rPr>
                <w:rFonts w:asciiTheme="minorHAnsi" w:hAnsiTheme="minorHAnsi" w:cstheme="minorHAnsi"/>
              </w:rPr>
            </w:pPr>
            <w:r>
              <w:rPr>
                <w:rFonts w:asciiTheme="minorHAnsi" w:hAnsiTheme="minorHAnsi" w:cstheme="minorHAnsi"/>
              </w:rPr>
              <w:t xml:space="preserve">Deadline for comments on written procedure </w:t>
            </w:r>
          </w:p>
        </w:tc>
      </w:tr>
      <w:tr w:rsidR="004571EB" w:rsidRPr="00645941" w14:paraId="68B0EB9E" w14:textId="77777777" w:rsidTr="00685AF8">
        <w:tc>
          <w:tcPr>
            <w:tcW w:w="3823" w:type="dxa"/>
            <w:tcBorders>
              <w:top w:val="single" w:sz="4" w:space="0" w:color="auto"/>
              <w:left w:val="single" w:sz="4" w:space="0" w:color="auto"/>
              <w:bottom w:val="single" w:sz="4" w:space="0" w:color="auto"/>
              <w:right w:val="single" w:sz="4" w:space="0" w:color="auto"/>
            </w:tcBorders>
          </w:tcPr>
          <w:p w14:paraId="5F91F8FF" w14:textId="4EA7350A" w:rsidR="004571EB" w:rsidRDefault="004571EB" w:rsidP="004571EB">
            <w:pPr>
              <w:rPr>
                <w:rFonts w:asciiTheme="minorHAnsi" w:hAnsiTheme="minorHAnsi" w:cstheme="minorHAnsi"/>
              </w:rPr>
            </w:pPr>
            <w:r>
              <w:rPr>
                <w:rFonts w:asciiTheme="minorHAnsi" w:hAnsiTheme="minorHAnsi" w:cstheme="minorHAnsi"/>
              </w:rPr>
              <w:t xml:space="preserve">20 April </w:t>
            </w:r>
          </w:p>
        </w:tc>
        <w:tc>
          <w:tcPr>
            <w:tcW w:w="5954" w:type="dxa"/>
            <w:tcBorders>
              <w:top w:val="single" w:sz="4" w:space="0" w:color="auto"/>
              <w:left w:val="single" w:sz="4" w:space="0" w:color="auto"/>
              <w:bottom w:val="single" w:sz="4" w:space="0" w:color="auto"/>
              <w:right w:val="single" w:sz="4" w:space="0" w:color="auto"/>
            </w:tcBorders>
          </w:tcPr>
          <w:p w14:paraId="7E0A356F" w14:textId="64530035" w:rsidR="004571EB" w:rsidRDefault="004571EB" w:rsidP="004571EB">
            <w:pPr>
              <w:rPr>
                <w:rFonts w:asciiTheme="minorHAnsi" w:hAnsiTheme="minorHAnsi" w:cstheme="minorHAnsi"/>
              </w:rPr>
            </w:pPr>
            <w:r>
              <w:rPr>
                <w:rFonts w:asciiTheme="minorHAnsi" w:hAnsiTheme="minorHAnsi" w:cstheme="minorHAnsi"/>
              </w:rPr>
              <w:t>Submission of agreements for approval by COG/HOD</w:t>
            </w:r>
          </w:p>
        </w:tc>
      </w:tr>
      <w:tr w:rsidR="004571EB" w:rsidRPr="00645941" w14:paraId="5A030131" w14:textId="77777777" w:rsidTr="00C370D8">
        <w:tc>
          <w:tcPr>
            <w:tcW w:w="3823" w:type="dxa"/>
            <w:tcBorders>
              <w:top w:val="single" w:sz="4" w:space="0" w:color="auto"/>
              <w:left w:val="single" w:sz="4" w:space="0" w:color="auto"/>
              <w:bottom w:val="single" w:sz="4" w:space="0" w:color="auto"/>
              <w:right w:val="single" w:sz="4" w:space="0" w:color="auto"/>
            </w:tcBorders>
          </w:tcPr>
          <w:p w14:paraId="2F21A989" w14:textId="77777777" w:rsidR="004571EB" w:rsidRPr="00645941" w:rsidRDefault="004571EB" w:rsidP="00C370D8">
            <w:pPr>
              <w:rPr>
                <w:rFonts w:asciiTheme="minorHAnsi" w:hAnsiTheme="minorHAnsi" w:cstheme="minorHAnsi"/>
              </w:rPr>
            </w:pPr>
            <w:r>
              <w:rPr>
                <w:rFonts w:asciiTheme="minorHAnsi" w:hAnsiTheme="minorHAnsi" w:cstheme="minorHAnsi"/>
              </w:rPr>
              <w:t xml:space="preserve">w/c 5 May </w:t>
            </w:r>
          </w:p>
        </w:tc>
        <w:tc>
          <w:tcPr>
            <w:tcW w:w="5954" w:type="dxa"/>
            <w:tcBorders>
              <w:top w:val="single" w:sz="4" w:space="0" w:color="auto"/>
              <w:left w:val="single" w:sz="4" w:space="0" w:color="auto"/>
              <w:bottom w:val="single" w:sz="4" w:space="0" w:color="auto"/>
              <w:right w:val="single" w:sz="4" w:space="0" w:color="auto"/>
            </w:tcBorders>
          </w:tcPr>
          <w:p w14:paraId="3971B394" w14:textId="77777777" w:rsidR="004571EB" w:rsidRPr="00645941" w:rsidRDefault="004571EB" w:rsidP="00C370D8">
            <w:pPr>
              <w:rPr>
                <w:rFonts w:asciiTheme="minorHAnsi" w:hAnsiTheme="minorHAnsi" w:cstheme="minorHAnsi"/>
              </w:rPr>
            </w:pPr>
            <w:r>
              <w:rPr>
                <w:rFonts w:asciiTheme="minorHAnsi" w:hAnsiTheme="minorHAnsi" w:cstheme="minorHAnsi"/>
              </w:rPr>
              <w:t>Virtual meeting to consider other tasks and develop further timetable.</w:t>
            </w:r>
          </w:p>
        </w:tc>
      </w:tr>
      <w:tr w:rsidR="004571EB" w:rsidRPr="00645941" w14:paraId="05E7F7FF" w14:textId="77777777" w:rsidTr="00685AF8">
        <w:tc>
          <w:tcPr>
            <w:tcW w:w="3823" w:type="dxa"/>
            <w:tcBorders>
              <w:top w:val="single" w:sz="4" w:space="0" w:color="auto"/>
              <w:left w:val="single" w:sz="4" w:space="0" w:color="auto"/>
              <w:bottom w:val="single" w:sz="4" w:space="0" w:color="auto"/>
              <w:right w:val="single" w:sz="4" w:space="0" w:color="auto"/>
            </w:tcBorders>
          </w:tcPr>
          <w:p w14:paraId="6FDDA826" w14:textId="77777777" w:rsidR="004571EB" w:rsidRPr="00645941" w:rsidRDefault="004571EB" w:rsidP="004571EB">
            <w:pPr>
              <w:rPr>
                <w:rFonts w:asciiTheme="minorHAnsi" w:hAnsiTheme="minorHAnsi" w:cstheme="minorHAnsi"/>
              </w:rPr>
            </w:pPr>
          </w:p>
        </w:tc>
        <w:tc>
          <w:tcPr>
            <w:tcW w:w="5954" w:type="dxa"/>
            <w:tcBorders>
              <w:top w:val="single" w:sz="4" w:space="0" w:color="auto"/>
              <w:left w:val="single" w:sz="4" w:space="0" w:color="auto"/>
              <w:bottom w:val="single" w:sz="4" w:space="0" w:color="auto"/>
              <w:right w:val="single" w:sz="4" w:space="0" w:color="auto"/>
            </w:tcBorders>
          </w:tcPr>
          <w:p w14:paraId="2588A328" w14:textId="6D905A0F" w:rsidR="004571EB" w:rsidRPr="00645941" w:rsidRDefault="004571EB" w:rsidP="004571EB">
            <w:pPr>
              <w:rPr>
                <w:rFonts w:asciiTheme="minorHAnsi" w:hAnsiTheme="minorHAnsi" w:cstheme="minorHAnsi"/>
              </w:rPr>
            </w:pPr>
            <w:r>
              <w:rPr>
                <w:rFonts w:asciiTheme="minorHAnsi" w:hAnsiTheme="minorHAnsi" w:cstheme="minorHAnsi"/>
              </w:rPr>
              <w:t>Meetings as appropriate</w:t>
            </w:r>
          </w:p>
        </w:tc>
      </w:tr>
      <w:tr w:rsidR="004571EB" w:rsidRPr="00645941" w14:paraId="45FF973A" w14:textId="77777777" w:rsidTr="00685AF8">
        <w:tc>
          <w:tcPr>
            <w:tcW w:w="3823" w:type="dxa"/>
            <w:tcBorders>
              <w:top w:val="single" w:sz="4" w:space="0" w:color="auto"/>
              <w:left w:val="single" w:sz="4" w:space="0" w:color="auto"/>
              <w:bottom w:val="single" w:sz="4" w:space="0" w:color="auto"/>
              <w:right w:val="single" w:sz="4" w:space="0" w:color="auto"/>
            </w:tcBorders>
            <w:hideMark/>
          </w:tcPr>
          <w:p w14:paraId="5F154FF9" w14:textId="77777777" w:rsidR="004571EB" w:rsidRPr="00645941" w:rsidRDefault="004571EB" w:rsidP="004571EB">
            <w:pPr>
              <w:rPr>
                <w:rFonts w:asciiTheme="minorHAnsi" w:hAnsiTheme="minorHAnsi" w:cstheme="minorHAnsi"/>
              </w:rPr>
            </w:pPr>
            <w:r w:rsidRPr="00645941">
              <w:rPr>
                <w:rFonts w:asciiTheme="minorHAnsi" w:hAnsiTheme="minorHAnsi" w:cstheme="minorHAnsi"/>
              </w:rPr>
              <w:t>December</w:t>
            </w:r>
          </w:p>
        </w:tc>
        <w:tc>
          <w:tcPr>
            <w:tcW w:w="5954" w:type="dxa"/>
            <w:tcBorders>
              <w:top w:val="single" w:sz="4" w:space="0" w:color="auto"/>
              <w:left w:val="single" w:sz="4" w:space="0" w:color="auto"/>
              <w:bottom w:val="single" w:sz="4" w:space="0" w:color="auto"/>
              <w:right w:val="single" w:sz="4" w:space="0" w:color="auto"/>
            </w:tcBorders>
            <w:hideMark/>
          </w:tcPr>
          <w:p w14:paraId="4FA9F3EC" w14:textId="71F4E3DC" w:rsidR="004571EB" w:rsidRPr="00645941" w:rsidRDefault="004571EB" w:rsidP="004571EB">
            <w:pPr>
              <w:rPr>
                <w:rFonts w:asciiTheme="minorHAnsi" w:hAnsiTheme="minorHAnsi" w:cstheme="minorHAnsi"/>
              </w:rPr>
            </w:pPr>
            <w:r w:rsidRPr="00645941">
              <w:rPr>
                <w:rFonts w:asciiTheme="minorHAnsi" w:hAnsiTheme="minorHAnsi" w:cstheme="minorHAnsi"/>
              </w:rPr>
              <w:t>Virtual Meeting to finalise documents for RSC 202</w:t>
            </w:r>
            <w:r>
              <w:rPr>
                <w:rFonts w:asciiTheme="minorHAnsi" w:hAnsiTheme="minorHAnsi" w:cstheme="minorHAnsi"/>
              </w:rPr>
              <w:t>6</w:t>
            </w:r>
            <w:r w:rsidRPr="00645941">
              <w:rPr>
                <w:rFonts w:asciiTheme="minorHAnsi" w:hAnsiTheme="minorHAnsi" w:cstheme="minorHAnsi"/>
              </w:rPr>
              <w:t>.</w:t>
            </w:r>
          </w:p>
        </w:tc>
      </w:tr>
    </w:tbl>
    <w:p w14:paraId="61823F36" w14:textId="4C931171" w:rsidR="0068617D" w:rsidRDefault="0068617D" w:rsidP="00E54068">
      <w:pPr>
        <w:pStyle w:val="BodyText"/>
        <w:tabs>
          <w:tab w:val="left" w:pos="0"/>
          <w:tab w:val="left" w:pos="3945"/>
        </w:tabs>
        <w:spacing w:before="120"/>
        <w:rPr>
          <w:rFonts w:cstheme="minorHAnsi"/>
        </w:rPr>
      </w:pPr>
    </w:p>
    <w:bookmarkEnd w:id="1"/>
    <w:sectPr w:rsidR="0068617D" w:rsidSect="00664686">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FD14" w14:textId="77777777" w:rsidR="00F44002" w:rsidRDefault="00F44002" w:rsidP="00093956">
      <w:pPr>
        <w:spacing w:after="0" w:line="240" w:lineRule="auto"/>
      </w:pPr>
      <w:r>
        <w:separator/>
      </w:r>
    </w:p>
  </w:endnote>
  <w:endnote w:type="continuationSeparator" w:id="0">
    <w:p w14:paraId="2BED9E14" w14:textId="77777777" w:rsidR="00F44002" w:rsidRDefault="00F44002" w:rsidP="0009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4937"/>
      <w:gridCol w:w="4710"/>
    </w:tblGrid>
    <w:tr w:rsidR="00664686" w:rsidRPr="00707F03" w14:paraId="2905A54F" w14:textId="77777777" w:rsidTr="001E0A5C">
      <w:trPr>
        <w:cantSplit/>
        <w:trHeight w:hRule="exact" w:val="284"/>
      </w:trPr>
      <w:tc>
        <w:tcPr>
          <w:tcW w:w="9647" w:type="dxa"/>
          <w:gridSpan w:val="2"/>
          <w:tcBorders>
            <w:bottom w:val="single" w:sz="4" w:space="0" w:color="auto"/>
          </w:tcBorders>
        </w:tcPr>
        <w:p w14:paraId="4733CB28" w14:textId="77777777" w:rsidR="00664686" w:rsidRPr="00707F03" w:rsidRDefault="00664686" w:rsidP="00664686">
          <w:pPr>
            <w:pStyle w:val="Footer"/>
            <w:tabs>
              <w:tab w:val="left" w:pos="272"/>
            </w:tabs>
            <w:jc w:val="right"/>
            <w:rPr>
              <w:rFonts w:ascii="Calibri" w:hAnsi="Calibri" w:cs="Calibri"/>
              <w:sz w:val="18"/>
              <w:szCs w:val="18"/>
            </w:rPr>
          </w:pPr>
          <w:r w:rsidRPr="00707F03">
            <w:rPr>
              <w:rStyle w:val="PageNumber"/>
              <w:rFonts w:ascii="Calibri" w:hAnsi="Calibri" w:cs="Calibri"/>
              <w:sz w:val="18"/>
              <w:szCs w:val="18"/>
            </w:rPr>
            <w:fldChar w:fldCharType="begin"/>
          </w:r>
          <w:r w:rsidRPr="00707F03">
            <w:rPr>
              <w:rStyle w:val="PageNumber"/>
              <w:rFonts w:ascii="Calibri" w:hAnsi="Calibri" w:cs="Calibri"/>
              <w:sz w:val="18"/>
              <w:szCs w:val="18"/>
            </w:rPr>
            <w:instrText xml:space="preserve"> PAGE </w:instrText>
          </w:r>
          <w:r w:rsidRPr="00707F03">
            <w:rPr>
              <w:rStyle w:val="PageNumber"/>
              <w:rFonts w:ascii="Calibri" w:hAnsi="Calibri" w:cs="Calibri"/>
              <w:sz w:val="18"/>
              <w:szCs w:val="18"/>
            </w:rPr>
            <w:fldChar w:fldCharType="separate"/>
          </w:r>
          <w:r w:rsidRPr="00707F03">
            <w:rPr>
              <w:rStyle w:val="PageNumber"/>
              <w:rFonts w:ascii="Calibri" w:hAnsi="Calibri" w:cs="Calibri"/>
              <w:noProof/>
              <w:sz w:val="18"/>
              <w:szCs w:val="18"/>
            </w:rPr>
            <w:t>4</w:t>
          </w:r>
          <w:r w:rsidRPr="00707F03">
            <w:rPr>
              <w:rStyle w:val="PageNumber"/>
              <w:rFonts w:ascii="Calibri" w:hAnsi="Calibri" w:cs="Calibri"/>
              <w:sz w:val="18"/>
              <w:szCs w:val="18"/>
            </w:rPr>
            <w:fldChar w:fldCharType="end"/>
          </w:r>
          <w:r w:rsidRPr="00707F03">
            <w:rPr>
              <w:rStyle w:val="PageNumber"/>
              <w:rFonts w:ascii="Calibri" w:hAnsi="Calibri" w:cs="Calibri"/>
              <w:sz w:val="18"/>
              <w:szCs w:val="18"/>
            </w:rPr>
            <w:t xml:space="preserve"> of </w:t>
          </w:r>
          <w:r w:rsidRPr="00707F03">
            <w:rPr>
              <w:rStyle w:val="PageNumber"/>
              <w:rFonts w:ascii="Calibri" w:hAnsi="Calibri" w:cs="Calibri"/>
              <w:sz w:val="18"/>
              <w:szCs w:val="18"/>
            </w:rPr>
            <w:fldChar w:fldCharType="begin"/>
          </w:r>
          <w:r w:rsidRPr="00707F03">
            <w:rPr>
              <w:rStyle w:val="PageNumber"/>
              <w:rFonts w:ascii="Calibri" w:hAnsi="Calibri" w:cs="Calibri"/>
              <w:sz w:val="18"/>
              <w:szCs w:val="18"/>
            </w:rPr>
            <w:instrText xml:space="preserve"> NUMPAGES </w:instrText>
          </w:r>
          <w:r w:rsidRPr="00707F03">
            <w:rPr>
              <w:rStyle w:val="PageNumber"/>
              <w:rFonts w:ascii="Calibri" w:hAnsi="Calibri" w:cs="Calibri"/>
              <w:sz w:val="18"/>
              <w:szCs w:val="18"/>
            </w:rPr>
            <w:fldChar w:fldCharType="separate"/>
          </w:r>
          <w:r w:rsidRPr="00707F03">
            <w:rPr>
              <w:rStyle w:val="PageNumber"/>
              <w:rFonts w:ascii="Calibri" w:hAnsi="Calibri" w:cs="Calibri"/>
              <w:noProof/>
              <w:sz w:val="18"/>
              <w:szCs w:val="18"/>
            </w:rPr>
            <w:t>4</w:t>
          </w:r>
          <w:r w:rsidRPr="00707F03">
            <w:rPr>
              <w:rStyle w:val="PageNumber"/>
              <w:rFonts w:ascii="Calibri" w:hAnsi="Calibri" w:cs="Calibri"/>
              <w:sz w:val="18"/>
              <w:szCs w:val="18"/>
            </w:rPr>
            <w:fldChar w:fldCharType="end"/>
          </w:r>
          <w:r w:rsidRPr="00707F03">
            <w:rPr>
              <w:rStyle w:val="PageNumber"/>
              <w:rFonts w:ascii="Calibri" w:hAnsi="Calibri" w:cs="Calibri"/>
              <w:sz w:val="18"/>
              <w:szCs w:val="18"/>
            </w:rPr>
            <w:t xml:space="preserve"> </w:t>
          </w:r>
        </w:p>
      </w:tc>
    </w:tr>
    <w:tr w:rsidR="00664686" w:rsidRPr="00707F03" w14:paraId="1E4AAE2C" w14:textId="77777777" w:rsidTr="001E0A5C">
      <w:trPr>
        <w:cantSplit/>
        <w:trHeight w:hRule="exact" w:val="284"/>
      </w:trPr>
      <w:tc>
        <w:tcPr>
          <w:tcW w:w="4937" w:type="dxa"/>
          <w:tcBorders>
            <w:top w:val="single" w:sz="4" w:space="0" w:color="auto"/>
          </w:tcBorders>
        </w:tcPr>
        <w:p w14:paraId="58A39121" w14:textId="77777777" w:rsidR="00664686" w:rsidRPr="00707F03" w:rsidRDefault="00664686" w:rsidP="00664686">
          <w:pPr>
            <w:pStyle w:val="Footer"/>
            <w:rPr>
              <w:rFonts w:ascii="Calibri" w:hAnsi="Calibri" w:cs="Calibri"/>
              <w:sz w:val="18"/>
              <w:szCs w:val="18"/>
            </w:rPr>
          </w:pPr>
          <w:r w:rsidRPr="00707F03">
            <w:rPr>
              <w:rFonts w:ascii="Calibri" w:hAnsi="Calibri" w:cs="Calibri"/>
              <w:sz w:val="18"/>
              <w:szCs w:val="18"/>
            </w:rPr>
            <w:t>OSPAR Commission</w:t>
          </w:r>
        </w:p>
      </w:tc>
      <w:tc>
        <w:tcPr>
          <w:tcW w:w="4710" w:type="dxa"/>
          <w:tcBorders>
            <w:top w:val="single" w:sz="4" w:space="0" w:color="auto"/>
          </w:tcBorders>
        </w:tcPr>
        <w:p w14:paraId="16037921" w14:textId="4CA7D0AD" w:rsidR="00664686" w:rsidRPr="00707F03" w:rsidRDefault="00664686" w:rsidP="00664686">
          <w:pPr>
            <w:pStyle w:val="Footer"/>
            <w:tabs>
              <w:tab w:val="left" w:pos="272"/>
            </w:tabs>
            <w:jc w:val="right"/>
            <w:rPr>
              <w:rFonts w:ascii="Calibri" w:hAnsi="Calibri" w:cs="Calibri"/>
              <w:sz w:val="18"/>
              <w:szCs w:val="18"/>
            </w:rPr>
          </w:pPr>
          <w:r w:rsidRPr="00707F03">
            <w:rPr>
              <w:rFonts w:ascii="Calibri" w:hAnsi="Calibri" w:cs="Calibri"/>
              <w:sz w:val="18"/>
              <w:szCs w:val="18"/>
            </w:rPr>
            <w:tab/>
            <w:t>RSC 25/12/01</w:t>
          </w:r>
          <w:r>
            <w:rPr>
              <w:rFonts w:ascii="Calibri" w:hAnsi="Calibri" w:cs="Calibri"/>
              <w:sz w:val="18"/>
              <w:szCs w:val="18"/>
            </w:rPr>
            <w:t>-Annex.0</w:t>
          </w:r>
          <w:r>
            <w:rPr>
              <w:rFonts w:ascii="Calibri" w:hAnsi="Calibri" w:cs="Calibri"/>
              <w:sz w:val="18"/>
              <w:szCs w:val="18"/>
            </w:rPr>
            <w:t>8</w:t>
          </w:r>
        </w:p>
      </w:tc>
    </w:tr>
  </w:tbl>
  <w:p w14:paraId="253458B8" w14:textId="401D82E8" w:rsidR="00664686" w:rsidRDefault="00664686">
    <w:pPr>
      <w:pStyle w:val="Footer"/>
    </w:pPr>
  </w:p>
  <w:p w14:paraId="20CDE294" w14:textId="77777777" w:rsidR="001663B3" w:rsidRDefault="00166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BD495" w14:textId="77777777" w:rsidR="00F44002" w:rsidRDefault="00F44002" w:rsidP="00093956">
      <w:pPr>
        <w:spacing w:after="0" w:line="240" w:lineRule="auto"/>
      </w:pPr>
      <w:r>
        <w:separator/>
      </w:r>
    </w:p>
  </w:footnote>
  <w:footnote w:type="continuationSeparator" w:id="0">
    <w:p w14:paraId="61AB4533" w14:textId="77777777" w:rsidR="00F44002" w:rsidRDefault="00F44002" w:rsidP="00093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CE05" w14:textId="72463361" w:rsidR="005A1C29" w:rsidRPr="005A1C29" w:rsidRDefault="005A1C29" w:rsidP="00E54068">
    <w:pPr>
      <w:pStyle w:val="Header"/>
      <w:jc w:val="cent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7FF"/>
    <w:multiLevelType w:val="hybridMultilevel"/>
    <w:tmpl w:val="8C8089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73916"/>
    <w:multiLevelType w:val="multilevel"/>
    <w:tmpl w:val="5A9E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C5BBB"/>
    <w:multiLevelType w:val="multilevel"/>
    <w:tmpl w:val="566863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F11B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1E4701"/>
    <w:multiLevelType w:val="multilevel"/>
    <w:tmpl w:val="566863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BA0819"/>
    <w:multiLevelType w:val="hybridMultilevel"/>
    <w:tmpl w:val="8E3AE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E46F60"/>
    <w:multiLevelType w:val="multilevel"/>
    <w:tmpl w:val="9F68F7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4878DF"/>
    <w:multiLevelType w:val="hybridMultilevel"/>
    <w:tmpl w:val="A2EE02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29A54764"/>
    <w:multiLevelType w:val="multilevel"/>
    <w:tmpl w:val="05EA2A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001D30"/>
    <w:multiLevelType w:val="multilevel"/>
    <w:tmpl w:val="FD7C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2A22ED"/>
    <w:multiLevelType w:val="hybridMultilevel"/>
    <w:tmpl w:val="16D685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453D23"/>
    <w:multiLevelType w:val="hybridMultilevel"/>
    <w:tmpl w:val="B0C03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461F5355"/>
    <w:multiLevelType w:val="multilevel"/>
    <w:tmpl w:val="9F68F7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B911E1"/>
    <w:multiLevelType w:val="hybridMultilevel"/>
    <w:tmpl w:val="E32817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ED43D8"/>
    <w:multiLevelType w:val="hybridMultilevel"/>
    <w:tmpl w:val="E44A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9056C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91C0BF7"/>
    <w:multiLevelType w:val="multilevel"/>
    <w:tmpl w:val="9F68F7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C045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5783826">
    <w:abstractNumId w:val="0"/>
  </w:num>
  <w:num w:numId="2" w16cid:durableId="415398834">
    <w:abstractNumId w:val="13"/>
  </w:num>
  <w:num w:numId="3" w16cid:durableId="1227883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45752">
    <w:abstractNumId w:val="8"/>
  </w:num>
  <w:num w:numId="5" w16cid:durableId="1185748879">
    <w:abstractNumId w:val="17"/>
  </w:num>
  <w:num w:numId="6" w16cid:durableId="1031340734">
    <w:abstractNumId w:val="1"/>
  </w:num>
  <w:num w:numId="7" w16cid:durableId="335498373">
    <w:abstractNumId w:val="9"/>
  </w:num>
  <w:num w:numId="8" w16cid:durableId="1902255880">
    <w:abstractNumId w:val="11"/>
  </w:num>
  <w:num w:numId="9" w16cid:durableId="1017540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1137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4780518">
    <w:abstractNumId w:val="7"/>
  </w:num>
  <w:num w:numId="12" w16cid:durableId="217207221">
    <w:abstractNumId w:val="14"/>
  </w:num>
  <w:num w:numId="13" w16cid:durableId="481508822">
    <w:abstractNumId w:val="10"/>
  </w:num>
  <w:num w:numId="14" w16cid:durableId="853230870">
    <w:abstractNumId w:val="4"/>
  </w:num>
  <w:num w:numId="15" w16cid:durableId="277298978">
    <w:abstractNumId w:val="15"/>
  </w:num>
  <w:num w:numId="16" w16cid:durableId="1508131885">
    <w:abstractNumId w:val="2"/>
  </w:num>
  <w:num w:numId="17" w16cid:durableId="721443715">
    <w:abstractNumId w:val="12"/>
  </w:num>
  <w:num w:numId="18" w16cid:durableId="151146683">
    <w:abstractNumId w:val="6"/>
  </w:num>
  <w:num w:numId="19" w16cid:durableId="990981253">
    <w:abstractNumId w:val="16"/>
  </w:num>
  <w:num w:numId="20" w16cid:durableId="4648551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7F"/>
    <w:rsid w:val="00000DCC"/>
    <w:rsid w:val="00001222"/>
    <w:rsid w:val="0001240C"/>
    <w:rsid w:val="00017D05"/>
    <w:rsid w:val="00020CE4"/>
    <w:rsid w:val="00021C24"/>
    <w:rsid w:val="00024D8A"/>
    <w:rsid w:val="00025686"/>
    <w:rsid w:val="00033EB5"/>
    <w:rsid w:val="00045E62"/>
    <w:rsid w:val="000530D0"/>
    <w:rsid w:val="00053417"/>
    <w:rsid w:val="00055000"/>
    <w:rsid w:val="00057E0C"/>
    <w:rsid w:val="000662F7"/>
    <w:rsid w:val="0006725D"/>
    <w:rsid w:val="00067854"/>
    <w:rsid w:val="000705B9"/>
    <w:rsid w:val="00072705"/>
    <w:rsid w:val="0007488E"/>
    <w:rsid w:val="00075D6C"/>
    <w:rsid w:val="00093956"/>
    <w:rsid w:val="00094E73"/>
    <w:rsid w:val="000A01F2"/>
    <w:rsid w:val="000A28D5"/>
    <w:rsid w:val="000B630C"/>
    <w:rsid w:val="000C1C16"/>
    <w:rsid w:val="000C5C3D"/>
    <w:rsid w:val="000D1A13"/>
    <w:rsid w:val="000D4D6B"/>
    <w:rsid w:val="000D5DFA"/>
    <w:rsid w:val="000D7666"/>
    <w:rsid w:val="000E4EF2"/>
    <w:rsid w:val="000E54DB"/>
    <w:rsid w:val="000F07BC"/>
    <w:rsid w:val="000F7785"/>
    <w:rsid w:val="00100F5C"/>
    <w:rsid w:val="00103457"/>
    <w:rsid w:val="001239C8"/>
    <w:rsid w:val="00124C6B"/>
    <w:rsid w:val="00125A0A"/>
    <w:rsid w:val="00131D08"/>
    <w:rsid w:val="001329C5"/>
    <w:rsid w:val="00132B55"/>
    <w:rsid w:val="00133225"/>
    <w:rsid w:val="00137DE6"/>
    <w:rsid w:val="00137F70"/>
    <w:rsid w:val="001463BF"/>
    <w:rsid w:val="00146A6B"/>
    <w:rsid w:val="00153462"/>
    <w:rsid w:val="00155E98"/>
    <w:rsid w:val="001663B3"/>
    <w:rsid w:val="00166E13"/>
    <w:rsid w:val="00174F90"/>
    <w:rsid w:val="001855CD"/>
    <w:rsid w:val="00191469"/>
    <w:rsid w:val="0019297E"/>
    <w:rsid w:val="001A00E9"/>
    <w:rsid w:val="001A075A"/>
    <w:rsid w:val="001A4801"/>
    <w:rsid w:val="001B0B50"/>
    <w:rsid w:val="001B410E"/>
    <w:rsid w:val="001B7EE4"/>
    <w:rsid w:val="001C7D81"/>
    <w:rsid w:val="001D1329"/>
    <w:rsid w:val="001D2ED7"/>
    <w:rsid w:val="001D6A51"/>
    <w:rsid w:val="001E0D36"/>
    <w:rsid w:val="001F0DF0"/>
    <w:rsid w:val="001F1FFE"/>
    <w:rsid w:val="001F2433"/>
    <w:rsid w:val="00203691"/>
    <w:rsid w:val="002042FE"/>
    <w:rsid w:val="00207766"/>
    <w:rsid w:val="00212E1F"/>
    <w:rsid w:val="00212FDA"/>
    <w:rsid w:val="00214602"/>
    <w:rsid w:val="00215071"/>
    <w:rsid w:val="0021658E"/>
    <w:rsid w:val="00220CBC"/>
    <w:rsid w:val="0022437E"/>
    <w:rsid w:val="00230E3A"/>
    <w:rsid w:val="00235E48"/>
    <w:rsid w:val="00246EC1"/>
    <w:rsid w:val="00264F8F"/>
    <w:rsid w:val="0026670A"/>
    <w:rsid w:val="002707A7"/>
    <w:rsid w:val="00275F06"/>
    <w:rsid w:val="002861EC"/>
    <w:rsid w:val="0029169D"/>
    <w:rsid w:val="00295D7B"/>
    <w:rsid w:val="002A4D17"/>
    <w:rsid w:val="002A6588"/>
    <w:rsid w:val="002B0447"/>
    <w:rsid w:val="002B0D16"/>
    <w:rsid w:val="002B263F"/>
    <w:rsid w:val="002B2B7F"/>
    <w:rsid w:val="002C3ED0"/>
    <w:rsid w:val="002C55AC"/>
    <w:rsid w:val="002D02B2"/>
    <w:rsid w:val="002D0E0C"/>
    <w:rsid w:val="002E743A"/>
    <w:rsid w:val="002F3BD9"/>
    <w:rsid w:val="00304766"/>
    <w:rsid w:val="00307A87"/>
    <w:rsid w:val="0031168B"/>
    <w:rsid w:val="00312683"/>
    <w:rsid w:val="003156F0"/>
    <w:rsid w:val="0032067D"/>
    <w:rsid w:val="00327AB8"/>
    <w:rsid w:val="00332D9A"/>
    <w:rsid w:val="00340D25"/>
    <w:rsid w:val="00340D35"/>
    <w:rsid w:val="00346E44"/>
    <w:rsid w:val="003501EA"/>
    <w:rsid w:val="003541F9"/>
    <w:rsid w:val="0036271F"/>
    <w:rsid w:val="0036526E"/>
    <w:rsid w:val="003B1A52"/>
    <w:rsid w:val="003D5750"/>
    <w:rsid w:val="003D7E16"/>
    <w:rsid w:val="003E0031"/>
    <w:rsid w:val="003F1B6E"/>
    <w:rsid w:val="00400EE8"/>
    <w:rsid w:val="004079BA"/>
    <w:rsid w:val="00414104"/>
    <w:rsid w:val="00420950"/>
    <w:rsid w:val="004240A2"/>
    <w:rsid w:val="0042464C"/>
    <w:rsid w:val="00433E1E"/>
    <w:rsid w:val="00441C99"/>
    <w:rsid w:val="00445238"/>
    <w:rsid w:val="00446986"/>
    <w:rsid w:val="0044730F"/>
    <w:rsid w:val="00455C1A"/>
    <w:rsid w:val="004571EB"/>
    <w:rsid w:val="0046243F"/>
    <w:rsid w:val="004755AE"/>
    <w:rsid w:val="00480838"/>
    <w:rsid w:val="00481A00"/>
    <w:rsid w:val="004922B2"/>
    <w:rsid w:val="00496096"/>
    <w:rsid w:val="004A2C3E"/>
    <w:rsid w:val="004A684B"/>
    <w:rsid w:val="004B00DD"/>
    <w:rsid w:val="004C05BB"/>
    <w:rsid w:val="004C127E"/>
    <w:rsid w:val="004C548B"/>
    <w:rsid w:val="004C573F"/>
    <w:rsid w:val="004D0EB1"/>
    <w:rsid w:val="004D10E5"/>
    <w:rsid w:val="004D3C53"/>
    <w:rsid w:val="004D5CB6"/>
    <w:rsid w:val="004E2928"/>
    <w:rsid w:val="004E6D03"/>
    <w:rsid w:val="004F1FEE"/>
    <w:rsid w:val="004F462F"/>
    <w:rsid w:val="004F7C99"/>
    <w:rsid w:val="00507A42"/>
    <w:rsid w:val="005103A1"/>
    <w:rsid w:val="00517A50"/>
    <w:rsid w:val="005301B7"/>
    <w:rsid w:val="0053501A"/>
    <w:rsid w:val="0054025A"/>
    <w:rsid w:val="005427AA"/>
    <w:rsid w:val="00543217"/>
    <w:rsid w:val="005443AA"/>
    <w:rsid w:val="00552E6A"/>
    <w:rsid w:val="00562CE4"/>
    <w:rsid w:val="00563E77"/>
    <w:rsid w:val="0057750C"/>
    <w:rsid w:val="00592163"/>
    <w:rsid w:val="00592C6F"/>
    <w:rsid w:val="005A1C29"/>
    <w:rsid w:val="005B22F9"/>
    <w:rsid w:val="005B3DE9"/>
    <w:rsid w:val="005B5FCA"/>
    <w:rsid w:val="005C5F64"/>
    <w:rsid w:val="005D6270"/>
    <w:rsid w:val="005E11E2"/>
    <w:rsid w:val="005E5155"/>
    <w:rsid w:val="005E5F4F"/>
    <w:rsid w:val="005E702D"/>
    <w:rsid w:val="005F5E71"/>
    <w:rsid w:val="006006C8"/>
    <w:rsid w:val="0060367A"/>
    <w:rsid w:val="006061EC"/>
    <w:rsid w:val="00610D91"/>
    <w:rsid w:val="00613BDB"/>
    <w:rsid w:val="00652531"/>
    <w:rsid w:val="00663BBC"/>
    <w:rsid w:val="00664686"/>
    <w:rsid w:val="00667EFF"/>
    <w:rsid w:val="006705F9"/>
    <w:rsid w:val="006707E6"/>
    <w:rsid w:val="0067706F"/>
    <w:rsid w:val="00680333"/>
    <w:rsid w:val="00681255"/>
    <w:rsid w:val="0068352F"/>
    <w:rsid w:val="0068617D"/>
    <w:rsid w:val="00691CA2"/>
    <w:rsid w:val="006923F1"/>
    <w:rsid w:val="00692C34"/>
    <w:rsid w:val="0069396C"/>
    <w:rsid w:val="00694E1F"/>
    <w:rsid w:val="006A068C"/>
    <w:rsid w:val="006A3EE2"/>
    <w:rsid w:val="006A5E2B"/>
    <w:rsid w:val="006B00C7"/>
    <w:rsid w:val="006B259A"/>
    <w:rsid w:val="006C17E8"/>
    <w:rsid w:val="006C1927"/>
    <w:rsid w:val="006C6527"/>
    <w:rsid w:val="006D7AEC"/>
    <w:rsid w:val="006E5135"/>
    <w:rsid w:val="006E5C42"/>
    <w:rsid w:val="00705719"/>
    <w:rsid w:val="00710714"/>
    <w:rsid w:val="007120C6"/>
    <w:rsid w:val="00714289"/>
    <w:rsid w:val="00721FEA"/>
    <w:rsid w:val="0072221A"/>
    <w:rsid w:val="0072230A"/>
    <w:rsid w:val="00722641"/>
    <w:rsid w:val="007239F4"/>
    <w:rsid w:val="00723F32"/>
    <w:rsid w:val="00727ED5"/>
    <w:rsid w:val="007316E2"/>
    <w:rsid w:val="00760081"/>
    <w:rsid w:val="0076606E"/>
    <w:rsid w:val="00770D57"/>
    <w:rsid w:val="0077201F"/>
    <w:rsid w:val="007726F5"/>
    <w:rsid w:val="00786142"/>
    <w:rsid w:val="0079385A"/>
    <w:rsid w:val="00796928"/>
    <w:rsid w:val="007A0705"/>
    <w:rsid w:val="007A5248"/>
    <w:rsid w:val="007A772A"/>
    <w:rsid w:val="007B6D9A"/>
    <w:rsid w:val="007D2C0D"/>
    <w:rsid w:val="007D5AC6"/>
    <w:rsid w:val="007D669C"/>
    <w:rsid w:val="007E2A0A"/>
    <w:rsid w:val="007E63C8"/>
    <w:rsid w:val="00802C82"/>
    <w:rsid w:val="008104D0"/>
    <w:rsid w:val="00811538"/>
    <w:rsid w:val="00833863"/>
    <w:rsid w:val="00835B0D"/>
    <w:rsid w:val="00851D86"/>
    <w:rsid w:val="008642BD"/>
    <w:rsid w:val="008701DA"/>
    <w:rsid w:val="00871346"/>
    <w:rsid w:val="008760BB"/>
    <w:rsid w:val="00881CF6"/>
    <w:rsid w:val="0088267A"/>
    <w:rsid w:val="0089025B"/>
    <w:rsid w:val="00891F61"/>
    <w:rsid w:val="00895531"/>
    <w:rsid w:val="008A3108"/>
    <w:rsid w:val="008B1476"/>
    <w:rsid w:val="008B6F53"/>
    <w:rsid w:val="008C5CFD"/>
    <w:rsid w:val="008D1ACD"/>
    <w:rsid w:val="008D20EB"/>
    <w:rsid w:val="008D4E78"/>
    <w:rsid w:val="008D5EE2"/>
    <w:rsid w:val="008E39A5"/>
    <w:rsid w:val="008E494A"/>
    <w:rsid w:val="008F4E0A"/>
    <w:rsid w:val="009012CD"/>
    <w:rsid w:val="009016FA"/>
    <w:rsid w:val="00901BA1"/>
    <w:rsid w:val="00902DF5"/>
    <w:rsid w:val="009057BD"/>
    <w:rsid w:val="00911CBC"/>
    <w:rsid w:val="00917682"/>
    <w:rsid w:val="0092177C"/>
    <w:rsid w:val="00932233"/>
    <w:rsid w:val="00934441"/>
    <w:rsid w:val="009374FA"/>
    <w:rsid w:val="00941FE9"/>
    <w:rsid w:val="00946FE6"/>
    <w:rsid w:val="009530D5"/>
    <w:rsid w:val="00953A4D"/>
    <w:rsid w:val="00955022"/>
    <w:rsid w:val="00963A5D"/>
    <w:rsid w:val="00971C6F"/>
    <w:rsid w:val="00981805"/>
    <w:rsid w:val="00985D58"/>
    <w:rsid w:val="0098674B"/>
    <w:rsid w:val="009A77A4"/>
    <w:rsid w:val="009B1D7A"/>
    <w:rsid w:val="009D16B0"/>
    <w:rsid w:val="009D5338"/>
    <w:rsid w:val="009E61F1"/>
    <w:rsid w:val="009E6C23"/>
    <w:rsid w:val="009E7DB0"/>
    <w:rsid w:val="009F2F90"/>
    <w:rsid w:val="009F7EED"/>
    <w:rsid w:val="00A04664"/>
    <w:rsid w:val="00A16E11"/>
    <w:rsid w:val="00A2774F"/>
    <w:rsid w:val="00A55F3E"/>
    <w:rsid w:val="00A62A39"/>
    <w:rsid w:val="00A6489C"/>
    <w:rsid w:val="00A72B35"/>
    <w:rsid w:val="00A86803"/>
    <w:rsid w:val="00A87BB0"/>
    <w:rsid w:val="00A902D9"/>
    <w:rsid w:val="00A9051B"/>
    <w:rsid w:val="00AA612D"/>
    <w:rsid w:val="00AB1ADB"/>
    <w:rsid w:val="00AC0371"/>
    <w:rsid w:val="00AC0F70"/>
    <w:rsid w:val="00AC159F"/>
    <w:rsid w:val="00AC3A25"/>
    <w:rsid w:val="00AD0F79"/>
    <w:rsid w:val="00AD1601"/>
    <w:rsid w:val="00AD6AAF"/>
    <w:rsid w:val="00AE1E5E"/>
    <w:rsid w:val="00AE695D"/>
    <w:rsid w:val="00B0199E"/>
    <w:rsid w:val="00B02589"/>
    <w:rsid w:val="00B06AFE"/>
    <w:rsid w:val="00B145A3"/>
    <w:rsid w:val="00B1595F"/>
    <w:rsid w:val="00B17962"/>
    <w:rsid w:val="00B36283"/>
    <w:rsid w:val="00B41F1C"/>
    <w:rsid w:val="00B462BD"/>
    <w:rsid w:val="00B53143"/>
    <w:rsid w:val="00B616E1"/>
    <w:rsid w:val="00B62A29"/>
    <w:rsid w:val="00B636DB"/>
    <w:rsid w:val="00B71114"/>
    <w:rsid w:val="00B7158C"/>
    <w:rsid w:val="00B74D95"/>
    <w:rsid w:val="00B92BC9"/>
    <w:rsid w:val="00B96FA6"/>
    <w:rsid w:val="00BA0FFF"/>
    <w:rsid w:val="00BB01D1"/>
    <w:rsid w:val="00BB6767"/>
    <w:rsid w:val="00BC4635"/>
    <w:rsid w:val="00BD1746"/>
    <w:rsid w:val="00BD2BAB"/>
    <w:rsid w:val="00BD6AAD"/>
    <w:rsid w:val="00BE0922"/>
    <w:rsid w:val="00BE2154"/>
    <w:rsid w:val="00BE2F6C"/>
    <w:rsid w:val="00BE3FEA"/>
    <w:rsid w:val="00BF2A40"/>
    <w:rsid w:val="00BF6527"/>
    <w:rsid w:val="00C00975"/>
    <w:rsid w:val="00C10BEE"/>
    <w:rsid w:val="00C145E1"/>
    <w:rsid w:val="00C45EF5"/>
    <w:rsid w:val="00C61C9F"/>
    <w:rsid w:val="00C63B02"/>
    <w:rsid w:val="00C70961"/>
    <w:rsid w:val="00C80660"/>
    <w:rsid w:val="00C83871"/>
    <w:rsid w:val="00C93040"/>
    <w:rsid w:val="00CA1344"/>
    <w:rsid w:val="00CB12E9"/>
    <w:rsid w:val="00CB4224"/>
    <w:rsid w:val="00CB5924"/>
    <w:rsid w:val="00CB61A7"/>
    <w:rsid w:val="00CC3886"/>
    <w:rsid w:val="00CC4413"/>
    <w:rsid w:val="00CD74DB"/>
    <w:rsid w:val="00CE240B"/>
    <w:rsid w:val="00CE3DAC"/>
    <w:rsid w:val="00CE41DF"/>
    <w:rsid w:val="00CE42EA"/>
    <w:rsid w:val="00CE714D"/>
    <w:rsid w:val="00CE738B"/>
    <w:rsid w:val="00CF2892"/>
    <w:rsid w:val="00D02048"/>
    <w:rsid w:val="00D12813"/>
    <w:rsid w:val="00D14342"/>
    <w:rsid w:val="00D179A7"/>
    <w:rsid w:val="00D20140"/>
    <w:rsid w:val="00D277FC"/>
    <w:rsid w:val="00D3087A"/>
    <w:rsid w:val="00D30F56"/>
    <w:rsid w:val="00D31D0C"/>
    <w:rsid w:val="00D33974"/>
    <w:rsid w:val="00D34172"/>
    <w:rsid w:val="00D3486C"/>
    <w:rsid w:val="00D40549"/>
    <w:rsid w:val="00D53B8A"/>
    <w:rsid w:val="00D70A73"/>
    <w:rsid w:val="00D742F3"/>
    <w:rsid w:val="00D777B2"/>
    <w:rsid w:val="00DA587D"/>
    <w:rsid w:val="00DA6AE1"/>
    <w:rsid w:val="00DA7A41"/>
    <w:rsid w:val="00DB2B81"/>
    <w:rsid w:val="00DB4ABE"/>
    <w:rsid w:val="00DB4D1F"/>
    <w:rsid w:val="00DC3813"/>
    <w:rsid w:val="00DC44EC"/>
    <w:rsid w:val="00DC62BE"/>
    <w:rsid w:val="00DC6C19"/>
    <w:rsid w:val="00DD546C"/>
    <w:rsid w:val="00DD5830"/>
    <w:rsid w:val="00DE4E49"/>
    <w:rsid w:val="00DF2AD8"/>
    <w:rsid w:val="00DF4D89"/>
    <w:rsid w:val="00E05701"/>
    <w:rsid w:val="00E07E84"/>
    <w:rsid w:val="00E10C28"/>
    <w:rsid w:val="00E150C4"/>
    <w:rsid w:val="00E20E94"/>
    <w:rsid w:val="00E232C0"/>
    <w:rsid w:val="00E25D6E"/>
    <w:rsid w:val="00E26003"/>
    <w:rsid w:val="00E27F22"/>
    <w:rsid w:val="00E35451"/>
    <w:rsid w:val="00E35CCA"/>
    <w:rsid w:val="00E40DC9"/>
    <w:rsid w:val="00E411F4"/>
    <w:rsid w:val="00E41595"/>
    <w:rsid w:val="00E4549D"/>
    <w:rsid w:val="00E47EBD"/>
    <w:rsid w:val="00E506BB"/>
    <w:rsid w:val="00E54068"/>
    <w:rsid w:val="00E54924"/>
    <w:rsid w:val="00E54A0E"/>
    <w:rsid w:val="00E61188"/>
    <w:rsid w:val="00E63074"/>
    <w:rsid w:val="00E644C8"/>
    <w:rsid w:val="00E65047"/>
    <w:rsid w:val="00E67866"/>
    <w:rsid w:val="00E74508"/>
    <w:rsid w:val="00E92632"/>
    <w:rsid w:val="00E9327F"/>
    <w:rsid w:val="00EA1E84"/>
    <w:rsid w:val="00EC33CE"/>
    <w:rsid w:val="00ED08B5"/>
    <w:rsid w:val="00ED26A8"/>
    <w:rsid w:val="00ED601E"/>
    <w:rsid w:val="00EF00D5"/>
    <w:rsid w:val="00EF6098"/>
    <w:rsid w:val="00EF780A"/>
    <w:rsid w:val="00F01EB0"/>
    <w:rsid w:val="00F044B7"/>
    <w:rsid w:val="00F139F5"/>
    <w:rsid w:val="00F179CC"/>
    <w:rsid w:val="00F363A5"/>
    <w:rsid w:val="00F37406"/>
    <w:rsid w:val="00F37CBB"/>
    <w:rsid w:val="00F41CFB"/>
    <w:rsid w:val="00F44002"/>
    <w:rsid w:val="00F45EFF"/>
    <w:rsid w:val="00F479ED"/>
    <w:rsid w:val="00F548C3"/>
    <w:rsid w:val="00F63804"/>
    <w:rsid w:val="00F85428"/>
    <w:rsid w:val="00F949FE"/>
    <w:rsid w:val="00FA11D9"/>
    <w:rsid w:val="00FA4353"/>
    <w:rsid w:val="00FA5821"/>
    <w:rsid w:val="00FD1FC2"/>
    <w:rsid w:val="00FD615E"/>
    <w:rsid w:val="00FE306F"/>
    <w:rsid w:val="00FE79DF"/>
    <w:rsid w:val="00FF3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DADFE"/>
  <w15:chartTrackingRefBased/>
  <w15:docId w15:val="{D2AC385A-18F6-42E7-8EC1-81B5AFE1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B7F"/>
    <w:pPr>
      <w:tabs>
        <w:tab w:val="left" w:pos="567"/>
      </w:tabs>
      <w:spacing w:after="140" w:line="280" w:lineRule="atLeast"/>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093956"/>
    <w:pPr>
      <w:spacing w:after="0" w:line="240" w:lineRule="auto"/>
    </w:pPr>
  </w:style>
  <w:style w:type="character" w:customStyle="1" w:styleId="FootnoteTextChar">
    <w:name w:val="Footnote Text Char"/>
    <w:basedOn w:val="DefaultParagraphFont"/>
    <w:link w:val="FootnoteText"/>
    <w:semiHidden/>
    <w:rsid w:val="00093956"/>
    <w:rPr>
      <w:rFonts w:ascii="Arial" w:eastAsia="Times New Roman" w:hAnsi="Arial" w:cs="Times New Roman"/>
      <w:sz w:val="20"/>
      <w:szCs w:val="20"/>
    </w:rPr>
  </w:style>
  <w:style w:type="character" w:styleId="FootnoteReference">
    <w:name w:val="footnote reference"/>
    <w:aliases w:val="stylish"/>
    <w:uiPriority w:val="99"/>
    <w:rsid w:val="00093956"/>
    <w:rPr>
      <w:vertAlign w:val="superscript"/>
    </w:rPr>
  </w:style>
  <w:style w:type="paragraph" w:styleId="ListParagraph">
    <w:name w:val="List Paragraph"/>
    <w:aliases w:val="_Bullet,Heading 2_sj,List Paragraph1,Listenabsatz1,Normal bullet 2,Bullet list,Dot pt,Parágrafo da Lista,Liststycke,No Spacing1,List Paragraph Char Char Char,Indicator Text,Numbered Para 1,Bullet 1,Bullet Points,MAIN CONTENT"/>
    <w:basedOn w:val="Normal"/>
    <w:link w:val="ListParagraphChar"/>
    <w:uiPriority w:val="34"/>
    <w:qFormat/>
    <w:rsid w:val="00093956"/>
    <w:pPr>
      <w:ind w:left="720"/>
      <w:contextualSpacing/>
    </w:pPr>
  </w:style>
  <w:style w:type="paragraph" w:styleId="NormalWeb">
    <w:name w:val="Normal (Web)"/>
    <w:basedOn w:val="Normal"/>
    <w:uiPriority w:val="99"/>
    <w:unhideWhenUsed/>
    <w:rsid w:val="00CB5924"/>
    <w:pPr>
      <w:tabs>
        <w:tab w:val="clear" w:pos="567"/>
      </w:tabs>
      <w:spacing w:before="100" w:beforeAutospacing="1" w:after="100" w:afterAutospacing="1" w:line="240" w:lineRule="auto"/>
      <w:jc w:val="left"/>
    </w:pPr>
    <w:rPr>
      <w:rFonts w:ascii="Times New Roman" w:hAnsi="Times New Roman"/>
      <w:sz w:val="24"/>
      <w:szCs w:val="24"/>
      <w:lang w:eastAsia="en-GB"/>
    </w:rPr>
  </w:style>
  <w:style w:type="character" w:styleId="Hyperlink">
    <w:name w:val="Hyperlink"/>
    <w:basedOn w:val="DefaultParagraphFont"/>
    <w:uiPriority w:val="99"/>
    <w:unhideWhenUsed/>
    <w:rsid w:val="00CB5924"/>
    <w:rPr>
      <w:color w:val="0000FF"/>
      <w:u w:val="single"/>
    </w:rPr>
  </w:style>
  <w:style w:type="table" w:customStyle="1" w:styleId="TableGrid1">
    <w:name w:val="Table Grid1"/>
    <w:basedOn w:val="TableNormal"/>
    <w:next w:val="TableGrid"/>
    <w:uiPriority w:val="59"/>
    <w:rsid w:val="004D10E5"/>
    <w:pPr>
      <w:spacing w:after="0" w:line="240" w:lineRule="auto"/>
    </w:pPr>
    <w:rPr>
      <w:rFonts w:ascii="Arial" w:eastAsia="Times New Roman" w:hAnsi="Arial" w:cs="Courier New"/>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D1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6986"/>
    <w:pPr>
      <w:tabs>
        <w:tab w:val="clear" w:pos="567"/>
        <w:tab w:val="center" w:pos="4513"/>
        <w:tab w:val="right" w:pos="9026"/>
      </w:tabs>
      <w:spacing w:after="0" w:line="240" w:lineRule="auto"/>
    </w:pPr>
  </w:style>
  <w:style w:type="character" w:customStyle="1" w:styleId="HeaderChar">
    <w:name w:val="Header Char"/>
    <w:basedOn w:val="DefaultParagraphFont"/>
    <w:link w:val="Header"/>
    <w:uiPriority w:val="99"/>
    <w:rsid w:val="00446986"/>
    <w:rPr>
      <w:rFonts w:ascii="Arial" w:eastAsia="Times New Roman" w:hAnsi="Arial" w:cs="Times New Roman"/>
      <w:sz w:val="20"/>
      <w:szCs w:val="20"/>
    </w:rPr>
  </w:style>
  <w:style w:type="paragraph" w:styleId="Footer">
    <w:name w:val="footer"/>
    <w:aliases w:val="Footer1"/>
    <w:basedOn w:val="Normal"/>
    <w:link w:val="FooterChar"/>
    <w:uiPriority w:val="99"/>
    <w:unhideWhenUsed/>
    <w:rsid w:val="00446986"/>
    <w:pPr>
      <w:tabs>
        <w:tab w:val="clear" w:pos="567"/>
        <w:tab w:val="center" w:pos="4513"/>
        <w:tab w:val="right" w:pos="9026"/>
      </w:tabs>
      <w:spacing w:after="0" w:line="240" w:lineRule="auto"/>
    </w:pPr>
  </w:style>
  <w:style w:type="character" w:customStyle="1" w:styleId="FooterChar">
    <w:name w:val="Footer Char"/>
    <w:aliases w:val="Footer1 Char"/>
    <w:basedOn w:val="DefaultParagraphFont"/>
    <w:link w:val="Footer"/>
    <w:uiPriority w:val="99"/>
    <w:rsid w:val="00446986"/>
    <w:rPr>
      <w:rFonts w:ascii="Arial" w:eastAsia="Times New Roman" w:hAnsi="Arial" w:cs="Times New Roman"/>
      <w:sz w:val="20"/>
      <w:szCs w:val="20"/>
    </w:rPr>
  </w:style>
  <w:style w:type="paragraph" w:customStyle="1" w:styleId="Default">
    <w:name w:val="Default"/>
    <w:rsid w:val="00B53143"/>
    <w:pPr>
      <w:autoSpaceDE w:val="0"/>
      <w:autoSpaceDN w:val="0"/>
      <w:adjustRightInd w:val="0"/>
      <w:spacing w:after="0" w:line="240" w:lineRule="auto"/>
    </w:pPr>
    <w:rPr>
      <w:rFonts w:ascii="Arial" w:eastAsia="Times New Roman" w:hAnsi="Arial" w:cs="Arial"/>
      <w:color w:val="000000"/>
      <w:sz w:val="24"/>
      <w:szCs w:val="24"/>
      <w:lang w:val="nl-NL" w:eastAsia="en-GB"/>
    </w:rPr>
  </w:style>
  <w:style w:type="character" w:styleId="UnresolvedMention">
    <w:name w:val="Unresolved Mention"/>
    <w:basedOn w:val="DefaultParagraphFont"/>
    <w:uiPriority w:val="99"/>
    <w:semiHidden/>
    <w:unhideWhenUsed/>
    <w:rsid w:val="004F462F"/>
    <w:rPr>
      <w:color w:val="605E5C"/>
      <w:shd w:val="clear" w:color="auto" w:fill="E1DFDD"/>
    </w:rPr>
  </w:style>
  <w:style w:type="paragraph" w:customStyle="1" w:styleId="FootnoteText1">
    <w:name w:val="Footnote Text1"/>
    <w:basedOn w:val="Normal"/>
    <w:rsid w:val="00F01EB0"/>
    <w:pPr>
      <w:tabs>
        <w:tab w:val="left" w:pos="1134"/>
        <w:tab w:val="left" w:pos="1701"/>
        <w:tab w:val="left" w:pos="2268"/>
      </w:tabs>
      <w:spacing w:after="120" w:line="240" w:lineRule="auto"/>
      <w:ind w:left="567" w:hanging="567"/>
    </w:pPr>
    <w:rPr>
      <w:rFonts w:ascii="Calibri" w:hAnsi="Calibri"/>
      <w:sz w:val="18"/>
      <w:szCs w:val="18"/>
      <w:lang w:eastAsia="en-GB"/>
    </w:rPr>
  </w:style>
  <w:style w:type="character" w:styleId="CommentReference">
    <w:name w:val="annotation reference"/>
    <w:uiPriority w:val="99"/>
    <w:semiHidden/>
    <w:rsid w:val="00F01EB0"/>
    <w:rPr>
      <w:sz w:val="16"/>
      <w:szCs w:val="16"/>
    </w:rPr>
  </w:style>
  <w:style w:type="paragraph" w:styleId="CommentText">
    <w:name w:val="annotation text"/>
    <w:basedOn w:val="Normal"/>
    <w:link w:val="CommentTextChar"/>
    <w:uiPriority w:val="99"/>
    <w:rsid w:val="00F01EB0"/>
    <w:pPr>
      <w:tabs>
        <w:tab w:val="left" w:pos="1134"/>
        <w:tab w:val="left" w:pos="1701"/>
        <w:tab w:val="left" w:pos="2268"/>
      </w:tabs>
      <w:spacing w:after="120" w:line="240" w:lineRule="auto"/>
    </w:pPr>
    <w:rPr>
      <w:rFonts w:ascii="Calibri" w:hAnsi="Calibri"/>
      <w:lang w:eastAsia="en-GB"/>
    </w:rPr>
  </w:style>
  <w:style w:type="character" w:customStyle="1" w:styleId="CommentTextChar">
    <w:name w:val="Comment Text Char"/>
    <w:basedOn w:val="DefaultParagraphFont"/>
    <w:link w:val="CommentText"/>
    <w:uiPriority w:val="99"/>
    <w:rsid w:val="00F01EB0"/>
    <w:rPr>
      <w:rFonts w:ascii="Calibri" w:eastAsia="Times New Roman" w:hAnsi="Calibri" w:cs="Times New Roman"/>
      <w:sz w:val="20"/>
      <w:szCs w:val="20"/>
      <w:lang w:eastAsia="en-GB"/>
    </w:rPr>
  </w:style>
  <w:style w:type="paragraph" w:styleId="BodyText">
    <w:name w:val="Body Text"/>
    <w:basedOn w:val="Normal"/>
    <w:link w:val="BodyTextChar"/>
    <w:uiPriority w:val="99"/>
    <w:unhideWhenUsed/>
    <w:rsid w:val="00400EE8"/>
    <w:pPr>
      <w:tabs>
        <w:tab w:val="clear" w:pos="567"/>
      </w:tabs>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00EE8"/>
  </w:style>
  <w:style w:type="character" w:styleId="FollowedHyperlink">
    <w:name w:val="FollowedHyperlink"/>
    <w:basedOn w:val="DefaultParagraphFont"/>
    <w:uiPriority w:val="99"/>
    <w:semiHidden/>
    <w:unhideWhenUsed/>
    <w:rsid w:val="00E25D6E"/>
    <w:rPr>
      <w:color w:val="954F72" w:themeColor="followedHyperlink"/>
      <w:u w:val="single"/>
    </w:rPr>
  </w:style>
  <w:style w:type="character" w:customStyle="1" w:styleId="ListParagraphChar">
    <w:name w:val="List Paragraph Char"/>
    <w:aliases w:val="_Bullet Char,Heading 2_sj Char,List Paragraph1 Char,Listenabsatz1 Char,Normal bullet 2 Char,Bullet list Char,Dot pt Char,Parágrafo da Lista Char,Liststycke Char,No Spacing1 Char,List Paragraph Char Char Char Char,Indicator Text Char"/>
    <w:basedOn w:val="DefaultParagraphFont"/>
    <w:link w:val="ListParagraph"/>
    <w:uiPriority w:val="34"/>
    <w:rsid w:val="00932233"/>
    <w:rPr>
      <w:rFonts w:ascii="Arial" w:eastAsia="Times New Roman" w:hAnsi="Arial" w:cs="Times New Roman"/>
      <w:sz w:val="20"/>
      <w:szCs w:val="20"/>
    </w:rPr>
  </w:style>
  <w:style w:type="table" w:customStyle="1" w:styleId="TableGrid11">
    <w:name w:val="Table Grid11"/>
    <w:basedOn w:val="TableNormal"/>
    <w:next w:val="TableGrid"/>
    <w:uiPriority w:val="59"/>
    <w:rsid w:val="00941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57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642BD"/>
  </w:style>
  <w:style w:type="character" w:customStyle="1" w:styleId="eop">
    <w:name w:val="eop"/>
    <w:basedOn w:val="DefaultParagraphFont"/>
    <w:rsid w:val="008642BD"/>
  </w:style>
  <w:style w:type="paragraph" w:customStyle="1" w:styleId="paragraph">
    <w:name w:val="paragraph"/>
    <w:basedOn w:val="Normal"/>
    <w:rsid w:val="00B616E1"/>
    <w:pPr>
      <w:tabs>
        <w:tab w:val="clear" w:pos="567"/>
      </w:tabs>
      <w:spacing w:before="100" w:beforeAutospacing="1" w:after="100" w:afterAutospacing="1" w:line="240" w:lineRule="auto"/>
      <w:jc w:val="left"/>
    </w:pPr>
    <w:rPr>
      <w:rFonts w:ascii="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2A6588"/>
    <w:pPr>
      <w:tabs>
        <w:tab w:val="clear" w:pos="1134"/>
        <w:tab w:val="clear" w:pos="1701"/>
        <w:tab w:val="clear" w:pos="2268"/>
      </w:tabs>
      <w:spacing w:after="140"/>
    </w:pPr>
    <w:rPr>
      <w:rFonts w:ascii="Arial" w:hAnsi="Arial"/>
      <w:b/>
      <w:bCs/>
      <w:lang w:eastAsia="en-US"/>
    </w:rPr>
  </w:style>
  <w:style w:type="character" w:customStyle="1" w:styleId="CommentSubjectChar">
    <w:name w:val="Comment Subject Char"/>
    <w:basedOn w:val="CommentTextChar"/>
    <w:link w:val="CommentSubject"/>
    <w:uiPriority w:val="99"/>
    <w:semiHidden/>
    <w:rsid w:val="002A6588"/>
    <w:rPr>
      <w:rFonts w:ascii="Arial" w:eastAsia="Times New Roman" w:hAnsi="Arial" w:cs="Times New Roman"/>
      <w:b/>
      <w:bCs/>
      <w:sz w:val="20"/>
      <w:szCs w:val="20"/>
      <w:lang w:eastAsia="en-GB"/>
    </w:rPr>
  </w:style>
  <w:style w:type="paragraph" w:styleId="Caption">
    <w:name w:val="caption"/>
    <w:basedOn w:val="Normal"/>
    <w:next w:val="Normal"/>
    <w:uiPriority w:val="35"/>
    <w:unhideWhenUsed/>
    <w:qFormat/>
    <w:rsid w:val="00ED08B5"/>
    <w:pPr>
      <w:spacing w:after="200" w:line="240" w:lineRule="auto"/>
    </w:pPr>
    <w:rPr>
      <w:i/>
      <w:iCs/>
      <w:color w:val="44546A" w:themeColor="text2"/>
      <w:sz w:val="18"/>
      <w:szCs w:val="18"/>
    </w:rPr>
  </w:style>
  <w:style w:type="paragraph" w:styleId="Revision">
    <w:name w:val="Revision"/>
    <w:hidden/>
    <w:uiPriority w:val="99"/>
    <w:semiHidden/>
    <w:rsid w:val="001463BF"/>
    <w:pPr>
      <w:spacing w:after="0" w:line="240" w:lineRule="auto"/>
    </w:pPr>
    <w:rPr>
      <w:rFonts w:ascii="Arial" w:eastAsia="Times New Roman" w:hAnsi="Arial" w:cs="Times New Roman"/>
      <w:sz w:val="20"/>
      <w:szCs w:val="20"/>
    </w:rPr>
  </w:style>
  <w:style w:type="paragraph" w:styleId="Title">
    <w:name w:val="Title"/>
    <w:link w:val="TitleChar"/>
    <w:qFormat/>
    <w:rsid w:val="007120C6"/>
    <w:pPr>
      <w:spacing w:after="0" w:line="280" w:lineRule="atLeast"/>
      <w:outlineLvl w:val="0"/>
    </w:pPr>
    <w:rPr>
      <w:rFonts w:ascii="Arial" w:eastAsia="Times New Roman" w:hAnsi="Arial" w:cs="Times New Roman"/>
      <w:noProof/>
      <w:kern w:val="28"/>
      <w:sz w:val="24"/>
      <w:szCs w:val="20"/>
      <w:lang w:eastAsia="en-GB"/>
    </w:rPr>
  </w:style>
  <w:style w:type="character" w:customStyle="1" w:styleId="TitleChar">
    <w:name w:val="Title Char"/>
    <w:basedOn w:val="DefaultParagraphFont"/>
    <w:link w:val="Title"/>
    <w:rsid w:val="007120C6"/>
    <w:rPr>
      <w:rFonts w:ascii="Arial" w:eastAsia="Times New Roman" w:hAnsi="Arial" w:cs="Times New Roman"/>
      <w:noProof/>
      <w:kern w:val="28"/>
      <w:sz w:val="24"/>
      <w:szCs w:val="20"/>
      <w:lang w:eastAsia="en-GB"/>
    </w:rPr>
  </w:style>
  <w:style w:type="character" w:styleId="PageNumber">
    <w:name w:val="page number"/>
    <w:basedOn w:val="DefaultParagraphFont"/>
    <w:rsid w:val="00E54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6969">
      <w:bodyDiv w:val="1"/>
      <w:marLeft w:val="0"/>
      <w:marRight w:val="0"/>
      <w:marTop w:val="0"/>
      <w:marBottom w:val="0"/>
      <w:divBdr>
        <w:top w:val="none" w:sz="0" w:space="0" w:color="auto"/>
        <w:left w:val="none" w:sz="0" w:space="0" w:color="auto"/>
        <w:bottom w:val="none" w:sz="0" w:space="0" w:color="auto"/>
        <w:right w:val="none" w:sz="0" w:space="0" w:color="auto"/>
      </w:divBdr>
    </w:div>
    <w:div w:id="114713944">
      <w:bodyDiv w:val="1"/>
      <w:marLeft w:val="0"/>
      <w:marRight w:val="0"/>
      <w:marTop w:val="0"/>
      <w:marBottom w:val="0"/>
      <w:divBdr>
        <w:top w:val="none" w:sz="0" w:space="0" w:color="auto"/>
        <w:left w:val="none" w:sz="0" w:space="0" w:color="auto"/>
        <w:bottom w:val="none" w:sz="0" w:space="0" w:color="auto"/>
        <w:right w:val="none" w:sz="0" w:space="0" w:color="auto"/>
      </w:divBdr>
      <w:divsChild>
        <w:div w:id="654187156">
          <w:marLeft w:val="0"/>
          <w:marRight w:val="0"/>
          <w:marTop w:val="0"/>
          <w:marBottom w:val="0"/>
          <w:divBdr>
            <w:top w:val="none" w:sz="0" w:space="0" w:color="auto"/>
            <w:left w:val="none" w:sz="0" w:space="0" w:color="auto"/>
            <w:bottom w:val="none" w:sz="0" w:space="0" w:color="auto"/>
            <w:right w:val="none" w:sz="0" w:space="0" w:color="auto"/>
          </w:divBdr>
          <w:divsChild>
            <w:div w:id="1765761241">
              <w:marLeft w:val="0"/>
              <w:marRight w:val="0"/>
              <w:marTop w:val="0"/>
              <w:marBottom w:val="0"/>
              <w:divBdr>
                <w:top w:val="none" w:sz="0" w:space="0" w:color="auto"/>
                <w:left w:val="none" w:sz="0" w:space="0" w:color="auto"/>
                <w:bottom w:val="none" w:sz="0" w:space="0" w:color="auto"/>
                <w:right w:val="none" w:sz="0" w:space="0" w:color="auto"/>
              </w:divBdr>
            </w:div>
            <w:div w:id="1360860336">
              <w:marLeft w:val="0"/>
              <w:marRight w:val="0"/>
              <w:marTop w:val="0"/>
              <w:marBottom w:val="0"/>
              <w:divBdr>
                <w:top w:val="none" w:sz="0" w:space="0" w:color="auto"/>
                <w:left w:val="none" w:sz="0" w:space="0" w:color="auto"/>
                <w:bottom w:val="none" w:sz="0" w:space="0" w:color="auto"/>
                <w:right w:val="none" w:sz="0" w:space="0" w:color="auto"/>
              </w:divBdr>
            </w:div>
          </w:divsChild>
        </w:div>
        <w:div w:id="234634518">
          <w:marLeft w:val="0"/>
          <w:marRight w:val="0"/>
          <w:marTop w:val="0"/>
          <w:marBottom w:val="0"/>
          <w:divBdr>
            <w:top w:val="none" w:sz="0" w:space="0" w:color="auto"/>
            <w:left w:val="none" w:sz="0" w:space="0" w:color="auto"/>
            <w:bottom w:val="none" w:sz="0" w:space="0" w:color="auto"/>
            <w:right w:val="none" w:sz="0" w:space="0" w:color="auto"/>
          </w:divBdr>
          <w:divsChild>
            <w:div w:id="17959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6899">
      <w:bodyDiv w:val="1"/>
      <w:marLeft w:val="0"/>
      <w:marRight w:val="0"/>
      <w:marTop w:val="0"/>
      <w:marBottom w:val="0"/>
      <w:divBdr>
        <w:top w:val="none" w:sz="0" w:space="0" w:color="auto"/>
        <w:left w:val="none" w:sz="0" w:space="0" w:color="auto"/>
        <w:bottom w:val="none" w:sz="0" w:space="0" w:color="auto"/>
        <w:right w:val="none" w:sz="0" w:space="0" w:color="auto"/>
      </w:divBdr>
      <w:divsChild>
        <w:div w:id="2026401319">
          <w:marLeft w:val="0"/>
          <w:marRight w:val="0"/>
          <w:marTop w:val="0"/>
          <w:marBottom w:val="0"/>
          <w:divBdr>
            <w:top w:val="none" w:sz="0" w:space="0" w:color="auto"/>
            <w:left w:val="none" w:sz="0" w:space="0" w:color="auto"/>
            <w:bottom w:val="none" w:sz="0" w:space="0" w:color="auto"/>
            <w:right w:val="none" w:sz="0" w:space="0" w:color="auto"/>
          </w:divBdr>
          <w:divsChild>
            <w:div w:id="1890997123">
              <w:marLeft w:val="0"/>
              <w:marRight w:val="0"/>
              <w:marTop w:val="0"/>
              <w:marBottom w:val="0"/>
              <w:divBdr>
                <w:top w:val="none" w:sz="0" w:space="0" w:color="auto"/>
                <w:left w:val="none" w:sz="0" w:space="0" w:color="auto"/>
                <w:bottom w:val="none" w:sz="0" w:space="0" w:color="auto"/>
                <w:right w:val="none" w:sz="0" w:space="0" w:color="auto"/>
              </w:divBdr>
            </w:div>
          </w:divsChild>
        </w:div>
        <w:div w:id="1720284525">
          <w:marLeft w:val="0"/>
          <w:marRight w:val="0"/>
          <w:marTop w:val="0"/>
          <w:marBottom w:val="0"/>
          <w:divBdr>
            <w:top w:val="none" w:sz="0" w:space="0" w:color="auto"/>
            <w:left w:val="none" w:sz="0" w:space="0" w:color="auto"/>
            <w:bottom w:val="none" w:sz="0" w:space="0" w:color="auto"/>
            <w:right w:val="none" w:sz="0" w:space="0" w:color="auto"/>
          </w:divBdr>
          <w:divsChild>
            <w:div w:id="1788891268">
              <w:marLeft w:val="0"/>
              <w:marRight w:val="0"/>
              <w:marTop w:val="0"/>
              <w:marBottom w:val="0"/>
              <w:divBdr>
                <w:top w:val="none" w:sz="0" w:space="0" w:color="auto"/>
                <w:left w:val="none" w:sz="0" w:space="0" w:color="auto"/>
                <w:bottom w:val="none" w:sz="0" w:space="0" w:color="auto"/>
                <w:right w:val="none" w:sz="0" w:space="0" w:color="auto"/>
              </w:divBdr>
            </w:div>
          </w:divsChild>
        </w:div>
        <w:div w:id="768503688">
          <w:marLeft w:val="0"/>
          <w:marRight w:val="0"/>
          <w:marTop w:val="0"/>
          <w:marBottom w:val="0"/>
          <w:divBdr>
            <w:top w:val="none" w:sz="0" w:space="0" w:color="auto"/>
            <w:left w:val="none" w:sz="0" w:space="0" w:color="auto"/>
            <w:bottom w:val="none" w:sz="0" w:space="0" w:color="auto"/>
            <w:right w:val="none" w:sz="0" w:space="0" w:color="auto"/>
          </w:divBdr>
          <w:divsChild>
            <w:div w:id="1924872043">
              <w:marLeft w:val="0"/>
              <w:marRight w:val="0"/>
              <w:marTop w:val="0"/>
              <w:marBottom w:val="0"/>
              <w:divBdr>
                <w:top w:val="none" w:sz="0" w:space="0" w:color="auto"/>
                <w:left w:val="none" w:sz="0" w:space="0" w:color="auto"/>
                <w:bottom w:val="none" w:sz="0" w:space="0" w:color="auto"/>
                <w:right w:val="none" w:sz="0" w:space="0" w:color="auto"/>
              </w:divBdr>
            </w:div>
          </w:divsChild>
        </w:div>
        <w:div w:id="178853542">
          <w:marLeft w:val="0"/>
          <w:marRight w:val="0"/>
          <w:marTop w:val="0"/>
          <w:marBottom w:val="0"/>
          <w:divBdr>
            <w:top w:val="none" w:sz="0" w:space="0" w:color="auto"/>
            <w:left w:val="none" w:sz="0" w:space="0" w:color="auto"/>
            <w:bottom w:val="none" w:sz="0" w:space="0" w:color="auto"/>
            <w:right w:val="none" w:sz="0" w:space="0" w:color="auto"/>
          </w:divBdr>
          <w:divsChild>
            <w:div w:id="1836190037">
              <w:marLeft w:val="0"/>
              <w:marRight w:val="0"/>
              <w:marTop w:val="0"/>
              <w:marBottom w:val="0"/>
              <w:divBdr>
                <w:top w:val="none" w:sz="0" w:space="0" w:color="auto"/>
                <w:left w:val="none" w:sz="0" w:space="0" w:color="auto"/>
                <w:bottom w:val="none" w:sz="0" w:space="0" w:color="auto"/>
                <w:right w:val="none" w:sz="0" w:space="0" w:color="auto"/>
              </w:divBdr>
            </w:div>
          </w:divsChild>
        </w:div>
        <w:div w:id="805584691">
          <w:marLeft w:val="0"/>
          <w:marRight w:val="0"/>
          <w:marTop w:val="0"/>
          <w:marBottom w:val="0"/>
          <w:divBdr>
            <w:top w:val="none" w:sz="0" w:space="0" w:color="auto"/>
            <w:left w:val="none" w:sz="0" w:space="0" w:color="auto"/>
            <w:bottom w:val="none" w:sz="0" w:space="0" w:color="auto"/>
            <w:right w:val="none" w:sz="0" w:space="0" w:color="auto"/>
          </w:divBdr>
          <w:divsChild>
            <w:div w:id="20770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2632">
      <w:bodyDiv w:val="1"/>
      <w:marLeft w:val="0"/>
      <w:marRight w:val="0"/>
      <w:marTop w:val="0"/>
      <w:marBottom w:val="0"/>
      <w:divBdr>
        <w:top w:val="none" w:sz="0" w:space="0" w:color="auto"/>
        <w:left w:val="none" w:sz="0" w:space="0" w:color="auto"/>
        <w:bottom w:val="none" w:sz="0" w:space="0" w:color="auto"/>
        <w:right w:val="none" w:sz="0" w:space="0" w:color="auto"/>
      </w:divBdr>
    </w:div>
    <w:div w:id="145249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9182">
          <w:marLeft w:val="0"/>
          <w:marRight w:val="0"/>
          <w:marTop w:val="0"/>
          <w:marBottom w:val="0"/>
          <w:divBdr>
            <w:top w:val="none" w:sz="0" w:space="0" w:color="auto"/>
            <w:left w:val="none" w:sz="0" w:space="0" w:color="auto"/>
            <w:bottom w:val="none" w:sz="0" w:space="0" w:color="auto"/>
            <w:right w:val="none" w:sz="0" w:space="0" w:color="auto"/>
          </w:divBdr>
        </w:div>
        <w:div w:id="1805194595">
          <w:marLeft w:val="0"/>
          <w:marRight w:val="0"/>
          <w:marTop w:val="0"/>
          <w:marBottom w:val="0"/>
          <w:divBdr>
            <w:top w:val="none" w:sz="0" w:space="0" w:color="auto"/>
            <w:left w:val="none" w:sz="0" w:space="0" w:color="auto"/>
            <w:bottom w:val="none" w:sz="0" w:space="0" w:color="auto"/>
            <w:right w:val="none" w:sz="0" w:space="0" w:color="auto"/>
          </w:divBdr>
        </w:div>
      </w:divsChild>
    </w:div>
    <w:div w:id="349991828">
      <w:bodyDiv w:val="1"/>
      <w:marLeft w:val="0"/>
      <w:marRight w:val="0"/>
      <w:marTop w:val="0"/>
      <w:marBottom w:val="0"/>
      <w:divBdr>
        <w:top w:val="none" w:sz="0" w:space="0" w:color="auto"/>
        <w:left w:val="none" w:sz="0" w:space="0" w:color="auto"/>
        <w:bottom w:val="none" w:sz="0" w:space="0" w:color="auto"/>
        <w:right w:val="none" w:sz="0" w:space="0" w:color="auto"/>
      </w:divBdr>
    </w:div>
    <w:div w:id="645552718">
      <w:bodyDiv w:val="1"/>
      <w:marLeft w:val="0"/>
      <w:marRight w:val="0"/>
      <w:marTop w:val="0"/>
      <w:marBottom w:val="0"/>
      <w:divBdr>
        <w:top w:val="none" w:sz="0" w:space="0" w:color="auto"/>
        <w:left w:val="none" w:sz="0" w:space="0" w:color="auto"/>
        <w:bottom w:val="none" w:sz="0" w:space="0" w:color="auto"/>
        <w:right w:val="none" w:sz="0" w:space="0" w:color="auto"/>
      </w:divBdr>
    </w:div>
    <w:div w:id="752122502">
      <w:bodyDiv w:val="1"/>
      <w:marLeft w:val="0"/>
      <w:marRight w:val="0"/>
      <w:marTop w:val="0"/>
      <w:marBottom w:val="0"/>
      <w:divBdr>
        <w:top w:val="none" w:sz="0" w:space="0" w:color="auto"/>
        <w:left w:val="none" w:sz="0" w:space="0" w:color="auto"/>
        <w:bottom w:val="none" w:sz="0" w:space="0" w:color="auto"/>
        <w:right w:val="none" w:sz="0" w:space="0" w:color="auto"/>
      </w:divBdr>
    </w:div>
    <w:div w:id="838811199">
      <w:bodyDiv w:val="1"/>
      <w:marLeft w:val="0"/>
      <w:marRight w:val="0"/>
      <w:marTop w:val="0"/>
      <w:marBottom w:val="0"/>
      <w:divBdr>
        <w:top w:val="none" w:sz="0" w:space="0" w:color="auto"/>
        <w:left w:val="none" w:sz="0" w:space="0" w:color="auto"/>
        <w:bottom w:val="none" w:sz="0" w:space="0" w:color="auto"/>
        <w:right w:val="none" w:sz="0" w:space="0" w:color="auto"/>
      </w:divBdr>
      <w:divsChild>
        <w:div w:id="1792087460">
          <w:marLeft w:val="1080"/>
          <w:marRight w:val="0"/>
          <w:marTop w:val="100"/>
          <w:marBottom w:val="0"/>
          <w:divBdr>
            <w:top w:val="none" w:sz="0" w:space="0" w:color="auto"/>
            <w:left w:val="none" w:sz="0" w:space="0" w:color="auto"/>
            <w:bottom w:val="none" w:sz="0" w:space="0" w:color="auto"/>
            <w:right w:val="none" w:sz="0" w:space="0" w:color="auto"/>
          </w:divBdr>
        </w:div>
        <w:div w:id="455830937">
          <w:marLeft w:val="1080"/>
          <w:marRight w:val="0"/>
          <w:marTop w:val="100"/>
          <w:marBottom w:val="0"/>
          <w:divBdr>
            <w:top w:val="none" w:sz="0" w:space="0" w:color="auto"/>
            <w:left w:val="none" w:sz="0" w:space="0" w:color="auto"/>
            <w:bottom w:val="none" w:sz="0" w:space="0" w:color="auto"/>
            <w:right w:val="none" w:sz="0" w:space="0" w:color="auto"/>
          </w:divBdr>
        </w:div>
        <w:div w:id="1266772317">
          <w:marLeft w:val="1080"/>
          <w:marRight w:val="0"/>
          <w:marTop w:val="100"/>
          <w:marBottom w:val="0"/>
          <w:divBdr>
            <w:top w:val="none" w:sz="0" w:space="0" w:color="auto"/>
            <w:left w:val="none" w:sz="0" w:space="0" w:color="auto"/>
            <w:bottom w:val="none" w:sz="0" w:space="0" w:color="auto"/>
            <w:right w:val="none" w:sz="0" w:space="0" w:color="auto"/>
          </w:divBdr>
        </w:div>
      </w:divsChild>
    </w:div>
    <w:div w:id="984505301">
      <w:bodyDiv w:val="1"/>
      <w:marLeft w:val="0"/>
      <w:marRight w:val="0"/>
      <w:marTop w:val="0"/>
      <w:marBottom w:val="0"/>
      <w:divBdr>
        <w:top w:val="none" w:sz="0" w:space="0" w:color="auto"/>
        <w:left w:val="none" w:sz="0" w:space="0" w:color="auto"/>
        <w:bottom w:val="none" w:sz="0" w:space="0" w:color="auto"/>
        <w:right w:val="none" w:sz="0" w:space="0" w:color="auto"/>
      </w:divBdr>
    </w:div>
    <w:div w:id="996759651">
      <w:bodyDiv w:val="1"/>
      <w:marLeft w:val="0"/>
      <w:marRight w:val="0"/>
      <w:marTop w:val="0"/>
      <w:marBottom w:val="0"/>
      <w:divBdr>
        <w:top w:val="none" w:sz="0" w:space="0" w:color="auto"/>
        <w:left w:val="none" w:sz="0" w:space="0" w:color="auto"/>
        <w:bottom w:val="none" w:sz="0" w:space="0" w:color="auto"/>
        <w:right w:val="none" w:sz="0" w:space="0" w:color="auto"/>
      </w:divBdr>
    </w:div>
    <w:div w:id="1146899460">
      <w:bodyDiv w:val="1"/>
      <w:marLeft w:val="0"/>
      <w:marRight w:val="0"/>
      <w:marTop w:val="0"/>
      <w:marBottom w:val="0"/>
      <w:divBdr>
        <w:top w:val="none" w:sz="0" w:space="0" w:color="auto"/>
        <w:left w:val="none" w:sz="0" w:space="0" w:color="auto"/>
        <w:bottom w:val="none" w:sz="0" w:space="0" w:color="auto"/>
        <w:right w:val="none" w:sz="0" w:space="0" w:color="auto"/>
      </w:divBdr>
      <w:divsChild>
        <w:div w:id="2078212184">
          <w:marLeft w:val="0"/>
          <w:marRight w:val="0"/>
          <w:marTop w:val="0"/>
          <w:marBottom w:val="0"/>
          <w:divBdr>
            <w:top w:val="none" w:sz="0" w:space="0" w:color="auto"/>
            <w:left w:val="none" w:sz="0" w:space="0" w:color="auto"/>
            <w:bottom w:val="none" w:sz="0" w:space="0" w:color="auto"/>
            <w:right w:val="none" w:sz="0" w:space="0" w:color="auto"/>
          </w:divBdr>
          <w:divsChild>
            <w:div w:id="2073968159">
              <w:marLeft w:val="0"/>
              <w:marRight w:val="0"/>
              <w:marTop w:val="0"/>
              <w:marBottom w:val="0"/>
              <w:divBdr>
                <w:top w:val="none" w:sz="0" w:space="0" w:color="auto"/>
                <w:left w:val="none" w:sz="0" w:space="0" w:color="auto"/>
                <w:bottom w:val="none" w:sz="0" w:space="0" w:color="auto"/>
                <w:right w:val="none" w:sz="0" w:space="0" w:color="auto"/>
              </w:divBdr>
            </w:div>
            <w:div w:id="1642419573">
              <w:marLeft w:val="0"/>
              <w:marRight w:val="0"/>
              <w:marTop w:val="0"/>
              <w:marBottom w:val="0"/>
              <w:divBdr>
                <w:top w:val="none" w:sz="0" w:space="0" w:color="auto"/>
                <w:left w:val="none" w:sz="0" w:space="0" w:color="auto"/>
                <w:bottom w:val="none" w:sz="0" w:space="0" w:color="auto"/>
                <w:right w:val="none" w:sz="0" w:space="0" w:color="auto"/>
              </w:divBdr>
            </w:div>
          </w:divsChild>
        </w:div>
        <w:div w:id="402680851">
          <w:marLeft w:val="0"/>
          <w:marRight w:val="0"/>
          <w:marTop w:val="0"/>
          <w:marBottom w:val="0"/>
          <w:divBdr>
            <w:top w:val="none" w:sz="0" w:space="0" w:color="auto"/>
            <w:left w:val="none" w:sz="0" w:space="0" w:color="auto"/>
            <w:bottom w:val="none" w:sz="0" w:space="0" w:color="auto"/>
            <w:right w:val="none" w:sz="0" w:space="0" w:color="auto"/>
          </w:divBdr>
          <w:divsChild>
            <w:div w:id="663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0840">
      <w:bodyDiv w:val="1"/>
      <w:marLeft w:val="0"/>
      <w:marRight w:val="0"/>
      <w:marTop w:val="0"/>
      <w:marBottom w:val="0"/>
      <w:divBdr>
        <w:top w:val="none" w:sz="0" w:space="0" w:color="auto"/>
        <w:left w:val="none" w:sz="0" w:space="0" w:color="auto"/>
        <w:bottom w:val="none" w:sz="0" w:space="0" w:color="auto"/>
        <w:right w:val="none" w:sz="0" w:space="0" w:color="auto"/>
      </w:divBdr>
    </w:div>
    <w:div w:id="1194423904">
      <w:bodyDiv w:val="1"/>
      <w:marLeft w:val="0"/>
      <w:marRight w:val="0"/>
      <w:marTop w:val="0"/>
      <w:marBottom w:val="0"/>
      <w:divBdr>
        <w:top w:val="none" w:sz="0" w:space="0" w:color="auto"/>
        <w:left w:val="none" w:sz="0" w:space="0" w:color="auto"/>
        <w:bottom w:val="none" w:sz="0" w:space="0" w:color="auto"/>
        <w:right w:val="none" w:sz="0" w:space="0" w:color="auto"/>
      </w:divBdr>
    </w:div>
    <w:div w:id="1199585960">
      <w:bodyDiv w:val="1"/>
      <w:marLeft w:val="0"/>
      <w:marRight w:val="0"/>
      <w:marTop w:val="0"/>
      <w:marBottom w:val="0"/>
      <w:divBdr>
        <w:top w:val="none" w:sz="0" w:space="0" w:color="auto"/>
        <w:left w:val="none" w:sz="0" w:space="0" w:color="auto"/>
        <w:bottom w:val="none" w:sz="0" w:space="0" w:color="auto"/>
        <w:right w:val="none" w:sz="0" w:space="0" w:color="auto"/>
      </w:divBdr>
      <w:divsChild>
        <w:div w:id="1937442885">
          <w:marLeft w:val="0"/>
          <w:marRight w:val="0"/>
          <w:marTop w:val="0"/>
          <w:marBottom w:val="0"/>
          <w:divBdr>
            <w:top w:val="none" w:sz="0" w:space="0" w:color="auto"/>
            <w:left w:val="none" w:sz="0" w:space="0" w:color="auto"/>
            <w:bottom w:val="none" w:sz="0" w:space="0" w:color="auto"/>
            <w:right w:val="none" w:sz="0" w:space="0" w:color="auto"/>
          </w:divBdr>
          <w:divsChild>
            <w:div w:id="2005040467">
              <w:marLeft w:val="0"/>
              <w:marRight w:val="0"/>
              <w:marTop w:val="0"/>
              <w:marBottom w:val="0"/>
              <w:divBdr>
                <w:top w:val="none" w:sz="0" w:space="0" w:color="auto"/>
                <w:left w:val="none" w:sz="0" w:space="0" w:color="auto"/>
                <w:bottom w:val="none" w:sz="0" w:space="0" w:color="auto"/>
                <w:right w:val="none" w:sz="0" w:space="0" w:color="auto"/>
              </w:divBdr>
            </w:div>
          </w:divsChild>
        </w:div>
        <w:div w:id="1541433069">
          <w:marLeft w:val="0"/>
          <w:marRight w:val="0"/>
          <w:marTop w:val="0"/>
          <w:marBottom w:val="0"/>
          <w:divBdr>
            <w:top w:val="none" w:sz="0" w:space="0" w:color="auto"/>
            <w:left w:val="none" w:sz="0" w:space="0" w:color="auto"/>
            <w:bottom w:val="none" w:sz="0" w:space="0" w:color="auto"/>
            <w:right w:val="none" w:sz="0" w:space="0" w:color="auto"/>
          </w:divBdr>
          <w:divsChild>
            <w:div w:id="1773546448">
              <w:marLeft w:val="0"/>
              <w:marRight w:val="0"/>
              <w:marTop w:val="30"/>
              <w:marBottom w:val="30"/>
              <w:divBdr>
                <w:top w:val="none" w:sz="0" w:space="0" w:color="auto"/>
                <w:left w:val="none" w:sz="0" w:space="0" w:color="auto"/>
                <w:bottom w:val="none" w:sz="0" w:space="0" w:color="auto"/>
                <w:right w:val="none" w:sz="0" w:space="0" w:color="auto"/>
              </w:divBdr>
              <w:divsChild>
                <w:div w:id="1829057374">
                  <w:marLeft w:val="0"/>
                  <w:marRight w:val="0"/>
                  <w:marTop w:val="0"/>
                  <w:marBottom w:val="0"/>
                  <w:divBdr>
                    <w:top w:val="none" w:sz="0" w:space="0" w:color="auto"/>
                    <w:left w:val="none" w:sz="0" w:space="0" w:color="auto"/>
                    <w:bottom w:val="none" w:sz="0" w:space="0" w:color="auto"/>
                    <w:right w:val="none" w:sz="0" w:space="0" w:color="auto"/>
                  </w:divBdr>
                  <w:divsChild>
                    <w:div w:id="1141070437">
                      <w:marLeft w:val="0"/>
                      <w:marRight w:val="0"/>
                      <w:marTop w:val="0"/>
                      <w:marBottom w:val="0"/>
                      <w:divBdr>
                        <w:top w:val="none" w:sz="0" w:space="0" w:color="auto"/>
                        <w:left w:val="none" w:sz="0" w:space="0" w:color="auto"/>
                        <w:bottom w:val="none" w:sz="0" w:space="0" w:color="auto"/>
                        <w:right w:val="none" w:sz="0" w:space="0" w:color="auto"/>
                      </w:divBdr>
                    </w:div>
                  </w:divsChild>
                </w:div>
                <w:div w:id="1376155446">
                  <w:marLeft w:val="0"/>
                  <w:marRight w:val="0"/>
                  <w:marTop w:val="0"/>
                  <w:marBottom w:val="0"/>
                  <w:divBdr>
                    <w:top w:val="none" w:sz="0" w:space="0" w:color="auto"/>
                    <w:left w:val="none" w:sz="0" w:space="0" w:color="auto"/>
                    <w:bottom w:val="none" w:sz="0" w:space="0" w:color="auto"/>
                    <w:right w:val="none" w:sz="0" w:space="0" w:color="auto"/>
                  </w:divBdr>
                  <w:divsChild>
                    <w:div w:id="636958522">
                      <w:marLeft w:val="0"/>
                      <w:marRight w:val="0"/>
                      <w:marTop w:val="0"/>
                      <w:marBottom w:val="0"/>
                      <w:divBdr>
                        <w:top w:val="none" w:sz="0" w:space="0" w:color="auto"/>
                        <w:left w:val="none" w:sz="0" w:space="0" w:color="auto"/>
                        <w:bottom w:val="none" w:sz="0" w:space="0" w:color="auto"/>
                        <w:right w:val="none" w:sz="0" w:space="0" w:color="auto"/>
                      </w:divBdr>
                    </w:div>
                  </w:divsChild>
                </w:div>
                <w:div w:id="987050666">
                  <w:marLeft w:val="0"/>
                  <w:marRight w:val="0"/>
                  <w:marTop w:val="0"/>
                  <w:marBottom w:val="0"/>
                  <w:divBdr>
                    <w:top w:val="none" w:sz="0" w:space="0" w:color="auto"/>
                    <w:left w:val="none" w:sz="0" w:space="0" w:color="auto"/>
                    <w:bottom w:val="none" w:sz="0" w:space="0" w:color="auto"/>
                    <w:right w:val="none" w:sz="0" w:space="0" w:color="auto"/>
                  </w:divBdr>
                  <w:divsChild>
                    <w:div w:id="98644940">
                      <w:marLeft w:val="0"/>
                      <w:marRight w:val="0"/>
                      <w:marTop w:val="0"/>
                      <w:marBottom w:val="0"/>
                      <w:divBdr>
                        <w:top w:val="none" w:sz="0" w:space="0" w:color="auto"/>
                        <w:left w:val="none" w:sz="0" w:space="0" w:color="auto"/>
                        <w:bottom w:val="none" w:sz="0" w:space="0" w:color="auto"/>
                        <w:right w:val="none" w:sz="0" w:space="0" w:color="auto"/>
                      </w:divBdr>
                    </w:div>
                  </w:divsChild>
                </w:div>
                <w:div w:id="1201744864">
                  <w:marLeft w:val="0"/>
                  <w:marRight w:val="0"/>
                  <w:marTop w:val="0"/>
                  <w:marBottom w:val="0"/>
                  <w:divBdr>
                    <w:top w:val="none" w:sz="0" w:space="0" w:color="auto"/>
                    <w:left w:val="none" w:sz="0" w:space="0" w:color="auto"/>
                    <w:bottom w:val="none" w:sz="0" w:space="0" w:color="auto"/>
                    <w:right w:val="none" w:sz="0" w:space="0" w:color="auto"/>
                  </w:divBdr>
                  <w:divsChild>
                    <w:div w:id="769009175">
                      <w:marLeft w:val="0"/>
                      <w:marRight w:val="0"/>
                      <w:marTop w:val="0"/>
                      <w:marBottom w:val="0"/>
                      <w:divBdr>
                        <w:top w:val="none" w:sz="0" w:space="0" w:color="auto"/>
                        <w:left w:val="none" w:sz="0" w:space="0" w:color="auto"/>
                        <w:bottom w:val="none" w:sz="0" w:space="0" w:color="auto"/>
                        <w:right w:val="none" w:sz="0" w:space="0" w:color="auto"/>
                      </w:divBdr>
                    </w:div>
                  </w:divsChild>
                </w:div>
                <w:div w:id="1457869023">
                  <w:marLeft w:val="0"/>
                  <w:marRight w:val="0"/>
                  <w:marTop w:val="0"/>
                  <w:marBottom w:val="0"/>
                  <w:divBdr>
                    <w:top w:val="none" w:sz="0" w:space="0" w:color="auto"/>
                    <w:left w:val="none" w:sz="0" w:space="0" w:color="auto"/>
                    <w:bottom w:val="none" w:sz="0" w:space="0" w:color="auto"/>
                    <w:right w:val="none" w:sz="0" w:space="0" w:color="auto"/>
                  </w:divBdr>
                  <w:divsChild>
                    <w:div w:id="1440679652">
                      <w:marLeft w:val="0"/>
                      <w:marRight w:val="0"/>
                      <w:marTop w:val="0"/>
                      <w:marBottom w:val="0"/>
                      <w:divBdr>
                        <w:top w:val="none" w:sz="0" w:space="0" w:color="auto"/>
                        <w:left w:val="none" w:sz="0" w:space="0" w:color="auto"/>
                        <w:bottom w:val="none" w:sz="0" w:space="0" w:color="auto"/>
                        <w:right w:val="none" w:sz="0" w:space="0" w:color="auto"/>
                      </w:divBdr>
                    </w:div>
                  </w:divsChild>
                </w:div>
                <w:div w:id="695695719">
                  <w:marLeft w:val="0"/>
                  <w:marRight w:val="0"/>
                  <w:marTop w:val="0"/>
                  <w:marBottom w:val="0"/>
                  <w:divBdr>
                    <w:top w:val="none" w:sz="0" w:space="0" w:color="auto"/>
                    <w:left w:val="none" w:sz="0" w:space="0" w:color="auto"/>
                    <w:bottom w:val="none" w:sz="0" w:space="0" w:color="auto"/>
                    <w:right w:val="none" w:sz="0" w:space="0" w:color="auto"/>
                  </w:divBdr>
                  <w:divsChild>
                    <w:div w:id="296226735">
                      <w:marLeft w:val="0"/>
                      <w:marRight w:val="0"/>
                      <w:marTop w:val="0"/>
                      <w:marBottom w:val="0"/>
                      <w:divBdr>
                        <w:top w:val="none" w:sz="0" w:space="0" w:color="auto"/>
                        <w:left w:val="none" w:sz="0" w:space="0" w:color="auto"/>
                        <w:bottom w:val="none" w:sz="0" w:space="0" w:color="auto"/>
                        <w:right w:val="none" w:sz="0" w:space="0" w:color="auto"/>
                      </w:divBdr>
                    </w:div>
                  </w:divsChild>
                </w:div>
                <w:div w:id="496196177">
                  <w:marLeft w:val="0"/>
                  <w:marRight w:val="0"/>
                  <w:marTop w:val="0"/>
                  <w:marBottom w:val="0"/>
                  <w:divBdr>
                    <w:top w:val="none" w:sz="0" w:space="0" w:color="auto"/>
                    <w:left w:val="none" w:sz="0" w:space="0" w:color="auto"/>
                    <w:bottom w:val="none" w:sz="0" w:space="0" w:color="auto"/>
                    <w:right w:val="none" w:sz="0" w:space="0" w:color="auto"/>
                  </w:divBdr>
                  <w:divsChild>
                    <w:div w:id="5636103">
                      <w:marLeft w:val="0"/>
                      <w:marRight w:val="0"/>
                      <w:marTop w:val="0"/>
                      <w:marBottom w:val="0"/>
                      <w:divBdr>
                        <w:top w:val="none" w:sz="0" w:space="0" w:color="auto"/>
                        <w:left w:val="none" w:sz="0" w:space="0" w:color="auto"/>
                        <w:bottom w:val="none" w:sz="0" w:space="0" w:color="auto"/>
                        <w:right w:val="none" w:sz="0" w:space="0" w:color="auto"/>
                      </w:divBdr>
                    </w:div>
                  </w:divsChild>
                </w:div>
                <w:div w:id="1928806247">
                  <w:marLeft w:val="0"/>
                  <w:marRight w:val="0"/>
                  <w:marTop w:val="0"/>
                  <w:marBottom w:val="0"/>
                  <w:divBdr>
                    <w:top w:val="none" w:sz="0" w:space="0" w:color="auto"/>
                    <w:left w:val="none" w:sz="0" w:space="0" w:color="auto"/>
                    <w:bottom w:val="none" w:sz="0" w:space="0" w:color="auto"/>
                    <w:right w:val="none" w:sz="0" w:space="0" w:color="auto"/>
                  </w:divBdr>
                  <w:divsChild>
                    <w:div w:id="1799251324">
                      <w:marLeft w:val="0"/>
                      <w:marRight w:val="0"/>
                      <w:marTop w:val="0"/>
                      <w:marBottom w:val="0"/>
                      <w:divBdr>
                        <w:top w:val="none" w:sz="0" w:space="0" w:color="auto"/>
                        <w:left w:val="none" w:sz="0" w:space="0" w:color="auto"/>
                        <w:bottom w:val="none" w:sz="0" w:space="0" w:color="auto"/>
                        <w:right w:val="none" w:sz="0" w:space="0" w:color="auto"/>
                      </w:divBdr>
                    </w:div>
                  </w:divsChild>
                </w:div>
                <w:div w:id="857818647">
                  <w:marLeft w:val="0"/>
                  <w:marRight w:val="0"/>
                  <w:marTop w:val="0"/>
                  <w:marBottom w:val="0"/>
                  <w:divBdr>
                    <w:top w:val="none" w:sz="0" w:space="0" w:color="auto"/>
                    <w:left w:val="none" w:sz="0" w:space="0" w:color="auto"/>
                    <w:bottom w:val="none" w:sz="0" w:space="0" w:color="auto"/>
                    <w:right w:val="none" w:sz="0" w:space="0" w:color="auto"/>
                  </w:divBdr>
                  <w:divsChild>
                    <w:div w:id="2127893493">
                      <w:marLeft w:val="0"/>
                      <w:marRight w:val="0"/>
                      <w:marTop w:val="0"/>
                      <w:marBottom w:val="0"/>
                      <w:divBdr>
                        <w:top w:val="none" w:sz="0" w:space="0" w:color="auto"/>
                        <w:left w:val="none" w:sz="0" w:space="0" w:color="auto"/>
                        <w:bottom w:val="none" w:sz="0" w:space="0" w:color="auto"/>
                        <w:right w:val="none" w:sz="0" w:space="0" w:color="auto"/>
                      </w:divBdr>
                    </w:div>
                  </w:divsChild>
                </w:div>
                <w:div w:id="961302591">
                  <w:marLeft w:val="0"/>
                  <w:marRight w:val="0"/>
                  <w:marTop w:val="0"/>
                  <w:marBottom w:val="0"/>
                  <w:divBdr>
                    <w:top w:val="none" w:sz="0" w:space="0" w:color="auto"/>
                    <w:left w:val="none" w:sz="0" w:space="0" w:color="auto"/>
                    <w:bottom w:val="none" w:sz="0" w:space="0" w:color="auto"/>
                    <w:right w:val="none" w:sz="0" w:space="0" w:color="auto"/>
                  </w:divBdr>
                  <w:divsChild>
                    <w:div w:id="18746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73399">
      <w:bodyDiv w:val="1"/>
      <w:marLeft w:val="0"/>
      <w:marRight w:val="0"/>
      <w:marTop w:val="0"/>
      <w:marBottom w:val="0"/>
      <w:divBdr>
        <w:top w:val="none" w:sz="0" w:space="0" w:color="auto"/>
        <w:left w:val="none" w:sz="0" w:space="0" w:color="auto"/>
        <w:bottom w:val="none" w:sz="0" w:space="0" w:color="auto"/>
        <w:right w:val="none" w:sz="0" w:space="0" w:color="auto"/>
      </w:divBdr>
    </w:div>
    <w:div w:id="1348170226">
      <w:bodyDiv w:val="1"/>
      <w:marLeft w:val="0"/>
      <w:marRight w:val="0"/>
      <w:marTop w:val="0"/>
      <w:marBottom w:val="0"/>
      <w:divBdr>
        <w:top w:val="none" w:sz="0" w:space="0" w:color="auto"/>
        <w:left w:val="none" w:sz="0" w:space="0" w:color="auto"/>
        <w:bottom w:val="none" w:sz="0" w:space="0" w:color="auto"/>
        <w:right w:val="none" w:sz="0" w:space="0" w:color="auto"/>
      </w:divBdr>
      <w:divsChild>
        <w:div w:id="117996938">
          <w:marLeft w:val="360"/>
          <w:marRight w:val="0"/>
          <w:marTop w:val="200"/>
          <w:marBottom w:val="0"/>
          <w:divBdr>
            <w:top w:val="none" w:sz="0" w:space="0" w:color="auto"/>
            <w:left w:val="none" w:sz="0" w:space="0" w:color="auto"/>
            <w:bottom w:val="none" w:sz="0" w:space="0" w:color="auto"/>
            <w:right w:val="none" w:sz="0" w:space="0" w:color="auto"/>
          </w:divBdr>
        </w:div>
      </w:divsChild>
    </w:div>
    <w:div w:id="1358122135">
      <w:bodyDiv w:val="1"/>
      <w:marLeft w:val="0"/>
      <w:marRight w:val="0"/>
      <w:marTop w:val="0"/>
      <w:marBottom w:val="0"/>
      <w:divBdr>
        <w:top w:val="none" w:sz="0" w:space="0" w:color="auto"/>
        <w:left w:val="none" w:sz="0" w:space="0" w:color="auto"/>
        <w:bottom w:val="none" w:sz="0" w:space="0" w:color="auto"/>
        <w:right w:val="none" w:sz="0" w:space="0" w:color="auto"/>
      </w:divBdr>
    </w:div>
    <w:div w:id="1398551124">
      <w:bodyDiv w:val="1"/>
      <w:marLeft w:val="0"/>
      <w:marRight w:val="0"/>
      <w:marTop w:val="0"/>
      <w:marBottom w:val="0"/>
      <w:divBdr>
        <w:top w:val="none" w:sz="0" w:space="0" w:color="auto"/>
        <w:left w:val="none" w:sz="0" w:space="0" w:color="auto"/>
        <w:bottom w:val="none" w:sz="0" w:space="0" w:color="auto"/>
        <w:right w:val="none" w:sz="0" w:space="0" w:color="auto"/>
      </w:divBdr>
    </w:div>
    <w:div w:id="1427582341">
      <w:bodyDiv w:val="1"/>
      <w:marLeft w:val="0"/>
      <w:marRight w:val="0"/>
      <w:marTop w:val="0"/>
      <w:marBottom w:val="0"/>
      <w:divBdr>
        <w:top w:val="none" w:sz="0" w:space="0" w:color="auto"/>
        <w:left w:val="none" w:sz="0" w:space="0" w:color="auto"/>
        <w:bottom w:val="none" w:sz="0" w:space="0" w:color="auto"/>
        <w:right w:val="none" w:sz="0" w:space="0" w:color="auto"/>
      </w:divBdr>
    </w:div>
    <w:div w:id="1472021802">
      <w:bodyDiv w:val="1"/>
      <w:marLeft w:val="0"/>
      <w:marRight w:val="0"/>
      <w:marTop w:val="0"/>
      <w:marBottom w:val="0"/>
      <w:divBdr>
        <w:top w:val="none" w:sz="0" w:space="0" w:color="auto"/>
        <w:left w:val="none" w:sz="0" w:space="0" w:color="auto"/>
        <w:bottom w:val="none" w:sz="0" w:space="0" w:color="auto"/>
        <w:right w:val="none" w:sz="0" w:space="0" w:color="auto"/>
      </w:divBdr>
    </w:div>
    <w:div w:id="1494107781">
      <w:bodyDiv w:val="1"/>
      <w:marLeft w:val="0"/>
      <w:marRight w:val="0"/>
      <w:marTop w:val="0"/>
      <w:marBottom w:val="0"/>
      <w:divBdr>
        <w:top w:val="none" w:sz="0" w:space="0" w:color="auto"/>
        <w:left w:val="none" w:sz="0" w:space="0" w:color="auto"/>
        <w:bottom w:val="none" w:sz="0" w:space="0" w:color="auto"/>
        <w:right w:val="none" w:sz="0" w:space="0" w:color="auto"/>
      </w:divBdr>
      <w:divsChild>
        <w:div w:id="1111977108">
          <w:marLeft w:val="0"/>
          <w:marRight w:val="0"/>
          <w:marTop w:val="0"/>
          <w:marBottom w:val="0"/>
          <w:divBdr>
            <w:top w:val="none" w:sz="0" w:space="0" w:color="auto"/>
            <w:left w:val="none" w:sz="0" w:space="0" w:color="auto"/>
            <w:bottom w:val="none" w:sz="0" w:space="0" w:color="auto"/>
            <w:right w:val="none" w:sz="0" w:space="0" w:color="auto"/>
          </w:divBdr>
        </w:div>
        <w:div w:id="152844071">
          <w:marLeft w:val="0"/>
          <w:marRight w:val="0"/>
          <w:marTop w:val="0"/>
          <w:marBottom w:val="0"/>
          <w:divBdr>
            <w:top w:val="none" w:sz="0" w:space="0" w:color="auto"/>
            <w:left w:val="none" w:sz="0" w:space="0" w:color="auto"/>
            <w:bottom w:val="none" w:sz="0" w:space="0" w:color="auto"/>
            <w:right w:val="none" w:sz="0" w:space="0" w:color="auto"/>
          </w:divBdr>
        </w:div>
        <w:div w:id="1741519765">
          <w:marLeft w:val="0"/>
          <w:marRight w:val="0"/>
          <w:marTop w:val="0"/>
          <w:marBottom w:val="0"/>
          <w:divBdr>
            <w:top w:val="none" w:sz="0" w:space="0" w:color="auto"/>
            <w:left w:val="none" w:sz="0" w:space="0" w:color="auto"/>
            <w:bottom w:val="none" w:sz="0" w:space="0" w:color="auto"/>
            <w:right w:val="none" w:sz="0" w:space="0" w:color="auto"/>
          </w:divBdr>
        </w:div>
        <w:div w:id="860970396">
          <w:marLeft w:val="0"/>
          <w:marRight w:val="0"/>
          <w:marTop w:val="0"/>
          <w:marBottom w:val="0"/>
          <w:divBdr>
            <w:top w:val="none" w:sz="0" w:space="0" w:color="auto"/>
            <w:left w:val="none" w:sz="0" w:space="0" w:color="auto"/>
            <w:bottom w:val="none" w:sz="0" w:space="0" w:color="auto"/>
            <w:right w:val="none" w:sz="0" w:space="0" w:color="auto"/>
          </w:divBdr>
        </w:div>
        <w:div w:id="1019089126">
          <w:marLeft w:val="0"/>
          <w:marRight w:val="0"/>
          <w:marTop w:val="0"/>
          <w:marBottom w:val="0"/>
          <w:divBdr>
            <w:top w:val="none" w:sz="0" w:space="0" w:color="auto"/>
            <w:left w:val="none" w:sz="0" w:space="0" w:color="auto"/>
            <w:bottom w:val="none" w:sz="0" w:space="0" w:color="auto"/>
            <w:right w:val="none" w:sz="0" w:space="0" w:color="auto"/>
          </w:divBdr>
        </w:div>
        <w:div w:id="1493178742">
          <w:marLeft w:val="0"/>
          <w:marRight w:val="0"/>
          <w:marTop w:val="0"/>
          <w:marBottom w:val="0"/>
          <w:divBdr>
            <w:top w:val="none" w:sz="0" w:space="0" w:color="auto"/>
            <w:left w:val="none" w:sz="0" w:space="0" w:color="auto"/>
            <w:bottom w:val="none" w:sz="0" w:space="0" w:color="auto"/>
            <w:right w:val="none" w:sz="0" w:space="0" w:color="auto"/>
          </w:divBdr>
        </w:div>
      </w:divsChild>
    </w:div>
    <w:div w:id="1536238631">
      <w:bodyDiv w:val="1"/>
      <w:marLeft w:val="0"/>
      <w:marRight w:val="0"/>
      <w:marTop w:val="0"/>
      <w:marBottom w:val="0"/>
      <w:divBdr>
        <w:top w:val="none" w:sz="0" w:space="0" w:color="auto"/>
        <w:left w:val="none" w:sz="0" w:space="0" w:color="auto"/>
        <w:bottom w:val="none" w:sz="0" w:space="0" w:color="auto"/>
        <w:right w:val="none" w:sz="0" w:space="0" w:color="auto"/>
      </w:divBdr>
      <w:divsChild>
        <w:div w:id="519785719">
          <w:marLeft w:val="0"/>
          <w:marRight w:val="0"/>
          <w:marTop w:val="0"/>
          <w:marBottom w:val="0"/>
          <w:divBdr>
            <w:top w:val="none" w:sz="0" w:space="0" w:color="auto"/>
            <w:left w:val="none" w:sz="0" w:space="0" w:color="auto"/>
            <w:bottom w:val="none" w:sz="0" w:space="0" w:color="auto"/>
            <w:right w:val="none" w:sz="0" w:space="0" w:color="auto"/>
          </w:divBdr>
          <w:divsChild>
            <w:div w:id="258761832">
              <w:marLeft w:val="0"/>
              <w:marRight w:val="0"/>
              <w:marTop w:val="0"/>
              <w:marBottom w:val="0"/>
              <w:divBdr>
                <w:top w:val="none" w:sz="0" w:space="0" w:color="auto"/>
                <w:left w:val="none" w:sz="0" w:space="0" w:color="auto"/>
                <w:bottom w:val="none" w:sz="0" w:space="0" w:color="auto"/>
                <w:right w:val="none" w:sz="0" w:space="0" w:color="auto"/>
              </w:divBdr>
            </w:div>
          </w:divsChild>
        </w:div>
        <w:div w:id="1477920273">
          <w:marLeft w:val="0"/>
          <w:marRight w:val="0"/>
          <w:marTop w:val="0"/>
          <w:marBottom w:val="0"/>
          <w:divBdr>
            <w:top w:val="none" w:sz="0" w:space="0" w:color="auto"/>
            <w:left w:val="none" w:sz="0" w:space="0" w:color="auto"/>
            <w:bottom w:val="none" w:sz="0" w:space="0" w:color="auto"/>
            <w:right w:val="none" w:sz="0" w:space="0" w:color="auto"/>
          </w:divBdr>
          <w:divsChild>
            <w:div w:id="1274287658">
              <w:marLeft w:val="0"/>
              <w:marRight w:val="0"/>
              <w:marTop w:val="0"/>
              <w:marBottom w:val="0"/>
              <w:divBdr>
                <w:top w:val="none" w:sz="0" w:space="0" w:color="auto"/>
                <w:left w:val="none" w:sz="0" w:space="0" w:color="auto"/>
                <w:bottom w:val="none" w:sz="0" w:space="0" w:color="auto"/>
                <w:right w:val="none" w:sz="0" w:space="0" w:color="auto"/>
              </w:divBdr>
            </w:div>
          </w:divsChild>
        </w:div>
        <w:div w:id="71973606">
          <w:marLeft w:val="0"/>
          <w:marRight w:val="0"/>
          <w:marTop w:val="0"/>
          <w:marBottom w:val="0"/>
          <w:divBdr>
            <w:top w:val="none" w:sz="0" w:space="0" w:color="auto"/>
            <w:left w:val="none" w:sz="0" w:space="0" w:color="auto"/>
            <w:bottom w:val="none" w:sz="0" w:space="0" w:color="auto"/>
            <w:right w:val="none" w:sz="0" w:space="0" w:color="auto"/>
          </w:divBdr>
          <w:divsChild>
            <w:div w:id="270625072">
              <w:marLeft w:val="0"/>
              <w:marRight w:val="0"/>
              <w:marTop w:val="0"/>
              <w:marBottom w:val="0"/>
              <w:divBdr>
                <w:top w:val="none" w:sz="0" w:space="0" w:color="auto"/>
                <w:left w:val="none" w:sz="0" w:space="0" w:color="auto"/>
                <w:bottom w:val="none" w:sz="0" w:space="0" w:color="auto"/>
                <w:right w:val="none" w:sz="0" w:space="0" w:color="auto"/>
              </w:divBdr>
            </w:div>
          </w:divsChild>
        </w:div>
        <w:div w:id="857040749">
          <w:marLeft w:val="0"/>
          <w:marRight w:val="0"/>
          <w:marTop w:val="0"/>
          <w:marBottom w:val="0"/>
          <w:divBdr>
            <w:top w:val="none" w:sz="0" w:space="0" w:color="auto"/>
            <w:left w:val="none" w:sz="0" w:space="0" w:color="auto"/>
            <w:bottom w:val="none" w:sz="0" w:space="0" w:color="auto"/>
            <w:right w:val="none" w:sz="0" w:space="0" w:color="auto"/>
          </w:divBdr>
          <w:divsChild>
            <w:div w:id="745498656">
              <w:marLeft w:val="0"/>
              <w:marRight w:val="0"/>
              <w:marTop w:val="0"/>
              <w:marBottom w:val="0"/>
              <w:divBdr>
                <w:top w:val="none" w:sz="0" w:space="0" w:color="auto"/>
                <w:left w:val="none" w:sz="0" w:space="0" w:color="auto"/>
                <w:bottom w:val="none" w:sz="0" w:space="0" w:color="auto"/>
                <w:right w:val="none" w:sz="0" w:space="0" w:color="auto"/>
              </w:divBdr>
            </w:div>
          </w:divsChild>
        </w:div>
        <w:div w:id="1379428931">
          <w:marLeft w:val="0"/>
          <w:marRight w:val="0"/>
          <w:marTop w:val="0"/>
          <w:marBottom w:val="0"/>
          <w:divBdr>
            <w:top w:val="none" w:sz="0" w:space="0" w:color="auto"/>
            <w:left w:val="none" w:sz="0" w:space="0" w:color="auto"/>
            <w:bottom w:val="none" w:sz="0" w:space="0" w:color="auto"/>
            <w:right w:val="none" w:sz="0" w:space="0" w:color="auto"/>
          </w:divBdr>
          <w:divsChild>
            <w:div w:id="18669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742">
      <w:bodyDiv w:val="1"/>
      <w:marLeft w:val="0"/>
      <w:marRight w:val="0"/>
      <w:marTop w:val="0"/>
      <w:marBottom w:val="0"/>
      <w:divBdr>
        <w:top w:val="none" w:sz="0" w:space="0" w:color="auto"/>
        <w:left w:val="none" w:sz="0" w:space="0" w:color="auto"/>
        <w:bottom w:val="none" w:sz="0" w:space="0" w:color="auto"/>
        <w:right w:val="none" w:sz="0" w:space="0" w:color="auto"/>
      </w:divBdr>
    </w:div>
    <w:div w:id="1669166137">
      <w:bodyDiv w:val="1"/>
      <w:marLeft w:val="0"/>
      <w:marRight w:val="0"/>
      <w:marTop w:val="0"/>
      <w:marBottom w:val="0"/>
      <w:divBdr>
        <w:top w:val="none" w:sz="0" w:space="0" w:color="auto"/>
        <w:left w:val="none" w:sz="0" w:space="0" w:color="auto"/>
        <w:bottom w:val="none" w:sz="0" w:space="0" w:color="auto"/>
        <w:right w:val="none" w:sz="0" w:space="0" w:color="auto"/>
      </w:divBdr>
      <w:divsChild>
        <w:div w:id="1472554410">
          <w:marLeft w:val="0"/>
          <w:marRight w:val="0"/>
          <w:marTop w:val="0"/>
          <w:marBottom w:val="0"/>
          <w:divBdr>
            <w:top w:val="none" w:sz="0" w:space="0" w:color="auto"/>
            <w:left w:val="none" w:sz="0" w:space="0" w:color="auto"/>
            <w:bottom w:val="none" w:sz="0" w:space="0" w:color="auto"/>
            <w:right w:val="none" w:sz="0" w:space="0" w:color="auto"/>
          </w:divBdr>
        </w:div>
        <w:div w:id="300772964">
          <w:marLeft w:val="0"/>
          <w:marRight w:val="0"/>
          <w:marTop w:val="0"/>
          <w:marBottom w:val="0"/>
          <w:divBdr>
            <w:top w:val="none" w:sz="0" w:space="0" w:color="auto"/>
            <w:left w:val="none" w:sz="0" w:space="0" w:color="auto"/>
            <w:bottom w:val="none" w:sz="0" w:space="0" w:color="auto"/>
            <w:right w:val="none" w:sz="0" w:space="0" w:color="auto"/>
          </w:divBdr>
        </w:div>
        <w:div w:id="1348293451">
          <w:marLeft w:val="0"/>
          <w:marRight w:val="0"/>
          <w:marTop w:val="0"/>
          <w:marBottom w:val="0"/>
          <w:divBdr>
            <w:top w:val="none" w:sz="0" w:space="0" w:color="auto"/>
            <w:left w:val="none" w:sz="0" w:space="0" w:color="auto"/>
            <w:bottom w:val="none" w:sz="0" w:space="0" w:color="auto"/>
            <w:right w:val="none" w:sz="0" w:space="0" w:color="auto"/>
          </w:divBdr>
        </w:div>
        <w:div w:id="2043289037">
          <w:marLeft w:val="0"/>
          <w:marRight w:val="0"/>
          <w:marTop w:val="0"/>
          <w:marBottom w:val="0"/>
          <w:divBdr>
            <w:top w:val="none" w:sz="0" w:space="0" w:color="auto"/>
            <w:left w:val="none" w:sz="0" w:space="0" w:color="auto"/>
            <w:bottom w:val="none" w:sz="0" w:space="0" w:color="auto"/>
            <w:right w:val="none" w:sz="0" w:space="0" w:color="auto"/>
          </w:divBdr>
        </w:div>
      </w:divsChild>
    </w:div>
    <w:div w:id="1673217956">
      <w:bodyDiv w:val="1"/>
      <w:marLeft w:val="0"/>
      <w:marRight w:val="0"/>
      <w:marTop w:val="0"/>
      <w:marBottom w:val="0"/>
      <w:divBdr>
        <w:top w:val="none" w:sz="0" w:space="0" w:color="auto"/>
        <w:left w:val="none" w:sz="0" w:space="0" w:color="auto"/>
        <w:bottom w:val="none" w:sz="0" w:space="0" w:color="auto"/>
        <w:right w:val="none" w:sz="0" w:space="0" w:color="auto"/>
      </w:divBdr>
    </w:div>
    <w:div w:id="1733427640">
      <w:bodyDiv w:val="1"/>
      <w:marLeft w:val="0"/>
      <w:marRight w:val="0"/>
      <w:marTop w:val="0"/>
      <w:marBottom w:val="0"/>
      <w:divBdr>
        <w:top w:val="none" w:sz="0" w:space="0" w:color="auto"/>
        <w:left w:val="none" w:sz="0" w:space="0" w:color="auto"/>
        <w:bottom w:val="none" w:sz="0" w:space="0" w:color="auto"/>
        <w:right w:val="none" w:sz="0" w:space="0" w:color="auto"/>
      </w:divBdr>
    </w:div>
    <w:div w:id="1798446245">
      <w:bodyDiv w:val="1"/>
      <w:marLeft w:val="0"/>
      <w:marRight w:val="0"/>
      <w:marTop w:val="0"/>
      <w:marBottom w:val="0"/>
      <w:divBdr>
        <w:top w:val="none" w:sz="0" w:space="0" w:color="auto"/>
        <w:left w:val="none" w:sz="0" w:space="0" w:color="auto"/>
        <w:bottom w:val="none" w:sz="0" w:space="0" w:color="auto"/>
        <w:right w:val="none" w:sz="0" w:space="0" w:color="auto"/>
      </w:divBdr>
    </w:div>
    <w:div w:id="1846555872">
      <w:bodyDiv w:val="1"/>
      <w:marLeft w:val="0"/>
      <w:marRight w:val="0"/>
      <w:marTop w:val="0"/>
      <w:marBottom w:val="0"/>
      <w:divBdr>
        <w:top w:val="none" w:sz="0" w:space="0" w:color="auto"/>
        <w:left w:val="none" w:sz="0" w:space="0" w:color="auto"/>
        <w:bottom w:val="none" w:sz="0" w:space="0" w:color="auto"/>
        <w:right w:val="none" w:sz="0" w:space="0" w:color="auto"/>
      </w:divBdr>
    </w:div>
    <w:div w:id="1938516841">
      <w:bodyDiv w:val="1"/>
      <w:marLeft w:val="0"/>
      <w:marRight w:val="0"/>
      <w:marTop w:val="0"/>
      <w:marBottom w:val="0"/>
      <w:divBdr>
        <w:top w:val="none" w:sz="0" w:space="0" w:color="auto"/>
        <w:left w:val="none" w:sz="0" w:space="0" w:color="auto"/>
        <w:bottom w:val="none" w:sz="0" w:space="0" w:color="auto"/>
        <w:right w:val="none" w:sz="0" w:space="0" w:color="auto"/>
      </w:divBdr>
    </w:div>
    <w:div w:id="1961763360">
      <w:bodyDiv w:val="1"/>
      <w:marLeft w:val="0"/>
      <w:marRight w:val="0"/>
      <w:marTop w:val="0"/>
      <w:marBottom w:val="0"/>
      <w:divBdr>
        <w:top w:val="none" w:sz="0" w:space="0" w:color="auto"/>
        <w:left w:val="none" w:sz="0" w:space="0" w:color="auto"/>
        <w:bottom w:val="none" w:sz="0" w:space="0" w:color="auto"/>
        <w:right w:val="none" w:sz="0" w:space="0" w:color="auto"/>
      </w:divBdr>
    </w:div>
    <w:div w:id="1990817147">
      <w:bodyDiv w:val="1"/>
      <w:marLeft w:val="0"/>
      <w:marRight w:val="0"/>
      <w:marTop w:val="0"/>
      <w:marBottom w:val="0"/>
      <w:divBdr>
        <w:top w:val="none" w:sz="0" w:space="0" w:color="auto"/>
        <w:left w:val="none" w:sz="0" w:space="0" w:color="auto"/>
        <w:bottom w:val="none" w:sz="0" w:space="0" w:color="auto"/>
        <w:right w:val="none" w:sz="0" w:space="0" w:color="auto"/>
      </w:divBdr>
      <w:divsChild>
        <w:div w:id="1493333819">
          <w:marLeft w:val="0"/>
          <w:marRight w:val="0"/>
          <w:marTop w:val="0"/>
          <w:marBottom w:val="0"/>
          <w:divBdr>
            <w:top w:val="none" w:sz="0" w:space="0" w:color="auto"/>
            <w:left w:val="none" w:sz="0" w:space="0" w:color="auto"/>
            <w:bottom w:val="none" w:sz="0" w:space="0" w:color="auto"/>
            <w:right w:val="none" w:sz="0" w:space="0" w:color="auto"/>
          </w:divBdr>
          <w:divsChild>
            <w:div w:id="893083667">
              <w:marLeft w:val="0"/>
              <w:marRight w:val="0"/>
              <w:marTop w:val="0"/>
              <w:marBottom w:val="0"/>
              <w:divBdr>
                <w:top w:val="none" w:sz="0" w:space="0" w:color="auto"/>
                <w:left w:val="none" w:sz="0" w:space="0" w:color="auto"/>
                <w:bottom w:val="none" w:sz="0" w:space="0" w:color="auto"/>
                <w:right w:val="none" w:sz="0" w:space="0" w:color="auto"/>
              </w:divBdr>
            </w:div>
          </w:divsChild>
        </w:div>
        <w:div w:id="211230821">
          <w:marLeft w:val="0"/>
          <w:marRight w:val="0"/>
          <w:marTop w:val="0"/>
          <w:marBottom w:val="0"/>
          <w:divBdr>
            <w:top w:val="none" w:sz="0" w:space="0" w:color="auto"/>
            <w:left w:val="none" w:sz="0" w:space="0" w:color="auto"/>
            <w:bottom w:val="none" w:sz="0" w:space="0" w:color="auto"/>
            <w:right w:val="none" w:sz="0" w:space="0" w:color="auto"/>
          </w:divBdr>
          <w:divsChild>
            <w:div w:id="792094437">
              <w:marLeft w:val="0"/>
              <w:marRight w:val="0"/>
              <w:marTop w:val="0"/>
              <w:marBottom w:val="0"/>
              <w:divBdr>
                <w:top w:val="none" w:sz="0" w:space="0" w:color="auto"/>
                <w:left w:val="none" w:sz="0" w:space="0" w:color="auto"/>
                <w:bottom w:val="none" w:sz="0" w:space="0" w:color="auto"/>
                <w:right w:val="none" w:sz="0" w:space="0" w:color="auto"/>
              </w:divBdr>
            </w:div>
          </w:divsChild>
        </w:div>
        <w:div w:id="695234189">
          <w:marLeft w:val="0"/>
          <w:marRight w:val="0"/>
          <w:marTop w:val="0"/>
          <w:marBottom w:val="0"/>
          <w:divBdr>
            <w:top w:val="none" w:sz="0" w:space="0" w:color="auto"/>
            <w:left w:val="none" w:sz="0" w:space="0" w:color="auto"/>
            <w:bottom w:val="none" w:sz="0" w:space="0" w:color="auto"/>
            <w:right w:val="none" w:sz="0" w:space="0" w:color="auto"/>
          </w:divBdr>
          <w:divsChild>
            <w:div w:id="1319115112">
              <w:marLeft w:val="0"/>
              <w:marRight w:val="0"/>
              <w:marTop w:val="0"/>
              <w:marBottom w:val="0"/>
              <w:divBdr>
                <w:top w:val="none" w:sz="0" w:space="0" w:color="auto"/>
                <w:left w:val="none" w:sz="0" w:space="0" w:color="auto"/>
                <w:bottom w:val="none" w:sz="0" w:space="0" w:color="auto"/>
                <w:right w:val="none" w:sz="0" w:space="0" w:color="auto"/>
              </w:divBdr>
            </w:div>
          </w:divsChild>
        </w:div>
        <w:div w:id="354229011">
          <w:marLeft w:val="0"/>
          <w:marRight w:val="0"/>
          <w:marTop w:val="0"/>
          <w:marBottom w:val="0"/>
          <w:divBdr>
            <w:top w:val="none" w:sz="0" w:space="0" w:color="auto"/>
            <w:left w:val="none" w:sz="0" w:space="0" w:color="auto"/>
            <w:bottom w:val="none" w:sz="0" w:space="0" w:color="auto"/>
            <w:right w:val="none" w:sz="0" w:space="0" w:color="auto"/>
          </w:divBdr>
          <w:divsChild>
            <w:div w:id="8734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67860">
      <w:bodyDiv w:val="1"/>
      <w:marLeft w:val="0"/>
      <w:marRight w:val="0"/>
      <w:marTop w:val="0"/>
      <w:marBottom w:val="0"/>
      <w:divBdr>
        <w:top w:val="none" w:sz="0" w:space="0" w:color="auto"/>
        <w:left w:val="none" w:sz="0" w:space="0" w:color="auto"/>
        <w:bottom w:val="none" w:sz="0" w:space="0" w:color="auto"/>
        <w:right w:val="none" w:sz="0" w:space="0" w:color="auto"/>
      </w:divBdr>
      <w:divsChild>
        <w:div w:id="731391880">
          <w:marLeft w:val="0"/>
          <w:marRight w:val="0"/>
          <w:marTop w:val="0"/>
          <w:marBottom w:val="0"/>
          <w:divBdr>
            <w:top w:val="none" w:sz="0" w:space="0" w:color="auto"/>
            <w:left w:val="none" w:sz="0" w:space="0" w:color="auto"/>
            <w:bottom w:val="none" w:sz="0" w:space="0" w:color="auto"/>
            <w:right w:val="none" w:sz="0" w:space="0" w:color="auto"/>
          </w:divBdr>
          <w:divsChild>
            <w:div w:id="281494287">
              <w:marLeft w:val="0"/>
              <w:marRight w:val="0"/>
              <w:marTop w:val="0"/>
              <w:marBottom w:val="0"/>
              <w:divBdr>
                <w:top w:val="none" w:sz="0" w:space="0" w:color="auto"/>
                <w:left w:val="none" w:sz="0" w:space="0" w:color="auto"/>
                <w:bottom w:val="none" w:sz="0" w:space="0" w:color="auto"/>
                <w:right w:val="none" w:sz="0" w:space="0" w:color="auto"/>
              </w:divBdr>
            </w:div>
          </w:divsChild>
        </w:div>
        <w:div w:id="195974733">
          <w:marLeft w:val="0"/>
          <w:marRight w:val="0"/>
          <w:marTop w:val="0"/>
          <w:marBottom w:val="0"/>
          <w:divBdr>
            <w:top w:val="none" w:sz="0" w:space="0" w:color="auto"/>
            <w:left w:val="none" w:sz="0" w:space="0" w:color="auto"/>
            <w:bottom w:val="none" w:sz="0" w:space="0" w:color="auto"/>
            <w:right w:val="none" w:sz="0" w:space="0" w:color="auto"/>
          </w:divBdr>
          <w:divsChild>
            <w:div w:id="321812005">
              <w:marLeft w:val="0"/>
              <w:marRight w:val="0"/>
              <w:marTop w:val="0"/>
              <w:marBottom w:val="0"/>
              <w:divBdr>
                <w:top w:val="none" w:sz="0" w:space="0" w:color="auto"/>
                <w:left w:val="none" w:sz="0" w:space="0" w:color="auto"/>
                <w:bottom w:val="none" w:sz="0" w:space="0" w:color="auto"/>
                <w:right w:val="none" w:sz="0" w:space="0" w:color="auto"/>
              </w:divBdr>
            </w:div>
          </w:divsChild>
        </w:div>
        <w:div w:id="674262428">
          <w:marLeft w:val="0"/>
          <w:marRight w:val="0"/>
          <w:marTop w:val="0"/>
          <w:marBottom w:val="0"/>
          <w:divBdr>
            <w:top w:val="none" w:sz="0" w:space="0" w:color="auto"/>
            <w:left w:val="none" w:sz="0" w:space="0" w:color="auto"/>
            <w:bottom w:val="none" w:sz="0" w:space="0" w:color="auto"/>
            <w:right w:val="none" w:sz="0" w:space="0" w:color="auto"/>
          </w:divBdr>
          <w:divsChild>
            <w:div w:id="18608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8515">
      <w:bodyDiv w:val="1"/>
      <w:marLeft w:val="0"/>
      <w:marRight w:val="0"/>
      <w:marTop w:val="0"/>
      <w:marBottom w:val="0"/>
      <w:divBdr>
        <w:top w:val="none" w:sz="0" w:space="0" w:color="auto"/>
        <w:left w:val="none" w:sz="0" w:space="0" w:color="auto"/>
        <w:bottom w:val="none" w:sz="0" w:space="0" w:color="auto"/>
        <w:right w:val="none" w:sz="0" w:space="0" w:color="auto"/>
      </w:divBdr>
      <w:divsChild>
        <w:div w:id="17801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0B146-C5E9-47D0-B7FC-A6A5BA60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la Torre</dc:creator>
  <cp:keywords/>
  <dc:description/>
  <cp:lastModifiedBy>Lucy Ritchie</cp:lastModifiedBy>
  <cp:revision>3</cp:revision>
  <dcterms:created xsi:type="dcterms:W3CDTF">2025-02-27T16:24:00Z</dcterms:created>
  <dcterms:modified xsi:type="dcterms:W3CDTF">2025-02-27T19:40:00Z</dcterms:modified>
</cp:coreProperties>
</file>