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4" w:type="dxa"/>
        <w:tblCellMar>
          <w:left w:w="0" w:type="dxa"/>
          <w:right w:w="0" w:type="dxa"/>
        </w:tblCellMar>
        <w:tblLook w:val="01E0" w:firstRow="1" w:lastRow="1" w:firstColumn="1" w:lastColumn="1" w:noHBand="0" w:noVBand="0"/>
      </w:tblPr>
      <w:tblGrid>
        <w:gridCol w:w="9781"/>
      </w:tblGrid>
      <w:tr w:rsidR="00A81727" w:rsidRPr="00DB687C" w14:paraId="0F18A5C7" w14:textId="77777777" w:rsidTr="00D17102">
        <w:trPr>
          <w:trHeight w:val="329"/>
        </w:trPr>
        <w:tc>
          <w:tcPr>
            <w:tcW w:w="9639" w:type="dxa"/>
            <w:shd w:val="clear" w:color="auto" w:fill="auto"/>
          </w:tcPr>
          <w:tbl>
            <w:tblPr>
              <w:tblW w:w="9781" w:type="dxa"/>
              <w:tblLook w:val="0000" w:firstRow="0" w:lastRow="0" w:firstColumn="0" w:lastColumn="0" w:noHBand="0" w:noVBand="0"/>
            </w:tblPr>
            <w:tblGrid>
              <w:gridCol w:w="4388"/>
              <w:gridCol w:w="5393"/>
            </w:tblGrid>
            <w:tr w:rsidR="00A81727" w:rsidRPr="00DB687C" w14:paraId="6D0E0D9C" w14:textId="77777777" w:rsidTr="00D17102">
              <w:trPr>
                <w:cantSplit/>
              </w:trPr>
              <w:tc>
                <w:tcPr>
                  <w:tcW w:w="4388" w:type="dxa"/>
                </w:tcPr>
                <w:p w14:paraId="2DCA21CE" w14:textId="4ACE132B" w:rsidR="00A81727" w:rsidRPr="00A81727" w:rsidRDefault="00A81727" w:rsidP="00D17102">
                  <w:pPr>
                    <w:pStyle w:val="Address"/>
                    <w:rPr>
                      <w:rFonts w:asciiTheme="minorHAnsi" w:hAnsiTheme="minorHAnsi" w:cstheme="minorHAnsi"/>
                      <w:sz w:val="24"/>
                      <w:szCs w:val="24"/>
                    </w:rPr>
                  </w:pPr>
                </w:p>
              </w:tc>
              <w:tc>
                <w:tcPr>
                  <w:tcW w:w="5393" w:type="dxa"/>
                </w:tcPr>
                <w:p w14:paraId="3E7FB66D" w14:textId="5EB985B1" w:rsidR="00A81727" w:rsidRDefault="00D72AE5" w:rsidP="00A81727">
                  <w:pPr>
                    <w:spacing w:after="0"/>
                    <w:jc w:val="right"/>
                    <w:rPr>
                      <w:sz w:val="26"/>
                      <w:szCs w:val="26"/>
                    </w:rPr>
                  </w:pPr>
                  <w:r>
                    <w:rPr>
                      <w:sz w:val="26"/>
                      <w:szCs w:val="26"/>
                    </w:rPr>
                    <w:t>Annex 9</w:t>
                  </w:r>
                </w:p>
                <w:p w14:paraId="44863E3A" w14:textId="77777777" w:rsidR="00A81727" w:rsidRPr="00DB687C" w:rsidRDefault="00A81727" w:rsidP="00D17102">
                  <w:pPr>
                    <w:spacing w:after="140"/>
                    <w:jc w:val="right"/>
                    <w:rPr>
                      <w:rFonts w:cs="Arial"/>
                      <w:sz w:val="24"/>
                      <w:szCs w:val="24"/>
                    </w:rPr>
                  </w:pPr>
                </w:p>
              </w:tc>
            </w:tr>
          </w:tbl>
          <w:p w14:paraId="4F2D1202" w14:textId="77777777" w:rsidR="00A81727" w:rsidRPr="00DB687C" w:rsidRDefault="00A81727" w:rsidP="00D17102">
            <w:pPr>
              <w:spacing w:after="140"/>
              <w:rPr>
                <w:rFonts w:cs="Arial"/>
                <w:sz w:val="24"/>
                <w:szCs w:val="24"/>
              </w:rPr>
            </w:pPr>
            <w:r w:rsidRPr="00DB687C">
              <w:rPr>
                <w:rFonts w:cs="Arial"/>
                <w:sz w:val="24"/>
                <w:szCs w:val="24"/>
              </w:rPr>
              <w:t>OSPAR Convention for the Protection of the Marine Environment of the North-East Atlantic</w:t>
            </w:r>
          </w:p>
        </w:tc>
      </w:tr>
      <w:tr w:rsidR="00A81727" w:rsidRPr="00640638" w14:paraId="642FD93B" w14:textId="77777777" w:rsidTr="00D17102">
        <w:trPr>
          <w:trHeight w:val="226"/>
        </w:trPr>
        <w:tc>
          <w:tcPr>
            <w:tcW w:w="9724" w:type="dxa"/>
            <w:shd w:val="clear" w:color="auto" w:fill="auto"/>
          </w:tcPr>
          <w:p w14:paraId="3F9C8EF9" w14:textId="77777777" w:rsidR="00A81727" w:rsidRDefault="00A81727" w:rsidP="00D17102">
            <w:pPr>
              <w:pStyle w:val="Docheader"/>
              <w:jc w:val="both"/>
              <w:rPr>
                <w:sz w:val="26"/>
                <w:szCs w:val="26"/>
                <w:lang w:val="en-GB"/>
              </w:rPr>
            </w:pPr>
            <w:r>
              <w:rPr>
                <w:sz w:val="26"/>
                <w:szCs w:val="26"/>
                <w:lang w:val="en-GB"/>
              </w:rPr>
              <w:t>Meeting of the Biodiversity Committee (BDC)</w:t>
            </w:r>
          </w:p>
          <w:p w14:paraId="7425AB77" w14:textId="77777777" w:rsidR="00A81727" w:rsidRPr="00640638" w:rsidRDefault="00A81727" w:rsidP="00D17102">
            <w:pPr>
              <w:pStyle w:val="Docheader"/>
              <w:jc w:val="both"/>
              <w:rPr>
                <w:rFonts w:cs="Arial"/>
                <w:szCs w:val="24"/>
              </w:rPr>
            </w:pPr>
          </w:p>
        </w:tc>
      </w:tr>
      <w:tr w:rsidR="00A81727" w:rsidRPr="00DB687C" w14:paraId="12EA44B8" w14:textId="77777777" w:rsidTr="00D17102">
        <w:trPr>
          <w:trHeight w:val="226"/>
        </w:trPr>
        <w:tc>
          <w:tcPr>
            <w:tcW w:w="9724" w:type="dxa"/>
            <w:shd w:val="clear" w:color="auto" w:fill="auto"/>
          </w:tcPr>
          <w:p w14:paraId="1AADA6F2" w14:textId="77777777" w:rsidR="00A81727" w:rsidRPr="00DB687C" w:rsidRDefault="00A81727" w:rsidP="00D17102">
            <w:pPr>
              <w:pBdr>
                <w:bottom w:val="single" w:sz="4" w:space="1" w:color="auto"/>
              </w:pBdr>
              <w:tabs>
                <w:tab w:val="left" w:pos="7080"/>
              </w:tabs>
              <w:spacing w:after="140"/>
              <w:rPr>
                <w:sz w:val="24"/>
                <w:szCs w:val="24"/>
              </w:rPr>
            </w:pPr>
            <w:r w:rsidRPr="00907489">
              <w:rPr>
                <w:sz w:val="24"/>
                <w:szCs w:val="24"/>
              </w:rPr>
              <w:t>Varberg (Sweden): 24-28 February 2025</w:t>
            </w:r>
          </w:p>
        </w:tc>
      </w:tr>
    </w:tbl>
    <w:p w14:paraId="405B002A" w14:textId="77777777" w:rsidR="00A81727" w:rsidRDefault="00A81727" w:rsidP="00A81727">
      <w:pPr>
        <w:pStyle w:val="Body"/>
        <w:spacing w:after="80"/>
        <w:rPr>
          <w:sz w:val="40"/>
          <w:szCs w:val="40"/>
          <w:lang w:val="en-US"/>
        </w:rPr>
      </w:pPr>
    </w:p>
    <w:p w14:paraId="7E22235F" w14:textId="0E4AB9C3" w:rsidR="00A81727" w:rsidRPr="00DF3487" w:rsidRDefault="00A81727" w:rsidP="00A81727">
      <w:pPr>
        <w:pStyle w:val="Body"/>
        <w:spacing w:after="80"/>
        <w:rPr>
          <w:b/>
          <w:sz w:val="24"/>
          <w:szCs w:val="24"/>
        </w:rPr>
      </w:pPr>
      <w:bookmarkStart w:id="0" w:name="_Hlk189236671"/>
      <w:r>
        <w:rPr>
          <w:sz w:val="40"/>
          <w:szCs w:val="40"/>
          <w:lang w:val="en-US"/>
        </w:rPr>
        <w:t>T</w:t>
      </w:r>
      <w:r w:rsidRPr="00DF3487">
        <w:rPr>
          <w:sz w:val="40"/>
          <w:szCs w:val="40"/>
          <w:lang w:val="en-US"/>
        </w:rPr>
        <w:t xml:space="preserve">erms of Reference </w:t>
      </w:r>
      <w:bookmarkEnd w:id="0"/>
      <w:r w:rsidRPr="00DF3487">
        <w:rPr>
          <w:sz w:val="40"/>
          <w:szCs w:val="40"/>
          <w:lang w:val="en-US"/>
        </w:rPr>
        <w:t xml:space="preserve">for the Intersessional Correspondence Group on </w:t>
      </w:r>
      <w:r>
        <w:rPr>
          <w:sz w:val="40"/>
          <w:szCs w:val="40"/>
          <w:lang w:val="en-US"/>
        </w:rPr>
        <w:t>Marine Protected Areas (ICG-MPA)</w:t>
      </w:r>
      <w:r w:rsidRPr="00DF3487">
        <w:rPr>
          <w:sz w:val="40"/>
          <w:szCs w:val="40"/>
          <w:lang w:val="en-US"/>
        </w:rPr>
        <w:t xml:space="preserve"> in 202</w:t>
      </w:r>
      <w:r>
        <w:rPr>
          <w:sz w:val="40"/>
          <w:szCs w:val="40"/>
          <w:lang w:val="en-US"/>
        </w:rPr>
        <w:t>5</w:t>
      </w:r>
      <w:r w:rsidRPr="00DF3487">
        <w:rPr>
          <w:sz w:val="40"/>
          <w:szCs w:val="40"/>
          <w:lang w:val="en-US"/>
        </w:rPr>
        <w:t>/202</w:t>
      </w:r>
      <w:r>
        <w:rPr>
          <w:sz w:val="40"/>
          <w:szCs w:val="40"/>
          <w:lang w:val="en-US"/>
        </w:rPr>
        <w:t>6</w:t>
      </w:r>
    </w:p>
    <w:p w14:paraId="4B82705A" w14:textId="77777777" w:rsidR="00B83EA3" w:rsidRDefault="00630419">
      <w:pPr>
        <w:autoSpaceDE w:val="0"/>
        <w:autoSpaceDN w:val="0"/>
        <w:adjustRightInd w:val="0"/>
        <w:ind w:left="567" w:hanging="567"/>
        <w:rPr>
          <w:b/>
          <w:bCs/>
          <w:sz w:val="24"/>
          <w:szCs w:val="24"/>
        </w:rPr>
      </w:pPr>
      <w:r>
        <w:rPr>
          <w:b/>
          <w:bCs/>
          <w:sz w:val="24"/>
          <w:szCs w:val="24"/>
        </w:rPr>
        <w:t>Participants</w:t>
      </w:r>
    </w:p>
    <w:p w14:paraId="661D143F" w14:textId="77777777" w:rsidR="00B83EA3" w:rsidRDefault="00630419">
      <w:pPr>
        <w:tabs>
          <w:tab w:val="left" w:pos="540"/>
        </w:tabs>
        <w:autoSpaceDE w:val="0"/>
        <w:autoSpaceDN w:val="0"/>
        <w:adjustRightInd w:val="0"/>
        <w:spacing w:line="240" w:lineRule="auto"/>
      </w:pPr>
      <w:r>
        <w:t>1.</w:t>
      </w:r>
      <w:r>
        <w:tab/>
        <w:t>ICG-MPA will be convened by Germany (Janos Hennicke, German Federal Agency for Nature Conservation (BfN)) and is open to all Contracting Parties and Observers, in accordance with the OSPAR Rules of Procedure. A contact list of experts nominated by Contracting Parties and Observers is maintained by the Secretariat to facilitate information exchange between participants. In addition, and as in former years, ICG-MPA may actively seek assistance and contributions by the scientific community on specific tasks.</w:t>
      </w:r>
    </w:p>
    <w:p w14:paraId="049E8FC7" w14:textId="77777777" w:rsidR="00B83EA3" w:rsidRDefault="00630419">
      <w:pPr>
        <w:autoSpaceDE w:val="0"/>
        <w:autoSpaceDN w:val="0"/>
        <w:adjustRightInd w:val="0"/>
        <w:spacing w:line="240" w:lineRule="auto"/>
        <w:ind w:left="567" w:hanging="567"/>
        <w:rPr>
          <w:b/>
          <w:bCs/>
          <w:sz w:val="24"/>
          <w:szCs w:val="24"/>
        </w:rPr>
      </w:pPr>
      <w:r>
        <w:rPr>
          <w:b/>
          <w:bCs/>
          <w:sz w:val="24"/>
          <w:szCs w:val="24"/>
        </w:rPr>
        <w:t>Organisation of Work</w:t>
      </w:r>
    </w:p>
    <w:p w14:paraId="51FE856E" w14:textId="0FADB9B8" w:rsidR="00B83EA3" w:rsidRDefault="00630419">
      <w:pPr>
        <w:pStyle w:val="ListParagraph"/>
        <w:autoSpaceDE w:val="0"/>
        <w:autoSpaceDN w:val="0"/>
        <w:adjustRightInd w:val="0"/>
        <w:spacing w:line="240" w:lineRule="auto"/>
        <w:ind w:left="0"/>
        <w:rPr>
          <w:rFonts w:cs="Calibri"/>
        </w:rPr>
      </w:pPr>
      <w:r>
        <w:t>2.</w:t>
      </w:r>
      <w:r>
        <w:tab/>
        <w:t xml:space="preserve">Besides working through correspondence, ICG-MPA will have one meeting in the 2025/2026 meeting cycle. </w:t>
      </w:r>
      <w:r>
        <w:rPr>
          <w:rFonts w:cs="Calibri"/>
        </w:rPr>
        <w:t xml:space="preserve">The meeting will take place (provisionally) in the week commencing 10 November 2025. The host is to be determined. Additional meetings outside of the main ICG-MPA meeting will be arranged as required for the relevant tasks. </w:t>
      </w:r>
    </w:p>
    <w:p w14:paraId="2C51B962" w14:textId="77777777" w:rsidR="00B83EA3" w:rsidRDefault="00630419">
      <w:pPr>
        <w:autoSpaceDE w:val="0"/>
        <w:autoSpaceDN w:val="0"/>
        <w:adjustRightInd w:val="0"/>
        <w:spacing w:line="240" w:lineRule="auto"/>
        <w:ind w:left="567" w:hanging="567"/>
        <w:rPr>
          <w:b/>
          <w:bCs/>
          <w:sz w:val="24"/>
          <w:szCs w:val="24"/>
        </w:rPr>
      </w:pPr>
      <w:r>
        <w:rPr>
          <w:b/>
          <w:bCs/>
          <w:sz w:val="24"/>
          <w:szCs w:val="24"/>
        </w:rPr>
        <w:t>Scope of Work</w:t>
      </w:r>
    </w:p>
    <w:p w14:paraId="5641B812" w14:textId="16BA6E6F" w:rsidR="00B83EA3" w:rsidRDefault="00630419">
      <w:pPr>
        <w:autoSpaceDE w:val="0"/>
        <w:autoSpaceDN w:val="0"/>
        <w:adjustRightInd w:val="0"/>
        <w:spacing w:line="240" w:lineRule="auto"/>
      </w:pPr>
      <w:r>
        <w:t>ICG-MPA will aim to carry out the following tasks in the period up to the Biodiversity Committee meeting (BDC) 2026:</w:t>
      </w:r>
    </w:p>
    <w:p w14:paraId="323F71B7" w14:textId="77777777" w:rsidR="00B83EA3" w:rsidRDefault="00630419">
      <w:pPr>
        <w:spacing w:line="240" w:lineRule="auto"/>
        <w:rPr>
          <w:i/>
          <w:iCs/>
        </w:rPr>
      </w:pPr>
      <w:r>
        <w:rPr>
          <w:i/>
          <w:iCs/>
        </w:rPr>
        <w:t>North-East Atlantic Environment Strategy (NEAES) 2030 implementation plan</w:t>
      </w:r>
    </w:p>
    <w:p w14:paraId="46FA57E4" w14:textId="77777777" w:rsidR="00B83EA3" w:rsidRDefault="00630419">
      <w:pPr>
        <w:spacing w:line="240" w:lineRule="auto"/>
      </w:pPr>
      <w:r>
        <w:t>3.</w:t>
      </w:r>
      <w:r>
        <w:tab/>
        <w:t>Ensure implementation and reporting of tasks adopted within the NEAES implementation plan and consider the need to develop additional tasks as appropriate.</w:t>
      </w:r>
    </w:p>
    <w:p w14:paraId="0D0A9A93" w14:textId="77777777" w:rsidR="00B83EA3" w:rsidRDefault="00B83EA3">
      <w:pPr>
        <w:spacing w:line="240" w:lineRule="auto"/>
      </w:pPr>
    </w:p>
    <w:p w14:paraId="17EE0893" w14:textId="796AD3D9" w:rsidR="00B83EA3" w:rsidRDefault="00B83EA3">
      <w:pPr>
        <w:tabs>
          <w:tab w:val="clear" w:pos="567"/>
        </w:tabs>
        <w:spacing w:after="0" w:line="240" w:lineRule="auto"/>
        <w:jc w:val="left"/>
        <w:rPr>
          <w:sz w:val="20"/>
        </w:rPr>
      </w:pPr>
    </w:p>
    <w:p w14:paraId="1ABEC791" w14:textId="77777777" w:rsidR="00D72AE5" w:rsidRDefault="00D72AE5">
      <w:pPr>
        <w:tabs>
          <w:tab w:val="clear" w:pos="567"/>
        </w:tabs>
        <w:spacing w:after="0" w:line="240" w:lineRule="auto"/>
        <w:jc w:val="left"/>
        <w:rPr>
          <w:sz w:val="20"/>
        </w:rPr>
      </w:pPr>
      <w:r>
        <w:rPr>
          <w:sz w:val="20"/>
        </w:rPr>
        <w:br w:type="page"/>
      </w:r>
    </w:p>
    <w:p w14:paraId="21CBA43B" w14:textId="63C514E0" w:rsidR="00B83EA3" w:rsidRDefault="00630419">
      <w:pPr>
        <w:spacing w:line="240" w:lineRule="auto"/>
        <w:rPr>
          <w:sz w:val="20"/>
        </w:rPr>
      </w:pPr>
      <w:r>
        <w:rPr>
          <w:sz w:val="20"/>
        </w:rPr>
        <w:lastRenderedPageBreak/>
        <w:t>Table 1: Table of the association between selected NEAES operational objectives, being of particular relevance to ICG-MPA, and the main themes of work of ICG-MPA. Cells marked with a cross indicate association between operational objectives and work themes.</w:t>
      </w:r>
    </w:p>
    <w:tbl>
      <w:tblPr>
        <w:tblStyle w:val="TableGrid"/>
        <w:tblW w:w="0" w:type="auto"/>
        <w:tblLook w:val="04A0" w:firstRow="1" w:lastRow="0" w:firstColumn="1" w:lastColumn="0" w:noHBand="0" w:noVBand="1"/>
      </w:tblPr>
      <w:tblGrid>
        <w:gridCol w:w="3289"/>
        <w:gridCol w:w="1300"/>
        <w:gridCol w:w="1518"/>
        <w:gridCol w:w="1200"/>
        <w:gridCol w:w="1709"/>
      </w:tblGrid>
      <w:tr w:rsidR="00B83EA3" w14:paraId="1D37D5A6" w14:textId="77777777">
        <w:tc>
          <w:tcPr>
            <w:tcW w:w="3578" w:type="dxa"/>
          </w:tcPr>
          <w:p w14:paraId="1C682116" w14:textId="77777777" w:rsidR="00B83EA3" w:rsidRDefault="00B83EA3"/>
        </w:tc>
        <w:tc>
          <w:tcPr>
            <w:tcW w:w="5915" w:type="dxa"/>
            <w:gridSpan w:val="4"/>
          </w:tcPr>
          <w:p w14:paraId="61C9FE90" w14:textId="77777777" w:rsidR="00B83EA3" w:rsidRDefault="00630419">
            <w:pPr>
              <w:jc w:val="center"/>
            </w:pPr>
            <w:r>
              <w:rPr>
                <w:sz w:val="20"/>
                <w:szCs w:val="20"/>
              </w:rPr>
              <w:t>Work themes</w:t>
            </w:r>
          </w:p>
        </w:tc>
      </w:tr>
      <w:tr w:rsidR="00B83EA3" w14:paraId="1C95B167" w14:textId="77777777">
        <w:tc>
          <w:tcPr>
            <w:tcW w:w="3578" w:type="dxa"/>
          </w:tcPr>
          <w:p w14:paraId="020BF409" w14:textId="77777777" w:rsidR="00B83EA3" w:rsidRDefault="00B83EA3"/>
        </w:tc>
        <w:tc>
          <w:tcPr>
            <w:tcW w:w="1313" w:type="dxa"/>
          </w:tcPr>
          <w:p w14:paraId="1F9DAFA0" w14:textId="77777777" w:rsidR="00B83EA3" w:rsidRDefault="00630419">
            <w:pPr>
              <w:jc w:val="center"/>
              <w:rPr>
                <w:sz w:val="18"/>
                <w:szCs w:val="18"/>
              </w:rPr>
            </w:pPr>
            <w:r>
              <w:rPr>
                <w:sz w:val="18"/>
                <w:szCs w:val="18"/>
              </w:rPr>
              <w:t>Development of the OSPAR Network of MPAs – spatial coverage</w:t>
            </w:r>
          </w:p>
        </w:tc>
        <w:tc>
          <w:tcPr>
            <w:tcW w:w="1594" w:type="dxa"/>
          </w:tcPr>
          <w:p w14:paraId="7F6742FF" w14:textId="77777777" w:rsidR="00B83EA3" w:rsidRDefault="00630419">
            <w:pPr>
              <w:jc w:val="center"/>
              <w:rPr>
                <w:sz w:val="18"/>
                <w:szCs w:val="18"/>
              </w:rPr>
            </w:pPr>
            <w:r>
              <w:rPr>
                <w:sz w:val="18"/>
                <w:szCs w:val="18"/>
              </w:rPr>
              <w:t xml:space="preserve">Ecological coherence of the OSPAR Network of MPAs </w:t>
            </w:r>
          </w:p>
        </w:tc>
        <w:tc>
          <w:tcPr>
            <w:tcW w:w="1200" w:type="dxa"/>
          </w:tcPr>
          <w:p w14:paraId="3782387C" w14:textId="77777777" w:rsidR="00B83EA3" w:rsidRDefault="00630419">
            <w:pPr>
              <w:jc w:val="center"/>
              <w:rPr>
                <w:sz w:val="18"/>
                <w:szCs w:val="18"/>
              </w:rPr>
            </w:pPr>
            <w:r>
              <w:rPr>
                <w:sz w:val="18"/>
                <w:szCs w:val="18"/>
              </w:rPr>
              <w:t>Management of MPAs</w:t>
            </w:r>
          </w:p>
        </w:tc>
        <w:tc>
          <w:tcPr>
            <w:tcW w:w="1808" w:type="dxa"/>
          </w:tcPr>
          <w:p w14:paraId="19BDACAA" w14:textId="77777777" w:rsidR="00B83EA3" w:rsidRDefault="00630419">
            <w:pPr>
              <w:jc w:val="center"/>
              <w:rPr>
                <w:sz w:val="18"/>
                <w:szCs w:val="18"/>
              </w:rPr>
            </w:pPr>
            <w:r>
              <w:rPr>
                <w:sz w:val="18"/>
                <w:szCs w:val="18"/>
              </w:rPr>
              <w:t>Climate change - how MPAs can contribute to climate adaptation and mitigation</w:t>
            </w:r>
          </w:p>
        </w:tc>
      </w:tr>
      <w:tr w:rsidR="00B83EA3" w14:paraId="33F31FF1" w14:textId="77777777">
        <w:tc>
          <w:tcPr>
            <w:tcW w:w="3578" w:type="dxa"/>
          </w:tcPr>
          <w:p w14:paraId="35C38660" w14:textId="77777777" w:rsidR="00B83EA3" w:rsidRDefault="00630419">
            <w:pPr>
              <w:jc w:val="left"/>
            </w:pPr>
            <w:r>
              <w:rPr>
                <w:rFonts w:cs="Montserrat"/>
                <w:b/>
                <w:bCs/>
                <w:color w:val="000000" w:themeColor="text1"/>
                <w:sz w:val="17"/>
                <w:szCs w:val="17"/>
              </w:rPr>
              <w:t xml:space="preserve">S5.O1: </w:t>
            </w:r>
            <w:r>
              <w:rPr>
                <w:rFonts w:cs="Montserrat"/>
                <w:color w:val="000000" w:themeColor="text1"/>
                <w:sz w:val="17"/>
                <w:szCs w:val="17"/>
              </w:rPr>
              <w:t>By 2030 OSPAR will further develop its network of marine protected areas (MPAs) and other effective conservation measures (OECMs)</w:t>
            </w:r>
            <w:r>
              <w:rPr>
                <w:rStyle w:val="A9"/>
              </w:rPr>
              <w:t xml:space="preserve"> </w:t>
            </w:r>
            <w:r>
              <w:rPr>
                <w:rFonts w:cs="Montserrat"/>
                <w:color w:val="000000" w:themeColor="text1"/>
                <w:sz w:val="17"/>
                <w:szCs w:val="17"/>
              </w:rPr>
              <w:t>to cover at least 30%</w:t>
            </w:r>
            <w:r>
              <w:rPr>
                <w:rStyle w:val="A9"/>
              </w:rPr>
              <w:t xml:space="preserve"> </w:t>
            </w:r>
            <w:r>
              <w:rPr>
                <w:rFonts w:cs="Montserrat"/>
                <w:color w:val="000000" w:themeColor="text1"/>
                <w:sz w:val="17"/>
                <w:szCs w:val="17"/>
              </w:rPr>
              <w:t>of the OSPAR maritime area to ensure it is representative, ecologically coherent and effectively managed to achieve its conservation objectives.</w:t>
            </w:r>
          </w:p>
        </w:tc>
        <w:tc>
          <w:tcPr>
            <w:tcW w:w="1313" w:type="dxa"/>
            <w:vAlign w:val="center"/>
          </w:tcPr>
          <w:p w14:paraId="2906CF11" w14:textId="77777777" w:rsidR="00B83EA3" w:rsidRDefault="00630419">
            <w:pPr>
              <w:jc w:val="center"/>
            </w:pPr>
            <w:r>
              <w:t>X</w:t>
            </w:r>
          </w:p>
        </w:tc>
        <w:tc>
          <w:tcPr>
            <w:tcW w:w="1594" w:type="dxa"/>
            <w:vAlign w:val="center"/>
          </w:tcPr>
          <w:p w14:paraId="05428FE1" w14:textId="77777777" w:rsidR="00B83EA3" w:rsidRDefault="00630419">
            <w:pPr>
              <w:jc w:val="center"/>
            </w:pPr>
            <w:r>
              <w:t>X</w:t>
            </w:r>
          </w:p>
        </w:tc>
        <w:tc>
          <w:tcPr>
            <w:tcW w:w="1200" w:type="dxa"/>
            <w:vAlign w:val="center"/>
          </w:tcPr>
          <w:p w14:paraId="65964FE7" w14:textId="77777777" w:rsidR="00B83EA3" w:rsidRDefault="00630419">
            <w:pPr>
              <w:jc w:val="center"/>
            </w:pPr>
            <w:r>
              <w:t>X</w:t>
            </w:r>
          </w:p>
        </w:tc>
        <w:tc>
          <w:tcPr>
            <w:tcW w:w="1808" w:type="dxa"/>
            <w:vAlign w:val="center"/>
          </w:tcPr>
          <w:p w14:paraId="52842E5A" w14:textId="77777777" w:rsidR="00B83EA3" w:rsidRDefault="00B83EA3">
            <w:pPr>
              <w:jc w:val="center"/>
            </w:pPr>
          </w:p>
        </w:tc>
      </w:tr>
      <w:tr w:rsidR="00B83EA3" w14:paraId="6DE9F9A0" w14:textId="77777777">
        <w:tc>
          <w:tcPr>
            <w:tcW w:w="3578" w:type="dxa"/>
          </w:tcPr>
          <w:p w14:paraId="111D33F3" w14:textId="77777777" w:rsidR="00B83EA3" w:rsidRDefault="00630419">
            <w:pPr>
              <w:jc w:val="left"/>
            </w:pPr>
            <w:r>
              <w:rPr>
                <w:rFonts w:cs="Montserrat"/>
                <w:b/>
                <w:bCs/>
                <w:color w:val="000000" w:themeColor="text1"/>
                <w:sz w:val="17"/>
                <w:szCs w:val="17"/>
              </w:rPr>
              <w:t xml:space="preserve">S5.O2: </w:t>
            </w:r>
            <w:r>
              <w:rPr>
                <w:rFonts w:cs="Montserrat"/>
                <w:color w:val="000000" w:themeColor="text1"/>
                <w:sz w:val="17"/>
                <w:szCs w:val="17"/>
              </w:rPr>
              <w:t>By 2022 OSPAR will identify barriers to the effective management of MPAs, and by 2024 take steps to address them appropriately to enable all OSPAR MPAs to achieve their conservation objectives.</w:t>
            </w:r>
          </w:p>
        </w:tc>
        <w:tc>
          <w:tcPr>
            <w:tcW w:w="1313" w:type="dxa"/>
            <w:vAlign w:val="center"/>
          </w:tcPr>
          <w:p w14:paraId="285EAB20" w14:textId="77777777" w:rsidR="00B83EA3" w:rsidRDefault="00B83EA3">
            <w:pPr>
              <w:jc w:val="center"/>
            </w:pPr>
          </w:p>
        </w:tc>
        <w:tc>
          <w:tcPr>
            <w:tcW w:w="1594" w:type="dxa"/>
            <w:vAlign w:val="center"/>
          </w:tcPr>
          <w:p w14:paraId="52D7A6CB" w14:textId="77777777" w:rsidR="00B83EA3" w:rsidRDefault="00B83EA3">
            <w:pPr>
              <w:jc w:val="center"/>
            </w:pPr>
          </w:p>
        </w:tc>
        <w:tc>
          <w:tcPr>
            <w:tcW w:w="1200" w:type="dxa"/>
            <w:vAlign w:val="center"/>
          </w:tcPr>
          <w:p w14:paraId="36268E1E" w14:textId="77777777" w:rsidR="00B83EA3" w:rsidRDefault="00630419">
            <w:pPr>
              <w:jc w:val="center"/>
            </w:pPr>
            <w:r>
              <w:t>X</w:t>
            </w:r>
          </w:p>
        </w:tc>
        <w:tc>
          <w:tcPr>
            <w:tcW w:w="1808" w:type="dxa"/>
            <w:vAlign w:val="center"/>
          </w:tcPr>
          <w:p w14:paraId="0026DC9C" w14:textId="77777777" w:rsidR="00B83EA3" w:rsidRDefault="00B83EA3">
            <w:pPr>
              <w:jc w:val="center"/>
            </w:pPr>
          </w:p>
        </w:tc>
      </w:tr>
      <w:tr w:rsidR="00B83EA3" w14:paraId="0EBEFCBD" w14:textId="77777777">
        <w:tc>
          <w:tcPr>
            <w:tcW w:w="3578" w:type="dxa"/>
          </w:tcPr>
          <w:p w14:paraId="441A6EBB" w14:textId="77777777" w:rsidR="00B83EA3" w:rsidRDefault="00630419">
            <w:pPr>
              <w:jc w:val="left"/>
            </w:pPr>
            <w:r>
              <w:rPr>
                <w:rFonts w:cs="Montserrat"/>
                <w:b/>
                <w:bCs/>
                <w:color w:val="000000" w:themeColor="text1"/>
                <w:sz w:val="17"/>
                <w:szCs w:val="17"/>
              </w:rPr>
              <w:t xml:space="preserve">S11.O2: </w:t>
            </w:r>
            <w:r>
              <w:rPr>
                <w:rFonts w:cs="Montserrat"/>
                <w:color w:val="000000" w:themeColor="text1"/>
                <w:sz w:val="17"/>
                <w:szCs w:val="17"/>
              </w:rPr>
              <w:t>By 2023, and every six years thereafter, OSPAR will assess at a regional scale the OSPAR network of marine protected areas in respect of the resilience of marine biodiversity to climate change, with the aim of ensuring that the network provides a good representation of species and habitats and that its spatial design and management regime remains relevant.</w:t>
            </w:r>
          </w:p>
        </w:tc>
        <w:tc>
          <w:tcPr>
            <w:tcW w:w="1313" w:type="dxa"/>
            <w:vAlign w:val="center"/>
          </w:tcPr>
          <w:p w14:paraId="4516CAAF" w14:textId="77777777" w:rsidR="00B83EA3" w:rsidRDefault="00B83EA3">
            <w:pPr>
              <w:jc w:val="center"/>
            </w:pPr>
          </w:p>
        </w:tc>
        <w:tc>
          <w:tcPr>
            <w:tcW w:w="1594" w:type="dxa"/>
            <w:vAlign w:val="center"/>
          </w:tcPr>
          <w:p w14:paraId="166A71BF" w14:textId="77777777" w:rsidR="00B83EA3" w:rsidRDefault="00630419">
            <w:pPr>
              <w:jc w:val="center"/>
            </w:pPr>
            <w:r>
              <w:t>X</w:t>
            </w:r>
          </w:p>
        </w:tc>
        <w:tc>
          <w:tcPr>
            <w:tcW w:w="1200" w:type="dxa"/>
            <w:vAlign w:val="center"/>
          </w:tcPr>
          <w:p w14:paraId="0C9A5B85" w14:textId="77777777" w:rsidR="00B83EA3" w:rsidRDefault="00630419">
            <w:pPr>
              <w:jc w:val="center"/>
            </w:pPr>
            <w:r>
              <w:t>X</w:t>
            </w:r>
          </w:p>
        </w:tc>
        <w:tc>
          <w:tcPr>
            <w:tcW w:w="1808" w:type="dxa"/>
            <w:vAlign w:val="center"/>
          </w:tcPr>
          <w:p w14:paraId="18B5BA76" w14:textId="77777777" w:rsidR="00B83EA3" w:rsidRDefault="00630419">
            <w:pPr>
              <w:jc w:val="center"/>
            </w:pPr>
            <w:r>
              <w:t>X</w:t>
            </w:r>
          </w:p>
        </w:tc>
      </w:tr>
      <w:tr w:rsidR="00B83EA3" w14:paraId="2DCC7624" w14:textId="77777777">
        <w:trPr>
          <w:trHeight w:val="1210"/>
        </w:trPr>
        <w:tc>
          <w:tcPr>
            <w:tcW w:w="3578" w:type="dxa"/>
          </w:tcPr>
          <w:p w14:paraId="4FF29728" w14:textId="77777777" w:rsidR="00B83EA3" w:rsidRDefault="00630419">
            <w:pPr>
              <w:rPr>
                <w:sz w:val="17"/>
                <w:szCs w:val="17"/>
              </w:rPr>
            </w:pPr>
            <w:r>
              <w:rPr>
                <w:b/>
                <w:bCs/>
                <w:sz w:val="17"/>
                <w:szCs w:val="17"/>
              </w:rPr>
              <w:t>S12.O2</w:t>
            </w:r>
            <w:r>
              <w:rPr>
                <w:sz w:val="17"/>
                <w:szCs w:val="17"/>
              </w:rPr>
              <w:t>: By 2025 OSPAR will take nature-based carbon storage into account when reviewing the criteria for the designation of marine protected areas, and reviewing the OSPAR List of threatened and/or declining species and habitats.</w:t>
            </w:r>
          </w:p>
        </w:tc>
        <w:tc>
          <w:tcPr>
            <w:tcW w:w="1313" w:type="dxa"/>
            <w:vAlign w:val="center"/>
          </w:tcPr>
          <w:p w14:paraId="289DB1B9" w14:textId="77777777" w:rsidR="00B83EA3" w:rsidRDefault="00630419">
            <w:pPr>
              <w:jc w:val="center"/>
            </w:pPr>
            <w:r>
              <w:t>X</w:t>
            </w:r>
          </w:p>
        </w:tc>
        <w:tc>
          <w:tcPr>
            <w:tcW w:w="1594" w:type="dxa"/>
            <w:vAlign w:val="center"/>
          </w:tcPr>
          <w:p w14:paraId="44B7D807" w14:textId="77777777" w:rsidR="00B83EA3" w:rsidRDefault="00630419">
            <w:pPr>
              <w:jc w:val="center"/>
            </w:pPr>
            <w:r>
              <w:t>X</w:t>
            </w:r>
          </w:p>
        </w:tc>
        <w:tc>
          <w:tcPr>
            <w:tcW w:w="1200" w:type="dxa"/>
            <w:vAlign w:val="center"/>
          </w:tcPr>
          <w:p w14:paraId="5BE76BDE" w14:textId="77777777" w:rsidR="00B83EA3" w:rsidRDefault="00B83EA3">
            <w:pPr>
              <w:jc w:val="center"/>
            </w:pPr>
          </w:p>
        </w:tc>
        <w:tc>
          <w:tcPr>
            <w:tcW w:w="1808" w:type="dxa"/>
            <w:vAlign w:val="center"/>
          </w:tcPr>
          <w:p w14:paraId="58220FFE" w14:textId="77777777" w:rsidR="00B83EA3" w:rsidRDefault="00630419">
            <w:pPr>
              <w:jc w:val="center"/>
            </w:pPr>
            <w:r>
              <w:t>X</w:t>
            </w:r>
          </w:p>
        </w:tc>
      </w:tr>
    </w:tbl>
    <w:p w14:paraId="17DD0804" w14:textId="77777777" w:rsidR="00B83EA3" w:rsidRDefault="00630419">
      <w:pPr>
        <w:spacing w:line="240" w:lineRule="auto"/>
      </w:pPr>
      <w:r>
        <w:t xml:space="preserve"> </w:t>
      </w:r>
    </w:p>
    <w:p w14:paraId="15893921" w14:textId="77777777" w:rsidR="00B83EA3" w:rsidRDefault="00630419">
      <w:r>
        <w:rPr>
          <w:i/>
          <w:iCs/>
        </w:rPr>
        <w:t xml:space="preserve">Measure progress towards the ongoing development of the OSPAR network of MPAs and OECMs </w:t>
      </w:r>
    </w:p>
    <w:p w14:paraId="4C6158E4" w14:textId="77777777" w:rsidR="00B83EA3" w:rsidRDefault="00630419">
      <w:pPr>
        <w:spacing w:line="240" w:lineRule="auto"/>
      </w:pPr>
      <w:r>
        <w:t>4.</w:t>
      </w:r>
      <w:r>
        <w:tab/>
        <w:t>Continue to collate and update relevant information/data held within the OSPAR MPA database on (a) species, habitats and ecological processes within existing OSPAR MPAs; (b) human activities and resulting pressures and impacts on species, habitats and ecological processes within existing OSPAR MPAs; and (c) the management of OSPAR MPAs;</w:t>
      </w:r>
    </w:p>
    <w:p w14:paraId="4D9BFB9E" w14:textId="77777777" w:rsidR="00B83EA3" w:rsidRDefault="00630419">
      <w:pPr>
        <w:spacing w:line="240" w:lineRule="auto"/>
      </w:pPr>
      <w:r>
        <w:t>5.</w:t>
      </w:r>
      <w:r>
        <w:tab/>
        <w:t>Further development of the OSPAR MPA database to ensure it is up to date and the data is accessible for use by OSPAR Contracting Parties, observer organisations and any interested third parties;</w:t>
      </w:r>
    </w:p>
    <w:p w14:paraId="7410BF9A" w14:textId="6029C510" w:rsidR="00B83EA3" w:rsidRDefault="00630419">
      <w:pPr>
        <w:spacing w:line="240" w:lineRule="auto"/>
      </w:pPr>
      <w:r>
        <w:t>6.</w:t>
      </w:r>
      <w:r>
        <w:tab/>
        <w:t>Assist in the preparation of the 2025 Assessment Sheet and the Status Report on the OSPAR Network of MPAs, to be presented to BDC 2026 with a view to publication;</w:t>
      </w:r>
    </w:p>
    <w:p w14:paraId="419363AB" w14:textId="77777777" w:rsidR="00B83EA3" w:rsidRDefault="00630419">
      <w:pPr>
        <w:spacing w:line="240" w:lineRule="auto"/>
      </w:pPr>
      <w:r>
        <w:t>7.</w:t>
      </w:r>
      <w:r>
        <w:tab/>
        <w:t>Consider OECMs within the OSPAR context, in line with the NEAES 2030.</w:t>
      </w:r>
    </w:p>
    <w:p w14:paraId="4E63602D" w14:textId="77777777" w:rsidR="00B83EA3" w:rsidRDefault="00630419">
      <w:pPr>
        <w:autoSpaceDE w:val="0"/>
        <w:autoSpaceDN w:val="0"/>
        <w:adjustRightInd w:val="0"/>
        <w:spacing w:line="240" w:lineRule="auto"/>
        <w:rPr>
          <w:i/>
          <w:iCs/>
        </w:rPr>
      </w:pPr>
      <w:r>
        <w:rPr>
          <w:i/>
          <w:iCs/>
        </w:rPr>
        <w:lastRenderedPageBreak/>
        <w:t>Development of the OSPAR Network of MPAs</w:t>
      </w:r>
    </w:p>
    <w:p w14:paraId="556D7C02" w14:textId="77777777" w:rsidR="00B83EA3" w:rsidRDefault="00630419">
      <w:pPr>
        <w:spacing w:line="240" w:lineRule="auto"/>
      </w:pPr>
      <w:r>
        <w:t>8.</w:t>
      </w:r>
      <w:r>
        <w:tab/>
        <w:t xml:space="preserve">Assist in developing further the OSPAR Network of MPAs: </w:t>
      </w:r>
    </w:p>
    <w:p w14:paraId="643B3483" w14:textId="3D79D154" w:rsidR="00B83EA3" w:rsidRDefault="00630419">
      <w:pPr>
        <w:pStyle w:val="ListParagraph"/>
        <w:numPr>
          <w:ilvl w:val="0"/>
          <w:numId w:val="6"/>
        </w:numPr>
        <w:spacing w:before="120" w:after="120" w:line="240" w:lineRule="auto"/>
        <w:ind w:left="567" w:hanging="207"/>
        <w:contextualSpacing w:val="0"/>
        <w:jc w:val="both"/>
        <w:rPr>
          <w:i/>
          <w:iCs/>
        </w:rPr>
      </w:pPr>
      <w:r>
        <w:t>from a regional perspective, based on the 2023 MPA Status Report and 2024 MPA Assessment Sheet, identify ‘gaps’ regarding the representativity, resilience, and connectivity of the Network and its components</w:t>
      </w:r>
      <w:r>
        <w:rPr>
          <w:i/>
          <w:iCs/>
        </w:rPr>
        <w:t>;</w:t>
      </w:r>
    </w:p>
    <w:p w14:paraId="4E5A72FC" w14:textId="77777777" w:rsidR="00B83EA3" w:rsidRDefault="00630419">
      <w:pPr>
        <w:pStyle w:val="ListParagraph"/>
        <w:numPr>
          <w:ilvl w:val="0"/>
          <w:numId w:val="6"/>
        </w:numPr>
        <w:spacing w:before="120" w:after="120" w:line="240" w:lineRule="auto"/>
        <w:ind w:left="567" w:hanging="207"/>
        <w:contextualSpacing w:val="0"/>
        <w:jc w:val="both"/>
      </w:pPr>
      <w:r>
        <w:t>support coastal states in their nomination of any further components to the network;</w:t>
      </w:r>
    </w:p>
    <w:p w14:paraId="7EFA0EE0" w14:textId="77777777" w:rsidR="00B83EA3" w:rsidRDefault="00630419">
      <w:pPr>
        <w:pStyle w:val="ListParagraph"/>
        <w:numPr>
          <w:ilvl w:val="0"/>
          <w:numId w:val="6"/>
        </w:numPr>
        <w:spacing w:before="120" w:after="120" w:line="240" w:lineRule="auto"/>
        <w:ind w:left="567" w:hanging="207"/>
        <w:contextualSpacing w:val="0"/>
        <w:jc w:val="both"/>
      </w:pPr>
      <w:r>
        <w:t>consider, prepare and elaborate, as appropriate, scientific cases for MPA proposals in areas beyond national jurisdiction;</w:t>
      </w:r>
    </w:p>
    <w:p w14:paraId="5A19A5B4" w14:textId="77777777" w:rsidR="00B83EA3" w:rsidRDefault="00630419">
      <w:pPr>
        <w:pStyle w:val="ListParagraph"/>
        <w:numPr>
          <w:ilvl w:val="0"/>
          <w:numId w:val="6"/>
        </w:numPr>
        <w:spacing w:before="120" w:after="120" w:line="240" w:lineRule="auto"/>
        <w:ind w:left="567" w:hanging="207"/>
        <w:contextualSpacing w:val="0"/>
        <w:jc w:val="both"/>
      </w:pPr>
      <w:r>
        <w:t>further consider the impacts of climate change with respect to MPA designation and management.</w:t>
      </w:r>
    </w:p>
    <w:p w14:paraId="24F6CDD3" w14:textId="77777777" w:rsidR="00B83EA3" w:rsidRDefault="00630419">
      <w:pPr>
        <w:spacing w:line="240" w:lineRule="auto"/>
        <w:rPr>
          <w:i/>
          <w:iCs/>
        </w:rPr>
      </w:pPr>
      <w:r>
        <w:rPr>
          <w:i/>
          <w:iCs/>
        </w:rPr>
        <w:t>Elaboration of an approach to assess/evaluate the ecological coherence of the OSPAR Network of MPAs</w:t>
      </w:r>
    </w:p>
    <w:p w14:paraId="2B42CC8E" w14:textId="77777777" w:rsidR="00B83EA3" w:rsidRDefault="00630419">
      <w:pPr>
        <w:spacing w:line="240" w:lineRule="auto"/>
      </w:pPr>
      <w:r>
        <w:t>9.</w:t>
      </w:r>
      <w:r>
        <w:tab/>
        <w:t>Progress the work on developing the assessment of ecological coherence for the OSPAR network of MPAs as outlined in task S5.O1.T1, taking into account the timeline and milestones amended at ICG-MPA 2024.</w:t>
      </w:r>
    </w:p>
    <w:p w14:paraId="3CAE2034" w14:textId="77777777" w:rsidR="00B83EA3" w:rsidRDefault="00630419">
      <w:pPr>
        <w:spacing w:line="240" w:lineRule="auto"/>
        <w:rPr>
          <w:i/>
          <w:iCs/>
        </w:rPr>
      </w:pPr>
      <w:r>
        <w:rPr>
          <w:i/>
          <w:iCs/>
        </w:rPr>
        <w:t>Management of MPAs</w:t>
      </w:r>
    </w:p>
    <w:p w14:paraId="7F1642B4" w14:textId="77777777" w:rsidR="00B83EA3" w:rsidRDefault="00630419">
      <w:pPr>
        <w:spacing w:line="240" w:lineRule="auto"/>
      </w:pPr>
      <w:r>
        <w:t>10.</w:t>
      </w:r>
      <w:r>
        <w:tab/>
        <w:t xml:space="preserve">Compile and report on the implementation of the OSPAR Recommendations on the Management of MPAs in areas beyond national jurisdiction (ABNJ) by OSPAR Contracting Parties, including taking forward the development of management measures for OSPAR High Sea MPAs and developing options for management actions for Contracting Parties in MPAs in ABNJ; </w:t>
      </w:r>
    </w:p>
    <w:p w14:paraId="1409EF1A" w14:textId="77777777" w:rsidR="00B83EA3" w:rsidRDefault="00630419">
      <w:pPr>
        <w:spacing w:line="240" w:lineRule="auto"/>
      </w:pPr>
      <w:r>
        <w:t xml:space="preserve">11. </w:t>
      </w:r>
      <w:r>
        <w:tab/>
        <w:t xml:space="preserve">Taking into account the outcomes of the assessment of management of the OSPAR Network of MPAs of the latest MPA Status Report and other relevant information to work on the guidance and its application to assess management effectiveness of the OSPAR Network of MPAs; </w:t>
      </w:r>
    </w:p>
    <w:p w14:paraId="5C2667B9" w14:textId="77777777" w:rsidR="00B83EA3" w:rsidRDefault="00630419">
      <w:pPr>
        <w:spacing w:line="240" w:lineRule="auto"/>
      </w:pPr>
      <w:r>
        <w:t>12.</w:t>
      </w:r>
      <w:r>
        <w:tab/>
        <w:t>Prepare any information exchange needs concerning selected areas under the collective arrangements between OSPAR and other competent international organisations;</w:t>
      </w:r>
    </w:p>
    <w:p w14:paraId="486615A6" w14:textId="77777777" w:rsidR="00B83EA3" w:rsidRDefault="00630419">
      <w:pPr>
        <w:spacing w:line="240" w:lineRule="auto"/>
      </w:pPr>
      <w:r>
        <w:t>13.</w:t>
      </w:r>
      <w:r>
        <w:tab/>
        <w:t>Facilitate information exchange on MPA management practices.</w:t>
      </w:r>
    </w:p>
    <w:p w14:paraId="0F595B4C" w14:textId="77777777" w:rsidR="00B83EA3" w:rsidRDefault="00630419">
      <w:pPr>
        <w:spacing w:line="240" w:lineRule="auto"/>
        <w:rPr>
          <w:i/>
          <w:iCs/>
        </w:rPr>
      </w:pPr>
      <w:r>
        <w:rPr>
          <w:i/>
          <w:iCs/>
        </w:rPr>
        <w:t>Exchange and sharing of information</w:t>
      </w:r>
    </w:p>
    <w:p w14:paraId="72102BDA" w14:textId="77777777" w:rsidR="00B83EA3" w:rsidRDefault="00630419">
      <w:pPr>
        <w:spacing w:line="240" w:lineRule="auto"/>
      </w:pPr>
      <w:r>
        <w:t>14.</w:t>
      </w:r>
      <w:r>
        <w:tab/>
        <w:t>Exchange, as appropriate, information and experiences with the Barcelona Convention, the Helsinki Convention, the European Union Marine Expert Group, the Arctic Council, in particular PAME and CAFF, and other relevant initiatives on developing networks of Marine Protected Areas.</w:t>
      </w:r>
    </w:p>
    <w:p w14:paraId="716F41B4" w14:textId="77777777" w:rsidR="00B83EA3" w:rsidRDefault="00630419">
      <w:pPr>
        <w:spacing w:line="240" w:lineRule="auto"/>
        <w:ind w:left="567" w:hanging="567"/>
        <w:rPr>
          <w:i/>
          <w:iCs/>
        </w:rPr>
      </w:pPr>
      <w:r>
        <w:rPr>
          <w:i/>
          <w:iCs/>
        </w:rPr>
        <w:t>Relation between the OSPAR MPAs and Marine Strategy Framework Directive (MSFD) requirements</w:t>
      </w:r>
    </w:p>
    <w:p w14:paraId="54388BCD" w14:textId="77777777" w:rsidR="00B83EA3" w:rsidRDefault="00630419">
      <w:pPr>
        <w:spacing w:before="240" w:after="240"/>
        <w:outlineLvl w:val="0"/>
      </w:pPr>
      <w:r>
        <w:t>15.</w:t>
      </w:r>
      <w:r>
        <w:tab/>
        <w:t>Facilitate and discuss contributions of interested Contracting Parties to the regional considerations regarding MPAs under Article 13 of the MSFD.</w:t>
      </w:r>
    </w:p>
    <w:p w14:paraId="094051D6" w14:textId="74BDD9F1" w:rsidR="00B83EA3" w:rsidRDefault="00B83EA3">
      <w:pPr>
        <w:spacing w:before="240" w:after="240"/>
        <w:outlineLvl w:val="0"/>
        <w:rPr>
          <w:rFonts w:asciiTheme="minorHAnsi" w:eastAsiaTheme="minorEastAsia" w:hAnsiTheme="minorHAnsi" w:cstheme="minorHAnsi"/>
          <w:szCs w:val="22"/>
        </w:rPr>
      </w:pPr>
    </w:p>
    <w:sectPr w:rsidR="00B83EA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0" w:footer="83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BFE3C" w14:textId="77777777" w:rsidR="00B83EA3" w:rsidRDefault="00630419">
      <w:pPr>
        <w:spacing w:after="0" w:line="240" w:lineRule="auto"/>
      </w:pPr>
      <w:r>
        <w:separator/>
      </w:r>
    </w:p>
  </w:endnote>
  <w:endnote w:type="continuationSeparator" w:id="0">
    <w:p w14:paraId="05B0DA83" w14:textId="77777777" w:rsidR="00B83EA3" w:rsidRDefault="00630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A00002AF" w:usb1="500078FB" w:usb2="00000000" w:usb3="00000000" w:csb0="0000009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DDD1" w14:textId="77777777" w:rsidR="00D72AE5" w:rsidRDefault="00D72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77967"/>
      <w:docPartObj>
        <w:docPartGallery w:val="Page Numbers (Bottom of Page)"/>
        <w:docPartUnique/>
      </w:docPartObj>
    </w:sdtPr>
    <w:sdtEndPr/>
    <w:sdtContent>
      <w:sdt>
        <w:sdtPr>
          <w:id w:val="-1769616900"/>
          <w:docPartObj>
            <w:docPartGallery w:val="Page Numbers (Top of Page)"/>
            <w:docPartUnique/>
          </w:docPartObj>
        </w:sdtPr>
        <w:sdtEndPr/>
        <w:sdtContent>
          <w:p w14:paraId="57535FE6" w14:textId="73C48E43" w:rsidR="00A81727" w:rsidRDefault="00A81727">
            <w:pPr>
              <w:pStyle w:val="Footer"/>
              <w:jc w:val="right"/>
            </w:pPr>
            <w:r w:rsidRPr="00A81727">
              <w:rPr>
                <w:sz w:val="24"/>
                <w:szCs w:val="24"/>
              </w:rPr>
              <w:fldChar w:fldCharType="begin"/>
            </w:r>
            <w:r w:rsidRPr="00A81727">
              <w:instrText xml:space="preserve"> PAGE </w:instrText>
            </w:r>
            <w:r w:rsidRPr="00A81727">
              <w:rPr>
                <w:sz w:val="24"/>
                <w:szCs w:val="24"/>
              </w:rPr>
              <w:fldChar w:fldCharType="separate"/>
            </w:r>
            <w:r w:rsidRPr="00A81727">
              <w:rPr>
                <w:noProof/>
              </w:rPr>
              <w:t>2</w:t>
            </w:r>
            <w:r w:rsidRPr="00A81727">
              <w:rPr>
                <w:sz w:val="24"/>
                <w:szCs w:val="24"/>
              </w:rPr>
              <w:fldChar w:fldCharType="end"/>
            </w:r>
            <w:r w:rsidRPr="00A81727">
              <w:t xml:space="preserve"> of </w:t>
            </w:r>
            <w:fldSimple w:instr=" NUMPAGES  ">
              <w:r w:rsidRPr="00A81727">
                <w:rPr>
                  <w:noProof/>
                </w:rPr>
                <w:t>2</w:t>
              </w:r>
            </w:fldSimple>
          </w:p>
        </w:sdtContent>
      </w:sdt>
    </w:sdtContent>
  </w:sdt>
  <w:p w14:paraId="1B2A5DB7" w14:textId="1FB90A09" w:rsidR="00B83EA3" w:rsidRPr="00A81727" w:rsidRDefault="00A81727" w:rsidP="00D72AE5">
    <w:pPr>
      <w:pBdr>
        <w:top w:val="single" w:sz="4" w:space="1" w:color="auto"/>
      </w:pBdr>
      <w:tabs>
        <w:tab w:val="center" w:pos="4820"/>
        <w:tab w:val="right" w:pos="9639"/>
      </w:tabs>
      <w:spacing w:before="60"/>
      <w:rPr>
        <w:rFonts w:cs="Arial"/>
        <w:sz w:val="18"/>
        <w:szCs w:val="18"/>
      </w:rPr>
    </w:pPr>
    <w:r w:rsidRPr="00A81727">
      <w:rPr>
        <w:rFonts w:cs="Arial"/>
        <w:sz w:val="18"/>
        <w:szCs w:val="18"/>
      </w:rPr>
      <w:t xml:space="preserve">OSPAR Commission </w:t>
    </w:r>
    <w:r w:rsidRPr="00A81727">
      <w:rPr>
        <w:rFonts w:cs="Arial"/>
        <w:sz w:val="18"/>
        <w:szCs w:val="18"/>
      </w:rPr>
      <w:tab/>
    </w:r>
    <w:r w:rsidR="00D72AE5">
      <w:rPr>
        <w:rFonts w:cs="Arial"/>
        <w:sz w:val="18"/>
        <w:szCs w:val="18"/>
      </w:rPr>
      <w:t>Summary Record – BDC 2025</w:t>
    </w:r>
    <w:r w:rsidR="00D72AE5">
      <w:rPr>
        <w:rFonts w:cs="Arial"/>
        <w:sz w:val="18"/>
        <w:szCs w:val="18"/>
      </w:rPr>
      <w:tab/>
      <w:t>BDC 25/13/01, Annex 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A2AC" w14:textId="77777777" w:rsidR="00D72AE5" w:rsidRDefault="00D72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23491" w14:textId="77777777" w:rsidR="00B83EA3" w:rsidRDefault="00630419">
      <w:r>
        <w:separator/>
      </w:r>
    </w:p>
  </w:footnote>
  <w:footnote w:type="continuationSeparator" w:id="0">
    <w:p w14:paraId="1F50EB1B" w14:textId="77777777" w:rsidR="00B83EA3" w:rsidRDefault="00630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2885" w14:textId="77777777" w:rsidR="00D72AE5" w:rsidRDefault="00D72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E686" w14:textId="77777777" w:rsidR="00D72AE5" w:rsidRDefault="00D72A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16BD" w14:textId="77777777" w:rsidR="00D72AE5" w:rsidRDefault="00D72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2E6"/>
    <w:multiLevelType w:val="multilevel"/>
    <w:tmpl w:val="B96AB0A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4A6B8A"/>
    <w:multiLevelType w:val="multilevel"/>
    <w:tmpl w:val="A2B44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E76E13"/>
    <w:multiLevelType w:val="hybridMultilevel"/>
    <w:tmpl w:val="4FFA8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8F4981"/>
    <w:multiLevelType w:val="hybridMultilevel"/>
    <w:tmpl w:val="496AF3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0A65B3"/>
    <w:multiLevelType w:val="multilevel"/>
    <w:tmpl w:val="90708F3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F04A077"/>
    <w:multiLevelType w:val="hybridMultilevel"/>
    <w:tmpl w:val="1B6A0D28"/>
    <w:lvl w:ilvl="0" w:tplc="FC4C8156">
      <w:start w:val="1"/>
      <w:numFmt w:val="lowerRoman"/>
      <w:lvlText w:val="%1."/>
      <w:lvlJc w:val="right"/>
      <w:pPr>
        <w:ind w:left="720" w:hanging="360"/>
      </w:pPr>
      <w:rPr>
        <w:i w:val="0"/>
        <w:iCs w:val="0"/>
      </w:rPr>
    </w:lvl>
    <w:lvl w:ilvl="1" w:tplc="93A487C6">
      <w:start w:val="1"/>
      <w:numFmt w:val="lowerLetter"/>
      <w:lvlText w:val="%2."/>
      <w:lvlJc w:val="left"/>
      <w:pPr>
        <w:ind w:left="1440" w:hanging="360"/>
      </w:pPr>
    </w:lvl>
    <w:lvl w:ilvl="2" w:tplc="2AEADB92">
      <w:start w:val="1"/>
      <w:numFmt w:val="lowerRoman"/>
      <w:lvlText w:val="%3."/>
      <w:lvlJc w:val="right"/>
      <w:pPr>
        <w:ind w:left="2160" w:hanging="180"/>
      </w:pPr>
    </w:lvl>
    <w:lvl w:ilvl="3" w:tplc="F4B08416">
      <w:start w:val="1"/>
      <w:numFmt w:val="decimal"/>
      <w:lvlText w:val="%4."/>
      <w:lvlJc w:val="left"/>
      <w:pPr>
        <w:ind w:left="2880" w:hanging="360"/>
      </w:pPr>
    </w:lvl>
    <w:lvl w:ilvl="4" w:tplc="E2B27E24">
      <w:start w:val="1"/>
      <w:numFmt w:val="lowerLetter"/>
      <w:lvlText w:val="%5."/>
      <w:lvlJc w:val="left"/>
      <w:pPr>
        <w:ind w:left="3600" w:hanging="360"/>
      </w:pPr>
    </w:lvl>
    <w:lvl w:ilvl="5" w:tplc="9266BAEC">
      <w:start w:val="1"/>
      <w:numFmt w:val="lowerRoman"/>
      <w:lvlText w:val="%6."/>
      <w:lvlJc w:val="right"/>
      <w:pPr>
        <w:ind w:left="4320" w:hanging="180"/>
      </w:pPr>
    </w:lvl>
    <w:lvl w:ilvl="6" w:tplc="83A4B044">
      <w:start w:val="1"/>
      <w:numFmt w:val="decimal"/>
      <w:lvlText w:val="%7."/>
      <w:lvlJc w:val="left"/>
      <w:pPr>
        <w:ind w:left="5040" w:hanging="360"/>
      </w:pPr>
    </w:lvl>
    <w:lvl w:ilvl="7" w:tplc="A71A10C0">
      <w:start w:val="1"/>
      <w:numFmt w:val="lowerLetter"/>
      <w:lvlText w:val="%8."/>
      <w:lvlJc w:val="left"/>
      <w:pPr>
        <w:ind w:left="5760" w:hanging="360"/>
      </w:pPr>
    </w:lvl>
    <w:lvl w:ilvl="8" w:tplc="D868B342">
      <w:start w:val="1"/>
      <w:numFmt w:val="lowerRoman"/>
      <w:lvlText w:val="%9."/>
      <w:lvlJc w:val="right"/>
      <w:pPr>
        <w:ind w:left="6480" w:hanging="180"/>
      </w:pPr>
    </w:lvl>
  </w:abstractNum>
  <w:num w:numId="1" w16cid:durableId="1363097299">
    <w:abstractNumId w:val="4"/>
  </w:num>
  <w:num w:numId="2" w16cid:durableId="1873415068">
    <w:abstractNumId w:val="1"/>
  </w:num>
  <w:num w:numId="3" w16cid:durableId="1895696755">
    <w:abstractNumId w:val="0"/>
  </w:num>
  <w:num w:numId="4" w16cid:durableId="109280125">
    <w:abstractNumId w:val="3"/>
  </w:num>
  <w:num w:numId="5" w16cid:durableId="1804955557">
    <w:abstractNumId w:val="2"/>
  </w:num>
  <w:num w:numId="6" w16cid:durableId="400719751">
    <w:abstractNumId w:val="5"/>
  </w:num>
  <w:num w:numId="7" w16cid:durableId="7125399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A3"/>
    <w:rsid w:val="000D4B1B"/>
    <w:rsid w:val="003F6C88"/>
    <w:rsid w:val="00630419"/>
    <w:rsid w:val="00870398"/>
    <w:rsid w:val="00A81727"/>
    <w:rsid w:val="00B83EA3"/>
    <w:rsid w:val="00C4624A"/>
    <w:rsid w:val="00D20A9F"/>
    <w:rsid w:val="00D72AE5"/>
    <w:rsid w:val="00EA358B"/>
    <w:rsid w:val="00F2204A"/>
    <w:rsid w:val="00FB620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30FAA6"/>
  <w15:docId w15:val="{BAA2EE3A-A68D-497A-AD51-1CBF1B84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after="120" w:line="276" w:lineRule="auto"/>
      <w:jc w:val="both"/>
    </w:pPr>
    <w:rPr>
      <w:rFonts w:ascii="Calibri" w:hAnsi="Calibri"/>
      <w:color w:val="00000A"/>
      <w:sz w:val="22"/>
      <w:lang w:eastAsia="en-US"/>
    </w:rPr>
  </w:style>
  <w:style w:type="paragraph" w:styleId="Heading1">
    <w:name w:val="heading 1"/>
    <w:basedOn w:val="Title"/>
    <w:link w:val="Heading1Char"/>
    <w:uiPriority w:val="9"/>
    <w:qFormat/>
    <w:pPr>
      <w:spacing w:before="140" w:after="140" w:line="280" w:lineRule="atLeast"/>
      <w:jc w:val="left"/>
      <w:outlineLvl w:val="0"/>
    </w:pPr>
    <w:rPr>
      <w:rFonts w:ascii="Arial" w:hAnsi="Arial"/>
      <w:lang w:val="en-US"/>
    </w:rPr>
  </w:style>
  <w:style w:type="paragraph" w:styleId="Heading2">
    <w:name w:val="heading 2"/>
    <w:basedOn w:val="Title"/>
    <w:link w:val="Heading2Char"/>
    <w:qFormat/>
    <w:pPr>
      <w:spacing w:before="140" w:after="140" w:line="280" w:lineRule="atLeast"/>
      <w:jc w:val="left"/>
      <w:outlineLvl w:val="1"/>
    </w:pPr>
    <w:rPr>
      <w:rFonts w:ascii="Calibri" w:hAnsi="Calibri"/>
      <w:b/>
      <w:lang w:val="en-US"/>
    </w:rPr>
  </w:style>
  <w:style w:type="paragraph" w:styleId="Heading3">
    <w:name w:val="heading 3"/>
    <w:basedOn w:val="Title"/>
    <w:link w:val="Heading3Char"/>
    <w:qFormat/>
    <w:pPr>
      <w:spacing w:before="140" w:after="140" w:line="280" w:lineRule="atLeast"/>
      <w:jc w:val="left"/>
      <w:outlineLvl w:val="2"/>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qFormat/>
    <w:rPr>
      <w:rFonts w:ascii="Arial" w:hAnsi="Arial"/>
      <w:sz w:val="18"/>
    </w:rPr>
  </w:style>
  <w:style w:type="character" w:styleId="FollowedHyperlink">
    <w:name w:val="FollowedHyperlink"/>
    <w:qFormat/>
    <w:rPr>
      <w:color w:val="808080"/>
      <w:u w:val="none"/>
    </w:rPr>
  </w:style>
  <w:style w:type="character" w:customStyle="1" w:styleId="LienInternet">
    <w:name w:val="Lien Internet"/>
    <w:rPr>
      <w:rFonts w:ascii="Arial" w:hAnsi="Arial"/>
      <w:color w:val="16288E"/>
      <w:u w:val="none"/>
    </w:rPr>
  </w:style>
  <w:style w:type="character" w:customStyle="1" w:styleId="Heading1Char">
    <w:name w:val="Heading 1 Char"/>
    <w:link w:val="Heading1"/>
    <w:uiPriority w:val="9"/>
    <w:qFormat/>
    <w:rPr>
      <w:rFonts w:ascii="Arial" w:hAnsi="Arial"/>
      <w:sz w:val="28"/>
      <w:lang w:val="en-US" w:eastAsia="en-US" w:bidi="ar-SA"/>
    </w:rPr>
  </w:style>
  <w:style w:type="character" w:customStyle="1" w:styleId="Heading2Char">
    <w:name w:val="Heading 2 Char"/>
    <w:link w:val="Heading2"/>
    <w:qFormat/>
    <w:rPr>
      <w:rFonts w:ascii="Calibri" w:hAnsi="Calibri"/>
      <w:b/>
      <w:sz w:val="28"/>
      <w:lang w:val="en-US" w:eastAsia="en-US"/>
    </w:rPr>
  </w:style>
  <w:style w:type="character" w:customStyle="1" w:styleId="Heading3Char">
    <w:name w:val="Heading 3 Char"/>
    <w:link w:val="Heading3"/>
    <w:qFormat/>
    <w:rPr>
      <w:rFonts w:ascii="Arial" w:hAnsi="Arial"/>
      <w:b/>
      <w:lang w:val="en-US" w:eastAsia="en-US" w:bidi="ar-SA"/>
    </w:rPr>
  </w:style>
  <w:style w:type="character" w:customStyle="1" w:styleId="TitleChar">
    <w:name w:val="Title Char"/>
    <w:link w:val="Titreprincipal"/>
    <w:qFormat/>
    <w:rPr>
      <w:rFonts w:ascii="Arial" w:hAnsi="Arial"/>
      <w:sz w:val="40"/>
      <w:lang w:val="en-US" w:eastAsia="en-US" w:bidi="ar-SA"/>
    </w:rPr>
  </w:style>
  <w:style w:type="character" w:styleId="FootnoteReference">
    <w:name w:val="footnote reference"/>
    <w:uiPriority w:val="99"/>
    <w:semiHidden/>
    <w:qFormat/>
    <w:rPr>
      <w:vertAlign w:val="superscript"/>
    </w:rPr>
  </w:style>
  <w:style w:type="character" w:styleId="CommentReference">
    <w:name w:val="annotation reference"/>
    <w:basedOn w:val="DefaultParagraphFont"/>
    <w:uiPriority w:val="99"/>
    <w:unhideWhenUsed/>
    <w:qFormat/>
    <w:rPr>
      <w:sz w:val="16"/>
      <w:szCs w:val="16"/>
    </w:rPr>
  </w:style>
  <w:style w:type="character" w:customStyle="1" w:styleId="CommentTextChar">
    <w:name w:val="Comment Text Char"/>
    <w:basedOn w:val="DefaultParagraphFont"/>
    <w:link w:val="CommentText"/>
    <w:uiPriority w:val="99"/>
    <w:qFormat/>
    <w:rPr>
      <w:rFonts w:ascii="Calibri" w:eastAsia="Calibri" w:hAnsi="Calibri"/>
      <w:lang w:val="fi-FI" w:eastAsia="en-US"/>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rFonts w:ascii="Arial" w:eastAsia="Calibri" w:hAnsi="Arial"/>
      <w:b/>
      <w:bCs/>
      <w:lang w:val="fi-FI" w:eastAsia="en-US"/>
    </w:rPr>
  </w:style>
  <w:style w:type="character" w:customStyle="1" w:styleId="ListParagraphChar">
    <w:name w:val="List Paragraph Char"/>
    <w:aliases w:val="_Bullet Char,Normal bullet 2 Char,Bullet list Char,Heading 2_sj Char,List Paragraph1 Char,Dot pt Char,Listenabsatz1 Char,Parágrafo da Lista Char"/>
    <w:link w:val="ListParagraph"/>
    <w:uiPriority w:val="34"/>
    <w:qFormat/>
    <w:locked/>
    <w:rPr>
      <w:rFonts w:ascii="Calibri" w:eastAsia="Calibri" w:hAnsi="Calibri"/>
      <w:sz w:val="22"/>
      <w:szCs w:val="22"/>
      <w:lang w:eastAsia="en-US"/>
    </w:rPr>
  </w:style>
  <w:style w:type="character" w:styleId="Emphasis">
    <w:name w:val="Emphasis"/>
    <w:basedOn w:val="DefaultParagraphFont"/>
    <w:qFormat/>
    <w:rPr>
      <w:i/>
      <w:iCs/>
    </w:rPr>
  </w:style>
  <w:style w:type="character" w:customStyle="1" w:styleId="FootnoteTextChar">
    <w:name w:val="Footnote Text Char"/>
    <w:basedOn w:val="DefaultParagraphFont"/>
    <w:link w:val="FootnoteText"/>
    <w:uiPriority w:val="99"/>
    <w:semiHidden/>
    <w:qFormat/>
    <w:rPr>
      <w:rFonts w:ascii="Arial" w:hAnsi="Arial"/>
      <w:sz w:val="16"/>
      <w:lang w:val="en-US" w:eastAsia="en-US"/>
    </w:rPr>
  </w:style>
  <w:style w:type="character" w:customStyle="1" w:styleId="ListLabel1">
    <w:name w:val="ListLabel 1"/>
    <w:qFormat/>
    <w:rPr>
      <w:color w:val="00000A"/>
    </w:rPr>
  </w:style>
  <w:style w:type="character" w:customStyle="1" w:styleId="ListLabel2">
    <w:name w:val="ListLabel 2"/>
    <w:qFormat/>
    <w:rPr>
      <w:color w:val="00000A"/>
    </w:rPr>
  </w:style>
  <w:style w:type="character" w:customStyle="1" w:styleId="ListLabel3">
    <w:name w:val="ListLabel 3"/>
    <w:qFormat/>
    <w:rPr>
      <w:b w:val="0"/>
      <w:i w:val="0"/>
      <w:color w:val="00000A"/>
      <w:sz w:val="20"/>
    </w:rPr>
  </w:style>
  <w:style w:type="character" w:customStyle="1" w:styleId="ListLabel4">
    <w:name w:val="ListLabel 4"/>
    <w:qFormat/>
    <w:rPr>
      <w:b w:val="0"/>
      <w:i w:val="0"/>
      <w:color w:val="00000A"/>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Times New Roman"/>
      <w:i w:val="0"/>
      <w:sz w:val="22"/>
      <w:szCs w:val="22"/>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ListLabel17">
    <w:name w:val="ListLabel 17"/>
    <w:qFormat/>
    <w:rPr>
      <w:rFonts w:ascii="Calibri" w:hAnsi="Calibri" w:cs="Symbol"/>
      <w:sz w:val="20"/>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paragraph" w:styleId="Title">
    <w:name w:val="Title"/>
    <w:basedOn w:val="Normal"/>
    <w:next w:val="BodyText"/>
    <w:qFormat/>
    <w:pPr>
      <w:keepNext/>
      <w:spacing w:before="240"/>
    </w:pPr>
    <w:rPr>
      <w:rFonts w:ascii="Liberation Sans" w:eastAsia="Microsoft YaHei" w:hAnsi="Liberation Sans" w:cs="Mangal"/>
      <w:sz w:val="28"/>
      <w:szCs w:val="28"/>
    </w:rPr>
  </w:style>
  <w:style w:type="paragraph" w:styleId="BodyText">
    <w:name w:val="Body Text"/>
    <w:basedOn w:val="Normal"/>
  </w:style>
  <w:style w:type="paragraph" w:styleId="List">
    <w:name w:val="List"/>
    <w:basedOn w:val="BodyText"/>
    <w:rPr>
      <w:rFonts w:cs="Mangal"/>
    </w:rPr>
  </w:style>
  <w:style w:type="paragraph" w:styleId="Caption">
    <w:name w:val="caption"/>
    <w:basedOn w:val="Normal"/>
    <w:pPr>
      <w:suppressLineNumbers/>
      <w:spacing w:before="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pPr>
      <w:tabs>
        <w:tab w:val="left" w:pos="357"/>
        <w:tab w:val="center" w:pos="4320"/>
        <w:tab w:val="right" w:pos="8640"/>
      </w:tabs>
    </w:pPr>
    <w:rPr>
      <w:sz w:val="18"/>
    </w:rPr>
  </w:style>
  <w:style w:type="paragraph" w:styleId="Footer">
    <w:name w:val="footer"/>
    <w:aliases w:val="Footer1"/>
    <w:basedOn w:val="Normal"/>
    <w:link w:val="FooterChar"/>
    <w:uiPriority w:val="99"/>
    <w:rPr>
      <w:sz w:val="18"/>
    </w:rPr>
  </w:style>
  <w:style w:type="paragraph" w:customStyle="1" w:styleId="Tabledesmatiresniveau2">
    <w:name w:val="Table des matières niveau 2"/>
    <w:basedOn w:val="Index"/>
    <w:next w:val="Normal"/>
    <w:autoRedefine/>
    <w:semiHidden/>
    <w:pPr>
      <w:tabs>
        <w:tab w:val="left" w:pos="1134"/>
        <w:tab w:val="left" w:pos="2268"/>
        <w:tab w:val="left" w:pos="2552"/>
        <w:tab w:val="left" w:pos="3119"/>
        <w:tab w:val="right" w:leader="dot" w:pos="8448"/>
      </w:tabs>
      <w:spacing w:before="60" w:after="60"/>
      <w:ind w:left="3119" w:right="1134" w:hanging="1418"/>
      <w:jc w:val="left"/>
    </w:pPr>
    <w:rPr>
      <w:rFonts w:ascii="Arial" w:hAnsi="Arial"/>
    </w:rPr>
  </w:style>
  <w:style w:type="paragraph" w:customStyle="1" w:styleId="Tabledesmatiresniveau3">
    <w:name w:val="Table des matières niveau 3"/>
    <w:basedOn w:val="BodyText"/>
    <w:next w:val="Normal"/>
    <w:autoRedefine/>
    <w:semiHidden/>
    <w:pPr>
      <w:tabs>
        <w:tab w:val="left" w:pos="851"/>
        <w:tab w:val="left" w:pos="1134"/>
        <w:tab w:val="left" w:pos="2268"/>
        <w:tab w:val="right" w:leader="dot" w:pos="8448"/>
      </w:tabs>
      <w:spacing w:after="0"/>
      <w:ind w:left="2268" w:right="1134"/>
    </w:pPr>
  </w:style>
  <w:style w:type="paragraph" w:customStyle="1" w:styleId="Tabledesmatiresniveau4">
    <w:name w:val="Table des matières niveau 4"/>
    <w:basedOn w:val="Normal"/>
    <w:next w:val="Normal"/>
    <w:autoRedefine/>
    <w:semiHidden/>
    <w:pPr>
      <w:tabs>
        <w:tab w:val="right" w:leader="dot" w:pos="8448"/>
        <w:tab w:val="right" w:pos="8505"/>
      </w:tabs>
      <w:ind w:left="2835" w:right="1134"/>
    </w:pPr>
  </w:style>
  <w:style w:type="paragraph" w:customStyle="1" w:styleId="Address">
    <w:name w:val="Address"/>
    <w:qFormat/>
    <w:pPr>
      <w:spacing w:line="180" w:lineRule="atLeast"/>
    </w:pPr>
    <w:rPr>
      <w:rFonts w:ascii="Arial" w:hAnsi="Arial"/>
      <w:color w:val="16288E"/>
      <w:sz w:val="16"/>
      <w:lang w:val="en-US" w:eastAsia="en-US"/>
    </w:rPr>
  </w:style>
  <w:style w:type="paragraph" w:styleId="EndnoteText">
    <w:name w:val="endnote text"/>
    <w:basedOn w:val="Normal"/>
    <w:semiHidden/>
    <w:qFormat/>
    <w:pPr>
      <w:tabs>
        <w:tab w:val="left" w:pos="357"/>
      </w:tabs>
    </w:pPr>
  </w:style>
  <w:style w:type="paragraph" w:styleId="EnvelopeAddress">
    <w:name w:val="envelope address"/>
    <w:basedOn w:val="Normal"/>
    <w:qFormat/>
    <w:pPr>
      <w:tabs>
        <w:tab w:val="left" w:pos="357"/>
      </w:tabs>
      <w:ind w:left="2880"/>
    </w:pPr>
  </w:style>
  <w:style w:type="paragraph" w:styleId="FootnoteText">
    <w:name w:val="footnote text"/>
    <w:basedOn w:val="Normal"/>
    <w:link w:val="FootnoteTextChar"/>
  </w:style>
  <w:style w:type="paragraph" w:customStyle="1" w:styleId="Introduction">
    <w:name w:val="Introduction"/>
    <w:basedOn w:val="BodyText"/>
    <w:qFormat/>
    <w:pPr>
      <w:spacing w:before="140"/>
    </w:pPr>
    <w:rPr>
      <w:b/>
    </w:rPr>
  </w:style>
  <w:style w:type="paragraph" w:styleId="ListBullet">
    <w:name w:val="List Bullet"/>
    <w:basedOn w:val="Normal"/>
    <w:qFormat/>
  </w:style>
  <w:style w:type="paragraph" w:styleId="ListNumber">
    <w:name w:val="List Number"/>
    <w:basedOn w:val="Normal"/>
    <w:qFormat/>
  </w:style>
  <w:style w:type="paragraph" w:customStyle="1" w:styleId="Titreprincipal">
    <w:name w:val="Titre principal"/>
    <w:basedOn w:val="Title"/>
    <w:link w:val="TitleChar"/>
    <w:qFormat/>
    <w:pPr>
      <w:spacing w:before="560" w:after="280" w:line="280" w:lineRule="atLeast"/>
      <w:jc w:val="left"/>
      <w:outlineLvl w:val="0"/>
    </w:pPr>
    <w:rPr>
      <w:rFonts w:ascii="Arial" w:hAnsi="Arial"/>
      <w:sz w:val="40"/>
      <w:lang w:val="en-US"/>
    </w:rPr>
  </w:style>
  <w:style w:type="paragraph" w:customStyle="1" w:styleId="ZchnZchn1CharCharCarCar">
    <w:name w:val="Zchn Zchn1 Char Char Car Car"/>
    <w:basedOn w:val="Normal"/>
    <w:qFormat/>
    <w:pPr>
      <w:spacing w:after="160" w:line="240" w:lineRule="exact"/>
      <w:jc w:val="left"/>
    </w:pPr>
    <w:rPr>
      <w:rFonts w:ascii="Tahoma" w:hAnsi="Tahoma"/>
      <w:lang w:val="en-US"/>
    </w:rPr>
  </w:style>
  <w:style w:type="paragraph" w:customStyle="1" w:styleId="Docheader">
    <w:name w:val="Doc header"/>
    <w:basedOn w:val="Normal"/>
    <w:qFormat/>
    <w:pPr>
      <w:spacing w:after="0" w:line="280" w:lineRule="exact"/>
      <w:jc w:val="left"/>
    </w:pPr>
    <w:rPr>
      <w:sz w:val="24"/>
      <w:lang w:val="en-US"/>
    </w:rPr>
  </w:style>
  <w:style w:type="paragraph" w:styleId="ListParagraph">
    <w:name w:val="List Paragraph"/>
    <w:aliases w:val="_Bullet,Normal bullet 2,Bullet list,Heading 2_sj,List Paragraph1,Dot pt,Listenabsatz1,Parágrafo da Lista"/>
    <w:basedOn w:val="Normal"/>
    <w:link w:val="ListParagraphChar"/>
    <w:uiPriority w:val="34"/>
    <w:qFormat/>
    <w:pPr>
      <w:spacing w:after="200"/>
      <w:ind w:left="720"/>
      <w:contextualSpacing/>
      <w:jc w:val="left"/>
    </w:pPr>
    <w:rPr>
      <w:rFonts w:eastAsia="Calibri"/>
      <w:szCs w:val="22"/>
    </w:rPr>
  </w:style>
  <w:style w:type="paragraph" w:styleId="CommentText">
    <w:name w:val="annotation text"/>
    <w:basedOn w:val="Normal"/>
    <w:link w:val="CommentTextChar"/>
    <w:uiPriority w:val="99"/>
    <w:unhideWhenUsed/>
    <w:qFormat/>
    <w:pPr>
      <w:spacing w:after="160" w:line="240" w:lineRule="auto"/>
      <w:jc w:val="left"/>
    </w:pPr>
    <w:rPr>
      <w:rFonts w:eastAsia="Calibri"/>
      <w:lang w:val="fi-FI"/>
    </w:rPr>
  </w:style>
  <w:style w:type="paragraph" w:styleId="BalloonText">
    <w:name w:val="Balloon Text"/>
    <w:basedOn w:val="Normal"/>
    <w:link w:val="BalloonTextChar"/>
    <w:qFormat/>
    <w:pPr>
      <w:spacing w:after="0" w:line="240" w:lineRule="auto"/>
    </w:pPr>
    <w:rPr>
      <w:rFonts w:ascii="Tahoma" w:hAnsi="Tahoma" w:cs="Tahoma"/>
      <w:sz w:val="16"/>
      <w:szCs w:val="16"/>
    </w:rPr>
  </w:style>
  <w:style w:type="paragraph" w:styleId="CommentSubject">
    <w:name w:val="annotation subject"/>
    <w:basedOn w:val="CommentText"/>
    <w:link w:val="CommentSubjectChar"/>
    <w:qFormat/>
    <w:pPr>
      <w:spacing w:after="140"/>
      <w:jc w:val="both"/>
    </w:pPr>
    <w:rPr>
      <w:rFonts w:ascii="Arial" w:eastAsia="Times New Roman" w:hAnsi="Arial"/>
      <w:b/>
      <w:bCs/>
      <w:lang w:val="en-GB"/>
    </w:rPr>
  </w:style>
  <w:style w:type="paragraph" w:customStyle="1" w:styleId="Body">
    <w:name w:val="Body"/>
    <w:qFormat/>
    <w:pPr>
      <w:spacing w:after="120" w:line="276" w:lineRule="auto"/>
      <w:jc w:val="both"/>
    </w:pPr>
    <w:rPr>
      <w:rFonts w:ascii="Calibri" w:eastAsia="Calibri" w:hAnsi="Calibri" w:cs="Calibri"/>
      <w:color w:val="000000"/>
      <w:sz w:val="22"/>
      <w:szCs w:val="22"/>
      <w:u w:color="000000"/>
      <w:lang w:eastAsia="en-US"/>
    </w:rPr>
  </w:style>
  <w:style w:type="paragraph" w:styleId="Revision">
    <w:name w:val="Revision"/>
    <w:uiPriority w:val="99"/>
    <w:semiHidden/>
    <w:qFormat/>
    <w:rPr>
      <w:rFonts w:ascii="Calibri" w:hAnsi="Calibri"/>
      <w:color w:val="00000A"/>
      <w:sz w:val="22"/>
      <w:lang w:eastAsia="en-US"/>
    </w:rPr>
  </w:style>
  <w:style w:type="table" w:styleId="LightShading-Accent3">
    <w:name w:val="Light Shading Accent 3"/>
    <w:basedOn w:val="TableNormal"/>
    <w:uiPriority w:val="6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eGrid">
    <w:name w:val="Table Grid"/>
    <w:basedOn w:val="TableNormal"/>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1 Char"/>
    <w:basedOn w:val="DefaultParagraphFont"/>
    <w:link w:val="Footer"/>
    <w:uiPriority w:val="99"/>
    <w:rPr>
      <w:rFonts w:ascii="Calibri" w:hAnsi="Calibri"/>
      <w:color w:val="00000A"/>
      <w:sz w:val="18"/>
      <w:lang w:eastAsia="en-US"/>
    </w:rPr>
  </w:style>
  <w:style w:type="character" w:customStyle="1" w:styleId="A9">
    <w:name w:val="A9"/>
    <w:uiPriority w:val="99"/>
    <w:rPr>
      <w:rFonts w:cs="Montserrat"/>
      <w:color w:val="000000"/>
      <w:sz w:val="10"/>
      <w:szCs w:val="10"/>
    </w:rPr>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a18b13-6aba-47a2-8614-ea0751c7884f">
      <Terms xmlns="http://schemas.microsoft.com/office/infopath/2007/PartnerControls"/>
    </lcf76f155ced4ddcb4097134ff3c332f>
    <TaxCatchAll xmlns="981693c3-3f5b-4db3-995a-25a5e28820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953DA6DB9BFC4D9958E6BA56FB2A55" ma:contentTypeVersion="13" ma:contentTypeDescription="Create a new document." ma:contentTypeScope="" ma:versionID="cefb4ba0b451b6cb1c2e81fde4e627f5">
  <xsd:schema xmlns:xsd="http://www.w3.org/2001/XMLSchema" xmlns:xs="http://www.w3.org/2001/XMLSchema" xmlns:p="http://schemas.microsoft.com/office/2006/metadata/properties" xmlns:ns2="f4a18b13-6aba-47a2-8614-ea0751c7884f" xmlns:ns3="981693c3-3f5b-4db3-995a-25a5e28820ab" targetNamespace="http://schemas.microsoft.com/office/2006/metadata/properties" ma:root="true" ma:fieldsID="64aabb2aaca52570128a5b45cd3c46f5" ns2:_="" ns3:_="">
    <xsd:import namespace="f4a18b13-6aba-47a2-8614-ea0751c7884f"/>
    <xsd:import namespace="981693c3-3f5b-4db3-995a-25a5e28820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18b13-6aba-47a2-8614-ea0751c78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8a4758-4e0f-4f38-bb4e-445dd1d1454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1693c3-3f5b-4db3-995a-25a5e28820a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78a747d-c7cc-4721-bca6-29abd379bb91}" ma:internalName="TaxCatchAll" ma:showField="CatchAllData" ma:web="981693c3-3f5b-4db3-995a-25a5e28820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F5553-015E-460F-9DE1-73DEBDCE1F94}">
  <ds:schemaRefs>
    <ds:schemaRef ds:uri="http://schemas.microsoft.com/office/2006/metadata/properties"/>
    <ds:schemaRef ds:uri="http://schemas.microsoft.com/office/infopath/2007/PartnerControls"/>
    <ds:schemaRef ds:uri="f4a18b13-6aba-47a2-8614-ea0751c7884f"/>
    <ds:schemaRef ds:uri="981693c3-3f5b-4db3-995a-25a5e28820ab"/>
  </ds:schemaRefs>
</ds:datastoreItem>
</file>

<file path=customXml/itemProps2.xml><?xml version="1.0" encoding="utf-8"?>
<ds:datastoreItem xmlns:ds="http://schemas.openxmlformats.org/officeDocument/2006/customXml" ds:itemID="{3B0EC640-CD1A-4782-B0E1-EB74019E1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18b13-6aba-47a2-8614-ea0751c7884f"/>
    <ds:schemaRef ds:uri="981693c3-3f5b-4db3-995a-25a5e2882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395EE-06F6-4600-B2EB-7CD27DB6C01B}">
  <ds:schemaRefs>
    <ds:schemaRef ds:uri="http://schemas.microsoft.com/sharepoint/v3/contenttype/forms"/>
  </ds:schemaRefs>
</ds:datastoreItem>
</file>

<file path=customXml/itemProps4.xml><?xml version="1.0" encoding="utf-8"?>
<ds:datastoreItem xmlns:ds="http://schemas.openxmlformats.org/officeDocument/2006/customXml" ds:itemID="{C15EC017-0F7B-4727-A2CF-D005FE0EB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952</Words>
  <Characters>5433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OSPAR_MEETING_DOCUMENT</vt:lpstr>
    </vt:vector>
  </TitlesOfParts>
  <Company>.</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OSPAR_MEETING_DOCUMENT</dc:title>
  <dc:creator>Philip Stamp</dc:creator>
  <cp:lastModifiedBy>Barbara Middleton</cp:lastModifiedBy>
  <cp:revision>10</cp:revision>
  <dcterms:created xsi:type="dcterms:W3CDTF">2025-01-17T11:14:00Z</dcterms:created>
  <dcterms:modified xsi:type="dcterms:W3CDTF">2025-03-05T09:50:00Z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0x010100F6953DA6DB9BFC4D9958E6BA56FB2A55</vt:lpwstr>
  </property>
</Properties>
</file>