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3E1F" w14:textId="77777777" w:rsidR="00B03BEC" w:rsidRDefault="009E1E51" w:rsidP="00B03BEC">
      <w:pPr>
        <w:spacing w:after="0"/>
        <w:jc w:val="right"/>
        <w:rPr>
          <w:rFonts w:cstheme="minorHAnsi"/>
        </w:rPr>
      </w:pPr>
      <w:r>
        <w:rPr>
          <w:rFonts w:cstheme="minorHAnsi"/>
        </w:rPr>
        <w:t xml:space="preserve">Annex </w:t>
      </w:r>
      <w:r w:rsidR="00B03BEC">
        <w:rPr>
          <w:rFonts w:cstheme="minorHAnsi"/>
        </w:rPr>
        <w:t>9</w:t>
      </w:r>
    </w:p>
    <w:p w14:paraId="12B6B8F5" w14:textId="0407F11C" w:rsidR="009E1E51" w:rsidRDefault="009E1E51" w:rsidP="00B03BEC">
      <w:pPr>
        <w:spacing w:after="0"/>
        <w:jc w:val="right"/>
        <w:rPr>
          <w:rFonts w:cstheme="minorHAnsi"/>
        </w:rPr>
      </w:pPr>
      <w:r>
        <w:rPr>
          <w:rFonts w:cstheme="minorHAnsi"/>
        </w:rPr>
        <w:t xml:space="preserve">(Ref. </w:t>
      </w:r>
      <w:r>
        <w:rPr>
          <w:rFonts w:cs="Calibri"/>
        </w:rPr>
        <w:t>§</w:t>
      </w:r>
      <w:r>
        <w:rPr>
          <w:rFonts w:cstheme="minorHAnsi"/>
        </w:rPr>
        <w:t xml:space="preserve"> </w:t>
      </w:r>
      <w:r w:rsidR="00B03BEC">
        <w:rPr>
          <w:rFonts w:cstheme="minorHAnsi"/>
        </w:rPr>
        <w:t>7.5b</w:t>
      </w:r>
      <w:r>
        <w:rPr>
          <w:rFonts w:cstheme="minorHAnsi"/>
        </w:rPr>
        <w:t>)</w:t>
      </w:r>
    </w:p>
    <w:tbl>
      <w:tblPr>
        <w:tblW w:w="9639" w:type="dxa"/>
        <w:tblCellMar>
          <w:top w:w="85" w:type="dxa"/>
          <w:left w:w="0" w:type="dxa"/>
          <w:bottom w:w="85" w:type="dxa"/>
          <w:right w:w="0" w:type="dxa"/>
        </w:tblCellMar>
        <w:tblLook w:val="01E0" w:firstRow="1" w:lastRow="1" w:firstColumn="1" w:lastColumn="1" w:noHBand="0" w:noVBand="0"/>
      </w:tblPr>
      <w:tblGrid>
        <w:gridCol w:w="9639"/>
      </w:tblGrid>
      <w:tr w:rsidR="009E1E51" w:rsidRPr="00965E24" w14:paraId="323CAD6D" w14:textId="77777777" w:rsidTr="0070543D">
        <w:trPr>
          <w:trHeight w:val="284"/>
        </w:trPr>
        <w:tc>
          <w:tcPr>
            <w:tcW w:w="9639" w:type="dxa"/>
          </w:tcPr>
          <w:p w14:paraId="06E249FA" w14:textId="77777777" w:rsidR="009E1E51" w:rsidRPr="00965E24" w:rsidRDefault="009E1E51" w:rsidP="0070543D">
            <w:pPr>
              <w:spacing w:after="0"/>
              <w:rPr>
                <w:rFonts w:cs="Calibri"/>
                <w:szCs w:val="22"/>
              </w:rPr>
            </w:pPr>
            <w:r w:rsidRPr="00965E24">
              <w:rPr>
                <w:rFonts w:cs="Calibri"/>
                <w:szCs w:val="22"/>
              </w:rPr>
              <w:t>OSPAR Convention for the Protection of the Marine Environment of the North-East Atlantic</w:t>
            </w:r>
          </w:p>
        </w:tc>
      </w:tr>
      <w:tr w:rsidR="009E1E51" w:rsidRPr="00965E24" w14:paraId="73803303" w14:textId="77777777" w:rsidTr="0070543D">
        <w:trPr>
          <w:trHeight w:val="284"/>
        </w:trPr>
        <w:tc>
          <w:tcPr>
            <w:tcW w:w="9639" w:type="dxa"/>
            <w:tcBorders>
              <w:bottom w:val="single" w:sz="4" w:space="0" w:color="808080"/>
            </w:tcBorders>
          </w:tcPr>
          <w:p w14:paraId="5CD5EB83" w14:textId="77777777" w:rsidR="009E1E51" w:rsidRPr="00965E24" w:rsidRDefault="009E1E51" w:rsidP="0070543D">
            <w:pPr>
              <w:spacing w:after="0"/>
              <w:rPr>
                <w:rFonts w:cs="Calibri"/>
                <w:szCs w:val="22"/>
              </w:rPr>
            </w:pPr>
            <w:r w:rsidRPr="00965E24">
              <w:rPr>
                <w:rFonts w:cs="Calibri"/>
                <w:szCs w:val="22"/>
              </w:rPr>
              <w:t>Meeting of the OSPAR Commission (OSPAR)</w:t>
            </w:r>
          </w:p>
          <w:p w14:paraId="15B8F448" w14:textId="77777777" w:rsidR="009E1E51" w:rsidRPr="00965E24" w:rsidRDefault="009E1E51" w:rsidP="0070543D">
            <w:pPr>
              <w:spacing w:after="0"/>
              <w:rPr>
                <w:rFonts w:cs="Calibri"/>
                <w:szCs w:val="22"/>
              </w:rPr>
            </w:pPr>
            <w:r>
              <w:rPr>
                <w:rFonts w:cs="Calibri"/>
                <w:szCs w:val="22"/>
              </w:rPr>
              <w:t>Vigo: 23 – 27 June 2025</w:t>
            </w:r>
          </w:p>
        </w:tc>
      </w:tr>
    </w:tbl>
    <w:p w14:paraId="1831F786" w14:textId="77777777" w:rsidR="009E1E51" w:rsidRDefault="009E1E51" w:rsidP="009E1E51">
      <w:pPr>
        <w:jc w:val="center"/>
        <w:rPr>
          <w:b/>
          <w:bCs/>
        </w:rPr>
      </w:pPr>
    </w:p>
    <w:p w14:paraId="0835E8B7" w14:textId="2FFBA28C" w:rsidR="00044782" w:rsidRPr="00FC04AF" w:rsidRDefault="00044782" w:rsidP="00044782">
      <w:pPr>
        <w:tabs>
          <w:tab w:val="clear" w:pos="567"/>
        </w:tabs>
        <w:spacing w:after="200"/>
        <w:jc w:val="left"/>
        <w:rPr>
          <w:noProof/>
          <w:sz w:val="40"/>
          <w:szCs w:val="40"/>
        </w:rPr>
      </w:pPr>
      <w:r w:rsidRPr="002F13AF">
        <w:rPr>
          <w:noProof/>
          <w:sz w:val="40"/>
          <w:szCs w:val="40"/>
        </w:rPr>
        <w:t>Terms of Reference for the Ad Hoc Working Group on Amendments to the OSPAR Convention (WG-AOC) 202</w:t>
      </w:r>
      <w:r w:rsidR="00A6543A">
        <w:rPr>
          <w:noProof/>
          <w:sz w:val="40"/>
          <w:szCs w:val="40"/>
        </w:rPr>
        <w:t>5</w:t>
      </w:r>
      <w:r w:rsidRPr="002F13AF">
        <w:rPr>
          <w:noProof/>
          <w:sz w:val="40"/>
          <w:szCs w:val="40"/>
        </w:rPr>
        <w:t>– 20</w:t>
      </w:r>
      <w:r w:rsidR="00951016">
        <w:rPr>
          <w:noProof/>
          <w:sz w:val="40"/>
          <w:szCs w:val="40"/>
        </w:rPr>
        <w:t>28</w:t>
      </w:r>
    </w:p>
    <w:p w14:paraId="172D79B8" w14:textId="77777777" w:rsidR="00044782" w:rsidRPr="002F13AF" w:rsidRDefault="00044782" w:rsidP="00044782">
      <w:pPr>
        <w:tabs>
          <w:tab w:val="clear" w:pos="567"/>
        </w:tabs>
        <w:spacing w:after="200"/>
        <w:jc w:val="left"/>
        <w:rPr>
          <w:rFonts w:eastAsia="Calibri"/>
          <w:b/>
          <w:bCs/>
          <w:sz w:val="28"/>
          <w:szCs w:val="28"/>
        </w:rPr>
      </w:pPr>
      <w:r w:rsidRPr="002F13AF">
        <w:rPr>
          <w:rFonts w:eastAsia="Calibri"/>
          <w:b/>
          <w:bCs/>
          <w:sz w:val="28"/>
          <w:szCs w:val="28"/>
        </w:rPr>
        <w:t xml:space="preserve">Background </w:t>
      </w:r>
    </w:p>
    <w:p w14:paraId="4D69A8BA" w14:textId="5B1E4F1A" w:rsidR="00FC6A4A" w:rsidRPr="00BC33C6" w:rsidRDefault="00FC6A4A" w:rsidP="00BC33C6">
      <w:pPr>
        <w:numPr>
          <w:ilvl w:val="0"/>
          <w:numId w:val="5"/>
        </w:numPr>
        <w:tabs>
          <w:tab w:val="clear" w:pos="567"/>
          <w:tab w:val="left" w:pos="357"/>
        </w:tabs>
        <w:spacing w:after="200"/>
        <w:ind w:left="0" w:firstLine="0"/>
        <w:rPr>
          <w:rFonts w:eastAsia="Calibri"/>
          <w:szCs w:val="22"/>
        </w:rPr>
      </w:pPr>
      <w:r>
        <w:rPr>
          <w:rFonts w:eastAsia="Calibri"/>
          <w:szCs w:val="22"/>
        </w:rPr>
        <w:t xml:space="preserve">OSPAR 2023 agreed to the establishment of </w:t>
      </w:r>
      <w:r w:rsidR="00804D36">
        <w:rPr>
          <w:rFonts w:eastAsia="Calibri"/>
          <w:szCs w:val="22"/>
        </w:rPr>
        <w:t>WG</w:t>
      </w:r>
      <w:r w:rsidR="006034E5">
        <w:rPr>
          <w:rFonts w:eastAsia="Calibri"/>
          <w:szCs w:val="22"/>
        </w:rPr>
        <w:t>-</w:t>
      </w:r>
      <w:r w:rsidR="00804D36">
        <w:rPr>
          <w:rFonts w:eastAsia="Calibri"/>
          <w:szCs w:val="22"/>
        </w:rPr>
        <w:t>AOC to undertake</w:t>
      </w:r>
      <w:r w:rsidR="00B13D13" w:rsidRPr="00B13D13">
        <w:rPr>
          <w:rFonts w:eastAsia="Calibri"/>
          <w:szCs w:val="22"/>
        </w:rPr>
        <w:t xml:space="preserve"> a gap analysis of any limitations in OSPAR’s competence to adopt appropriate measures to implement the NEAES 2030 and compile other requirements to amend the OSPAR Convention, taking into account the potential impacts on existing provisions and the OSPAR acquis of measures</w:t>
      </w:r>
      <w:r w:rsidR="001D72DC">
        <w:rPr>
          <w:rFonts w:eastAsia="Calibri"/>
          <w:szCs w:val="22"/>
        </w:rPr>
        <w:t xml:space="preserve">. The group </w:t>
      </w:r>
      <w:r w:rsidR="003D1798">
        <w:rPr>
          <w:rFonts w:eastAsia="Calibri"/>
          <w:szCs w:val="22"/>
        </w:rPr>
        <w:t xml:space="preserve">was </w:t>
      </w:r>
      <w:r w:rsidR="001D72DC">
        <w:rPr>
          <w:rFonts w:eastAsia="Calibri"/>
          <w:szCs w:val="22"/>
        </w:rPr>
        <w:t>also mandated to make</w:t>
      </w:r>
      <w:r w:rsidR="00B13D13" w:rsidRPr="00B13D13">
        <w:rPr>
          <w:rFonts w:eastAsia="Calibri"/>
          <w:szCs w:val="22"/>
        </w:rPr>
        <w:t xml:space="preserve"> recommendations to HOD on the potential need to amend the Convention or adopt additional annexes in the light of the gap analysis and</w:t>
      </w:r>
      <w:r w:rsidR="001D72DC">
        <w:rPr>
          <w:rFonts w:eastAsia="Calibri"/>
          <w:szCs w:val="22"/>
        </w:rPr>
        <w:t>, o</w:t>
      </w:r>
      <w:r w:rsidR="00B13D13" w:rsidRPr="001D72DC">
        <w:rPr>
          <w:rFonts w:eastAsia="Calibri"/>
          <w:szCs w:val="22"/>
        </w:rPr>
        <w:t>n the basis of guidance from HOD, develop draft text for potential amending or new provisions.</w:t>
      </w:r>
    </w:p>
    <w:p w14:paraId="1D49DC88" w14:textId="22B0F122" w:rsidR="00B61707" w:rsidRPr="00827408" w:rsidRDefault="00BC33C6" w:rsidP="006A6BCA">
      <w:pPr>
        <w:numPr>
          <w:ilvl w:val="0"/>
          <w:numId w:val="5"/>
        </w:numPr>
        <w:tabs>
          <w:tab w:val="clear" w:pos="567"/>
          <w:tab w:val="left" w:pos="357"/>
        </w:tabs>
        <w:spacing w:after="200"/>
        <w:ind w:left="0" w:firstLine="0"/>
        <w:rPr>
          <w:rFonts w:eastAsia="Calibri"/>
          <w:szCs w:val="22"/>
        </w:rPr>
      </w:pPr>
      <w:r>
        <w:rPr>
          <w:rFonts w:eastAsia="Calibri"/>
          <w:szCs w:val="22"/>
        </w:rPr>
        <w:t xml:space="preserve">On the basis of a proposal by </w:t>
      </w:r>
      <w:r w:rsidR="006034E5">
        <w:rPr>
          <w:rFonts w:eastAsia="Calibri"/>
          <w:szCs w:val="22"/>
        </w:rPr>
        <w:t>HOD, and agreed at the OSPAR Commission meeting</w:t>
      </w:r>
      <w:r w:rsidR="00676987" w:rsidRPr="00676987">
        <w:rPr>
          <w:rFonts w:eastAsia="Calibri"/>
          <w:szCs w:val="22"/>
        </w:rPr>
        <w:t xml:space="preserve"> </w:t>
      </w:r>
      <w:r w:rsidR="00676987">
        <w:rPr>
          <w:rFonts w:eastAsia="Calibri"/>
          <w:szCs w:val="22"/>
        </w:rPr>
        <w:t>in Vigo in June 2025</w:t>
      </w:r>
      <w:r w:rsidR="006034E5">
        <w:rPr>
          <w:rFonts w:eastAsia="Calibri"/>
          <w:szCs w:val="22"/>
        </w:rPr>
        <w:t xml:space="preserve">, </w:t>
      </w:r>
      <w:r w:rsidR="003974ED">
        <w:rPr>
          <w:rFonts w:eastAsia="Calibri"/>
          <w:szCs w:val="22"/>
        </w:rPr>
        <w:t>Ministers</w:t>
      </w:r>
      <w:r w:rsidR="001C50CD">
        <w:rPr>
          <w:rFonts w:eastAsia="Calibri"/>
          <w:szCs w:val="22"/>
        </w:rPr>
        <w:t xml:space="preserve"> </w:t>
      </w:r>
      <w:r w:rsidR="00676987">
        <w:rPr>
          <w:rFonts w:eastAsia="Calibri"/>
          <w:szCs w:val="22"/>
        </w:rPr>
        <w:t xml:space="preserve">endorsed </w:t>
      </w:r>
      <w:r w:rsidR="002E13D3" w:rsidRPr="00E429DF">
        <w:rPr>
          <w:bCs/>
        </w:rPr>
        <w:t xml:space="preserve">a process and timeline to </w:t>
      </w:r>
      <w:r w:rsidR="00EF4122">
        <w:rPr>
          <w:bCs/>
        </w:rPr>
        <w:t>develop and consider</w:t>
      </w:r>
      <w:r w:rsidR="00A77240">
        <w:rPr>
          <w:bCs/>
        </w:rPr>
        <w:t xml:space="preserve"> draft proposals to </w:t>
      </w:r>
      <w:r w:rsidR="002E13D3" w:rsidRPr="00E429DF">
        <w:rPr>
          <w:bCs/>
        </w:rPr>
        <w:t>amend the OSPAR Convention to address new and emerging issues</w:t>
      </w:r>
      <w:r w:rsidR="00BC1C43">
        <w:rPr>
          <w:bCs/>
        </w:rPr>
        <w:t xml:space="preserve">. The issues </w:t>
      </w:r>
      <w:r w:rsidR="00E63046">
        <w:rPr>
          <w:bCs/>
        </w:rPr>
        <w:t xml:space="preserve">where amendments </w:t>
      </w:r>
      <w:r w:rsidR="002473CF">
        <w:rPr>
          <w:bCs/>
        </w:rPr>
        <w:t xml:space="preserve">may be </w:t>
      </w:r>
      <w:r w:rsidR="00E63046">
        <w:rPr>
          <w:bCs/>
        </w:rPr>
        <w:t xml:space="preserve">required </w:t>
      </w:r>
      <w:r w:rsidR="00803950">
        <w:rPr>
          <w:bCs/>
        </w:rPr>
        <w:t>are</w:t>
      </w:r>
      <w:r w:rsidR="00E63046">
        <w:rPr>
          <w:bCs/>
        </w:rPr>
        <w:t xml:space="preserve"> </w:t>
      </w:r>
      <w:r w:rsidR="00272BBB">
        <w:rPr>
          <w:bCs/>
        </w:rPr>
        <w:t>offshore renewables</w:t>
      </w:r>
      <w:r w:rsidR="00A20E5D">
        <w:rPr>
          <w:bCs/>
        </w:rPr>
        <w:t>;</w:t>
      </w:r>
      <w:r w:rsidR="007F6A2E">
        <w:rPr>
          <w:bCs/>
        </w:rPr>
        <w:t xml:space="preserve"> clarification of the scope of the provisions on </w:t>
      </w:r>
      <w:r w:rsidR="00F14A7C">
        <w:rPr>
          <w:bCs/>
        </w:rPr>
        <w:t>land-based</w:t>
      </w:r>
      <w:r w:rsidR="007F6A2E">
        <w:rPr>
          <w:bCs/>
        </w:rPr>
        <w:t xml:space="preserve"> sources of pollution</w:t>
      </w:r>
      <w:r w:rsidR="00A20E5D">
        <w:rPr>
          <w:bCs/>
        </w:rPr>
        <w:t xml:space="preserve">; space launch vehicle debris; and </w:t>
      </w:r>
      <w:r w:rsidR="00CE2A03">
        <w:rPr>
          <w:bCs/>
        </w:rPr>
        <w:t xml:space="preserve">carbon dioxide capture and storage </w:t>
      </w:r>
      <w:r w:rsidR="0022335B">
        <w:rPr>
          <w:bCs/>
        </w:rPr>
        <w:t>and hydrogen production</w:t>
      </w:r>
      <w:r w:rsidR="002473CF">
        <w:rPr>
          <w:bCs/>
        </w:rPr>
        <w:t xml:space="preserve"> and storage</w:t>
      </w:r>
      <w:r w:rsidR="002B20DF">
        <w:rPr>
          <w:bCs/>
        </w:rPr>
        <w:t xml:space="preserve">, in relation to </w:t>
      </w:r>
      <w:r w:rsidR="007F7F25">
        <w:rPr>
          <w:bCs/>
        </w:rPr>
        <w:t xml:space="preserve">offshore </w:t>
      </w:r>
      <w:r w:rsidR="002B20DF">
        <w:rPr>
          <w:bCs/>
        </w:rPr>
        <w:t>oil and gas.</w:t>
      </w:r>
      <w:r w:rsidR="00EF4122">
        <w:rPr>
          <w:bCs/>
        </w:rPr>
        <w:t xml:space="preserve"> </w:t>
      </w:r>
    </w:p>
    <w:p w14:paraId="704E7CD2" w14:textId="1CDCD318" w:rsidR="00101EB4" w:rsidRPr="002E13D3" w:rsidRDefault="00101EB4" w:rsidP="00101EB4">
      <w:pPr>
        <w:numPr>
          <w:ilvl w:val="0"/>
          <w:numId w:val="5"/>
        </w:numPr>
        <w:tabs>
          <w:tab w:val="clear" w:pos="567"/>
          <w:tab w:val="left" w:pos="357"/>
        </w:tabs>
        <w:spacing w:after="200"/>
        <w:ind w:left="0" w:firstLine="0"/>
        <w:rPr>
          <w:rFonts w:eastAsia="Calibri"/>
          <w:szCs w:val="22"/>
        </w:rPr>
      </w:pPr>
      <w:r>
        <w:rPr>
          <w:rFonts w:eastAsia="Calibri"/>
          <w:szCs w:val="22"/>
        </w:rPr>
        <w:t>The process and timeline for this work is set out in Annex 1 of these terms of reference. The work would be led by the WG-AOC working closely with the group of Jurists and Linguists (JL) with the aim of developing draft proposals to be considered by OSPAR.</w:t>
      </w:r>
    </w:p>
    <w:p w14:paraId="0A2CFE50" w14:textId="77777777" w:rsidR="00044782" w:rsidRPr="002F13AF" w:rsidRDefault="00044782" w:rsidP="00044782">
      <w:pPr>
        <w:tabs>
          <w:tab w:val="clear" w:pos="567"/>
        </w:tabs>
        <w:spacing w:after="200"/>
        <w:rPr>
          <w:rFonts w:eastAsia="Calibri"/>
          <w:b/>
          <w:bCs/>
          <w:sz w:val="24"/>
          <w:szCs w:val="24"/>
        </w:rPr>
      </w:pPr>
      <w:r w:rsidRPr="002F13AF">
        <w:rPr>
          <w:rFonts w:eastAsia="Calibri"/>
          <w:b/>
          <w:bCs/>
          <w:sz w:val="28"/>
          <w:szCs w:val="28"/>
        </w:rPr>
        <w:t>Objectives</w:t>
      </w:r>
    </w:p>
    <w:p w14:paraId="7B24F782" w14:textId="77777777" w:rsidR="00044782" w:rsidRPr="002F13AF" w:rsidRDefault="00044782" w:rsidP="005871C8">
      <w:pPr>
        <w:numPr>
          <w:ilvl w:val="0"/>
          <w:numId w:val="5"/>
        </w:numPr>
        <w:tabs>
          <w:tab w:val="clear" w:pos="567"/>
          <w:tab w:val="left" w:pos="357"/>
        </w:tabs>
        <w:ind w:left="567" w:hanging="567"/>
        <w:rPr>
          <w:rFonts w:eastAsia="Calibri"/>
          <w:szCs w:val="22"/>
        </w:rPr>
      </w:pPr>
      <w:r w:rsidRPr="002F13AF">
        <w:rPr>
          <w:rFonts w:eastAsia="Calibri"/>
          <w:szCs w:val="22"/>
        </w:rPr>
        <w:t>The objectives of the Ad Hoc Working Group are to:</w:t>
      </w:r>
    </w:p>
    <w:p w14:paraId="54383C1F" w14:textId="534D7830" w:rsidR="00044782" w:rsidRPr="0076592F" w:rsidRDefault="00931762" w:rsidP="0076592F">
      <w:pPr>
        <w:numPr>
          <w:ilvl w:val="1"/>
          <w:numId w:val="5"/>
        </w:numPr>
        <w:tabs>
          <w:tab w:val="clear" w:pos="567"/>
          <w:tab w:val="left" w:pos="357"/>
        </w:tabs>
        <w:ind w:left="1276"/>
        <w:rPr>
          <w:rFonts w:eastAsia="Calibri"/>
          <w:szCs w:val="22"/>
        </w:rPr>
      </w:pPr>
      <w:bookmarkStart w:id="0" w:name="_Hlk167781869"/>
      <w:r>
        <w:rPr>
          <w:rFonts w:eastAsia="Calibri"/>
          <w:szCs w:val="22"/>
        </w:rPr>
        <w:t xml:space="preserve">Further consider the </w:t>
      </w:r>
      <w:r w:rsidR="001C1D15">
        <w:rPr>
          <w:rFonts w:eastAsia="Calibri"/>
          <w:szCs w:val="22"/>
        </w:rPr>
        <w:t>preferred</w:t>
      </w:r>
      <w:r>
        <w:rPr>
          <w:rFonts w:eastAsia="Calibri"/>
          <w:szCs w:val="22"/>
        </w:rPr>
        <w:t xml:space="preserve"> </w:t>
      </w:r>
      <w:r w:rsidR="00F402FE">
        <w:rPr>
          <w:rFonts w:eastAsia="Calibri"/>
          <w:szCs w:val="22"/>
        </w:rPr>
        <w:t>form</w:t>
      </w:r>
      <w:r w:rsidR="00F72128">
        <w:rPr>
          <w:rFonts w:eastAsia="Calibri"/>
          <w:szCs w:val="22"/>
        </w:rPr>
        <w:t xml:space="preserve"> of </w:t>
      </w:r>
      <w:r w:rsidR="002473CF">
        <w:rPr>
          <w:rFonts w:eastAsia="Calibri"/>
          <w:szCs w:val="22"/>
        </w:rPr>
        <w:t xml:space="preserve">the potential </w:t>
      </w:r>
      <w:r w:rsidR="001C1D15">
        <w:rPr>
          <w:rFonts w:eastAsia="Calibri"/>
          <w:szCs w:val="22"/>
        </w:rPr>
        <w:t xml:space="preserve">amendments to the </w:t>
      </w:r>
      <w:r w:rsidR="00F87374">
        <w:rPr>
          <w:rFonts w:eastAsia="Calibri"/>
          <w:szCs w:val="22"/>
        </w:rPr>
        <w:t>C</w:t>
      </w:r>
      <w:r w:rsidR="001C1D15">
        <w:rPr>
          <w:rFonts w:eastAsia="Calibri"/>
          <w:szCs w:val="22"/>
        </w:rPr>
        <w:t>onvention</w:t>
      </w:r>
      <w:r w:rsidR="00F72128">
        <w:rPr>
          <w:rFonts w:eastAsia="Calibri"/>
          <w:szCs w:val="22"/>
        </w:rPr>
        <w:t>,</w:t>
      </w:r>
      <w:r w:rsidR="001C1D15">
        <w:rPr>
          <w:rFonts w:eastAsia="Calibri"/>
          <w:szCs w:val="22"/>
        </w:rPr>
        <w:t xml:space="preserve"> </w:t>
      </w:r>
      <w:r w:rsidR="009E2A9B">
        <w:rPr>
          <w:rFonts w:eastAsia="Calibri"/>
          <w:szCs w:val="22"/>
        </w:rPr>
        <w:t xml:space="preserve">on the four topics agreed by </w:t>
      </w:r>
      <w:r w:rsidR="00D94A02">
        <w:rPr>
          <w:rFonts w:eastAsia="Calibri"/>
          <w:szCs w:val="22"/>
        </w:rPr>
        <w:t>OSPAR 2025</w:t>
      </w:r>
      <w:r w:rsidR="00F87374">
        <w:rPr>
          <w:rFonts w:eastAsia="Calibri"/>
          <w:szCs w:val="22"/>
        </w:rPr>
        <w:t xml:space="preserve">, based </w:t>
      </w:r>
      <w:r w:rsidR="002473CF">
        <w:rPr>
          <w:rFonts w:eastAsia="Calibri"/>
          <w:szCs w:val="22"/>
        </w:rPr>
        <w:t xml:space="preserve">inter alia </w:t>
      </w:r>
      <w:r w:rsidR="00F87374">
        <w:rPr>
          <w:rFonts w:eastAsia="Calibri"/>
          <w:szCs w:val="22"/>
        </w:rPr>
        <w:t xml:space="preserve">on the </w:t>
      </w:r>
      <w:r w:rsidR="001C101B">
        <w:rPr>
          <w:rFonts w:eastAsia="Calibri"/>
          <w:szCs w:val="22"/>
        </w:rPr>
        <w:t>work already undertaken by WG-AOC</w:t>
      </w:r>
      <w:r w:rsidR="00586695" w:rsidRPr="0076592F">
        <w:rPr>
          <w:rFonts w:eastAsia="Calibri"/>
          <w:szCs w:val="22"/>
        </w:rPr>
        <w:t xml:space="preserve"> and the policy outcomes set out</w:t>
      </w:r>
      <w:r w:rsidR="001A4393" w:rsidRPr="0076592F">
        <w:rPr>
          <w:rFonts w:eastAsia="Calibri"/>
          <w:szCs w:val="22"/>
        </w:rPr>
        <w:t xml:space="preserve"> in OSPAR 25/07/01 Add.02 Rev.1</w:t>
      </w:r>
      <w:r w:rsidR="001C101B" w:rsidRPr="0076592F">
        <w:rPr>
          <w:rFonts w:eastAsia="Calibri"/>
          <w:szCs w:val="22"/>
        </w:rPr>
        <w:t>;</w:t>
      </w:r>
      <w:r w:rsidR="00467C0C">
        <w:rPr>
          <w:rFonts w:eastAsia="Calibri"/>
          <w:szCs w:val="22"/>
        </w:rPr>
        <w:t xml:space="preserve"> and</w:t>
      </w:r>
    </w:p>
    <w:bookmarkEnd w:id="0"/>
    <w:p w14:paraId="7522CECD" w14:textId="51037D4B" w:rsidR="00044782" w:rsidRPr="002F13AF" w:rsidRDefault="00704855" w:rsidP="00044782">
      <w:pPr>
        <w:numPr>
          <w:ilvl w:val="1"/>
          <w:numId w:val="5"/>
        </w:numPr>
        <w:tabs>
          <w:tab w:val="clear" w:pos="567"/>
          <w:tab w:val="left" w:pos="357"/>
        </w:tabs>
        <w:ind w:left="1276"/>
        <w:rPr>
          <w:rFonts w:eastAsia="Calibri"/>
          <w:szCs w:val="22"/>
        </w:rPr>
      </w:pPr>
      <w:r>
        <w:rPr>
          <w:rFonts w:eastAsia="Calibri"/>
          <w:szCs w:val="22"/>
        </w:rPr>
        <w:t>Collaborate</w:t>
      </w:r>
      <w:r w:rsidR="0083546A">
        <w:rPr>
          <w:rFonts w:eastAsia="Calibri"/>
          <w:szCs w:val="22"/>
        </w:rPr>
        <w:t xml:space="preserve"> with JL to </w:t>
      </w:r>
      <w:r w:rsidR="00044782" w:rsidRPr="002F13AF">
        <w:rPr>
          <w:rFonts w:eastAsia="Calibri"/>
          <w:szCs w:val="22"/>
        </w:rPr>
        <w:t>develop draft text for potential amending or new provisions</w:t>
      </w:r>
      <w:r w:rsidR="009F1834">
        <w:rPr>
          <w:rFonts w:eastAsia="Calibri"/>
          <w:szCs w:val="22"/>
        </w:rPr>
        <w:t xml:space="preserve"> to be </w:t>
      </w:r>
      <w:r w:rsidR="00615B9C">
        <w:rPr>
          <w:rFonts w:eastAsia="Calibri"/>
          <w:szCs w:val="22"/>
        </w:rPr>
        <w:t>considered</w:t>
      </w:r>
      <w:r w:rsidR="009F1834">
        <w:rPr>
          <w:rFonts w:eastAsia="Calibri"/>
          <w:szCs w:val="22"/>
        </w:rPr>
        <w:t xml:space="preserve"> by OSPAR</w:t>
      </w:r>
      <w:r>
        <w:rPr>
          <w:rFonts w:eastAsia="Calibri"/>
          <w:szCs w:val="22"/>
        </w:rPr>
        <w:t>, in line with the timetable set out in Annex 1</w:t>
      </w:r>
      <w:r w:rsidR="00044782" w:rsidRPr="002F13AF">
        <w:rPr>
          <w:rFonts w:eastAsia="Calibri"/>
          <w:szCs w:val="22"/>
        </w:rPr>
        <w:t>.</w:t>
      </w:r>
    </w:p>
    <w:p w14:paraId="5364750C" w14:textId="77777777" w:rsidR="00044782" w:rsidRPr="002F13AF" w:rsidRDefault="00044782" w:rsidP="00044782">
      <w:pPr>
        <w:tabs>
          <w:tab w:val="clear" w:pos="567"/>
        </w:tabs>
        <w:spacing w:after="200"/>
        <w:rPr>
          <w:rFonts w:eastAsia="Calibri"/>
          <w:b/>
          <w:bCs/>
          <w:sz w:val="28"/>
          <w:szCs w:val="28"/>
        </w:rPr>
      </w:pPr>
      <w:r w:rsidRPr="002F13AF">
        <w:rPr>
          <w:rFonts w:eastAsia="Calibri"/>
          <w:b/>
          <w:bCs/>
          <w:sz w:val="28"/>
          <w:szCs w:val="28"/>
        </w:rPr>
        <w:t>Scope of work</w:t>
      </w:r>
    </w:p>
    <w:p w14:paraId="6C6919F1" w14:textId="13D70429" w:rsidR="005E4632" w:rsidRPr="00E90C99" w:rsidRDefault="00396F3F" w:rsidP="00BA0160">
      <w:pPr>
        <w:numPr>
          <w:ilvl w:val="0"/>
          <w:numId w:val="5"/>
        </w:numPr>
        <w:tabs>
          <w:tab w:val="clear" w:pos="567"/>
          <w:tab w:val="left" w:pos="357"/>
        </w:tabs>
        <w:spacing w:after="200"/>
        <w:ind w:left="0" w:firstLine="0"/>
        <w:rPr>
          <w:rFonts w:eastAsia="Calibri"/>
          <w:szCs w:val="22"/>
        </w:rPr>
      </w:pPr>
      <w:r>
        <w:rPr>
          <w:bCs/>
        </w:rPr>
        <w:t xml:space="preserve">Under the previous terms of </w:t>
      </w:r>
      <w:r w:rsidR="00204A97">
        <w:rPr>
          <w:bCs/>
        </w:rPr>
        <w:t>reference,</w:t>
      </w:r>
      <w:r>
        <w:rPr>
          <w:bCs/>
        </w:rPr>
        <w:t xml:space="preserve"> the WG-AOC, with the support of a legal consultant, developed zero drafts of potential amendments for the four topics based on policy instructions agreed by the group. </w:t>
      </w:r>
      <w:r>
        <w:rPr>
          <w:bCs/>
        </w:rPr>
        <w:lastRenderedPageBreak/>
        <w:t>The zero drafts of the amendments also include a detailed rational</w:t>
      </w:r>
      <w:r w:rsidR="00934B16">
        <w:rPr>
          <w:bCs/>
        </w:rPr>
        <w:t>e</w:t>
      </w:r>
      <w:r>
        <w:rPr>
          <w:bCs/>
        </w:rPr>
        <w:t xml:space="preserve"> explaining their development and any remaining questions that need</w:t>
      </w:r>
      <w:r w:rsidR="00770B69">
        <w:rPr>
          <w:bCs/>
        </w:rPr>
        <w:t>ed</w:t>
      </w:r>
      <w:r>
        <w:rPr>
          <w:bCs/>
        </w:rPr>
        <w:t xml:space="preserve"> to be addressed by WG-AOC and JL. </w:t>
      </w:r>
      <w:r w:rsidR="002473CF">
        <w:rPr>
          <w:bCs/>
        </w:rPr>
        <w:t xml:space="preserve">The WG-AOC also considered alternative options to amend the Convention that could address the new and emerging issues. The work of WG-AOC under the previous terms of reference will form part of the basis for further work. </w:t>
      </w:r>
    </w:p>
    <w:p w14:paraId="65E14E95" w14:textId="77777777" w:rsidR="00044782" w:rsidRPr="002F13AF" w:rsidRDefault="00044782" w:rsidP="00044782">
      <w:pPr>
        <w:tabs>
          <w:tab w:val="clear" w:pos="567"/>
        </w:tabs>
        <w:spacing w:after="200"/>
        <w:rPr>
          <w:rFonts w:eastAsia="Calibri"/>
          <w:b/>
          <w:bCs/>
          <w:sz w:val="24"/>
          <w:szCs w:val="24"/>
        </w:rPr>
      </w:pPr>
      <w:r w:rsidRPr="002F13AF">
        <w:rPr>
          <w:rFonts w:eastAsia="Calibri"/>
          <w:b/>
          <w:bCs/>
          <w:sz w:val="28"/>
          <w:szCs w:val="28"/>
        </w:rPr>
        <w:t>Working procedures</w:t>
      </w:r>
    </w:p>
    <w:p w14:paraId="44D4C5A7" w14:textId="371200BD" w:rsidR="00204A97" w:rsidRPr="002F13AF" w:rsidRDefault="00204A97" w:rsidP="00204A97">
      <w:pPr>
        <w:numPr>
          <w:ilvl w:val="0"/>
          <w:numId w:val="5"/>
        </w:numPr>
        <w:tabs>
          <w:tab w:val="clear" w:pos="567"/>
          <w:tab w:val="left" w:pos="357"/>
        </w:tabs>
        <w:ind w:left="0" w:firstLine="0"/>
        <w:rPr>
          <w:rFonts w:eastAsia="Calibri"/>
          <w:szCs w:val="22"/>
        </w:rPr>
      </w:pPr>
      <w:r w:rsidRPr="002F13AF">
        <w:rPr>
          <w:rFonts w:eastAsia="Calibri"/>
          <w:szCs w:val="22"/>
        </w:rPr>
        <w:t xml:space="preserve">The Ad Hoc Working Group should </w:t>
      </w:r>
      <w:r>
        <w:rPr>
          <w:rFonts w:eastAsia="Calibri"/>
          <w:szCs w:val="22"/>
        </w:rPr>
        <w:t xml:space="preserve">establish working procedures </w:t>
      </w:r>
      <w:r w:rsidR="008156F9">
        <w:rPr>
          <w:rFonts w:eastAsia="Calibri"/>
          <w:szCs w:val="22"/>
        </w:rPr>
        <w:t xml:space="preserve">jointly </w:t>
      </w:r>
      <w:r>
        <w:rPr>
          <w:rFonts w:eastAsia="Calibri"/>
          <w:szCs w:val="22"/>
        </w:rPr>
        <w:t xml:space="preserve">with JL to deliver </w:t>
      </w:r>
      <w:r w:rsidR="008156F9">
        <w:rPr>
          <w:rFonts w:eastAsia="Calibri"/>
          <w:szCs w:val="22"/>
        </w:rPr>
        <w:t xml:space="preserve">the process and </w:t>
      </w:r>
      <w:r w:rsidR="006A1F21">
        <w:rPr>
          <w:rFonts w:eastAsia="Calibri"/>
          <w:szCs w:val="22"/>
        </w:rPr>
        <w:t>timeline</w:t>
      </w:r>
      <w:r w:rsidR="008156F9">
        <w:rPr>
          <w:rFonts w:eastAsia="Calibri"/>
          <w:szCs w:val="22"/>
        </w:rPr>
        <w:t xml:space="preserve"> outlined in </w:t>
      </w:r>
      <w:r w:rsidR="006A1F21">
        <w:rPr>
          <w:rFonts w:eastAsia="Calibri"/>
          <w:szCs w:val="22"/>
        </w:rPr>
        <w:t>Annex 1 i</w:t>
      </w:r>
      <w:r w:rsidR="00E3075F">
        <w:rPr>
          <w:rFonts w:eastAsia="Calibri"/>
          <w:szCs w:val="22"/>
        </w:rPr>
        <w:t>n</w:t>
      </w:r>
      <w:r w:rsidR="006A1F21">
        <w:rPr>
          <w:rFonts w:eastAsia="Calibri"/>
          <w:szCs w:val="22"/>
        </w:rPr>
        <w:t xml:space="preserve"> the most efficient manner</w:t>
      </w:r>
      <w:r w:rsidR="00934B16">
        <w:rPr>
          <w:rFonts w:eastAsia="Calibri"/>
          <w:szCs w:val="22"/>
        </w:rPr>
        <w:t>, with the support of experts from other OSPAR subsidiary bodies as appropriate.</w:t>
      </w:r>
    </w:p>
    <w:p w14:paraId="0F90A7C9" w14:textId="0B6FED78" w:rsidR="00044782" w:rsidRPr="002F13AF" w:rsidRDefault="00044782" w:rsidP="006A1F21">
      <w:pPr>
        <w:numPr>
          <w:ilvl w:val="0"/>
          <w:numId w:val="5"/>
        </w:numPr>
        <w:tabs>
          <w:tab w:val="clear" w:pos="567"/>
          <w:tab w:val="left" w:pos="357"/>
        </w:tabs>
        <w:ind w:left="0" w:firstLine="0"/>
        <w:rPr>
          <w:rFonts w:eastAsia="Calibri"/>
          <w:szCs w:val="22"/>
        </w:rPr>
      </w:pPr>
      <w:r w:rsidRPr="002F13AF">
        <w:rPr>
          <w:rFonts w:eastAsia="Calibri"/>
          <w:szCs w:val="22"/>
        </w:rPr>
        <w:t>The Ad Hoc Working Group will work through correspondence</w:t>
      </w:r>
      <w:r w:rsidR="006A1F21">
        <w:rPr>
          <w:rFonts w:eastAsia="Calibri"/>
          <w:szCs w:val="22"/>
        </w:rPr>
        <w:t>,</w:t>
      </w:r>
      <w:r w:rsidRPr="002F13AF">
        <w:rPr>
          <w:rFonts w:eastAsia="Calibri"/>
          <w:szCs w:val="22"/>
        </w:rPr>
        <w:t xml:space="preserve"> on-line </w:t>
      </w:r>
      <w:r w:rsidR="006A1F21">
        <w:rPr>
          <w:rFonts w:eastAsia="Calibri"/>
          <w:szCs w:val="22"/>
        </w:rPr>
        <w:t xml:space="preserve">and in person </w:t>
      </w:r>
      <w:r w:rsidR="00874F7C" w:rsidRPr="002F13AF">
        <w:rPr>
          <w:rFonts w:eastAsia="Calibri"/>
          <w:szCs w:val="22"/>
        </w:rPr>
        <w:t>meetings</w:t>
      </w:r>
      <w:r w:rsidR="00874F7C">
        <w:rPr>
          <w:rFonts w:eastAsia="Calibri"/>
          <w:szCs w:val="22"/>
        </w:rPr>
        <w:t xml:space="preserve"> as appropriate</w:t>
      </w:r>
      <w:r w:rsidRPr="002F13AF">
        <w:rPr>
          <w:rFonts w:eastAsia="Calibri"/>
          <w:szCs w:val="22"/>
        </w:rPr>
        <w:t>.  It will report regularly to HOD, both at HOD meetings and in correspondence</w:t>
      </w:r>
      <w:r w:rsidR="00874F7C">
        <w:rPr>
          <w:rFonts w:eastAsia="Calibri"/>
          <w:szCs w:val="22"/>
        </w:rPr>
        <w:t>, if necessary</w:t>
      </w:r>
      <w:r w:rsidRPr="002F13AF">
        <w:rPr>
          <w:rFonts w:eastAsia="Calibri"/>
          <w:szCs w:val="22"/>
        </w:rPr>
        <w:t>.</w:t>
      </w:r>
    </w:p>
    <w:p w14:paraId="753BFA54" w14:textId="2395526D" w:rsidR="00044782" w:rsidRPr="002F13AF" w:rsidRDefault="00044782" w:rsidP="00044782">
      <w:pPr>
        <w:tabs>
          <w:tab w:val="clear" w:pos="567"/>
        </w:tabs>
        <w:spacing w:after="200"/>
        <w:rPr>
          <w:rFonts w:eastAsia="Calibri"/>
          <w:b/>
          <w:bCs/>
          <w:sz w:val="28"/>
          <w:szCs w:val="28"/>
        </w:rPr>
      </w:pPr>
      <w:r w:rsidRPr="002F13AF">
        <w:rPr>
          <w:rFonts w:eastAsia="Calibri"/>
          <w:b/>
          <w:bCs/>
          <w:sz w:val="28"/>
          <w:szCs w:val="28"/>
        </w:rPr>
        <w:t>Convenor and participation</w:t>
      </w:r>
    </w:p>
    <w:p w14:paraId="18FF505E" w14:textId="693DC3B3" w:rsidR="003A43A1" w:rsidRDefault="00044782" w:rsidP="00A02C67">
      <w:pPr>
        <w:numPr>
          <w:ilvl w:val="0"/>
          <w:numId w:val="5"/>
        </w:numPr>
        <w:tabs>
          <w:tab w:val="clear" w:pos="567"/>
          <w:tab w:val="left" w:pos="357"/>
        </w:tabs>
        <w:spacing w:after="160" w:line="259" w:lineRule="auto"/>
        <w:ind w:left="0" w:firstLine="0"/>
        <w:contextualSpacing/>
        <w:rPr>
          <w:rFonts w:eastAsia="Calibri"/>
          <w:szCs w:val="22"/>
        </w:rPr>
      </w:pPr>
      <w:r w:rsidRPr="00D02E50">
        <w:rPr>
          <w:rFonts w:eastAsia="Calibri"/>
          <w:szCs w:val="22"/>
        </w:rPr>
        <w:t>The Ad Hoc Working Group will be convened by John Mouat</w:t>
      </w:r>
      <w:r w:rsidR="005F2106">
        <w:rPr>
          <w:rFonts w:eastAsia="Calibri"/>
          <w:szCs w:val="22"/>
        </w:rPr>
        <w:t xml:space="preserve"> (</w:t>
      </w:r>
      <w:r w:rsidRPr="00D02E50">
        <w:rPr>
          <w:rFonts w:eastAsia="Calibri"/>
          <w:szCs w:val="22"/>
        </w:rPr>
        <w:t>UK</w:t>
      </w:r>
      <w:r w:rsidR="005F2106">
        <w:rPr>
          <w:rFonts w:eastAsia="Calibri"/>
          <w:szCs w:val="22"/>
        </w:rPr>
        <w:t>)</w:t>
      </w:r>
      <w:r w:rsidRPr="00D02E50">
        <w:rPr>
          <w:rFonts w:eastAsia="Calibri"/>
          <w:szCs w:val="22"/>
        </w:rPr>
        <w:t xml:space="preserve"> and is open to representatives from all Contracting Parties, Committee Chairs and </w:t>
      </w:r>
      <w:r w:rsidR="00DF322A">
        <w:rPr>
          <w:rFonts w:eastAsia="Calibri"/>
          <w:szCs w:val="22"/>
        </w:rPr>
        <w:t>O</w:t>
      </w:r>
      <w:r w:rsidRPr="00D02E50">
        <w:rPr>
          <w:rFonts w:eastAsia="Calibri"/>
          <w:szCs w:val="22"/>
        </w:rPr>
        <w:t xml:space="preserve">bservers. Participation from members of JL is encouraged. The </w:t>
      </w:r>
      <w:r w:rsidR="005F2106">
        <w:rPr>
          <w:rFonts w:eastAsia="Calibri"/>
          <w:szCs w:val="22"/>
        </w:rPr>
        <w:t xml:space="preserve">Ad Hoc Working </w:t>
      </w:r>
      <w:r w:rsidRPr="00D02E50">
        <w:rPr>
          <w:rFonts w:eastAsia="Calibri"/>
          <w:szCs w:val="22"/>
        </w:rPr>
        <w:t>Group will be supported by the Secretariat.</w:t>
      </w:r>
    </w:p>
    <w:p w14:paraId="47010A55" w14:textId="77777777" w:rsidR="003A43A1" w:rsidRDefault="003A43A1">
      <w:pPr>
        <w:tabs>
          <w:tab w:val="clear" w:pos="567"/>
        </w:tabs>
        <w:spacing w:after="0" w:line="240" w:lineRule="auto"/>
        <w:jc w:val="left"/>
        <w:rPr>
          <w:rFonts w:eastAsia="Calibri"/>
          <w:szCs w:val="22"/>
        </w:rPr>
      </w:pPr>
      <w:r>
        <w:rPr>
          <w:rFonts w:eastAsia="Calibri"/>
          <w:szCs w:val="22"/>
        </w:rPr>
        <w:br w:type="page"/>
      </w:r>
    </w:p>
    <w:p w14:paraId="7E362B2A" w14:textId="77777777" w:rsidR="003A43A1" w:rsidRDefault="003A43A1" w:rsidP="003A43A1">
      <w:pPr>
        <w:tabs>
          <w:tab w:val="clear" w:pos="567"/>
        </w:tabs>
        <w:spacing w:before="120" w:line="280" w:lineRule="atLeast"/>
        <w:outlineLvl w:val="0"/>
        <w:rPr>
          <w:b/>
          <w:bCs/>
          <w:noProof/>
          <w:kern w:val="28"/>
          <w:szCs w:val="22"/>
          <w:lang w:val="en-US"/>
        </w:rPr>
      </w:pPr>
      <w:r w:rsidRPr="00365B3A">
        <w:rPr>
          <w:rFonts w:ascii="Aptos Display" w:hAnsi="Aptos Display" w:cs="Aptos Display"/>
          <w:b/>
          <w:szCs w:val="24"/>
          <w:lang w:eastAsia="pt-PT"/>
        </w:rPr>
        <w:lastRenderedPageBreak/>
        <w:t>Annex 1</w:t>
      </w:r>
      <w:r w:rsidRPr="00915505">
        <w:rPr>
          <w:b/>
          <w:bCs/>
          <w:noProof/>
          <w:kern w:val="28"/>
          <w:szCs w:val="22"/>
          <w:lang w:val="en-US"/>
        </w:rPr>
        <w:t xml:space="preserve"> </w:t>
      </w:r>
      <w:r>
        <w:rPr>
          <w:b/>
          <w:bCs/>
          <w:noProof/>
          <w:kern w:val="28"/>
          <w:szCs w:val="22"/>
          <w:lang w:val="en-US"/>
        </w:rPr>
        <w:t xml:space="preserve">- </w:t>
      </w:r>
      <w:bookmarkStart w:id="1" w:name="_Hlk195637408"/>
      <w:r>
        <w:rPr>
          <w:b/>
          <w:bCs/>
          <w:noProof/>
          <w:kern w:val="28"/>
          <w:szCs w:val="22"/>
          <w:lang w:val="en-US"/>
        </w:rPr>
        <w:t>P</w:t>
      </w:r>
      <w:r w:rsidRPr="00D92879">
        <w:rPr>
          <w:b/>
          <w:bCs/>
          <w:noProof/>
          <w:kern w:val="28"/>
          <w:szCs w:val="22"/>
          <w:lang w:val="en-US"/>
        </w:rPr>
        <w:t>rovisional timeline and work structure for future work</w:t>
      </w:r>
      <w:bookmarkEnd w:id="1"/>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410"/>
      </w:tblGrid>
      <w:tr w:rsidR="003A43A1" w:rsidRPr="00900C8E" w14:paraId="40513C80" w14:textId="77777777" w:rsidTr="00DD6CAA">
        <w:tc>
          <w:tcPr>
            <w:tcW w:w="1668" w:type="dxa"/>
            <w:shd w:val="clear" w:color="auto" w:fill="auto"/>
            <w:vAlign w:val="center"/>
          </w:tcPr>
          <w:p w14:paraId="7F22DBFF" w14:textId="77777777" w:rsidR="003A43A1" w:rsidRPr="00900C8E" w:rsidRDefault="003A43A1" w:rsidP="00DD6CAA">
            <w:pPr>
              <w:tabs>
                <w:tab w:val="clear" w:pos="567"/>
              </w:tabs>
              <w:spacing w:before="120" w:line="280" w:lineRule="atLeast"/>
              <w:jc w:val="center"/>
              <w:outlineLvl w:val="0"/>
              <w:rPr>
                <w:b/>
                <w:bCs/>
                <w:noProof/>
                <w:kern w:val="28"/>
                <w:szCs w:val="22"/>
                <w:lang w:val="en-US"/>
              </w:rPr>
            </w:pPr>
            <w:r w:rsidRPr="00900C8E">
              <w:rPr>
                <w:b/>
                <w:bCs/>
                <w:noProof/>
                <w:kern w:val="28"/>
                <w:szCs w:val="22"/>
                <w:lang w:val="en-US"/>
              </w:rPr>
              <w:t>Timing</w:t>
            </w:r>
          </w:p>
        </w:tc>
        <w:tc>
          <w:tcPr>
            <w:tcW w:w="1984" w:type="dxa"/>
            <w:shd w:val="clear" w:color="auto" w:fill="auto"/>
            <w:vAlign w:val="center"/>
          </w:tcPr>
          <w:p w14:paraId="775EBBA5" w14:textId="77777777" w:rsidR="003A43A1" w:rsidRPr="00900C8E" w:rsidRDefault="003A43A1" w:rsidP="00DD6CAA">
            <w:pPr>
              <w:tabs>
                <w:tab w:val="clear" w:pos="567"/>
              </w:tabs>
              <w:spacing w:before="120" w:line="280" w:lineRule="atLeast"/>
              <w:jc w:val="center"/>
              <w:outlineLvl w:val="0"/>
              <w:rPr>
                <w:b/>
                <w:bCs/>
                <w:noProof/>
                <w:kern w:val="28"/>
                <w:szCs w:val="22"/>
                <w:lang w:val="en-US"/>
              </w:rPr>
            </w:pPr>
            <w:r w:rsidRPr="00900C8E">
              <w:rPr>
                <w:b/>
                <w:bCs/>
                <w:noProof/>
                <w:kern w:val="28"/>
                <w:szCs w:val="22"/>
                <w:lang w:val="en-US"/>
              </w:rPr>
              <w:t>Reponsible OSPAR body</w:t>
            </w:r>
          </w:p>
        </w:tc>
        <w:tc>
          <w:tcPr>
            <w:tcW w:w="5410" w:type="dxa"/>
            <w:shd w:val="clear" w:color="auto" w:fill="auto"/>
            <w:vAlign w:val="center"/>
          </w:tcPr>
          <w:p w14:paraId="0851AC72" w14:textId="77777777" w:rsidR="003A43A1" w:rsidRPr="00900C8E" w:rsidRDefault="003A43A1" w:rsidP="00DD6CAA">
            <w:pPr>
              <w:tabs>
                <w:tab w:val="clear" w:pos="567"/>
              </w:tabs>
              <w:spacing w:before="120" w:line="280" w:lineRule="atLeast"/>
              <w:jc w:val="center"/>
              <w:outlineLvl w:val="0"/>
              <w:rPr>
                <w:b/>
                <w:bCs/>
                <w:noProof/>
                <w:kern w:val="28"/>
                <w:szCs w:val="22"/>
                <w:lang w:val="en-US"/>
              </w:rPr>
            </w:pPr>
            <w:r w:rsidRPr="00900C8E">
              <w:rPr>
                <w:b/>
                <w:bCs/>
                <w:noProof/>
                <w:kern w:val="28"/>
                <w:szCs w:val="22"/>
                <w:lang w:val="en-US"/>
              </w:rPr>
              <w:t>Action</w:t>
            </w:r>
          </w:p>
        </w:tc>
      </w:tr>
      <w:tr w:rsidR="003A43A1" w:rsidRPr="00900C8E" w14:paraId="59E6EE75" w14:textId="77777777" w:rsidTr="00DD6CAA">
        <w:tc>
          <w:tcPr>
            <w:tcW w:w="1668" w:type="dxa"/>
            <w:shd w:val="clear" w:color="auto" w:fill="auto"/>
          </w:tcPr>
          <w:p w14:paraId="216AE690"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Autumn 2025</w:t>
            </w:r>
          </w:p>
        </w:tc>
        <w:tc>
          <w:tcPr>
            <w:tcW w:w="1984" w:type="dxa"/>
            <w:shd w:val="clear" w:color="auto" w:fill="auto"/>
          </w:tcPr>
          <w:p w14:paraId="1D1BF137"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WG-AOC</w:t>
            </w:r>
            <w:r>
              <w:rPr>
                <w:noProof/>
                <w:kern w:val="28"/>
                <w:szCs w:val="22"/>
                <w:lang w:val="en-US"/>
              </w:rPr>
              <w:t>/JL</w:t>
            </w:r>
          </w:p>
        </w:tc>
        <w:tc>
          <w:tcPr>
            <w:tcW w:w="5410" w:type="dxa"/>
            <w:shd w:val="clear" w:color="auto" w:fill="auto"/>
          </w:tcPr>
          <w:p w14:paraId="540188B8" w14:textId="599974BC" w:rsidR="003A43A1" w:rsidRPr="00900C8E" w:rsidRDefault="00232802" w:rsidP="00DD6CAA">
            <w:pPr>
              <w:tabs>
                <w:tab w:val="clear" w:pos="567"/>
              </w:tabs>
              <w:spacing w:before="120" w:line="280" w:lineRule="atLeast"/>
              <w:outlineLvl w:val="0"/>
              <w:rPr>
                <w:noProof/>
                <w:kern w:val="28"/>
                <w:szCs w:val="22"/>
                <w:lang w:val="en-US"/>
              </w:rPr>
            </w:pPr>
            <w:r>
              <w:rPr>
                <w:noProof/>
                <w:kern w:val="28"/>
                <w:szCs w:val="22"/>
                <w:lang w:val="en-US"/>
              </w:rPr>
              <w:t>Collaboration with JL</w:t>
            </w:r>
            <w:r w:rsidR="003A43A1">
              <w:rPr>
                <w:noProof/>
                <w:kern w:val="28"/>
                <w:szCs w:val="22"/>
                <w:lang w:val="en-US"/>
              </w:rPr>
              <w:t xml:space="preserve"> on </w:t>
            </w:r>
            <w:r>
              <w:rPr>
                <w:noProof/>
                <w:kern w:val="28"/>
                <w:szCs w:val="22"/>
                <w:lang w:val="en-US"/>
              </w:rPr>
              <w:t>the four</w:t>
            </w:r>
            <w:r w:rsidR="003A43A1">
              <w:rPr>
                <w:noProof/>
                <w:kern w:val="28"/>
                <w:szCs w:val="22"/>
                <w:lang w:val="en-US"/>
              </w:rPr>
              <w:t xml:space="preserve"> topic</w:t>
            </w:r>
            <w:r>
              <w:rPr>
                <w:noProof/>
                <w:kern w:val="28"/>
                <w:szCs w:val="22"/>
                <w:lang w:val="en-US"/>
              </w:rPr>
              <w:t>s</w:t>
            </w:r>
            <w:r w:rsidR="003A43A1" w:rsidRPr="00900C8E">
              <w:rPr>
                <w:noProof/>
                <w:kern w:val="28"/>
                <w:szCs w:val="22"/>
                <w:lang w:val="en-US"/>
              </w:rPr>
              <w:t xml:space="preserve"> to develop and</w:t>
            </w:r>
            <w:r>
              <w:rPr>
                <w:noProof/>
                <w:kern w:val="28"/>
                <w:szCs w:val="22"/>
                <w:lang w:val="en-US"/>
              </w:rPr>
              <w:t>,</w:t>
            </w:r>
            <w:r w:rsidR="003A43A1" w:rsidRPr="00900C8E">
              <w:rPr>
                <w:noProof/>
                <w:kern w:val="28"/>
                <w:szCs w:val="22"/>
                <w:lang w:val="en-US"/>
              </w:rPr>
              <w:t xml:space="preserve"> </w:t>
            </w:r>
            <w:r>
              <w:rPr>
                <w:noProof/>
                <w:kern w:val="28"/>
                <w:szCs w:val="22"/>
                <w:lang w:val="en-US"/>
              </w:rPr>
              <w:t xml:space="preserve">if possible, </w:t>
            </w:r>
            <w:r w:rsidR="003A43A1" w:rsidRPr="00900C8E">
              <w:rPr>
                <w:noProof/>
                <w:kern w:val="28"/>
                <w:szCs w:val="22"/>
                <w:lang w:val="en-US"/>
              </w:rPr>
              <w:t>finalise the proposed amendements</w:t>
            </w:r>
            <w:r w:rsidR="003A43A1">
              <w:rPr>
                <w:noProof/>
                <w:kern w:val="28"/>
                <w:szCs w:val="22"/>
                <w:lang w:val="en-US"/>
              </w:rPr>
              <w:t xml:space="preserve"> as decided by Ministers.</w:t>
            </w:r>
          </w:p>
        </w:tc>
      </w:tr>
      <w:tr w:rsidR="0076592F" w:rsidRPr="00900C8E" w14:paraId="13CE2F24" w14:textId="77777777" w:rsidTr="00DD6CAA">
        <w:tc>
          <w:tcPr>
            <w:tcW w:w="1668" w:type="dxa"/>
            <w:shd w:val="clear" w:color="auto" w:fill="auto"/>
          </w:tcPr>
          <w:p w14:paraId="44D8F246" w14:textId="5B7F6FDF" w:rsidR="0076592F" w:rsidRPr="00900C8E" w:rsidRDefault="0076592F" w:rsidP="00DD6CAA">
            <w:pPr>
              <w:tabs>
                <w:tab w:val="clear" w:pos="567"/>
              </w:tabs>
              <w:spacing w:before="120" w:line="280" w:lineRule="atLeast"/>
              <w:outlineLvl w:val="0"/>
              <w:rPr>
                <w:noProof/>
                <w:kern w:val="28"/>
                <w:szCs w:val="22"/>
                <w:lang w:val="en-US"/>
              </w:rPr>
            </w:pPr>
            <w:r>
              <w:rPr>
                <w:noProof/>
                <w:kern w:val="28"/>
                <w:szCs w:val="22"/>
                <w:lang w:val="en-US"/>
              </w:rPr>
              <w:t>Autumn 2025</w:t>
            </w:r>
          </w:p>
        </w:tc>
        <w:tc>
          <w:tcPr>
            <w:tcW w:w="1984" w:type="dxa"/>
            <w:shd w:val="clear" w:color="auto" w:fill="auto"/>
          </w:tcPr>
          <w:p w14:paraId="51D33222" w14:textId="22CE9019" w:rsidR="0076592F" w:rsidRPr="00900C8E" w:rsidRDefault="0076592F" w:rsidP="00DD6CAA">
            <w:pPr>
              <w:tabs>
                <w:tab w:val="clear" w:pos="567"/>
              </w:tabs>
              <w:spacing w:before="120" w:line="280" w:lineRule="atLeast"/>
              <w:outlineLvl w:val="0"/>
              <w:rPr>
                <w:noProof/>
                <w:kern w:val="28"/>
                <w:szCs w:val="22"/>
                <w:lang w:val="en-US"/>
              </w:rPr>
            </w:pPr>
            <w:r>
              <w:rPr>
                <w:noProof/>
                <w:kern w:val="28"/>
                <w:szCs w:val="22"/>
                <w:lang w:val="en-US"/>
              </w:rPr>
              <w:t>HOD</w:t>
            </w:r>
          </w:p>
        </w:tc>
        <w:tc>
          <w:tcPr>
            <w:tcW w:w="5410" w:type="dxa"/>
            <w:shd w:val="clear" w:color="auto" w:fill="auto"/>
          </w:tcPr>
          <w:p w14:paraId="2E371FDD" w14:textId="66DE01C7" w:rsidR="0076592F" w:rsidRDefault="0076592F" w:rsidP="00DD6CAA">
            <w:pPr>
              <w:tabs>
                <w:tab w:val="clear" w:pos="567"/>
              </w:tabs>
              <w:spacing w:before="120" w:line="280" w:lineRule="atLeast"/>
              <w:outlineLvl w:val="0"/>
              <w:rPr>
                <w:noProof/>
                <w:kern w:val="28"/>
                <w:szCs w:val="22"/>
                <w:lang w:val="en-US"/>
              </w:rPr>
            </w:pPr>
            <w:r>
              <w:rPr>
                <w:noProof/>
                <w:kern w:val="28"/>
                <w:szCs w:val="22"/>
                <w:lang w:val="en-US"/>
              </w:rPr>
              <w:t>Update from WG-AOC to HOD and further steer as appropriate</w:t>
            </w:r>
          </w:p>
        </w:tc>
      </w:tr>
      <w:tr w:rsidR="003A43A1" w:rsidRPr="00900C8E" w14:paraId="22DBC181" w14:textId="77777777" w:rsidTr="00DD6CAA">
        <w:tc>
          <w:tcPr>
            <w:tcW w:w="1668" w:type="dxa"/>
            <w:shd w:val="clear" w:color="auto" w:fill="auto"/>
          </w:tcPr>
          <w:p w14:paraId="0B56E2C3"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Spring 2026</w:t>
            </w:r>
          </w:p>
        </w:tc>
        <w:tc>
          <w:tcPr>
            <w:tcW w:w="1984" w:type="dxa"/>
            <w:shd w:val="clear" w:color="auto" w:fill="auto"/>
          </w:tcPr>
          <w:p w14:paraId="1F4607AB"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OSPAR Committees</w:t>
            </w:r>
          </w:p>
        </w:tc>
        <w:tc>
          <w:tcPr>
            <w:tcW w:w="5410" w:type="dxa"/>
            <w:shd w:val="clear" w:color="auto" w:fill="auto"/>
          </w:tcPr>
          <w:p w14:paraId="5CA0E0C5"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Review of proposed amendments</w:t>
            </w:r>
            <w:r>
              <w:rPr>
                <w:noProof/>
                <w:kern w:val="28"/>
                <w:szCs w:val="22"/>
                <w:lang w:val="en-US"/>
              </w:rPr>
              <w:t xml:space="preserve"> to ensure they address the agreed policy outcomes, provide comments to JL</w:t>
            </w:r>
            <w:r w:rsidRPr="00900C8E">
              <w:rPr>
                <w:noProof/>
                <w:kern w:val="28"/>
                <w:szCs w:val="22"/>
                <w:lang w:val="en-US"/>
              </w:rPr>
              <w:t xml:space="preserve"> and agreement to forward </w:t>
            </w:r>
            <w:r>
              <w:rPr>
                <w:noProof/>
                <w:kern w:val="28"/>
                <w:szCs w:val="22"/>
                <w:lang w:val="en-US"/>
              </w:rPr>
              <w:t xml:space="preserve">them </w:t>
            </w:r>
            <w:r w:rsidRPr="00900C8E">
              <w:rPr>
                <w:noProof/>
                <w:kern w:val="28"/>
                <w:szCs w:val="22"/>
                <w:lang w:val="en-US"/>
              </w:rPr>
              <w:t>to HOD</w:t>
            </w:r>
            <w:r>
              <w:rPr>
                <w:noProof/>
                <w:kern w:val="28"/>
                <w:szCs w:val="22"/>
                <w:lang w:val="en-US"/>
              </w:rPr>
              <w:t>.</w:t>
            </w:r>
          </w:p>
        </w:tc>
      </w:tr>
      <w:tr w:rsidR="003A43A1" w:rsidRPr="00900C8E" w14:paraId="1A55F8F0" w14:textId="77777777" w:rsidTr="00DD6CAA">
        <w:tc>
          <w:tcPr>
            <w:tcW w:w="1668" w:type="dxa"/>
            <w:shd w:val="clear" w:color="auto" w:fill="auto"/>
          </w:tcPr>
          <w:p w14:paraId="639B46D5"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Spring 2026</w:t>
            </w:r>
          </w:p>
        </w:tc>
        <w:tc>
          <w:tcPr>
            <w:tcW w:w="1984" w:type="dxa"/>
            <w:shd w:val="clear" w:color="auto" w:fill="auto"/>
          </w:tcPr>
          <w:p w14:paraId="56F93278"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Jurists Linguists</w:t>
            </w:r>
          </w:p>
        </w:tc>
        <w:tc>
          <w:tcPr>
            <w:tcW w:w="5410" w:type="dxa"/>
            <w:shd w:val="clear" w:color="auto" w:fill="auto"/>
          </w:tcPr>
          <w:p w14:paraId="3111FE4F" w14:textId="1EF7C65B"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 xml:space="preserve">Scrutiny of </w:t>
            </w:r>
            <w:r w:rsidR="0076592F">
              <w:rPr>
                <w:noProof/>
                <w:kern w:val="28"/>
                <w:szCs w:val="22"/>
                <w:lang w:val="en-US"/>
              </w:rPr>
              <w:t xml:space="preserve">any </w:t>
            </w:r>
            <w:r w:rsidRPr="00900C8E">
              <w:rPr>
                <w:noProof/>
                <w:kern w:val="28"/>
                <w:szCs w:val="22"/>
                <w:lang w:val="en-US"/>
              </w:rPr>
              <w:t xml:space="preserve"> proposed amendements</w:t>
            </w:r>
            <w:r w:rsidR="0076592F">
              <w:rPr>
                <w:noProof/>
                <w:kern w:val="28"/>
                <w:szCs w:val="22"/>
                <w:lang w:val="en-US"/>
              </w:rPr>
              <w:t xml:space="preserve"> and further development of amendments </w:t>
            </w:r>
          </w:p>
        </w:tc>
      </w:tr>
      <w:tr w:rsidR="003A43A1" w:rsidRPr="00900C8E" w14:paraId="1111E70B" w14:textId="77777777" w:rsidTr="00DD6CAA">
        <w:tc>
          <w:tcPr>
            <w:tcW w:w="1668" w:type="dxa"/>
            <w:shd w:val="clear" w:color="auto" w:fill="auto"/>
          </w:tcPr>
          <w:p w14:paraId="6F3BD9AA"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May 2026</w:t>
            </w:r>
          </w:p>
        </w:tc>
        <w:tc>
          <w:tcPr>
            <w:tcW w:w="1984" w:type="dxa"/>
            <w:shd w:val="clear" w:color="auto" w:fill="auto"/>
          </w:tcPr>
          <w:p w14:paraId="661A3DBA"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HOD</w:t>
            </w:r>
          </w:p>
        </w:tc>
        <w:tc>
          <w:tcPr>
            <w:tcW w:w="5410" w:type="dxa"/>
            <w:shd w:val="clear" w:color="auto" w:fill="auto"/>
          </w:tcPr>
          <w:p w14:paraId="17BEE2DD"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 xml:space="preserve">Review of proposed amendments and </w:t>
            </w:r>
            <w:r>
              <w:rPr>
                <w:noProof/>
                <w:kern w:val="28"/>
                <w:szCs w:val="22"/>
                <w:lang w:val="en-US"/>
              </w:rPr>
              <w:t xml:space="preserve">approval or </w:t>
            </w:r>
            <w:r w:rsidRPr="00900C8E">
              <w:rPr>
                <w:noProof/>
                <w:kern w:val="28"/>
                <w:szCs w:val="22"/>
                <w:lang w:val="en-US"/>
              </w:rPr>
              <w:t>request for further work at technical</w:t>
            </w:r>
            <w:r>
              <w:rPr>
                <w:noProof/>
                <w:kern w:val="28"/>
                <w:szCs w:val="22"/>
                <w:lang w:val="en-US"/>
              </w:rPr>
              <w:t>/legal</w:t>
            </w:r>
            <w:r w:rsidRPr="00900C8E">
              <w:rPr>
                <w:noProof/>
                <w:kern w:val="28"/>
                <w:szCs w:val="22"/>
                <w:lang w:val="en-US"/>
              </w:rPr>
              <w:t xml:space="preserve"> level</w:t>
            </w:r>
            <w:r>
              <w:rPr>
                <w:noProof/>
                <w:kern w:val="28"/>
                <w:szCs w:val="22"/>
                <w:lang w:val="en-US"/>
              </w:rPr>
              <w:t xml:space="preserve"> if needed.</w:t>
            </w:r>
          </w:p>
        </w:tc>
      </w:tr>
      <w:tr w:rsidR="003A43A1" w:rsidRPr="00900C8E" w14:paraId="4621FD64" w14:textId="77777777" w:rsidTr="00DD6CAA">
        <w:tc>
          <w:tcPr>
            <w:tcW w:w="1668" w:type="dxa"/>
            <w:shd w:val="clear" w:color="auto" w:fill="auto"/>
          </w:tcPr>
          <w:p w14:paraId="76D951A8"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June 2026</w:t>
            </w:r>
          </w:p>
        </w:tc>
        <w:tc>
          <w:tcPr>
            <w:tcW w:w="1984" w:type="dxa"/>
            <w:shd w:val="clear" w:color="auto" w:fill="auto"/>
          </w:tcPr>
          <w:p w14:paraId="0A1E90DF"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OSPAR Commission</w:t>
            </w:r>
          </w:p>
        </w:tc>
        <w:tc>
          <w:tcPr>
            <w:tcW w:w="5410" w:type="dxa"/>
            <w:shd w:val="clear" w:color="auto" w:fill="auto"/>
          </w:tcPr>
          <w:p w14:paraId="42675695" w14:textId="77777777" w:rsidR="003A43A1"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Agreement on proposed amendements if no further work is needed, ortherwise agreement on the next steps to finalise the proposed amendments.</w:t>
            </w:r>
          </w:p>
          <w:p w14:paraId="51A871C9" w14:textId="079E1325" w:rsidR="00232802" w:rsidRPr="00900C8E" w:rsidRDefault="00375B9C" w:rsidP="00DD6CAA">
            <w:pPr>
              <w:tabs>
                <w:tab w:val="clear" w:pos="567"/>
              </w:tabs>
              <w:spacing w:before="120" w:line="280" w:lineRule="atLeast"/>
              <w:outlineLvl w:val="0"/>
              <w:rPr>
                <w:noProof/>
                <w:kern w:val="28"/>
                <w:szCs w:val="22"/>
                <w:lang w:val="en-US"/>
              </w:rPr>
            </w:pPr>
            <w:r>
              <w:rPr>
                <w:noProof/>
                <w:kern w:val="28"/>
                <w:szCs w:val="22"/>
                <w:lang w:val="en-US"/>
              </w:rPr>
              <w:t>Checkpoint: r</w:t>
            </w:r>
            <w:r w:rsidR="00232802">
              <w:rPr>
                <w:noProof/>
                <w:kern w:val="28"/>
                <w:szCs w:val="22"/>
                <w:lang w:val="en-US"/>
              </w:rPr>
              <w:t>eview the timeline and consider if another meeting cycle is required to develop and consider the amendments</w:t>
            </w:r>
          </w:p>
        </w:tc>
      </w:tr>
      <w:tr w:rsidR="00D00CC7" w:rsidRPr="00900C8E" w14:paraId="265D8D8A" w14:textId="77777777" w:rsidTr="00DD6CAA">
        <w:tc>
          <w:tcPr>
            <w:tcW w:w="1668" w:type="dxa"/>
            <w:shd w:val="clear" w:color="auto" w:fill="auto"/>
          </w:tcPr>
          <w:p w14:paraId="6C93811E" w14:textId="1812B5D8" w:rsidR="00D00CC7" w:rsidRPr="00D00CC7" w:rsidRDefault="00D00CC7" w:rsidP="00D00CC7">
            <w:pPr>
              <w:tabs>
                <w:tab w:val="clear" w:pos="567"/>
              </w:tabs>
              <w:spacing w:before="120" w:line="280" w:lineRule="atLeast"/>
              <w:outlineLvl w:val="0"/>
              <w:rPr>
                <w:noProof/>
                <w:kern w:val="28"/>
                <w:szCs w:val="22"/>
              </w:rPr>
            </w:pPr>
            <w:r w:rsidRPr="00900C8E">
              <w:rPr>
                <w:noProof/>
                <w:kern w:val="28"/>
                <w:szCs w:val="22"/>
                <w:lang w:val="en-US"/>
              </w:rPr>
              <w:t>Autumn 202</w:t>
            </w:r>
            <w:r>
              <w:rPr>
                <w:noProof/>
                <w:kern w:val="28"/>
                <w:szCs w:val="22"/>
                <w:lang w:val="en-US"/>
              </w:rPr>
              <w:t>6</w:t>
            </w:r>
          </w:p>
        </w:tc>
        <w:tc>
          <w:tcPr>
            <w:tcW w:w="1984" w:type="dxa"/>
            <w:shd w:val="clear" w:color="auto" w:fill="auto"/>
          </w:tcPr>
          <w:p w14:paraId="71CD4CD0" w14:textId="3C1E8459" w:rsidR="00D00CC7" w:rsidRPr="00900C8E" w:rsidRDefault="00D00CC7" w:rsidP="00D00CC7">
            <w:pPr>
              <w:tabs>
                <w:tab w:val="clear" w:pos="567"/>
              </w:tabs>
              <w:spacing w:before="120" w:line="280" w:lineRule="atLeast"/>
              <w:outlineLvl w:val="0"/>
              <w:rPr>
                <w:noProof/>
                <w:kern w:val="28"/>
                <w:szCs w:val="22"/>
                <w:lang w:val="en-US"/>
              </w:rPr>
            </w:pPr>
            <w:r w:rsidRPr="00900C8E">
              <w:rPr>
                <w:noProof/>
                <w:kern w:val="28"/>
                <w:szCs w:val="22"/>
                <w:lang w:val="en-US"/>
              </w:rPr>
              <w:t>WG-AOC</w:t>
            </w:r>
            <w:r>
              <w:rPr>
                <w:noProof/>
                <w:kern w:val="28"/>
                <w:szCs w:val="22"/>
                <w:lang w:val="en-US"/>
              </w:rPr>
              <w:t>/JL</w:t>
            </w:r>
          </w:p>
        </w:tc>
        <w:tc>
          <w:tcPr>
            <w:tcW w:w="5410" w:type="dxa"/>
            <w:shd w:val="clear" w:color="auto" w:fill="auto"/>
          </w:tcPr>
          <w:p w14:paraId="6C08BD92" w14:textId="79C82105" w:rsidR="00D00CC7" w:rsidRPr="00900C8E" w:rsidRDefault="00D00CC7" w:rsidP="00D00CC7">
            <w:pPr>
              <w:tabs>
                <w:tab w:val="clear" w:pos="567"/>
              </w:tabs>
              <w:spacing w:before="120" w:line="280" w:lineRule="atLeast"/>
              <w:outlineLvl w:val="0"/>
              <w:rPr>
                <w:noProof/>
                <w:kern w:val="28"/>
                <w:szCs w:val="22"/>
                <w:lang w:val="en-US"/>
              </w:rPr>
            </w:pPr>
            <w:r>
              <w:rPr>
                <w:noProof/>
                <w:kern w:val="28"/>
                <w:szCs w:val="22"/>
                <w:lang w:val="en-US"/>
              </w:rPr>
              <w:t>Collaboration with JL on the four topics</w:t>
            </w:r>
            <w:r w:rsidRPr="00900C8E">
              <w:rPr>
                <w:noProof/>
                <w:kern w:val="28"/>
                <w:szCs w:val="22"/>
                <w:lang w:val="en-US"/>
              </w:rPr>
              <w:t xml:space="preserve"> to develop and</w:t>
            </w:r>
            <w:r>
              <w:rPr>
                <w:noProof/>
                <w:kern w:val="28"/>
                <w:szCs w:val="22"/>
                <w:lang w:val="en-US"/>
              </w:rPr>
              <w:t>,</w:t>
            </w:r>
            <w:r w:rsidRPr="00900C8E">
              <w:rPr>
                <w:noProof/>
                <w:kern w:val="28"/>
                <w:szCs w:val="22"/>
                <w:lang w:val="en-US"/>
              </w:rPr>
              <w:t xml:space="preserve"> </w:t>
            </w:r>
            <w:r>
              <w:rPr>
                <w:noProof/>
                <w:kern w:val="28"/>
                <w:szCs w:val="22"/>
                <w:lang w:val="en-US"/>
              </w:rPr>
              <w:t xml:space="preserve">if possible, </w:t>
            </w:r>
            <w:r w:rsidRPr="00900C8E">
              <w:rPr>
                <w:noProof/>
                <w:kern w:val="28"/>
                <w:szCs w:val="22"/>
                <w:lang w:val="en-US"/>
              </w:rPr>
              <w:t>finalise the proposed amendements</w:t>
            </w:r>
            <w:r>
              <w:rPr>
                <w:noProof/>
                <w:kern w:val="28"/>
                <w:szCs w:val="22"/>
                <w:lang w:val="en-US"/>
              </w:rPr>
              <w:t xml:space="preserve"> as decided by Ministers.</w:t>
            </w:r>
          </w:p>
        </w:tc>
      </w:tr>
      <w:tr w:rsidR="0076592F" w:rsidRPr="00900C8E" w14:paraId="7145E7D8" w14:textId="77777777" w:rsidTr="00DD6CAA">
        <w:tc>
          <w:tcPr>
            <w:tcW w:w="1668" w:type="dxa"/>
            <w:shd w:val="clear" w:color="auto" w:fill="auto"/>
          </w:tcPr>
          <w:p w14:paraId="045FE645" w14:textId="0BC0132E" w:rsidR="0076592F" w:rsidRPr="00900C8E" w:rsidRDefault="0076592F" w:rsidP="00D00CC7">
            <w:pPr>
              <w:tabs>
                <w:tab w:val="clear" w:pos="567"/>
              </w:tabs>
              <w:spacing w:before="120" w:line="280" w:lineRule="atLeast"/>
              <w:outlineLvl w:val="0"/>
              <w:rPr>
                <w:noProof/>
                <w:kern w:val="28"/>
                <w:szCs w:val="22"/>
                <w:lang w:val="en-US"/>
              </w:rPr>
            </w:pPr>
            <w:r>
              <w:rPr>
                <w:noProof/>
                <w:kern w:val="28"/>
                <w:szCs w:val="22"/>
                <w:lang w:val="en-US"/>
              </w:rPr>
              <w:t>Autumn 2026</w:t>
            </w:r>
          </w:p>
        </w:tc>
        <w:tc>
          <w:tcPr>
            <w:tcW w:w="1984" w:type="dxa"/>
            <w:shd w:val="clear" w:color="auto" w:fill="auto"/>
          </w:tcPr>
          <w:p w14:paraId="6E119970" w14:textId="60836587" w:rsidR="0076592F" w:rsidRPr="00900C8E" w:rsidRDefault="0076592F" w:rsidP="00D00CC7">
            <w:pPr>
              <w:tabs>
                <w:tab w:val="clear" w:pos="567"/>
              </w:tabs>
              <w:spacing w:before="120" w:line="280" w:lineRule="atLeast"/>
              <w:outlineLvl w:val="0"/>
              <w:rPr>
                <w:noProof/>
                <w:kern w:val="28"/>
                <w:szCs w:val="22"/>
                <w:lang w:val="en-US"/>
              </w:rPr>
            </w:pPr>
            <w:r>
              <w:rPr>
                <w:noProof/>
                <w:kern w:val="28"/>
                <w:szCs w:val="22"/>
                <w:lang w:val="en-US"/>
              </w:rPr>
              <w:t>HOD</w:t>
            </w:r>
          </w:p>
        </w:tc>
        <w:tc>
          <w:tcPr>
            <w:tcW w:w="5410" w:type="dxa"/>
            <w:shd w:val="clear" w:color="auto" w:fill="auto"/>
          </w:tcPr>
          <w:p w14:paraId="34385C9E" w14:textId="285EF797" w:rsidR="0076592F" w:rsidRDefault="0076592F" w:rsidP="00D00CC7">
            <w:pPr>
              <w:tabs>
                <w:tab w:val="clear" w:pos="567"/>
              </w:tabs>
              <w:spacing w:before="120" w:line="280" w:lineRule="atLeast"/>
              <w:outlineLvl w:val="0"/>
              <w:rPr>
                <w:noProof/>
                <w:kern w:val="28"/>
                <w:szCs w:val="22"/>
                <w:lang w:val="en-US"/>
              </w:rPr>
            </w:pPr>
            <w:r>
              <w:rPr>
                <w:noProof/>
                <w:kern w:val="28"/>
                <w:szCs w:val="22"/>
                <w:lang w:val="en-US"/>
              </w:rPr>
              <w:t>Update from WG-AOC to HOD and further steer as appropriate</w:t>
            </w:r>
          </w:p>
        </w:tc>
      </w:tr>
      <w:tr w:rsidR="00D00CC7" w:rsidRPr="00900C8E" w14:paraId="5058EC91" w14:textId="77777777" w:rsidTr="00DD6CAA">
        <w:tc>
          <w:tcPr>
            <w:tcW w:w="1668" w:type="dxa"/>
            <w:shd w:val="clear" w:color="auto" w:fill="auto"/>
          </w:tcPr>
          <w:p w14:paraId="5CE6797F" w14:textId="6E97E65D" w:rsidR="00D00CC7" w:rsidRPr="00D00CC7" w:rsidRDefault="00D00CC7" w:rsidP="00D00CC7">
            <w:pPr>
              <w:tabs>
                <w:tab w:val="clear" w:pos="567"/>
              </w:tabs>
              <w:spacing w:before="120" w:line="280" w:lineRule="atLeast"/>
              <w:outlineLvl w:val="0"/>
              <w:rPr>
                <w:noProof/>
                <w:kern w:val="28"/>
                <w:szCs w:val="22"/>
              </w:rPr>
            </w:pPr>
            <w:r w:rsidRPr="00900C8E">
              <w:rPr>
                <w:noProof/>
                <w:kern w:val="28"/>
                <w:szCs w:val="22"/>
                <w:lang w:val="en-US"/>
              </w:rPr>
              <w:t>Spring 202</w:t>
            </w:r>
            <w:r>
              <w:rPr>
                <w:noProof/>
                <w:kern w:val="28"/>
                <w:szCs w:val="22"/>
                <w:lang w:val="en-US"/>
              </w:rPr>
              <w:t>7</w:t>
            </w:r>
          </w:p>
        </w:tc>
        <w:tc>
          <w:tcPr>
            <w:tcW w:w="1984" w:type="dxa"/>
            <w:shd w:val="clear" w:color="auto" w:fill="auto"/>
          </w:tcPr>
          <w:p w14:paraId="10CFF16E" w14:textId="77F41002" w:rsidR="00D00CC7" w:rsidRPr="00900C8E" w:rsidRDefault="00D00CC7" w:rsidP="00D00CC7">
            <w:pPr>
              <w:tabs>
                <w:tab w:val="clear" w:pos="567"/>
              </w:tabs>
              <w:spacing w:before="120" w:line="280" w:lineRule="atLeast"/>
              <w:outlineLvl w:val="0"/>
              <w:rPr>
                <w:noProof/>
                <w:kern w:val="28"/>
                <w:szCs w:val="22"/>
                <w:lang w:val="en-US"/>
              </w:rPr>
            </w:pPr>
            <w:r w:rsidRPr="00900C8E">
              <w:rPr>
                <w:noProof/>
                <w:kern w:val="28"/>
                <w:szCs w:val="22"/>
                <w:lang w:val="en-US"/>
              </w:rPr>
              <w:t>OSPAR Committees</w:t>
            </w:r>
          </w:p>
        </w:tc>
        <w:tc>
          <w:tcPr>
            <w:tcW w:w="5410" w:type="dxa"/>
            <w:shd w:val="clear" w:color="auto" w:fill="auto"/>
          </w:tcPr>
          <w:p w14:paraId="146DB8D8" w14:textId="691727F1" w:rsidR="00D00CC7" w:rsidRPr="00900C8E" w:rsidRDefault="00D00CC7" w:rsidP="00D00CC7">
            <w:pPr>
              <w:tabs>
                <w:tab w:val="clear" w:pos="567"/>
              </w:tabs>
              <w:spacing w:before="120" w:line="280" w:lineRule="atLeast"/>
              <w:outlineLvl w:val="0"/>
              <w:rPr>
                <w:noProof/>
                <w:kern w:val="28"/>
                <w:szCs w:val="22"/>
                <w:lang w:val="en-US"/>
              </w:rPr>
            </w:pPr>
            <w:r w:rsidRPr="00900C8E">
              <w:rPr>
                <w:noProof/>
                <w:kern w:val="28"/>
                <w:szCs w:val="22"/>
                <w:lang w:val="en-US"/>
              </w:rPr>
              <w:t>Review of proposed amendments</w:t>
            </w:r>
            <w:r>
              <w:rPr>
                <w:noProof/>
                <w:kern w:val="28"/>
                <w:szCs w:val="22"/>
                <w:lang w:val="en-US"/>
              </w:rPr>
              <w:t xml:space="preserve"> to ensure they address the agreed policy outcomes, provide comments to JL</w:t>
            </w:r>
            <w:r w:rsidRPr="00900C8E">
              <w:rPr>
                <w:noProof/>
                <w:kern w:val="28"/>
                <w:szCs w:val="22"/>
                <w:lang w:val="en-US"/>
              </w:rPr>
              <w:t xml:space="preserve"> and agreement to forward </w:t>
            </w:r>
            <w:r>
              <w:rPr>
                <w:noProof/>
                <w:kern w:val="28"/>
                <w:szCs w:val="22"/>
                <w:lang w:val="en-US"/>
              </w:rPr>
              <w:t xml:space="preserve">them </w:t>
            </w:r>
            <w:r w:rsidRPr="00900C8E">
              <w:rPr>
                <w:noProof/>
                <w:kern w:val="28"/>
                <w:szCs w:val="22"/>
                <w:lang w:val="en-US"/>
              </w:rPr>
              <w:t>to HOD</w:t>
            </w:r>
            <w:r>
              <w:rPr>
                <w:noProof/>
                <w:kern w:val="28"/>
                <w:szCs w:val="22"/>
                <w:lang w:val="en-US"/>
              </w:rPr>
              <w:t>.</w:t>
            </w:r>
          </w:p>
        </w:tc>
      </w:tr>
      <w:tr w:rsidR="00D00CC7" w:rsidRPr="00900C8E" w14:paraId="29F9395D" w14:textId="77777777" w:rsidTr="00DD6CAA">
        <w:tc>
          <w:tcPr>
            <w:tcW w:w="1668" w:type="dxa"/>
            <w:shd w:val="clear" w:color="auto" w:fill="auto"/>
          </w:tcPr>
          <w:p w14:paraId="45ECFF50" w14:textId="07C381DF" w:rsidR="00D00CC7" w:rsidRPr="00D00CC7" w:rsidRDefault="00D00CC7" w:rsidP="00D00CC7">
            <w:pPr>
              <w:tabs>
                <w:tab w:val="clear" w:pos="567"/>
              </w:tabs>
              <w:spacing w:before="120" w:line="280" w:lineRule="atLeast"/>
              <w:outlineLvl w:val="0"/>
              <w:rPr>
                <w:noProof/>
                <w:kern w:val="28"/>
                <w:szCs w:val="22"/>
              </w:rPr>
            </w:pPr>
            <w:r w:rsidRPr="00900C8E">
              <w:rPr>
                <w:noProof/>
                <w:kern w:val="28"/>
                <w:szCs w:val="22"/>
                <w:lang w:val="en-US"/>
              </w:rPr>
              <w:t>Spring 202</w:t>
            </w:r>
            <w:r>
              <w:rPr>
                <w:noProof/>
                <w:kern w:val="28"/>
                <w:szCs w:val="22"/>
                <w:lang w:val="en-US"/>
              </w:rPr>
              <w:t>7</w:t>
            </w:r>
          </w:p>
        </w:tc>
        <w:tc>
          <w:tcPr>
            <w:tcW w:w="1984" w:type="dxa"/>
            <w:shd w:val="clear" w:color="auto" w:fill="auto"/>
          </w:tcPr>
          <w:p w14:paraId="300B6752" w14:textId="775C8768" w:rsidR="00D00CC7" w:rsidRPr="00900C8E" w:rsidRDefault="00D00CC7" w:rsidP="00D00CC7">
            <w:pPr>
              <w:tabs>
                <w:tab w:val="clear" w:pos="567"/>
              </w:tabs>
              <w:spacing w:before="120" w:line="280" w:lineRule="atLeast"/>
              <w:outlineLvl w:val="0"/>
              <w:rPr>
                <w:noProof/>
                <w:kern w:val="28"/>
                <w:szCs w:val="22"/>
                <w:lang w:val="en-US"/>
              </w:rPr>
            </w:pPr>
            <w:r w:rsidRPr="00900C8E">
              <w:rPr>
                <w:noProof/>
                <w:kern w:val="28"/>
                <w:szCs w:val="22"/>
                <w:lang w:val="en-US"/>
              </w:rPr>
              <w:t>Jurists Linguists</w:t>
            </w:r>
          </w:p>
        </w:tc>
        <w:tc>
          <w:tcPr>
            <w:tcW w:w="5410" w:type="dxa"/>
            <w:shd w:val="clear" w:color="auto" w:fill="auto"/>
          </w:tcPr>
          <w:p w14:paraId="408784AA" w14:textId="33C39DD6" w:rsidR="00D00CC7" w:rsidRPr="00900C8E" w:rsidRDefault="00D00CC7" w:rsidP="00D00CC7">
            <w:pPr>
              <w:tabs>
                <w:tab w:val="clear" w:pos="567"/>
              </w:tabs>
              <w:spacing w:before="120" w:line="280" w:lineRule="atLeast"/>
              <w:outlineLvl w:val="0"/>
              <w:rPr>
                <w:noProof/>
                <w:kern w:val="28"/>
                <w:szCs w:val="22"/>
                <w:lang w:val="en-US"/>
              </w:rPr>
            </w:pPr>
            <w:r w:rsidRPr="00900C8E">
              <w:rPr>
                <w:noProof/>
                <w:kern w:val="28"/>
                <w:szCs w:val="22"/>
                <w:lang w:val="en-US"/>
              </w:rPr>
              <w:t>Scrutiny of the proposed amendements</w:t>
            </w:r>
            <w:r>
              <w:rPr>
                <w:noProof/>
                <w:kern w:val="28"/>
                <w:szCs w:val="22"/>
                <w:lang w:val="en-US"/>
              </w:rPr>
              <w:t>.</w:t>
            </w:r>
          </w:p>
        </w:tc>
      </w:tr>
      <w:tr w:rsidR="00D00CC7" w:rsidRPr="00900C8E" w14:paraId="10D210E7" w14:textId="77777777" w:rsidTr="00DD6CAA">
        <w:tc>
          <w:tcPr>
            <w:tcW w:w="1668" w:type="dxa"/>
            <w:shd w:val="clear" w:color="auto" w:fill="auto"/>
          </w:tcPr>
          <w:p w14:paraId="5ECEAFEC" w14:textId="7F87EDCC" w:rsidR="00D00CC7" w:rsidRPr="00D00CC7" w:rsidRDefault="00D00CC7" w:rsidP="00D00CC7">
            <w:pPr>
              <w:tabs>
                <w:tab w:val="clear" w:pos="567"/>
              </w:tabs>
              <w:spacing w:before="120" w:line="280" w:lineRule="atLeast"/>
              <w:outlineLvl w:val="0"/>
              <w:rPr>
                <w:noProof/>
                <w:kern w:val="28"/>
                <w:szCs w:val="22"/>
              </w:rPr>
            </w:pPr>
            <w:r w:rsidRPr="00900C8E">
              <w:rPr>
                <w:noProof/>
                <w:kern w:val="28"/>
                <w:szCs w:val="22"/>
                <w:lang w:val="en-US"/>
              </w:rPr>
              <w:t>May 202</w:t>
            </w:r>
            <w:r>
              <w:rPr>
                <w:noProof/>
                <w:kern w:val="28"/>
                <w:szCs w:val="22"/>
                <w:lang w:val="en-US"/>
              </w:rPr>
              <w:t>7</w:t>
            </w:r>
          </w:p>
        </w:tc>
        <w:tc>
          <w:tcPr>
            <w:tcW w:w="1984" w:type="dxa"/>
            <w:shd w:val="clear" w:color="auto" w:fill="auto"/>
          </w:tcPr>
          <w:p w14:paraId="3A3FE8FF" w14:textId="58C17F32" w:rsidR="00D00CC7" w:rsidRPr="00900C8E" w:rsidRDefault="00D00CC7" w:rsidP="00D00CC7">
            <w:pPr>
              <w:tabs>
                <w:tab w:val="clear" w:pos="567"/>
              </w:tabs>
              <w:spacing w:before="120" w:line="280" w:lineRule="atLeast"/>
              <w:outlineLvl w:val="0"/>
              <w:rPr>
                <w:noProof/>
                <w:kern w:val="28"/>
                <w:szCs w:val="22"/>
                <w:lang w:val="en-US"/>
              </w:rPr>
            </w:pPr>
            <w:r w:rsidRPr="00900C8E">
              <w:rPr>
                <w:noProof/>
                <w:kern w:val="28"/>
                <w:szCs w:val="22"/>
                <w:lang w:val="en-US"/>
              </w:rPr>
              <w:t>HOD</w:t>
            </w:r>
          </w:p>
        </w:tc>
        <w:tc>
          <w:tcPr>
            <w:tcW w:w="5410" w:type="dxa"/>
            <w:shd w:val="clear" w:color="auto" w:fill="auto"/>
          </w:tcPr>
          <w:p w14:paraId="40DA4691" w14:textId="123981E6" w:rsidR="00D00CC7" w:rsidRPr="00900C8E" w:rsidRDefault="00D00CC7" w:rsidP="00D00CC7">
            <w:pPr>
              <w:tabs>
                <w:tab w:val="clear" w:pos="567"/>
              </w:tabs>
              <w:spacing w:before="120" w:line="280" w:lineRule="atLeast"/>
              <w:outlineLvl w:val="0"/>
              <w:rPr>
                <w:noProof/>
                <w:kern w:val="28"/>
                <w:szCs w:val="22"/>
                <w:lang w:val="en-US"/>
              </w:rPr>
            </w:pPr>
            <w:r w:rsidRPr="00900C8E">
              <w:rPr>
                <w:noProof/>
                <w:kern w:val="28"/>
                <w:szCs w:val="22"/>
                <w:lang w:val="en-US"/>
              </w:rPr>
              <w:t xml:space="preserve">Review of proposed amendments and </w:t>
            </w:r>
            <w:r>
              <w:rPr>
                <w:noProof/>
                <w:kern w:val="28"/>
                <w:szCs w:val="22"/>
                <w:lang w:val="en-US"/>
              </w:rPr>
              <w:t xml:space="preserve">approval or </w:t>
            </w:r>
            <w:r w:rsidRPr="00900C8E">
              <w:rPr>
                <w:noProof/>
                <w:kern w:val="28"/>
                <w:szCs w:val="22"/>
                <w:lang w:val="en-US"/>
              </w:rPr>
              <w:t>request for further work at technical</w:t>
            </w:r>
            <w:r>
              <w:rPr>
                <w:noProof/>
                <w:kern w:val="28"/>
                <w:szCs w:val="22"/>
                <w:lang w:val="en-US"/>
              </w:rPr>
              <w:t>/legal</w:t>
            </w:r>
            <w:r w:rsidRPr="00900C8E">
              <w:rPr>
                <w:noProof/>
                <w:kern w:val="28"/>
                <w:szCs w:val="22"/>
                <w:lang w:val="en-US"/>
              </w:rPr>
              <w:t xml:space="preserve"> level</w:t>
            </w:r>
            <w:r>
              <w:rPr>
                <w:noProof/>
                <w:kern w:val="28"/>
                <w:szCs w:val="22"/>
                <w:lang w:val="en-US"/>
              </w:rPr>
              <w:t xml:space="preserve"> if needed.</w:t>
            </w:r>
          </w:p>
        </w:tc>
      </w:tr>
      <w:tr w:rsidR="00D00CC7" w:rsidRPr="00900C8E" w14:paraId="0785F922" w14:textId="77777777" w:rsidTr="00DD6CAA">
        <w:tc>
          <w:tcPr>
            <w:tcW w:w="1668" w:type="dxa"/>
            <w:shd w:val="clear" w:color="auto" w:fill="auto"/>
          </w:tcPr>
          <w:p w14:paraId="6E706084" w14:textId="3E9BC135" w:rsidR="00D00CC7" w:rsidRPr="00D00CC7" w:rsidRDefault="00D00CC7" w:rsidP="00D00CC7">
            <w:pPr>
              <w:tabs>
                <w:tab w:val="clear" w:pos="567"/>
              </w:tabs>
              <w:spacing w:before="120" w:line="280" w:lineRule="atLeast"/>
              <w:outlineLvl w:val="0"/>
              <w:rPr>
                <w:noProof/>
                <w:kern w:val="28"/>
                <w:szCs w:val="22"/>
              </w:rPr>
            </w:pPr>
            <w:r w:rsidRPr="00900C8E">
              <w:rPr>
                <w:noProof/>
                <w:kern w:val="28"/>
                <w:szCs w:val="22"/>
                <w:lang w:val="en-US"/>
              </w:rPr>
              <w:t>June 202</w:t>
            </w:r>
            <w:r>
              <w:rPr>
                <w:noProof/>
                <w:kern w:val="28"/>
                <w:szCs w:val="22"/>
                <w:lang w:val="en-US"/>
              </w:rPr>
              <w:t>7</w:t>
            </w:r>
          </w:p>
        </w:tc>
        <w:tc>
          <w:tcPr>
            <w:tcW w:w="1984" w:type="dxa"/>
            <w:shd w:val="clear" w:color="auto" w:fill="auto"/>
          </w:tcPr>
          <w:p w14:paraId="6833A348" w14:textId="00D2EB9B" w:rsidR="00D00CC7" w:rsidRPr="00900C8E" w:rsidRDefault="00D00CC7" w:rsidP="00D00CC7">
            <w:pPr>
              <w:tabs>
                <w:tab w:val="clear" w:pos="567"/>
              </w:tabs>
              <w:spacing w:before="120" w:line="280" w:lineRule="atLeast"/>
              <w:outlineLvl w:val="0"/>
              <w:rPr>
                <w:noProof/>
                <w:kern w:val="28"/>
                <w:szCs w:val="22"/>
                <w:lang w:val="en-US"/>
              </w:rPr>
            </w:pPr>
            <w:r w:rsidRPr="00900C8E">
              <w:rPr>
                <w:noProof/>
                <w:kern w:val="28"/>
                <w:szCs w:val="22"/>
                <w:lang w:val="en-US"/>
              </w:rPr>
              <w:t>OSPAR Commission</w:t>
            </w:r>
          </w:p>
        </w:tc>
        <w:tc>
          <w:tcPr>
            <w:tcW w:w="5410" w:type="dxa"/>
            <w:shd w:val="clear" w:color="auto" w:fill="auto"/>
          </w:tcPr>
          <w:p w14:paraId="36A53D46" w14:textId="77777777" w:rsidR="00D00CC7" w:rsidRDefault="00D00CC7" w:rsidP="00D00CC7">
            <w:pPr>
              <w:tabs>
                <w:tab w:val="clear" w:pos="567"/>
              </w:tabs>
              <w:spacing w:before="120" w:line="280" w:lineRule="atLeast"/>
              <w:outlineLvl w:val="0"/>
              <w:rPr>
                <w:noProof/>
                <w:kern w:val="28"/>
                <w:szCs w:val="22"/>
                <w:lang w:val="en-US"/>
              </w:rPr>
            </w:pPr>
            <w:r w:rsidRPr="00900C8E">
              <w:rPr>
                <w:noProof/>
                <w:kern w:val="28"/>
                <w:szCs w:val="22"/>
                <w:lang w:val="en-US"/>
              </w:rPr>
              <w:t>Agreement on proposed amendements if no further work is needed, ortherwise agreement on the next steps to finalise the proposed amendments.</w:t>
            </w:r>
          </w:p>
          <w:p w14:paraId="200C00C3" w14:textId="338BE2A2" w:rsidR="00D00CC7" w:rsidRPr="00900C8E" w:rsidRDefault="00375B9C" w:rsidP="00D00CC7">
            <w:pPr>
              <w:tabs>
                <w:tab w:val="clear" w:pos="567"/>
              </w:tabs>
              <w:spacing w:before="120" w:line="280" w:lineRule="atLeast"/>
              <w:outlineLvl w:val="0"/>
              <w:rPr>
                <w:noProof/>
                <w:kern w:val="28"/>
                <w:szCs w:val="22"/>
                <w:lang w:val="en-US"/>
              </w:rPr>
            </w:pPr>
            <w:r>
              <w:rPr>
                <w:noProof/>
                <w:kern w:val="28"/>
                <w:szCs w:val="22"/>
                <w:lang w:val="en-US"/>
              </w:rPr>
              <w:lastRenderedPageBreak/>
              <w:t>Checkpoint: r</w:t>
            </w:r>
            <w:r w:rsidR="00D00CC7">
              <w:rPr>
                <w:noProof/>
                <w:kern w:val="28"/>
                <w:szCs w:val="22"/>
                <w:lang w:val="en-US"/>
              </w:rPr>
              <w:t>eview the timeline and consider if another meeting cycle is required to further develop and consider the amendments</w:t>
            </w:r>
          </w:p>
        </w:tc>
      </w:tr>
      <w:tr w:rsidR="003A43A1" w:rsidRPr="00900C8E" w14:paraId="6EF78A9C" w14:textId="77777777" w:rsidTr="00DD6CAA">
        <w:tc>
          <w:tcPr>
            <w:tcW w:w="1668" w:type="dxa"/>
            <w:shd w:val="clear" w:color="auto" w:fill="auto"/>
          </w:tcPr>
          <w:p w14:paraId="2102C936" w14:textId="2E287FA4"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lastRenderedPageBreak/>
              <w:t>Summer and Autumn 202</w:t>
            </w:r>
            <w:r w:rsidR="00D00CC7">
              <w:rPr>
                <w:noProof/>
                <w:kern w:val="28"/>
                <w:szCs w:val="22"/>
                <w:lang w:val="en-US"/>
              </w:rPr>
              <w:t>7</w:t>
            </w:r>
          </w:p>
        </w:tc>
        <w:tc>
          <w:tcPr>
            <w:tcW w:w="1984" w:type="dxa"/>
            <w:shd w:val="clear" w:color="auto" w:fill="auto"/>
          </w:tcPr>
          <w:p w14:paraId="02EDD4F8"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WG-AOC</w:t>
            </w:r>
            <w:r>
              <w:rPr>
                <w:noProof/>
                <w:kern w:val="28"/>
                <w:szCs w:val="22"/>
                <w:lang w:val="en-US"/>
              </w:rPr>
              <w:t>/JL</w:t>
            </w:r>
          </w:p>
        </w:tc>
        <w:tc>
          <w:tcPr>
            <w:tcW w:w="5410" w:type="dxa"/>
            <w:shd w:val="clear" w:color="auto" w:fill="auto"/>
          </w:tcPr>
          <w:p w14:paraId="790FD1FB" w14:textId="6E2797C6"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If needed, additional meetings of WG-AOC</w:t>
            </w:r>
            <w:r w:rsidR="00952B04">
              <w:rPr>
                <w:noProof/>
                <w:kern w:val="28"/>
                <w:szCs w:val="22"/>
                <w:lang w:val="en-US"/>
              </w:rPr>
              <w:t>/JL</w:t>
            </w:r>
            <w:r w:rsidRPr="00900C8E">
              <w:rPr>
                <w:noProof/>
                <w:kern w:val="28"/>
                <w:szCs w:val="22"/>
                <w:lang w:val="en-US"/>
              </w:rPr>
              <w:t xml:space="preserve"> to refine the proposed amendements given </w:t>
            </w:r>
            <w:r w:rsidR="00952B04">
              <w:rPr>
                <w:noProof/>
                <w:kern w:val="28"/>
                <w:szCs w:val="22"/>
                <w:lang w:val="en-US"/>
              </w:rPr>
              <w:t>OSPAR’s</w:t>
            </w:r>
            <w:r w:rsidRPr="00900C8E">
              <w:rPr>
                <w:noProof/>
                <w:kern w:val="28"/>
                <w:szCs w:val="22"/>
                <w:lang w:val="en-US"/>
              </w:rPr>
              <w:t xml:space="preserve"> </w:t>
            </w:r>
            <w:r>
              <w:rPr>
                <w:noProof/>
                <w:kern w:val="28"/>
                <w:szCs w:val="22"/>
                <w:lang w:val="en-US"/>
              </w:rPr>
              <w:t>steer</w:t>
            </w:r>
            <w:r w:rsidR="00F2601B">
              <w:rPr>
                <w:noProof/>
                <w:kern w:val="28"/>
                <w:szCs w:val="22"/>
                <w:lang w:val="en-US"/>
              </w:rPr>
              <w:t>.</w:t>
            </w:r>
          </w:p>
        </w:tc>
      </w:tr>
      <w:tr w:rsidR="003A43A1" w:rsidRPr="00900C8E" w14:paraId="10F38CFA" w14:textId="77777777" w:rsidTr="00DD6CAA">
        <w:tc>
          <w:tcPr>
            <w:tcW w:w="1668" w:type="dxa"/>
            <w:shd w:val="clear" w:color="auto" w:fill="auto"/>
          </w:tcPr>
          <w:p w14:paraId="298D8054" w14:textId="228146DC" w:rsidR="003A43A1" w:rsidRPr="00900C8E" w:rsidRDefault="0076592F" w:rsidP="00DD6CAA">
            <w:pPr>
              <w:tabs>
                <w:tab w:val="clear" w:pos="567"/>
              </w:tabs>
              <w:spacing w:before="120" w:line="280" w:lineRule="atLeast"/>
              <w:outlineLvl w:val="0"/>
              <w:rPr>
                <w:noProof/>
                <w:kern w:val="28"/>
                <w:szCs w:val="22"/>
                <w:lang w:val="en-US"/>
              </w:rPr>
            </w:pPr>
            <w:r>
              <w:rPr>
                <w:noProof/>
                <w:kern w:val="28"/>
                <w:szCs w:val="22"/>
                <w:lang w:val="en-US"/>
              </w:rPr>
              <w:t>Autumn</w:t>
            </w:r>
            <w:r w:rsidRPr="00900C8E">
              <w:rPr>
                <w:noProof/>
                <w:kern w:val="28"/>
                <w:szCs w:val="22"/>
                <w:lang w:val="en-US"/>
              </w:rPr>
              <w:t xml:space="preserve"> </w:t>
            </w:r>
            <w:r w:rsidR="003A43A1" w:rsidRPr="00900C8E">
              <w:rPr>
                <w:noProof/>
                <w:kern w:val="28"/>
                <w:szCs w:val="22"/>
                <w:lang w:val="en-US"/>
              </w:rPr>
              <w:t>202</w:t>
            </w:r>
            <w:r w:rsidR="00D00CC7">
              <w:rPr>
                <w:noProof/>
                <w:kern w:val="28"/>
                <w:szCs w:val="22"/>
                <w:lang w:val="en-US"/>
              </w:rPr>
              <w:t>7</w:t>
            </w:r>
          </w:p>
        </w:tc>
        <w:tc>
          <w:tcPr>
            <w:tcW w:w="1984" w:type="dxa"/>
            <w:shd w:val="clear" w:color="auto" w:fill="auto"/>
          </w:tcPr>
          <w:p w14:paraId="3480E185"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HOD</w:t>
            </w:r>
          </w:p>
        </w:tc>
        <w:tc>
          <w:tcPr>
            <w:tcW w:w="5410" w:type="dxa"/>
            <w:shd w:val="clear" w:color="auto" w:fill="auto"/>
          </w:tcPr>
          <w:p w14:paraId="4F587E56"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Agreement in principle</w:t>
            </w:r>
            <w:r>
              <w:rPr>
                <w:noProof/>
                <w:kern w:val="28"/>
                <w:szCs w:val="22"/>
                <w:lang w:val="en-US"/>
              </w:rPr>
              <w:t>, and subject to the results of the consultations,</w:t>
            </w:r>
            <w:r w:rsidRPr="00900C8E">
              <w:rPr>
                <w:noProof/>
                <w:kern w:val="28"/>
                <w:szCs w:val="22"/>
                <w:lang w:val="en-US"/>
              </w:rPr>
              <w:t xml:space="preserve"> to adopt the proposed amendements</w:t>
            </w:r>
            <w:r>
              <w:rPr>
                <w:noProof/>
                <w:kern w:val="28"/>
                <w:szCs w:val="22"/>
                <w:lang w:val="en-US"/>
              </w:rPr>
              <w:t>, in line with Article 15 of the Convention amendments need to be submitted 6 months before their adoption.</w:t>
            </w:r>
          </w:p>
        </w:tc>
      </w:tr>
      <w:tr w:rsidR="003A43A1" w:rsidRPr="00900C8E" w14:paraId="40EED28D" w14:textId="77777777" w:rsidTr="00DD6CAA">
        <w:tc>
          <w:tcPr>
            <w:tcW w:w="1668" w:type="dxa"/>
            <w:shd w:val="clear" w:color="auto" w:fill="auto"/>
          </w:tcPr>
          <w:p w14:paraId="6A73FD3A" w14:textId="1164D422"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Winter 202</w:t>
            </w:r>
            <w:r w:rsidR="00D00CC7">
              <w:rPr>
                <w:noProof/>
                <w:kern w:val="28"/>
                <w:szCs w:val="22"/>
                <w:lang w:val="en-US"/>
              </w:rPr>
              <w:t>7</w:t>
            </w:r>
            <w:r w:rsidRPr="00900C8E">
              <w:rPr>
                <w:noProof/>
                <w:kern w:val="28"/>
                <w:szCs w:val="22"/>
                <w:lang w:val="en-US"/>
              </w:rPr>
              <w:t>-Spring 202</w:t>
            </w:r>
            <w:r w:rsidR="00D00CC7">
              <w:rPr>
                <w:noProof/>
                <w:kern w:val="28"/>
                <w:szCs w:val="22"/>
                <w:lang w:val="en-US"/>
              </w:rPr>
              <w:t>8</w:t>
            </w:r>
          </w:p>
        </w:tc>
        <w:tc>
          <w:tcPr>
            <w:tcW w:w="1984" w:type="dxa"/>
            <w:shd w:val="clear" w:color="auto" w:fill="auto"/>
          </w:tcPr>
          <w:p w14:paraId="7EC692ED"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Contracting Parties</w:t>
            </w:r>
          </w:p>
        </w:tc>
        <w:tc>
          <w:tcPr>
            <w:tcW w:w="5410" w:type="dxa"/>
            <w:shd w:val="clear" w:color="auto" w:fill="auto"/>
          </w:tcPr>
          <w:p w14:paraId="22FF8DC7"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National and EU consultations</w:t>
            </w:r>
          </w:p>
        </w:tc>
      </w:tr>
      <w:tr w:rsidR="003A43A1" w:rsidRPr="00900C8E" w14:paraId="3AFD69F2" w14:textId="77777777" w:rsidTr="00DD6CAA">
        <w:tc>
          <w:tcPr>
            <w:tcW w:w="1668" w:type="dxa"/>
            <w:shd w:val="clear" w:color="auto" w:fill="auto"/>
          </w:tcPr>
          <w:p w14:paraId="25103B19" w14:textId="00CAC24E" w:rsidR="003A43A1" w:rsidRPr="00900C8E" w:rsidRDefault="003A43A1" w:rsidP="00DD6CAA">
            <w:pPr>
              <w:tabs>
                <w:tab w:val="clear" w:pos="567"/>
              </w:tabs>
              <w:spacing w:before="120" w:line="280" w:lineRule="atLeast"/>
              <w:outlineLvl w:val="0"/>
              <w:rPr>
                <w:noProof/>
                <w:kern w:val="28"/>
                <w:szCs w:val="22"/>
                <w:lang w:val="en-US"/>
              </w:rPr>
            </w:pPr>
            <w:r>
              <w:rPr>
                <w:noProof/>
                <w:kern w:val="28"/>
                <w:szCs w:val="22"/>
                <w:lang w:val="en-US"/>
              </w:rPr>
              <w:t>April</w:t>
            </w:r>
            <w:r w:rsidRPr="00900C8E">
              <w:rPr>
                <w:noProof/>
                <w:kern w:val="28"/>
                <w:szCs w:val="22"/>
                <w:lang w:val="en-US"/>
              </w:rPr>
              <w:t xml:space="preserve"> 202</w:t>
            </w:r>
            <w:r w:rsidR="00D00CC7">
              <w:rPr>
                <w:noProof/>
                <w:kern w:val="28"/>
                <w:szCs w:val="22"/>
                <w:lang w:val="en-US"/>
              </w:rPr>
              <w:t>8</w:t>
            </w:r>
          </w:p>
        </w:tc>
        <w:tc>
          <w:tcPr>
            <w:tcW w:w="1984" w:type="dxa"/>
            <w:shd w:val="clear" w:color="auto" w:fill="auto"/>
          </w:tcPr>
          <w:p w14:paraId="7AB7F9AE"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Jurists Linguits</w:t>
            </w:r>
          </w:p>
        </w:tc>
        <w:tc>
          <w:tcPr>
            <w:tcW w:w="5410" w:type="dxa"/>
            <w:shd w:val="clear" w:color="auto" w:fill="auto"/>
          </w:tcPr>
          <w:p w14:paraId="7EF292FA"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Final scrutiny of proposed amendments, with potential changes from the consultations</w:t>
            </w:r>
            <w:r>
              <w:rPr>
                <w:noProof/>
                <w:kern w:val="28"/>
                <w:szCs w:val="22"/>
                <w:lang w:val="en-US"/>
              </w:rPr>
              <w:t>.</w:t>
            </w:r>
          </w:p>
        </w:tc>
      </w:tr>
      <w:tr w:rsidR="003A43A1" w:rsidRPr="00900C8E" w14:paraId="05BD4127" w14:textId="77777777" w:rsidTr="00DD6CAA">
        <w:tc>
          <w:tcPr>
            <w:tcW w:w="1668" w:type="dxa"/>
            <w:shd w:val="clear" w:color="auto" w:fill="auto"/>
          </w:tcPr>
          <w:p w14:paraId="26D63CC3" w14:textId="1D29A8A3"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May 202</w:t>
            </w:r>
            <w:r w:rsidR="00D00CC7">
              <w:rPr>
                <w:noProof/>
                <w:kern w:val="28"/>
                <w:szCs w:val="22"/>
                <w:lang w:val="en-US"/>
              </w:rPr>
              <w:t>8</w:t>
            </w:r>
          </w:p>
        </w:tc>
        <w:tc>
          <w:tcPr>
            <w:tcW w:w="1984" w:type="dxa"/>
            <w:shd w:val="clear" w:color="auto" w:fill="auto"/>
          </w:tcPr>
          <w:p w14:paraId="03E5C223"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HOD</w:t>
            </w:r>
          </w:p>
        </w:tc>
        <w:tc>
          <w:tcPr>
            <w:tcW w:w="5410" w:type="dxa"/>
            <w:shd w:val="clear" w:color="auto" w:fill="auto"/>
          </w:tcPr>
          <w:p w14:paraId="20555C28"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Agreement to forward the proposed amendements for adoption to the Commission</w:t>
            </w:r>
            <w:r>
              <w:rPr>
                <w:noProof/>
                <w:kern w:val="28"/>
                <w:szCs w:val="22"/>
                <w:lang w:val="en-US"/>
              </w:rPr>
              <w:t>.</w:t>
            </w:r>
          </w:p>
        </w:tc>
      </w:tr>
      <w:tr w:rsidR="003A43A1" w:rsidRPr="00900C8E" w14:paraId="7CB72C76" w14:textId="77777777" w:rsidTr="00DD6CAA">
        <w:tc>
          <w:tcPr>
            <w:tcW w:w="1668" w:type="dxa"/>
            <w:shd w:val="clear" w:color="auto" w:fill="auto"/>
          </w:tcPr>
          <w:p w14:paraId="487927BF" w14:textId="7E1766CF"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June 202</w:t>
            </w:r>
            <w:r w:rsidR="00D00CC7">
              <w:rPr>
                <w:noProof/>
                <w:kern w:val="28"/>
                <w:szCs w:val="22"/>
                <w:lang w:val="en-US"/>
              </w:rPr>
              <w:t>8</w:t>
            </w:r>
          </w:p>
        </w:tc>
        <w:tc>
          <w:tcPr>
            <w:tcW w:w="1984" w:type="dxa"/>
            <w:shd w:val="clear" w:color="auto" w:fill="auto"/>
          </w:tcPr>
          <w:p w14:paraId="6AF6952A"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OSPAR Commission</w:t>
            </w:r>
          </w:p>
        </w:tc>
        <w:tc>
          <w:tcPr>
            <w:tcW w:w="5410" w:type="dxa"/>
            <w:shd w:val="clear" w:color="auto" w:fill="auto"/>
          </w:tcPr>
          <w:p w14:paraId="10C550BD" w14:textId="77777777" w:rsidR="003A43A1" w:rsidRPr="00900C8E" w:rsidRDefault="003A43A1" w:rsidP="00DD6CAA">
            <w:pPr>
              <w:tabs>
                <w:tab w:val="clear" w:pos="567"/>
              </w:tabs>
              <w:spacing w:before="120" w:line="280" w:lineRule="atLeast"/>
              <w:outlineLvl w:val="0"/>
              <w:rPr>
                <w:noProof/>
                <w:kern w:val="28"/>
                <w:szCs w:val="22"/>
                <w:lang w:val="en-US"/>
              </w:rPr>
            </w:pPr>
            <w:r w:rsidRPr="00900C8E">
              <w:rPr>
                <w:noProof/>
                <w:kern w:val="28"/>
                <w:szCs w:val="22"/>
                <w:lang w:val="en-US"/>
              </w:rPr>
              <w:t>Adoption of the amendments</w:t>
            </w:r>
          </w:p>
        </w:tc>
      </w:tr>
    </w:tbl>
    <w:p w14:paraId="1A31A7DA" w14:textId="77777777" w:rsidR="003A43A1" w:rsidRPr="002F748E" w:rsidRDefault="003A43A1" w:rsidP="003A43A1">
      <w:pPr>
        <w:tabs>
          <w:tab w:val="clear" w:pos="567"/>
        </w:tabs>
        <w:spacing w:before="120" w:line="280" w:lineRule="atLeast"/>
        <w:outlineLvl w:val="0"/>
        <w:rPr>
          <w:noProof/>
          <w:kern w:val="28"/>
          <w:szCs w:val="22"/>
          <w:lang w:val="en-US"/>
        </w:rPr>
      </w:pPr>
    </w:p>
    <w:p w14:paraId="3BF37AF9" w14:textId="77777777" w:rsidR="00044782" w:rsidRPr="00D02E50" w:rsidRDefault="00044782" w:rsidP="003A43A1">
      <w:pPr>
        <w:tabs>
          <w:tab w:val="clear" w:pos="567"/>
          <w:tab w:val="left" w:pos="357"/>
        </w:tabs>
        <w:spacing w:after="160" w:line="259" w:lineRule="auto"/>
        <w:contextualSpacing/>
        <w:rPr>
          <w:rFonts w:cs="Calibri"/>
          <w:sz w:val="24"/>
          <w:szCs w:val="24"/>
          <w:lang w:eastAsia="zh-CN"/>
        </w:rPr>
      </w:pPr>
    </w:p>
    <w:p w14:paraId="15BAF6B3" w14:textId="77777777" w:rsidR="00044782" w:rsidRPr="007D3336" w:rsidRDefault="00044782" w:rsidP="00044782">
      <w:pPr>
        <w:pStyle w:val="ListParagraph"/>
        <w:tabs>
          <w:tab w:val="clear" w:pos="567"/>
          <w:tab w:val="left" w:pos="0"/>
        </w:tabs>
        <w:spacing w:before="120" w:line="280" w:lineRule="atLeast"/>
        <w:ind w:left="0"/>
        <w:jc w:val="left"/>
      </w:pPr>
    </w:p>
    <w:p w14:paraId="4096EE9E" w14:textId="77777777" w:rsidR="00044782" w:rsidRPr="007D3336" w:rsidRDefault="00044782" w:rsidP="00044782">
      <w:pPr>
        <w:tabs>
          <w:tab w:val="left" w:pos="1134"/>
          <w:tab w:val="left" w:pos="1701"/>
          <w:tab w:val="left" w:pos="2268"/>
        </w:tabs>
        <w:spacing w:line="240" w:lineRule="auto"/>
      </w:pPr>
    </w:p>
    <w:p w14:paraId="49A0EEC8" w14:textId="77777777" w:rsidR="00044782" w:rsidRDefault="00044782"/>
    <w:sectPr w:rsidR="00044782">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29231" w14:textId="77777777" w:rsidR="00044782" w:rsidRDefault="00044782">
      <w:r>
        <w:separator/>
      </w:r>
    </w:p>
  </w:endnote>
  <w:endnote w:type="continuationSeparator" w:id="0">
    <w:p w14:paraId="2D426794" w14:textId="77777777" w:rsidR="00044782" w:rsidRDefault="0004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55DB" w14:textId="77777777" w:rsidR="009B41C9" w:rsidRDefault="004C21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A26177" w14:textId="77777777" w:rsidR="009B41C9" w:rsidRDefault="009B4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3A01" w14:textId="77777777" w:rsidR="00AC132D" w:rsidRPr="00FE0BD5" w:rsidRDefault="00AC132D" w:rsidP="00AC132D">
    <w:pPr>
      <w:pStyle w:val="Footer"/>
      <w:pBdr>
        <w:bottom w:val="single" w:sz="4" w:space="1" w:color="auto"/>
      </w:pBdr>
      <w:jc w:val="right"/>
      <w:rPr>
        <w:noProof/>
        <w:sz w:val="20"/>
      </w:rPr>
    </w:pPr>
    <w:r w:rsidRPr="00724ED7">
      <w:rPr>
        <w:sz w:val="20"/>
      </w:rPr>
      <w:fldChar w:fldCharType="begin"/>
    </w:r>
    <w:r w:rsidRPr="00FE0BD5">
      <w:rPr>
        <w:sz w:val="20"/>
      </w:rPr>
      <w:instrText xml:space="preserve"> PAGE   \* MERGEFORMAT </w:instrText>
    </w:r>
    <w:r w:rsidRPr="00724ED7">
      <w:rPr>
        <w:sz w:val="20"/>
      </w:rPr>
      <w:fldChar w:fldCharType="separate"/>
    </w:r>
    <w:r>
      <w:t>1</w:t>
    </w:r>
    <w:r w:rsidRPr="00724ED7">
      <w:rPr>
        <w:noProof/>
        <w:sz w:val="20"/>
      </w:rPr>
      <w:fldChar w:fldCharType="end"/>
    </w:r>
  </w:p>
  <w:p w14:paraId="674C2568" w14:textId="5BB2BC74" w:rsidR="009B41C9" w:rsidRPr="00AC132D" w:rsidRDefault="00AC132D" w:rsidP="00AC132D">
    <w:pPr>
      <w:pStyle w:val="Footer"/>
      <w:tabs>
        <w:tab w:val="clear" w:pos="567"/>
        <w:tab w:val="center" w:pos="4820"/>
        <w:tab w:val="right" w:pos="9639"/>
      </w:tabs>
    </w:pPr>
    <w:r w:rsidRPr="00433D09">
      <w:rPr>
        <w:rFonts w:asciiTheme="minorHAnsi" w:hAnsiTheme="minorHAnsi" w:cstheme="minorHAnsi"/>
        <w:sz w:val="20"/>
      </w:rPr>
      <w:t>OSPAR Commission</w:t>
    </w:r>
    <w:r w:rsidRPr="00433D09">
      <w:rPr>
        <w:rFonts w:asciiTheme="minorHAnsi" w:hAnsiTheme="minorHAnsi" w:cstheme="minorHAnsi"/>
        <w:sz w:val="20"/>
      </w:rPr>
      <w:tab/>
      <w:t>Summary Record – OSPAR 2025</w:t>
    </w:r>
    <w:r w:rsidRPr="00433D09">
      <w:rPr>
        <w:rFonts w:asciiTheme="minorHAnsi" w:hAnsiTheme="minorHAnsi" w:cstheme="minorHAnsi"/>
        <w:sz w:val="20"/>
      </w:rPr>
      <w:tab/>
      <w:t xml:space="preserve">OSPAR 25/14/01, Annex </w:t>
    </w:r>
    <w:r w:rsidR="00B03BEC">
      <w:rPr>
        <w:rFonts w:asciiTheme="minorHAnsi" w:hAnsiTheme="minorHAnsi" w:cstheme="minorHAnsi"/>
        <w:sz w:val="20"/>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C041" w14:textId="77777777" w:rsidR="00B03BEC" w:rsidRDefault="00B03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B9D2" w14:textId="77777777" w:rsidR="00044782" w:rsidRDefault="00044782">
      <w:r>
        <w:separator/>
      </w:r>
    </w:p>
  </w:footnote>
  <w:footnote w:type="continuationSeparator" w:id="0">
    <w:p w14:paraId="528507AD" w14:textId="77777777" w:rsidR="00044782" w:rsidRDefault="0004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2B7F" w14:textId="77777777" w:rsidR="00B03BEC" w:rsidRDefault="00B03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9083" w14:textId="77777777" w:rsidR="00B03BEC" w:rsidRDefault="00B03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A3EA" w14:textId="77777777" w:rsidR="00B03BEC" w:rsidRDefault="00B03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06FE2C"/>
    <w:lvl w:ilvl="0">
      <w:start w:val="1"/>
      <w:numFmt w:val="decimal"/>
      <w:pStyle w:val="ListNumber"/>
      <w:lvlText w:val="%1."/>
      <w:lvlJc w:val="left"/>
      <w:pPr>
        <w:tabs>
          <w:tab w:val="num" w:pos="360"/>
        </w:tabs>
        <w:ind w:left="360" w:hanging="360"/>
      </w:pPr>
      <w:rPr>
        <w:rFonts w:hint="default"/>
        <w:b w:val="0"/>
        <w:i w:val="0"/>
        <w:color w:val="16288E"/>
        <w:sz w:val="20"/>
      </w:rPr>
    </w:lvl>
  </w:abstractNum>
  <w:abstractNum w:abstractNumId="1" w15:restartNumberingAfterBreak="0">
    <w:nsid w:val="FFFFFF89"/>
    <w:multiLevelType w:val="singleLevel"/>
    <w:tmpl w:val="E5DCAF2A"/>
    <w:lvl w:ilvl="0">
      <w:start w:val="1"/>
      <w:numFmt w:val="bullet"/>
      <w:pStyle w:val="ListBullet"/>
      <w:lvlText w:val=""/>
      <w:lvlJc w:val="left"/>
      <w:pPr>
        <w:tabs>
          <w:tab w:val="num" w:pos="360"/>
        </w:tabs>
        <w:ind w:left="357" w:hanging="357"/>
      </w:pPr>
      <w:rPr>
        <w:rFonts w:ascii="Symbol" w:hAnsi="Symbol" w:hint="default"/>
        <w:color w:val="0C2677"/>
      </w:rPr>
    </w:lvl>
  </w:abstractNum>
  <w:abstractNum w:abstractNumId="2" w15:restartNumberingAfterBreak="0">
    <w:nsid w:val="13320794"/>
    <w:multiLevelType w:val="hybridMultilevel"/>
    <w:tmpl w:val="695EBE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14318E"/>
    <w:multiLevelType w:val="hybridMultilevel"/>
    <w:tmpl w:val="D62864F6"/>
    <w:lvl w:ilvl="0" w:tplc="E5FEFE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0915179">
    <w:abstractNumId w:val="1"/>
  </w:num>
  <w:num w:numId="2" w16cid:durableId="1911110836">
    <w:abstractNumId w:val="1"/>
  </w:num>
  <w:num w:numId="3" w16cid:durableId="113865468">
    <w:abstractNumId w:val="0"/>
  </w:num>
  <w:num w:numId="4" w16cid:durableId="841746654">
    <w:abstractNumId w:val="0"/>
  </w:num>
  <w:num w:numId="5" w16cid:durableId="604579206">
    <w:abstractNumId w:val="3"/>
  </w:num>
  <w:num w:numId="6" w16cid:durableId="1960145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82"/>
    <w:rsid w:val="00033ACD"/>
    <w:rsid w:val="00044782"/>
    <w:rsid w:val="00045287"/>
    <w:rsid w:val="00047051"/>
    <w:rsid w:val="00080C9B"/>
    <w:rsid w:val="000A165A"/>
    <w:rsid w:val="000C3166"/>
    <w:rsid w:val="00101EB4"/>
    <w:rsid w:val="0013675C"/>
    <w:rsid w:val="00137C7F"/>
    <w:rsid w:val="001A4393"/>
    <w:rsid w:val="001C101B"/>
    <w:rsid w:val="001C1D15"/>
    <w:rsid w:val="001C50CD"/>
    <w:rsid w:val="001D72DC"/>
    <w:rsid w:val="001E2D06"/>
    <w:rsid w:val="00204A97"/>
    <w:rsid w:val="00215B36"/>
    <w:rsid w:val="0022335B"/>
    <w:rsid w:val="00224994"/>
    <w:rsid w:val="00232802"/>
    <w:rsid w:val="002473CF"/>
    <w:rsid w:val="00272BBB"/>
    <w:rsid w:val="00284A5C"/>
    <w:rsid w:val="002869D1"/>
    <w:rsid w:val="002A77E5"/>
    <w:rsid w:val="002B20DF"/>
    <w:rsid w:val="002E13D3"/>
    <w:rsid w:val="002F14ED"/>
    <w:rsid w:val="003058B2"/>
    <w:rsid w:val="00326F4B"/>
    <w:rsid w:val="003530A8"/>
    <w:rsid w:val="00370A6E"/>
    <w:rsid w:val="00372564"/>
    <w:rsid w:val="00375B9C"/>
    <w:rsid w:val="00396F3F"/>
    <w:rsid w:val="003974ED"/>
    <w:rsid w:val="003A259B"/>
    <w:rsid w:val="003A43A1"/>
    <w:rsid w:val="003C6B99"/>
    <w:rsid w:val="003D1798"/>
    <w:rsid w:val="003E0A0A"/>
    <w:rsid w:val="003E588A"/>
    <w:rsid w:val="003F3616"/>
    <w:rsid w:val="003F7278"/>
    <w:rsid w:val="00416B13"/>
    <w:rsid w:val="00426B5B"/>
    <w:rsid w:val="00467C0C"/>
    <w:rsid w:val="00476F01"/>
    <w:rsid w:val="004C210B"/>
    <w:rsid w:val="004C79C6"/>
    <w:rsid w:val="005315B9"/>
    <w:rsid w:val="00535ED4"/>
    <w:rsid w:val="005410A1"/>
    <w:rsid w:val="00543751"/>
    <w:rsid w:val="00552349"/>
    <w:rsid w:val="00561441"/>
    <w:rsid w:val="005814B2"/>
    <w:rsid w:val="0058641E"/>
    <w:rsid w:val="00586695"/>
    <w:rsid w:val="005871C8"/>
    <w:rsid w:val="00593E6B"/>
    <w:rsid w:val="005E4632"/>
    <w:rsid w:val="005E5C8A"/>
    <w:rsid w:val="005F0343"/>
    <w:rsid w:val="005F2106"/>
    <w:rsid w:val="006034E5"/>
    <w:rsid w:val="00615B9C"/>
    <w:rsid w:val="00622231"/>
    <w:rsid w:val="00676987"/>
    <w:rsid w:val="00677D7A"/>
    <w:rsid w:val="006A1F21"/>
    <w:rsid w:val="006A6BCA"/>
    <w:rsid w:val="006C0764"/>
    <w:rsid w:val="006D1E08"/>
    <w:rsid w:val="006D2F00"/>
    <w:rsid w:val="00704855"/>
    <w:rsid w:val="0076592F"/>
    <w:rsid w:val="00770B69"/>
    <w:rsid w:val="00797790"/>
    <w:rsid w:val="007A5515"/>
    <w:rsid w:val="007B5CD8"/>
    <w:rsid w:val="007D1BF0"/>
    <w:rsid w:val="007E0DC6"/>
    <w:rsid w:val="007E2058"/>
    <w:rsid w:val="007F300B"/>
    <w:rsid w:val="007F6A2E"/>
    <w:rsid w:val="007F7F25"/>
    <w:rsid w:val="00802301"/>
    <w:rsid w:val="00803950"/>
    <w:rsid w:val="00804D36"/>
    <w:rsid w:val="008156F9"/>
    <w:rsid w:val="00827408"/>
    <w:rsid w:val="0083011E"/>
    <w:rsid w:val="0083546A"/>
    <w:rsid w:val="00874F7C"/>
    <w:rsid w:val="008960EB"/>
    <w:rsid w:val="008A4032"/>
    <w:rsid w:val="008C14E8"/>
    <w:rsid w:val="008D0DB8"/>
    <w:rsid w:val="008D39CF"/>
    <w:rsid w:val="00931762"/>
    <w:rsid w:val="00934B16"/>
    <w:rsid w:val="00936327"/>
    <w:rsid w:val="00951016"/>
    <w:rsid w:val="00952B04"/>
    <w:rsid w:val="00985DE0"/>
    <w:rsid w:val="00987485"/>
    <w:rsid w:val="009B41C9"/>
    <w:rsid w:val="009E1E51"/>
    <w:rsid w:val="009E2A9B"/>
    <w:rsid w:val="009F1834"/>
    <w:rsid w:val="00A02C67"/>
    <w:rsid w:val="00A20E5D"/>
    <w:rsid w:val="00A27AF0"/>
    <w:rsid w:val="00A463FF"/>
    <w:rsid w:val="00A52F2E"/>
    <w:rsid w:val="00A6543A"/>
    <w:rsid w:val="00A708BD"/>
    <w:rsid w:val="00A77240"/>
    <w:rsid w:val="00A83EA3"/>
    <w:rsid w:val="00A923A9"/>
    <w:rsid w:val="00AC132D"/>
    <w:rsid w:val="00B03BEC"/>
    <w:rsid w:val="00B13D13"/>
    <w:rsid w:val="00B3385B"/>
    <w:rsid w:val="00B61707"/>
    <w:rsid w:val="00B64AB0"/>
    <w:rsid w:val="00BA0160"/>
    <w:rsid w:val="00BB2F36"/>
    <w:rsid w:val="00BC1C43"/>
    <w:rsid w:val="00BC33C6"/>
    <w:rsid w:val="00BF699A"/>
    <w:rsid w:val="00C346AF"/>
    <w:rsid w:val="00C64483"/>
    <w:rsid w:val="00CC7544"/>
    <w:rsid w:val="00CE2A03"/>
    <w:rsid w:val="00D00CC7"/>
    <w:rsid w:val="00D30A18"/>
    <w:rsid w:val="00D530F7"/>
    <w:rsid w:val="00D76360"/>
    <w:rsid w:val="00D94A02"/>
    <w:rsid w:val="00DC56BC"/>
    <w:rsid w:val="00DC5A87"/>
    <w:rsid w:val="00DE7DC2"/>
    <w:rsid w:val="00DF1C69"/>
    <w:rsid w:val="00DF322A"/>
    <w:rsid w:val="00E20364"/>
    <w:rsid w:val="00E3075F"/>
    <w:rsid w:val="00E34180"/>
    <w:rsid w:val="00E429DF"/>
    <w:rsid w:val="00E51D32"/>
    <w:rsid w:val="00E63046"/>
    <w:rsid w:val="00E74246"/>
    <w:rsid w:val="00E90C99"/>
    <w:rsid w:val="00E96B39"/>
    <w:rsid w:val="00EA0FC6"/>
    <w:rsid w:val="00ED6029"/>
    <w:rsid w:val="00EF4122"/>
    <w:rsid w:val="00EF7677"/>
    <w:rsid w:val="00F02177"/>
    <w:rsid w:val="00F14A7C"/>
    <w:rsid w:val="00F14C29"/>
    <w:rsid w:val="00F22E42"/>
    <w:rsid w:val="00F2601B"/>
    <w:rsid w:val="00F402FE"/>
    <w:rsid w:val="00F61156"/>
    <w:rsid w:val="00F72128"/>
    <w:rsid w:val="00F87374"/>
    <w:rsid w:val="00FC04AF"/>
    <w:rsid w:val="00FC6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5FEB5"/>
  <w15:chartTrackingRefBased/>
  <w15:docId w15:val="{2BD114F8-F652-40D1-A435-F3F399EC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782"/>
    <w:pPr>
      <w:tabs>
        <w:tab w:val="left" w:pos="567"/>
      </w:tabs>
      <w:spacing w:after="120" w:line="276" w:lineRule="auto"/>
      <w:jc w:val="both"/>
    </w:pPr>
    <w:rPr>
      <w:rFonts w:ascii="Calibri" w:hAnsi="Calibri"/>
      <w:sz w:val="22"/>
      <w:lang w:eastAsia="en-US"/>
    </w:rPr>
  </w:style>
  <w:style w:type="paragraph" w:styleId="Heading1">
    <w:name w:val="heading 1"/>
    <w:next w:val="BodyText"/>
    <w:qFormat/>
    <w:pPr>
      <w:keepNext/>
      <w:spacing w:after="280" w:line="400" w:lineRule="atLeast"/>
      <w:outlineLvl w:val="0"/>
    </w:pPr>
    <w:rPr>
      <w:rFonts w:ascii="Arial" w:hAnsi="Arial"/>
      <w:noProof/>
      <w:color w:val="16288E"/>
      <w:kern w:val="32"/>
      <w:sz w:val="40"/>
    </w:rPr>
  </w:style>
  <w:style w:type="paragraph" w:styleId="Heading2">
    <w:name w:val="heading 2"/>
    <w:next w:val="BodyText"/>
    <w:qFormat/>
    <w:pPr>
      <w:keepNext/>
      <w:spacing w:after="60" w:line="280" w:lineRule="atLeast"/>
      <w:outlineLvl w:val="1"/>
    </w:pPr>
    <w:rPr>
      <w:rFonts w:ascii="Arial" w:hAnsi="Arial"/>
      <w:noProof/>
      <w:color w:val="16288E"/>
      <w:sz w:val="28"/>
    </w:rPr>
  </w:style>
  <w:style w:type="paragraph" w:styleId="Heading3">
    <w:name w:val="heading 3"/>
    <w:next w:val="BodyText"/>
    <w:qFormat/>
    <w:pPr>
      <w:keepNext/>
      <w:spacing w:line="280" w:lineRule="atLeast"/>
      <w:outlineLvl w:val="2"/>
    </w:pPr>
    <w:rPr>
      <w:rFonts w:ascii="Arial" w:hAnsi="Arial"/>
      <w:b/>
      <w:noProof/>
      <w:color w:val="16288E"/>
    </w:rPr>
  </w:style>
  <w:style w:type="paragraph" w:styleId="Heading4">
    <w:name w:val="heading 4"/>
    <w:basedOn w:val="Normal"/>
    <w:next w:val="Normal"/>
    <w:link w:val="Heading4Char"/>
    <w:uiPriority w:val="9"/>
    <w:semiHidden/>
    <w:unhideWhenUsed/>
    <w:qFormat/>
    <w:rsid w:val="0004478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4478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044782"/>
    <w:p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uiPriority w:val="9"/>
    <w:semiHidden/>
    <w:unhideWhenUsed/>
    <w:qFormat/>
    <w:rsid w:val="00044782"/>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044782"/>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44782"/>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aliases w:val="Footer1"/>
    <w:basedOn w:val="Normal"/>
    <w:link w:val="FooterChar"/>
    <w:uiPriority w:val="99"/>
  </w:style>
  <w:style w:type="character" w:styleId="PageNumber">
    <w:name w:val="page number"/>
    <w:basedOn w:val="DefaultParagraphFont"/>
  </w:style>
  <w:style w:type="paragraph" w:styleId="TOC2">
    <w:name w:val="toc 2"/>
    <w:next w:val="Normal"/>
    <w:autoRedefine/>
    <w:semiHidden/>
    <w:pPr>
      <w:tabs>
        <w:tab w:val="left" w:pos="1134"/>
        <w:tab w:val="left" w:pos="2268"/>
        <w:tab w:val="left" w:pos="2552"/>
        <w:tab w:val="left" w:pos="3119"/>
        <w:tab w:val="right" w:leader="dot" w:pos="8448"/>
      </w:tabs>
      <w:spacing w:before="60" w:after="60"/>
      <w:ind w:left="3119" w:right="1134" w:hanging="1418"/>
    </w:pPr>
    <w:rPr>
      <w:rFonts w:ascii="Arial" w:hAnsi="Arial"/>
      <w:noProof/>
    </w:rPr>
  </w:style>
  <w:style w:type="paragraph" w:styleId="TOC3">
    <w:name w:val="toc 3"/>
    <w:basedOn w:val="BodyText"/>
    <w:next w:val="Normal"/>
    <w:autoRedefine/>
    <w:semiHidden/>
    <w:pPr>
      <w:tabs>
        <w:tab w:val="left" w:pos="851"/>
        <w:tab w:val="left" w:pos="1134"/>
        <w:tab w:val="left" w:pos="2268"/>
        <w:tab w:val="right" w:leader="dot" w:pos="8448"/>
      </w:tabs>
      <w:spacing w:after="0"/>
      <w:ind w:left="2268" w:right="1134"/>
    </w:pPr>
    <w:rPr>
      <w:noProof/>
    </w:rPr>
  </w:style>
  <w:style w:type="paragraph" w:styleId="BodyText">
    <w:name w:val="Body Text"/>
    <w:basedOn w:val="Normal"/>
    <w:semiHidden/>
    <w:pPr>
      <w:spacing w:after="140"/>
    </w:pPr>
  </w:style>
  <w:style w:type="paragraph" w:styleId="TOC4">
    <w:name w:val="toc 4"/>
    <w:basedOn w:val="Normal"/>
    <w:next w:val="Normal"/>
    <w:autoRedefine/>
    <w:semiHidden/>
    <w:pPr>
      <w:tabs>
        <w:tab w:val="right" w:leader="dot" w:pos="8448"/>
        <w:tab w:val="right" w:pos="8505"/>
      </w:tabs>
      <w:ind w:left="2835" w:right="1134"/>
    </w:pPr>
  </w:style>
  <w:style w:type="paragraph" w:customStyle="1" w:styleId="Address">
    <w:name w:val="Address"/>
    <w:pPr>
      <w:spacing w:line="180" w:lineRule="atLeast"/>
    </w:pPr>
    <w:rPr>
      <w:rFonts w:ascii="Arial" w:hAnsi="Arial"/>
      <w:noProof/>
      <w:color w:val="16288E"/>
      <w:sz w:val="16"/>
    </w:rPr>
  </w:style>
  <w:style w:type="paragraph" w:styleId="EndnoteText">
    <w:name w:val="endnote text"/>
    <w:basedOn w:val="Normal"/>
    <w:semiHidden/>
    <w:pPr>
      <w:spacing w:after="140"/>
    </w:pPr>
  </w:style>
  <w:style w:type="paragraph" w:styleId="EnvelopeAddress">
    <w:name w:val="envelope address"/>
    <w:basedOn w:val="Normal"/>
    <w:semiHidden/>
    <w:pPr>
      <w:framePr w:w="7920" w:h="1980" w:hRule="exact" w:hSpace="180" w:wrap="auto" w:hAnchor="page" w:xAlign="center" w:yAlign="bottom"/>
      <w:ind w:left="2880"/>
    </w:pPr>
  </w:style>
  <w:style w:type="character" w:styleId="FollowedHyperlink">
    <w:name w:val="FollowedHyperlink"/>
    <w:semiHidden/>
    <w:rPr>
      <w:color w:val="808080"/>
      <w:u w:val="none"/>
    </w:rPr>
  </w:style>
  <w:style w:type="paragraph" w:styleId="FootnoteText">
    <w:name w:val="footnote text"/>
    <w:aliases w:val="Ftnote Txt 11ptG,Geneva 9,Font: Geneva 9,Boston 10,f,ft,Fotnotstext Char,ft Char,single space,footnote text,FOOTNOTES,ADB,single space1,footnote text1,FOOTNOTES1,fn1,ADB1,single space2,footnote text2,FOOTNOTES2,fn2,ADB2,single space3,fn3"/>
    <w:link w:val="FootnoteTextChar"/>
    <w:uiPriority w:val="99"/>
    <w:pPr>
      <w:spacing w:after="100" w:line="200" w:lineRule="atLeast"/>
    </w:pPr>
    <w:rPr>
      <w:rFonts w:ascii="Arial" w:hAnsi="Arial"/>
      <w:noProof/>
      <w:sz w:val="16"/>
    </w:rPr>
  </w:style>
  <w:style w:type="character" w:styleId="Hyperlink">
    <w:name w:val="Hyperlink"/>
    <w:semiHidden/>
    <w:rPr>
      <w:color w:val="16288E"/>
      <w:u w:val="none"/>
    </w:rPr>
  </w:style>
  <w:style w:type="paragraph" w:customStyle="1" w:styleId="Introduction">
    <w:name w:val="Introduction"/>
    <w:basedOn w:val="BodyText"/>
    <w:next w:val="BodyText"/>
    <w:rPr>
      <w:b/>
      <w:color w:val="16288E"/>
    </w:rPr>
  </w:style>
  <w:style w:type="paragraph" w:styleId="ListBullet">
    <w:name w:val="List Bullet"/>
    <w:basedOn w:val="Normal"/>
    <w:semiHidden/>
    <w:pPr>
      <w:numPr>
        <w:numId w:val="2"/>
      </w:numPr>
      <w:spacing w:after="140"/>
    </w:pPr>
  </w:style>
  <w:style w:type="paragraph" w:styleId="ListNumber">
    <w:name w:val="List Number"/>
    <w:basedOn w:val="Normal"/>
    <w:semiHidden/>
    <w:pPr>
      <w:numPr>
        <w:numId w:val="4"/>
      </w:numPr>
      <w:spacing w:after="140"/>
    </w:pPr>
  </w:style>
  <w:style w:type="paragraph" w:styleId="Title">
    <w:name w:val="Title"/>
    <w:qFormat/>
    <w:pPr>
      <w:spacing w:line="480" w:lineRule="atLeast"/>
      <w:outlineLvl w:val="0"/>
    </w:pPr>
    <w:rPr>
      <w:rFonts w:ascii="Arial" w:hAnsi="Arial"/>
      <w:noProof/>
      <w:color w:val="16288E"/>
      <w:kern w:val="28"/>
      <w:sz w:val="48"/>
    </w:rPr>
  </w:style>
  <w:style w:type="character" w:customStyle="1" w:styleId="Heading4Char">
    <w:name w:val="Heading 4 Char"/>
    <w:basedOn w:val="DefaultParagraphFont"/>
    <w:link w:val="Heading4"/>
    <w:uiPriority w:val="9"/>
    <w:semiHidden/>
    <w:rsid w:val="0004478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4478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4478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04478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04478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044782"/>
    <w:rPr>
      <w:rFonts w:asciiTheme="majorHAnsi" w:eastAsiaTheme="majorEastAsia" w:hAnsiTheme="majorHAnsi" w:cstheme="majorBidi"/>
      <w:sz w:val="22"/>
      <w:szCs w:val="22"/>
    </w:rPr>
  </w:style>
  <w:style w:type="paragraph" w:styleId="Subtitle">
    <w:name w:val="Subtitle"/>
    <w:basedOn w:val="Normal"/>
    <w:next w:val="Normal"/>
    <w:link w:val="SubtitleChar"/>
    <w:uiPriority w:val="11"/>
    <w:qFormat/>
    <w:rsid w:val="00044782"/>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44782"/>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0447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4782"/>
    <w:rPr>
      <w:rFonts w:ascii="Arial" w:hAnsi="Arial"/>
      <w:i/>
      <w:iCs/>
      <w:color w:val="404040" w:themeColor="text1" w:themeTint="BF"/>
    </w:rPr>
  </w:style>
  <w:style w:type="paragraph" w:styleId="ListParagraph">
    <w:name w:val="List Paragraph"/>
    <w:aliases w:val="_Bullet,Heading 2_sj,List Paragraph1,Listenabsatz1,Normal bullet 2,Bullet list,Dot pt,Parágrafo da Lista,Liststycke,No Spacing1,List Paragraph Char Char Char,Indicator Text,Numbered Para 1,Bullet 1,Bullet Points,MAIN CONTENT"/>
    <w:basedOn w:val="Normal"/>
    <w:link w:val="ListParagraphChar"/>
    <w:uiPriority w:val="34"/>
    <w:qFormat/>
    <w:rsid w:val="00044782"/>
    <w:pPr>
      <w:ind w:left="720"/>
    </w:pPr>
  </w:style>
  <w:style w:type="character" w:styleId="IntenseEmphasis">
    <w:name w:val="Intense Emphasis"/>
    <w:basedOn w:val="DefaultParagraphFont"/>
    <w:uiPriority w:val="21"/>
    <w:qFormat/>
    <w:rsid w:val="00044782"/>
    <w:rPr>
      <w:i/>
      <w:iCs/>
      <w:color w:val="365F91" w:themeColor="accent1" w:themeShade="BF"/>
    </w:rPr>
  </w:style>
  <w:style w:type="paragraph" w:styleId="IntenseQuote">
    <w:name w:val="Intense Quote"/>
    <w:basedOn w:val="Normal"/>
    <w:next w:val="Normal"/>
    <w:link w:val="IntenseQuoteChar"/>
    <w:uiPriority w:val="30"/>
    <w:qFormat/>
    <w:rsid w:val="00044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44782"/>
    <w:rPr>
      <w:rFonts w:ascii="Arial" w:hAnsi="Arial"/>
      <w:i/>
      <w:iCs/>
      <w:color w:val="365F91" w:themeColor="accent1" w:themeShade="BF"/>
    </w:rPr>
  </w:style>
  <w:style w:type="character" w:styleId="IntenseReference">
    <w:name w:val="Intense Reference"/>
    <w:basedOn w:val="DefaultParagraphFont"/>
    <w:uiPriority w:val="32"/>
    <w:qFormat/>
    <w:rsid w:val="00044782"/>
    <w:rPr>
      <w:b/>
      <w:bCs/>
      <w:smallCaps/>
      <w:color w:val="365F91" w:themeColor="accent1" w:themeShade="BF"/>
      <w:spacing w:val="5"/>
    </w:rPr>
  </w:style>
  <w:style w:type="character" w:styleId="FootnoteReference">
    <w:name w:val="footnote reference"/>
    <w:aliases w:val="stylish,number,Footnote Reference Superscript,-E Fußnotenzeichen,(Diplomarbeit FZ),(Diplomarbeit FZ)1,(Diplomarbeit FZ)2,(Diplomarbeit FZ)3,(Diplomarbeit FZ)4,(Diplomarbeit FZ)5,(Diplomarbeit FZ)6,(Diplomarbeit FZ)7,(Diplomarbeit FZ)8"/>
    <w:qFormat/>
    <w:rsid w:val="00044782"/>
    <w:rPr>
      <w:vertAlign w:val="superscript"/>
    </w:rPr>
  </w:style>
  <w:style w:type="character" w:customStyle="1" w:styleId="FootnoteTextChar">
    <w:name w:val="Footnote Text Char"/>
    <w:aliases w:val="Ftnote Txt 11ptG Char,Geneva 9 Char,Font: Geneva 9 Char,Boston 10 Char,f Char,ft Char1,Fotnotstext Char Char,ft Char Char,single space Char,footnote text Char,FOOTNOTES Char,ADB Char,single space1 Char,footnote text1 Char,fn1 Char"/>
    <w:link w:val="FootnoteText"/>
    <w:uiPriority w:val="99"/>
    <w:qFormat/>
    <w:rsid w:val="00044782"/>
    <w:rPr>
      <w:rFonts w:ascii="Arial" w:hAnsi="Arial"/>
      <w:noProof/>
      <w:sz w:val="16"/>
    </w:rPr>
  </w:style>
  <w:style w:type="character" w:customStyle="1" w:styleId="ListParagraphChar">
    <w:name w:val="List Paragraph Char"/>
    <w:aliases w:val="_Bullet Char,Heading 2_sj Char,List Paragraph1 Char,Listenabsatz1 Char,Normal bullet 2 Char,Bullet list Char,Dot pt Char,Parágrafo da Lista Char,Liststycke Char,No Spacing1 Char,List Paragraph Char Char Char Char,Indicator Text Char"/>
    <w:link w:val="ListParagraph"/>
    <w:uiPriority w:val="34"/>
    <w:qFormat/>
    <w:locked/>
    <w:rsid w:val="00044782"/>
    <w:rPr>
      <w:rFonts w:ascii="Arial" w:hAnsi="Arial"/>
    </w:rPr>
  </w:style>
  <w:style w:type="table" w:customStyle="1" w:styleId="TableGrid2">
    <w:name w:val="Table Grid2"/>
    <w:basedOn w:val="TableNormal"/>
    <w:next w:val="TableGrid"/>
    <w:uiPriority w:val="59"/>
    <w:rsid w:val="000447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44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6BCA"/>
    <w:rPr>
      <w:rFonts w:ascii="Calibri" w:hAnsi="Calibri"/>
      <w:sz w:val="22"/>
      <w:lang w:eastAsia="en-US"/>
    </w:rPr>
  </w:style>
  <w:style w:type="character" w:styleId="CommentReference">
    <w:name w:val="annotation reference"/>
    <w:basedOn w:val="DefaultParagraphFont"/>
    <w:uiPriority w:val="99"/>
    <w:semiHidden/>
    <w:unhideWhenUsed/>
    <w:rsid w:val="00D530F7"/>
    <w:rPr>
      <w:sz w:val="16"/>
      <w:szCs w:val="16"/>
    </w:rPr>
  </w:style>
  <w:style w:type="paragraph" w:styleId="CommentText">
    <w:name w:val="annotation text"/>
    <w:basedOn w:val="Normal"/>
    <w:link w:val="CommentTextChar"/>
    <w:uiPriority w:val="99"/>
    <w:unhideWhenUsed/>
    <w:rsid w:val="00D530F7"/>
    <w:pPr>
      <w:spacing w:line="240" w:lineRule="auto"/>
    </w:pPr>
    <w:rPr>
      <w:sz w:val="20"/>
    </w:rPr>
  </w:style>
  <w:style w:type="character" w:customStyle="1" w:styleId="CommentTextChar">
    <w:name w:val="Comment Text Char"/>
    <w:basedOn w:val="DefaultParagraphFont"/>
    <w:link w:val="CommentText"/>
    <w:uiPriority w:val="99"/>
    <w:rsid w:val="00D530F7"/>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D530F7"/>
    <w:rPr>
      <w:b/>
      <w:bCs/>
    </w:rPr>
  </w:style>
  <w:style w:type="character" w:customStyle="1" w:styleId="CommentSubjectChar">
    <w:name w:val="Comment Subject Char"/>
    <w:basedOn w:val="CommentTextChar"/>
    <w:link w:val="CommentSubject"/>
    <w:uiPriority w:val="99"/>
    <w:semiHidden/>
    <w:rsid w:val="00D530F7"/>
    <w:rPr>
      <w:rFonts w:ascii="Calibri" w:hAnsi="Calibri"/>
      <w:b/>
      <w:bCs/>
      <w:lang w:eastAsia="en-US"/>
    </w:rPr>
  </w:style>
  <w:style w:type="character" w:customStyle="1" w:styleId="FooterChar">
    <w:name w:val="Footer Char"/>
    <w:aliases w:val="Footer1 Char"/>
    <w:link w:val="Footer"/>
    <w:uiPriority w:val="99"/>
    <w:rsid w:val="00AC132D"/>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982</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Middleton</dc:creator>
  <cp:keywords/>
  <dc:description/>
  <cp:lastModifiedBy>Barbara Middleton</cp:lastModifiedBy>
  <cp:revision>9</cp:revision>
  <dcterms:created xsi:type="dcterms:W3CDTF">2025-06-25T12:37:00Z</dcterms:created>
  <dcterms:modified xsi:type="dcterms:W3CDTF">2025-06-30T08:29:00Z</dcterms:modified>
</cp:coreProperties>
</file>