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6" w:type="pct"/>
        <w:tblCellMar>
          <w:top w:w="85" w:type="dxa"/>
          <w:left w:w="0" w:type="dxa"/>
          <w:bottom w:w="85" w:type="dxa"/>
          <w:right w:w="0" w:type="dxa"/>
        </w:tblCellMar>
        <w:tblLook w:val="01E0" w:firstRow="1" w:lastRow="1" w:firstColumn="1" w:lastColumn="1" w:noHBand="0" w:noVBand="0"/>
      </w:tblPr>
      <w:tblGrid>
        <w:gridCol w:w="3814"/>
        <w:gridCol w:w="5970"/>
      </w:tblGrid>
      <w:tr w:rsidR="00607366" w:rsidRPr="00482A15" w14:paraId="762B18E2" w14:textId="77777777" w:rsidTr="00421A56">
        <w:trPr>
          <w:trHeight w:val="284"/>
        </w:trPr>
        <w:tc>
          <w:tcPr>
            <w:tcW w:w="1949" w:type="pct"/>
          </w:tcPr>
          <w:p w14:paraId="7731BE1B" w14:textId="77777777" w:rsidR="00607366" w:rsidRPr="003956EB" w:rsidRDefault="00607366" w:rsidP="007B0863">
            <w:pPr>
              <w:spacing w:after="0"/>
            </w:pPr>
            <w:bookmarkStart w:id="0" w:name="_Hlk215006824"/>
          </w:p>
        </w:tc>
        <w:tc>
          <w:tcPr>
            <w:tcW w:w="3051" w:type="pct"/>
          </w:tcPr>
          <w:p w14:paraId="0769854A" w14:textId="17CAFE5F" w:rsidR="00607366" w:rsidRPr="00482A15" w:rsidRDefault="00607366" w:rsidP="00607366">
            <w:pPr>
              <w:jc w:val="right"/>
              <w:rPr>
                <w:sz w:val="26"/>
                <w:szCs w:val="26"/>
              </w:rPr>
            </w:pPr>
            <w:r w:rsidRPr="00482A15">
              <w:rPr>
                <w:sz w:val="26"/>
                <w:szCs w:val="26"/>
              </w:rPr>
              <w:t xml:space="preserve">Annex </w:t>
            </w:r>
            <w:r>
              <w:rPr>
                <w:sz w:val="26"/>
                <w:szCs w:val="26"/>
              </w:rPr>
              <w:t>3</w:t>
            </w:r>
          </w:p>
        </w:tc>
      </w:tr>
      <w:tr w:rsidR="00607366" w:rsidRPr="008D470C" w14:paraId="6F704DCA" w14:textId="77777777" w:rsidTr="00421A56">
        <w:trPr>
          <w:trHeight w:val="284"/>
        </w:trPr>
        <w:tc>
          <w:tcPr>
            <w:tcW w:w="5000" w:type="pct"/>
            <w:gridSpan w:val="2"/>
          </w:tcPr>
          <w:p w14:paraId="6E668E5C" w14:textId="77777777" w:rsidR="00607366" w:rsidRPr="008D470C" w:rsidRDefault="00607366" w:rsidP="007B0863">
            <w:pPr>
              <w:spacing w:after="0"/>
              <w:rPr>
                <w:i/>
                <w:sz w:val="26"/>
                <w:szCs w:val="26"/>
              </w:rPr>
            </w:pPr>
            <w:r w:rsidRPr="00456195">
              <w:rPr>
                <w:sz w:val="26"/>
                <w:szCs w:val="26"/>
              </w:rPr>
              <w:t>OSPAR Convention for the Protection of the Marine Environment of the North-East Atlantic</w:t>
            </w:r>
          </w:p>
        </w:tc>
      </w:tr>
      <w:tr w:rsidR="00607366" w:rsidRPr="007033A2" w14:paraId="7C4AD33A" w14:textId="77777777" w:rsidTr="00421A56">
        <w:trPr>
          <w:trHeight w:val="978"/>
        </w:trPr>
        <w:tc>
          <w:tcPr>
            <w:tcW w:w="4998" w:type="pct"/>
            <w:gridSpan w:val="2"/>
            <w:tcBorders>
              <w:bottom w:val="single" w:sz="4" w:space="0" w:color="808080"/>
            </w:tcBorders>
          </w:tcPr>
          <w:p w14:paraId="42652DA7" w14:textId="77777777" w:rsidR="00607366" w:rsidRPr="001B5195" w:rsidRDefault="00607366" w:rsidP="007B0863">
            <w:pPr>
              <w:rPr>
                <w:rFonts w:cstheme="minorHAnsi"/>
                <w:sz w:val="26"/>
                <w:szCs w:val="26"/>
              </w:rPr>
            </w:pPr>
            <w:r w:rsidRPr="001B5195">
              <w:rPr>
                <w:rFonts w:cstheme="minorHAnsi"/>
                <w:sz w:val="26"/>
                <w:szCs w:val="26"/>
              </w:rPr>
              <w:t>Meeting of the Coordination Group (CoG)</w:t>
            </w:r>
          </w:p>
          <w:p w14:paraId="3E952F78" w14:textId="431FE4B9" w:rsidR="00607366" w:rsidRPr="007033A2" w:rsidRDefault="00607366" w:rsidP="007B0863">
            <w:pPr>
              <w:spacing w:after="0"/>
              <w:rPr>
                <w:sz w:val="26"/>
                <w:szCs w:val="26"/>
              </w:rPr>
            </w:pPr>
            <w:r w:rsidRPr="003A0CFF">
              <w:rPr>
                <w:rFonts w:cstheme="minorHAnsi"/>
                <w:sz w:val="26"/>
                <w:szCs w:val="26"/>
              </w:rPr>
              <w:t>London (United Kingdom): 17-19 November 2025</w:t>
            </w:r>
          </w:p>
        </w:tc>
      </w:tr>
      <w:bookmarkEnd w:id="0"/>
    </w:tbl>
    <w:p w14:paraId="0A8766F4" w14:textId="77777777" w:rsidR="001728A5" w:rsidRDefault="001728A5" w:rsidP="001728A5">
      <w:pPr>
        <w:spacing w:before="240" w:after="240" w:line="240" w:lineRule="auto"/>
        <w:rPr>
          <w:rFonts w:cs="Arial"/>
          <w:sz w:val="2"/>
          <w:szCs w:val="2"/>
          <w:lang w:eastAsia="en-GB"/>
        </w:rPr>
      </w:pPr>
    </w:p>
    <w:p w14:paraId="654A9296" w14:textId="77777777" w:rsidR="00607366" w:rsidRPr="001728A5" w:rsidRDefault="00607366" w:rsidP="001728A5">
      <w:pPr>
        <w:spacing w:before="240" w:after="240" w:line="240" w:lineRule="auto"/>
        <w:rPr>
          <w:rFonts w:cs="Arial"/>
          <w:sz w:val="2"/>
          <w:szCs w:val="2"/>
          <w:lang w:eastAsia="en-GB"/>
        </w:rPr>
      </w:pPr>
    </w:p>
    <w:p w14:paraId="1526E6FD" w14:textId="7009B334" w:rsidR="001728A5" w:rsidRPr="00053845" w:rsidRDefault="001728A5" w:rsidP="001728A5">
      <w:pPr>
        <w:spacing w:before="240" w:after="240" w:line="240" w:lineRule="auto"/>
        <w:rPr>
          <w:rFonts w:cs="Arial"/>
          <w:sz w:val="40"/>
          <w:szCs w:val="40"/>
        </w:rPr>
      </w:pPr>
      <w:r w:rsidRPr="00053845">
        <w:rPr>
          <w:rFonts w:cs="Arial"/>
          <w:sz w:val="40"/>
          <w:szCs w:val="40"/>
          <w:lang w:eastAsia="en-GB"/>
        </w:rPr>
        <w:t>Terms of Reference for ICG-Economic and Social Analysis (ICG-ESA), 20</w:t>
      </w:r>
      <w:r>
        <w:rPr>
          <w:rFonts w:cs="Arial"/>
          <w:sz w:val="40"/>
          <w:szCs w:val="40"/>
          <w:lang w:eastAsia="en-GB"/>
        </w:rPr>
        <w:t>25-</w:t>
      </w:r>
      <w:r w:rsidRPr="00053845">
        <w:rPr>
          <w:rFonts w:cs="Arial"/>
          <w:sz w:val="40"/>
          <w:szCs w:val="40"/>
          <w:lang w:eastAsia="en-GB"/>
        </w:rPr>
        <w:t>202</w:t>
      </w:r>
      <w:r>
        <w:rPr>
          <w:rFonts w:cs="Arial"/>
          <w:sz w:val="40"/>
          <w:szCs w:val="40"/>
          <w:lang w:eastAsia="en-GB"/>
        </w:rPr>
        <w:t>7</w:t>
      </w:r>
    </w:p>
    <w:p w14:paraId="107826E5" w14:textId="77777777" w:rsidR="001728A5" w:rsidRPr="00053845" w:rsidRDefault="001728A5" w:rsidP="001728A5">
      <w:pPr>
        <w:pStyle w:val="Heading1"/>
        <w:rPr>
          <w:lang w:eastAsia="en-GB"/>
        </w:rPr>
      </w:pPr>
      <w:r w:rsidRPr="00053845">
        <w:rPr>
          <w:lang w:eastAsia="en-GB"/>
        </w:rPr>
        <w:t>Background</w:t>
      </w:r>
    </w:p>
    <w:p w14:paraId="6C78CE65" w14:textId="77777777" w:rsidR="001728A5" w:rsidRPr="00053845" w:rsidRDefault="001728A5" w:rsidP="001728A5">
      <w:pPr>
        <w:pStyle w:val="ListParagraph"/>
      </w:pPr>
      <w:r w:rsidRPr="00053845">
        <w:t xml:space="preserve">One of the main strategic directions given in the </w:t>
      </w:r>
      <w:proofErr w:type="gramStart"/>
      <w:r w:rsidRPr="00053845">
        <w:t>North East</w:t>
      </w:r>
      <w:proofErr w:type="gramEnd"/>
      <w:r w:rsidRPr="00053845">
        <w:t xml:space="preserve"> Atlantic Environment Strategy is the further development and implementation of tools such as marine spatial planning, impact assessments and socio-economic assessments, </w:t>
      </w:r>
      <w:proofErr w:type="gramStart"/>
      <w:r w:rsidRPr="00053845">
        <w:t>in order to</w:t>
      </w:r>
      <w:proofErr w:type="gramEnd"/>
      <w:r w:rsidRPr="00053845">
        <w:t xml:space="preserve"> achieve the reduction in pressures which are adversely affecting the marine environment, and the sustainable use of ecosystem goods and services.</w:t>
      </w:r>
    </w:p>
    <w:p w14:paraId="7192E329" w14:textId="77777777" w:rsidR="001728A5" w:rsidRPr="00053845" w:rsidRDefault="001728A5" w:rsidP="001728A5">
      <w:pPr>
        <w:pStyle w:val="ListParagraph"/>
      </w:pPr>
      <w:r w:rsidRPr="00053845">
        <w:t>For those OSPAR Contracting Parties that are EU Member States the Marine Strategy Framework Directive (MSFD) also includes an obligation to carry out an economic and social analysis of the use of their marine waters and the cost of degradation as an integral part of their initial assessments (Article 8</w:t>
      </w:r>
      <w:r>
        <w:t>.</w:t>
      </w:r>
      <w:r w:rsidRPr="00053845">
        <w:t xml:space="preserve">1c). In addition, they need to ensure that new measures that need to be taken </w:t>
      </w:r>
      <w:proofErr w:type="gramStart"/>
      <w:r w:rsidRPr="00053845">
        <w:t>in order to</w:t>
      </w:r>
      <w:proofErr w:type="gramEnd"/>
      <w:r w:rsidRPr="00053845">
        <w:t xml:space="preserve"> achieve or maintain good environmental status are cost-effective and technically feasible, and these Contracting Parties </w:t>
      </w:r>
      <w:proofErr w:type="gramStart"/>
      <w:r w:rsidRPr="00053845">
        <w:t>have to</w:t>
      </w:r>
      <w:proofErr w:type="gramEnd"/>
      <w:r w:rsidRPr="00053845">
        <w:t xml:space="preserve"> carry out impact assessments, including cost-benefit analyses, prior to the introduction of any new measure (art 13.3). </w:t>
      </w:r>
    </w:p>
    <w:p w14:paraId="2B21A072" w14:textId="77777777" w:rsidR="001728A5" w:rsidRPr="00053845" w:rsidRDefault="001728A5" w:rsidP="001728A5">
      <w:pPr>
        <w:pStyle w:val="Heading1"/>
        <w:rPr>
          <w:lang w:eastAsia="en-GB"/>
        </w:rPr>
      </w:pPr>
      <w:r w:rsidRPr="00053845">
        <w:rPr>
          <w:lang w:eastAsia="en-GB"/>
        </w:rPr>
        <w:t>Participants</w:t>
      </w:r>
    </w:p>
    <w:p w14:paraId="4414F554" w14:textId="77777777" w:rsidR="001728A5" w:rsidRPr="00053845" w:rsidRDefault="001728A5" w:rsidP="001728A5">
      <w:pPr>
        <w:pStyle w:val="ListParagraph"/>
      </w:pPr>
      <w:r w:rsidRPr="00053845">
        <w:t xml:space="preserve">The group will be co-convened by </w:t>
      </w:r>
      <w:r>
        <w:t>Mr Ricardo Veloso Carvalho (PT)</w:t>
      </w:r>
      <w:r w:rsidRPr="00053845">
        <w:t xml:space="preserve"> and, in accordance with OSPAR Rules of Procedure, is open to all Contracting Parties and Observers.</w:t>
      </w:r>
    </w:p>
    <w:p w14:paraId="73146F07" w14:textId="77777777" w:rsidR="001728A5" w:rsidRPr="00053845" w:rsidRDefault="001728A5" w:rsidP="001728A5">
      <w:pPr>
        <w:pStyle w:val="ListParagraph"/>
      </w:pPr>
      <w:r w:rsidRPr="00053845">
        <w:t>ICG</w:t>
      </w:r>
      <w:r>
        <w:t>-ESA</w:t>
      </w:r>
      <w:r w:rsidRPr="00053845">
        <w:t xml:space="preserve"> will consist of a network of nominees from Contracting Parties, including social scientists (experts and scientists working in the disciplines of economics and environmental economics, also sociology and social-behaviour studies) or experts responsible for economic and social analysis in support of MSFD implementation (and other relevant activities linked to the work of the OSPAR Convention).</w:t>
      </w:r>
    </w:p>
    <w:p w14:paraId="71F465BD" w14:textId="77777777" w:rsidR="001728A5" w:rsidRPr="00053845" w:rsidRDefault="001728A5" w:rsidP="001728A5">
      <w:pPr>
        <w:pStyle w:val="Heading1"/>
        <w:rPr>
          <w:lang w:eastAsia="en-GB"/>
        </w:rPr>
      </w:pPr>
      <w:r w:rsidRPr="00053845">
        <w:rPr>
          <w:lang w:eastAsia="en-GB"/>
        </w:rPr>
        <w:t>Objectives and Scope of work</w:t>
      </w:r>
    </w:p>
    <w:p w14:paraId="47EFE9CA" w14:textId="77777777" w:rsidR="001728A5" w:rsidRDefault="001728A5" w:rsidP="001728A5">
      <w:pPr>
        <w:pStyle w:val="ListParagraph"/>
      </w:pPr>
      <w:r w:rsidRPr="00053845">
        <w:t xml:space="preserve">ICG ESA will provide a platform for nominees from Contracting Parties to work on questions that need to be addressed at the scale of the North-East Atlantic and its sub-regions. Economic and social analysis </w:t>
      </w:r>
      <w:r>
        <w:t xml:space="preserve">carried out under </w:t>
      </w:r>
      <w:r w:rsidRPr="00053845">
        <w:t xml:space="preserve">ICG ESA should not replicate EU level activity and should focus on specific needs. The most important one being to try to come to more coordinated and coherent economic analyses and data for the marine environment, and to support the assessment of measures in OSPAR – such as contained in regional action plans – by providing an efficient means to respond to requests for relevant advice from OSPAR </w:t>
      </w:r>
      <w:r w:rsidRPr="00053845">
        <w:lastRenderedPageBreak/>
        <w:t>Committees or their subsidiary bodies</w:t>
      </w:r>
      <w:r>
        <w:t>, including preparing contributions to Quality Status Reports, Intermediate Assessments,  and the North-East Atlantic Environment Strategy (NEAES)</w:t>
      </w:r>
      <w:r w:rsidRPr="00053845">
        <w:t>.</w:t>
      </w:r>
    </w:p>
    <w:p w14:paraId="59E8B409" w14:textId="77777777" w:rsidR="001728A5" w:rsidRPr="00053845" w:rsidRDefault="001728A5" w:rsidP="001728A5">
      <w:pPr>
        <w:pStyle w:val="Heading1"/>
        <w:rPr>
          <w:lang w:eastAsia="en-GB"/>
        </w:rPr>
      </w:pPr>
      <w:r w:rsidRPr="00053845">
        <w:rPr>
          <w:lang w:eastAsia="en-GB"/>
        </w:rPr>
        <w:t>Working procedures</w:t>
      </w:r>
    </w:p>
    <w:p w14:paraId="4F4FAC50" w14:textId="77777777" w:rsidR="001728A5" w:rsidRDefault="001728A5" w:rsidP="001728A5">
      <w:pPr>
        <w:pStyle w:val="ListParagraph"/>
      </w:pPr>
      <w:r w:rsidRPr="00053845">
        <w:t xml:space="preserve">ICG-ESA </w:t>
      </w:r>
      <w:r>
        <w:rPr>
          <w:rStyle w:val="markedcontent"/>
        </w:rPr>
        <w:t>will</w:t>
      </w:r>
      <w:r w:rsidRPr="0F6F141F">
        <w:rPr>
          <w:rStyle w:val="markedcontent"/>
        </w:rPr>
        <w:t xml:space="preserve"> hold at least one annual meeting. </w:t>
      </w:r>
      <w:r>
        <w:rPr>
          <w:rStyle w:val="markedcontent"/>
        </w:rPr>
        <w:t>ICG-ESA</w:t>
      </w:r>
      <w:r w:rsidRPr="0F6F141F">
        <w:rPr>
          <w:rStyle w:val="markedcontent"/>
        </w:rPr>
        <w:t xml:space="preserve"> will work through a mixture of correspondence and virtual/face to face meetings</w:t>
      </w:r>
      <w:r>
        <w:rPr>
          <w:rStyle w:val="markedcontent"/>
        </w:rPr>
        <w:t>. Where</w:t>
      </w:r>
      <w:r w:rsidRPr="00053845">
        <w:t xml:space="preserve"> possible and practicable</w:t>
      </w:r>
      <w:r>
        <w:t>,</w:t>
      </w:r>
      <w:r w:rsidRPr="00053845">
        <w:t xml:space="preserve"> back-to-back meetings with WG POMESA </w:t>
      </w:r>
      <w:r>
        <w:t xml:space="preserve">could be envisaged </w:t>
      </w:r>
      <w:r w:rsidRPr="00053845">
        <w:t>(depending on the degree of overlap of experts).</w:t>
      </w:r>
    </w:p>
    <w:p w14:paraId="3E925A3F" w14:textId="77777777" w:rsidR="001728A5" w:rsidRPr="00A7595A" w:rsidRDefault="001728A5" w:rsidP="001728A5">
      <w:pPr>
        <w:pStyle w:val="ListParagraph"/>
      </w:pPr>
      <w:r>
        <w:t xml:space="preserve">ICG-ESA </w:t>
      </w:r>
      <w:r>
        <w:rPr>
          <w:rStyle w:val="markedcontent"/>
        </w:rPr>
        <w:t>will</w:t>
      </w:r>
      <w:r w:rsidRPr="0F6F141F">
        <w:rPr>
          <w:rStyle w:val="markedcontent"/>
        </w:rPr>
        <w:t xml:space="preserve"> report to the Coordination Group (CoG)</w:t>
      </w:r>
      <w:r>
        <w:rPr>
          <w:rStyle w:val="markedcontent"/>
        </w:rPr>
        <w:t>.</w:t>
      </w:r>
    </w:p>
    <w:p w14:paraId="0F9CECEB" w14:textId="77777777" w:rsidR="001728A5" w:rsidRDefault="001728A5" w:rsidP="001728A5">
      <w:pPr>
        <w:pStyle w:val="ListParagraph"/>
      </w:pPr>
      <w:r w:rsidRPr="00053845">
        <w:t>ICG-ESA</w:t>
      </w:r>
      <w:r>
        <w:t>,</w:t>
      </w:r>
      <w:r w:rsidRPr="00053845">
        <w:t xml:space="preserve"> when relevant</w:t>
      </w:r>
      <w:r>
        <w:t>,</w:t>
      </w:r>
      <w:r w:rsidRPr="00053845">
        <w:t xml:space="preserve"> will work in close coordination with </w:t>
      </w:r>
      <w:r>
        <w:t xml:space="preserve">other OSPAR groups, such as </w:t>
      </w:r>
      <w:r w:rsidRPr="00053845">
        <w:t>ICG-MSFD</w:t>
      </w:r>
      <w:r>
        <w:t xml:space="preserve"> and ICG EcoC,</w:t>
      </w:r>
      <w:r w:rsidRPr="00053845">
        <w:t xml:space="preserve"> and </w:t>
      </w:r>
      <w:r>
        <w:t xml:space="preserve">with </w:t>
      </w:r>
      <w:r w:rsidRPr="00053845">
        <w:t xml:space="preserve">OSPAR </w:t>
      </w:r>
      <w:r>
        <w:t>C</w:t>
      </w:r>
      <w:r w:rsidRPr="00053845">
        <w:t>ommittees</w:t>
      </w:r>
      <w:r>
        <w:t>,</w:t>
      </w:r>
      <w:r w:rsidRPr="00053845">
        <w:t xml:space="preserve"> particularly EIHA. ICG-ESA will provide advice </w:t>
      </w:r>
      <w:r>
        <w:t>and support to OSPAR Committees</w:t>
      </w:r>
      <w:r w:rsidRPr="00B043EE">
        <w:t xml:space="preserve">, </w:t>
      </w:r>
      <w:r>
        <w:t>mainly upon request,</w:t>
      </w:r>
      <w:r w:rsidRPr="00053845">
        <w:t xml:space="preserve"> and s</w:t>
      </w:r>
      <w:r>
        <w:t>ubject to available resources.</w:t>
      </w:r>
      <w:r w:rsidRPr="00053845">
        <w:t xml:space="preserve"> </w:t>
      </w:r>
      <w:r>
        <w:t>However, to be able to support OSPAR Committees in the best way possible, other ICGs are invited to actively engage with ICG-ESA to identify future opportunities to enhance their work with economic and social assessments as required by e.g., MSFD</w:t>
      </w:r>
      <w:r w:rsidRPr="00FB2496">
        <w:t xml:space="preserve"> </w:t>
      </w:r>
      <w:r>
        <w:t>and NEAES operational objectives.</w:t>
      </w:r>
    </w:p>
    <w:p w14:paraId="1239B888" w14:textId="77777777" w:rsidR="001728A5" w:rsidRPr="00053845" w:rsidRDefault="001728A5" w:rsidP="001728A5">
      <w:pPr>
        <w:pStyle w:val="ListParagraph"/>
      </w:pPr>
      <w:r>
        <w:t xml:space="preserve">Where </w:t>
      </w:r>
      <w:r w:rsidRPr="00053845">
        <w:t xml:space="preserve">possible and relevant, </w:t>
      </w:r>
      <w:r>
        <w:t>ICG-ESA</w:t>
      </w:r>
      <w:r w:rsidRPr="00053845">
        <w:t xml:space="preserve"> will attempt to coordinate its work with other relevant Regional Seas Conventions and the EU Working Group on Program of Measures, Economic and Social Analysis (</w:t>
      </w:r>
      <w:r>
        <w:t xml:space="preserve">WG </w:t>
      </w:r>
      <w:r w:rsidRPr="00053845">
        <w:t>POMESA).</w:t>
      </w:r>
      <w:r>
        <w:t xml:space="preserve"> ICG-ESA will also aim to strengthen links with the Global Ocean Accounts Partnership (GOAP).</w:t>
      </w:r>
    </w:p>
    <w:p w14:paraId="4B6905FC" w14:textId="77777777" w:rsidR="001728A5" w:rsidRDefault="001728A5" w:rsidP="001728A5">
      <w:pPr>
        <w:pStyle w:val="ListParagraph"/>
      </w:pPr>
      <w:r w:rsidRPr="006E0542">
        <w:t>ICG-ESA will continue to exchange information with HELCOM by having somebody from ICG-ESA attending their meetings on economic analyses, and having Denmark, Sweden and Germany, who are also member</w:t>
      </w:r>
      <w:r>
        <w:t>s</w:t>
      </w:r>
      <w:r w:rsidRPr="006E0542">
        <w:t xml:space="preserve"> of HELCOM</w:t>
      </w:r>
      <w:r>
        <w:t>,</w:t>
      </w:r>
      <w:r w:rsidRPr="006E0542">
        <w:t xml:space="preserve"> report back </w:t>
      </w:r>
      <w:r>
        <w:t xml:space="preserve">on HELCOM ESA work </w:t>
      </w:r>
      <w:r w:rsidRPr="006E0542">
        <w:t xml:space="preserve">at the ICG ESA meetings (standard agenda item). ICG-ESA will also aim to strengthen links </w:t>
      </w:r>
      <w:r>
        <w:t>with</w:t>
      </w:r>
      <w:r w:rsidRPr="006E0542">
        <w:t xml:space="preserve"> UNEP MAP.</w:t>
      </w:r>
    </w:p>
    <w:p w14:paraId="17176074" w14:textId="77777777" w:rsidR="001728A5" w:rsidRDefault="001728A5" w:rsidP="001728A5">
      <w:pPr>
        <w:pStyle w:val="ListParagraph"/>
        <w:autoSpaceDE w:val="0"/>
        <w:autoSpaceDN w:val="0"/>
        <w:adjustRightInd w:val="0"/>
        <w:spacing w:before="240"/>
        <w:outlineLvl w:val="0"/>
      </w:pPr>
      <w:r w:rsidRPr="00053845">
        <w:t>ICG-ESA will promote the sharing of good practice on the application of economic and social analysis, including approaches relating to ecosystem goods and services and</w:t>
      </w:r>
      <w:r>
        <w:t xml:space="preserve"> ocean accounts.</w:t>
      </w:r>
    </w:p>
    <w:p w14:paraId="76DBF5B0" w14:textId="77777777" w:rsidR="001728A5" w:rsidRPr="00270230" w:rsidRDefault="001728A5" w:rsidP="001728A5">
      <w:pPr>
        <w:pStyle w:val="ListParagraph"/>
      </w:pPr>
      <w:r>
        <w:t>ICG-ESA convenor and the OSPAR Secretariat</w:t>
      </w:r>
      <w:r w:rsidRPr="00B66DC1">
        <w:t xml:space="preserve"> will act as contact p</w:t>
      </w:r>
      <w:r w:rsidRPr="00053845">
        <w:t xml:space="preserve">oints for other ICGs when they have questions with respect to economic analyses that they want to perform, or when they would like to invite OSPAR economists to their meetings. </w:t>
      </w:r>
    </w:p>
    <w:p w14:paraId="6F6D5FF0" w14:textId="77777777" w:rsidR="001728A5" w:rsidRPr="00211690" w:rsidRDefault="001728A5" w:rsidP="001728A5">
      <w:pPr>
        <w:pStyle w:val="Heading1"/>
        <w:rPr>
          <w:lang w:eastAsia="en-GB"/>
        </w:rPr>
      </w:pPr>
      <w:r w:rsidRPr="00211690">
        <w:rPr>
          <w:lang w:eastAsia="en-GB"/>
        </w:rPr>
        <w:t>Work plan for 2025-2027</w:t>
      </w:r>
    </w:p>
    <w:p w14:paraId="520675E5" w14:textId="77777777" w:rsidR="001728A5" w:rsidRDefault="001728A5" w:rsidP="001728A5">
      <w:pPr>
        <w:pStyle w:val="ListParagraph"/>
        <w:rPr>
          <w:rFonts w:cstheme="minorHAnsi"/>
        </w:rPr>
      </w:pPr>
      <w:r w:rsidRPr="002872FB">
        <w:t>ICG-</w:t>
      </w:r>
      <w:r w:rsidRPr="002872FB">
        <w:rPr>
          <w:rFonts w:cstheme="minorHAnsi"/>
        </w:rPr>
        <w:t>ESA will work towards the implementation of OSPAR’s Operational Objective S7.O3 (‘</w:t>
      </w:r>
      <w:r w:rsidRPr="00C33DDA">
        <w:rPr>
          <w:i/>
          <w:iCs/>
          <w:lang w:eastAsia="en-GB"/>
        </w:rPr>
        <w:t>By 2025 OSPAR will start accounting for ecosystem services and natural capital by making maximum use of existing frameworks in order to recognise, assess and consistently account for human activities and their consequences in the implementation of ecosystem-based management</w:t>
      </w:r>
      <w:r w:rsidRPr="002872FB">
        <w:rPr>
          <w:lang w:eastAsia="en-GB"/>
        </w:rPr>
        <w:t>’) and t</w:t>
      </w:r>
      <w:r w:rsidRPr="002872FB">
        <w:rPr>
          <w:rFonts w:cstheme="minorHAnsi"/>
        </w:rPr>
        <w:t>he GOAP Ocean Accounts Pledge that OSPAR signed in 2025.</w:t>
      </w:r>
    </w:p>
    <w:p w14:paraId="5CE5A7D5" w14:textId="77777777" w:rsidR="001728A5" w:rsidRPr="002872FB" w:rsidRDefault="001728A5" w:rsidP="001728A5">
      <w:pPr>
        <w:pStyle w:val="ListParagraph"/>
        <w:rPr>
          <w:rFonts w:cstheme="minorHAnsi"/>
        </w:rPr>
      </w:pPr>
      <w:proofErr w:type="gramStart"/>
      <w:r>
        <w:rPr>
          <w:rFonts w:cstheme="minorHAnsi"/>
        </w:rPr>
        <w:t>In particular, ICG-ESA</w:t>
      </w:r>
      <w:proofErr w:type="gramEnd"/>
      <w:r>
        <w:rPr>
          <w:rFonts w:cstheme="minorHAnsi"/>
        </w:rPr>
        <w:t xml:space="preserve"> will focus on the following areas of work:</w:t>
      </w:r>
    </w:p>
    <w:p w14:paraId="716487D1" w14:textId="77777777" w:rsidR="001728A5" w:rsidRPr="00100705" w:rsidRDefault="001728A5" w:rsidP="001728A5">
      <w:pPr>
        <w:pStyle w:val="ListParagraph"/>
        <w:numPr>
          <w:ilvl w:val="0"/>
          <w:numId w:val="32"/>
        </w:numPr>
        <w:tabs>
          <w:tab w:val="clear" w:pos="567"/>
        </w:tabs>
        <w:spacing w:before="0" w:after="160" w:line="259" w:lineRule="auto"/>
        <w:contextualSpacing/>
        <w:rPr>
          <w:b/>
          <w:bCs/>
          <w:u w:val="single"/>
        </w:rPr>
      </w:pPr>
      <w:r w:rsidRPr="00100705">
        <w:rPr>
          <w:b/>
          <w:bCs/>
          <w:u w:val="single"/>
        </w:rPr>
        <w:t>Ocean accounts work:</w:t>
      </w:r>
    </w:p>
    <w:p w14:paraId="38BB5D47" w14:textId="77777777" w:rsidR="001728A5" w:rsidRDefault="001728A5" w:rsidP="001728A5">
      <w:pPr>
        <w:pStyle w:val="ListParagraph"/>
        <w:numPr>
          <w:ilvl w:val="1"/>
          <w:numId w:val="32"/>
        </w:numPr>
        <w:tabs>
          <w:tab w:val="clear" w:pos="567"/>
        </w:tabs>
        <w:spacing w:before="0" w:after="160" w:line="259" w:lineRule="auto"/>
        <w:contextualSpacing/>
      </w:pPr>
      <w:r>
        <w:t>Update, develop and refine the OSPAR report on ecosystem accounts</w:t>
      </w:r>
    </w:p>
    <w:p w14:paraId="06F64C7B" w14:textId="77777777" w:rsidR="001728A5" w:rsidRDefault="001728A5" w:rsidP="001728A5">
      <w:pPr>
        <w:pStyle w:val="ListParagraph"/>
        <w:numPr>
          <w:ilvl w:val="1"/>
          <w:numId w:val="32"/>
        </w:numPr>
        <w:tabs>
          <w:tab w:val="clear" w:pos="567"/>
        </w:tabs>
        <w:spacing w:before="0" w:after="160" w:line="259" w:lineRule="auto"/>
        <w:contextualSpacing/>
      </w:pPr>
      <w:r>
        <w:t>Framework for collecting and systemising ocean accounts data</w:t>
      </w:r>
    </w:p>
    <w:p w14:paraId="31E0BC70" w14:textId="77777777" w:rsidR="001728A5" w:rsidRDefault="001728A5" w:rsidP="001728A5">
      <w:pPr>
        <w:pStyle w:val="ListParagraph"/>
        <w:numPr>
          <w:ilvl w:val="1"/>
          <w:numId w:val="32"/>
        </w:numPr>
        <w:tabs>
          <w:tab w:val="clear" w:pos="567"/>
        </w:tabs>
        <w:spacing w:before="0" w:after="160" w:line="259" w:lineRule="auto"/>
        <w:contextualSpacing/>
      </w:pPr>
      <w:r>
        <w:t>Identify possible pathways forward in terms of data for ocean accounts</w:t>
      </w:r>
    </w:p>
    <w:p w14:paraId="15A9DF8B" w14:textId="77777777" w:rsidR="001728A5" w:rsidRDefault="001728A5" w:rsidP="001728A5">
      <w:pPr>
        <w:pStyle w:val="ListParagraph"/>
        <w:numPr>
          <w:ilvl w:val="1"/>
          <w:numId w:val="32"/>
        </w:numPr>
        <w:tabs>
          <w:tab w:val="clear" w:pos="567"/>
        </w:tabs>
        <w:spacing w:before="0" w:after="160" w:line="259" w:lineRule="auto"/>
        <w:contextualSpacing/>
      </w:pPr>
      <w:r>
        <w:t>Identify the differences on ocean accounting for each OSPAR Contracting Parties and harmonise the approaches</w:t>
      </w:r>
    </w:p>
    <w:p w14:paraId="30F19C95" w14:textId="77777777" w:rsidR="001728A5" w:rsidRDefault="001728A5" w:rsidP="001728A5">
      <w:pPr>
        <w:pStyle w:val="ListParagraph"/>
        <w:numPr>
          <w:ilvl w:val="1"/>
          <w:numId w:val="32"/>
        </w:numPr>
        <w:tabs>
          <w:tab w:val="clear" w:pos="567"/>
        </w:tabs>
        <w:spacing w:before="0" w:after="160" w:line="259" w:lineRule="auto"/>
        <w:contextualSpacing/>
      </w:pPr>
      <w:r>
        <w:t>Work on satellite accounts (monetary and physical accounts)</w:t>
      </w:r>
    </w:p>
    <w:p w14:paraId="4010C5BD" w14:textId="77777777" w:rsidR="001728A5" w:rsidRDefault="001728A5" w:rsidP="001728A5">
      <w:pPr>
        <w:pStyle w:val="ListParagraph"/>
        <w:numPr>
          <w:ilvl w:val="1"/>
          <w:numId w:val="32"/>
        </w:numPr>
        <w:tabs>
          <w:tab w:val="clear" w:pos="567"/>
        </w:tabs>
        <w:spacing w:before="0" w:after="160" w:line="259" w:lineRule="auto"/>
        <w:contextualSpacing/>
      </w:pPr>
      <w:r>
        <w:t>Demonstrate the benefits of using ocean accounts (added value of ocean accounting)</w:t>
      </w:r>
    </w:p>
    <w:p w14:paraId="5E7EB3AF" w14:textId="77777777" w:rsidR="001728A5" w:rsidRDefault="001728A5" w:rsidP="001728A5">
      <w:pPr>
        <w:pStyle w:val="ListParagraph"/>
        <w:numPr>
          <w:ilvl w:val="1"/>
          <w:numId w:val="32"/>
        </w:numPr>
        <w:tabs>
          <w:tab w:val="clear" w:pos="567"/>
        </w:tabs>
        <w:spacing w:before="0" w:after="160" w:line="259" w:lineRule="auto"/>
        <w:contextualSpacing/>
      </w:pPr>
      <w:r>
        <w:lastRenderedPageBreak/>
        <w:t xml:space="preserve">Link to EEA and </w:t>
      </w:r>
      <w:proofErr w:type="spellStart"/>
      <w:r>
        <w:t>EuroStats</w:t>
      </w:r>
      <w:proofErr w:type="spellEnd"/>
    </w:p>
    <w:p w14:paraId="3DC01A1D" w14:textId="77777777" w:rsidR="001728A5" w:rsidRPr="00750268" w:rsidRDefault="001728A5" w:rsidP="001728A5">
      <w:pPr>
        <w:pStyle w:val="ListParagraph"/>
        <w:numPr>
          <w:ilvl w:val="0"/>
          <w:numId w:val="0"/>
        </w:numPr>
        <w:ind w:left="1440"/>
        <w:rPr>
          <w:sz w:val="2"/>
          <w:szCs w:val="2"/>
        </w:rPr>
      </w:pPr>
      <w:r>
        <w:t xml:space="preserve"> </w:t>
      </w:r>
    </w:p>
    <w:p w14:paraId="0DB6A6B3" w14:textId="77777777" w:rsidR="001728A5" w:rsidRPr="00100705" w:rsidRDefault="001728A5" w:rsidP="001728A5">
      <w:pPr>
        <w:pStyle w:val="ListParagraph"/>
        <w:numPr>
          <w:ilvl w:val="0"/>
          <w:numId w:val="32"/>
        </w:numPr>
        <w:tabs>
          <w:tab w:val="clear" w:pos="567"/>
        </w:tabs>
        <w:spacing w:before="0" w:after="160" w:line="259" w:lineRule="auto"/>
        <w:contextualSpacing/>
        <w:rPr>
          <w:b/>
          <w:bCs/>
          <w:u w:val="single"/>
        </w:rPr>
      </w:pPr>
      <w:r w:rsidRPr="00100705">
        <w:rPr>
          <w:b/>
          <w:bCs/>
          <w:u w:val="single"/>
        </w:rPr>
        <w:t>DAPSIR framework:</w:t>
      </w:r>
    </w:p>
    <w:p w14:paraId="3325E48A" w14:textId="77777777" w:rsidR="001728A5" w:rsidRPr="00EA5060" w:rsidRDefault="001728A5" w:rsidP="001728A5">
      <w:pPr>
        <w:pStyle w:val="ListParagraph"/>
        <w:numPr>
          <w:ilvl w:val="1"/>
          <w:numId w:val="32"/>
        </w:numPr>
        <w:tabs>
          <w:tab w:val="clear" w:pos="567"/>
        </w:tabs>
        <w:spacing w:before="0" w:after="160" w:line="259" w:lineRule="auto"/>
        <w:contextualSpacing/>
        <w:rPr>
          <w:i/>
          <w:iCs/>
        </w:rPr>
      </w:pPr>
      <w:r w:rsidRPr="00EA5060">
        <w:t>Develop simple, reliable and actionable indicators for ocean accounts and demonstrate through them</w:t>
      </w:r>
      <w:r>
        <w:t xml:space="preserve"> the different points of the different components of the DAPSIR framework to document the linkages (causal relationship) and highlight the challenges</w:t>
      </w:r>
    </w:p>
    <w:p w14:paraId="4FBD4EDC" w14:textId="77777777" w:rsidR="001728A5" w:rsidRDefault="001728A5" w:rsidP="001728A5">
      <w:pPr>
        <w:pStyle w:val="ListParagraph"/>
        <w:numPr>
          <w:ilvl w:val="1"/>
          <w:numId w:val="32"/>
        </w:numPr>
        <w:tabs>
          <w:tab w:val="clear" w:pos="567"/>
        </w:tabs>
        <w:spacing w:before="0" w:after="160" w:line="259" w:lineRule="auto"/>
        <w:contextualSpacing/>
      </w:pPr>
      <w:r>
        <w:t>Conceptual work – use case studies</w:t>
      </w:r>
    </w:p>
    <w:p w14:paraId="2C8727C3" w14:textId="77777777" w:rsidR="001728A5" w:rsidRDefault="001728A5" w:rsidP="001728A5">
      <w:pPr>
        <w:pStyle w:val="ListParagraph"/>
        <w:numPr>
          <w:ilvl w:val="2"/>
          <w:numId w:val="32"/>
        </w:numPr>
        <w:tabs>
          <w:tab w:val="clear" w:pos="567"/>
        </w:tabs>
        <w:spacing w:before="0" w:after="160" w:line="259" w:lineRule="auto"/>
        <w:contextualSpacing/>
      </w:pPr>
      <w:r>
        <w:t>identify ecosystem services</w:t>
      </w:r>
    </w:p>
    <w:p w14:paraId="580D3583" w14:textId="77777777" w:rsidR="001728A5" w:rsidRDefault="001728A5" w:rsidP="001728A5">
      <w:pPr>
        <w:pStyle w:val="ListParagraph"/>
        <w:numPr>
          <w:ilvl w:val="2"/>
          <w:numId w:val="32"/>
        </w:numPr>
        <w:tabs>
          <w:tab w:val="clear" w:pos="567"/>
        </w:tabs>
        <w:spacing w:before="0" w:after="160" w:line="259" w:lineRule="auto"/>
        <w:contextualSpacing/>
      </w:pPr>
      <w:r>
        <w:t>test the framework using, for instance, QSR 2023 assessments related to one provisioning service, one regulating service and one cultural service</w:t>
      </w:r>
    </w:p>
    <w:p w14:paraId="0DCABBFC" w14:textId="77777777" w:rsidR="001728A5" w:rsidRDefault="001728A5" w:rsidP="001728A5">
      <w:pPr>
        <w:pStyle w:val="ListParagraph"/>
        <w:numPr>
          <w:ilvl w:val="2"/>
          <w:numId w:val="32"/>
        </w:numPr>
        <w:tabs>
          <w:tab w:val="clear" w:pos="567"/>
        </w:tabs>
        <w:spacing w:before="0" w:after="160" w:line="259" w:lineRule="auto"/>
        <w:contextualSpacing/>
      </w:pPr>
      <w:r>
        <w:t>DAPSIR causal-effect consideration – which of the responses have been most efficient or less effective</w:t>
      </w:r>
    </w:p>
    <w:p w14:paraId="6138F888" w14:textId="19CF9159" w:rsidR="001728A5" w:rsidRPr="001728A5" w:rsidRDefault="001728A5" w:rsidP="001728A5">
      <w:pPr>
        <w:pStyle w:val="ListParagraph"/>
        <w:numPr>
          <w:ilvl w:val="1"/>
          <w:numId w:val="32"/>
        </w:numPr>
        <w:tabs>
          <w:tab w:val="clear" w:pos="567"/>
        </w:tabs>
        <w:spacing w:before="0" w:after="160" w:line="259" w:lineRule="auto"/>
        <w:contextualSpacing/>
        <w:rPr>
          <w:i/>
          <w:iCs/>
        </w:rPr>
      </w:pPr>
      <w:r w:rsidRPr="00611851">
        <w:rPr>
          <w:i/>
          <w:iCs/>
        </w:rPr>
        <w:t>Framework to be developed should be coherent and useful to be used within the DAPSIR approach</w:t>
      </w:r>
    </w:p>
    <w:p w14:paraId="61A35A70" w14:textId="77777777" w:rsidR="001728A5" w:rsidRPr="00211690" w:rsidRDefault="001728A5" w:rsidP="001728A5">
      <w:pPr>
        <w:spacing w:after="0"/>
        <w:rPr>
          <w:sz w:val="26"/>
          <w:szCs w:val="26"/>
          <w:lang w:eastAsia="en-GB"/>
        </w:rPr>
      </w:pPr>
      <w:r w:rsidRPr="00211690">
        <w:rPr>
          <w:sz w:val="26"/>
          <w:szCs w:val="26"/>
          <w:lang w:eastAsia="en-GB"/>
        </w:rPr>
        <w:t>OSPAR Science Agenda</w:t>
      </w:r>
    </w:p>
    <w:p w14:paraId="2552545C" w14:textId="0931EF77" w:rsidR="003D30E5" w:rsidRPr="00211690" w:rsidRDefault="001728A5" w:rsidP="00607366">
      <w:pPr>
        <w:pStyle w:val="ListParagraph"/>
        <w:autoSpaceDE w:val="0"/>
        <w:autoSpaceDN w:val="0"/>
        <w:adjustRightInd w:val="0"/>
        <w:outlineLvl w:val="0"/>
      </w:pPr>
      <w:r w:rsidRPr="00211690">
        <w:rPr>
          <w:rStyle w:val="markedcontent"/>
        </w:rPr>
        <w:t xml:space="preserve">ICG-ESA </w:t>
      </w:r>
      <w:r w:rsidRPr="00211690">
        <w:t>will periodically review, and update as necessary, the status and scoring of the knowledge gaps and science needs in the OSPAR Science Agenda that fall under its responsibility, prioritising those that are more relevant to its work and identifying the need for external resources and implementing the OSPAR Project Mechanism as appropriate. ICG-ESA will also add, if relevant, any new knowledge gaps and science needs to the OSPAR Science Agenda.</w:t>
      </w:r>
    </w:p>
    <w:sectPr w:rsidR="003D30E5" w:rsidRPr="00211690" w:rsidSect="00587A95">
      <w:headerReference w:type="even" r:id="rId8"/>
      <w:headerReference w:type="default" r:id="rId9"/>
      <w:footerReference w:type="even" r:id="rId10"/>
      <w:footerReference w:type="default" r:id="rId11"/>
      <w:pgSz w:w="11906" w:h="16838"/>
      <w:pgMar w:top="1134" w:right="1134" w:bottom="1134" w:left="1134" w:header="708"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62348" w14:textId="77777777" w:rsidR="00A41B82" w:rsidRDefault="00A41B82">
      <w:pPr>
        <w:spacing w:after="0" w:line="240" w:lineRule="auto"/>
      </w:pPr>
      <w:r>
        <w:separator/>
      </w:r>
    </w:p>
  </w:endnote>
  <w:endnote w:type="continuationSeparator" w:id="0">
    <w:p w14:paraId="476701C1" w14:textId="77777777" w:rsidR="00A41B82" w:rsidRDefault="00A41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7" w:type="dxa"/>
      <w:tblCellMar>
        <w:top w:w="57" w:type="dxa"/>
        <w:left w:w="0" w:type="dxa"/>
        <w:bottom w:w="57" w:type="dxa"/>
        <w:right w:w="0" w:type="dxa"/>
      </w:tblCellMar>
      <w:tblLook w:val="0000" w:firstRow="0" w:lastRow="0" w:firstColumn="0" w:lastColumn="0" w:noHBand="0" w:noVBand="0"/>
    </w:tblPr>
    <w:tblGrid>
      <w:gridCol w:w="2694"/>
      <w:gridCol w:w="4110"/>
      <w:gridCol w:w="2843"/>
    </w:tblGrid>
    <w:tr w:rsidR="00D441C2" w:rsidRPr="00FC1B75" w14:paraId="3EA01348" w14:textId="77777777" w:rsidTr="00644069">
      <w:trPr>
        <w:cantSplit/>
      </w:trPr>
      <w:tc>
        <w:tcPr>
          <w:tcW w:w="2694" w:type="dxa"/>
          <w:tcBorders>
            <w:bottom w:val="single" w:sz="4" w:space="0" w:color="auto"/>
          </w:tcBorders>
        </w:tcPr>
        <w:p w14:paraId="691EDA4D" w14:textId="77777777" w:rsidR="00D441C2" w:rsidRPr="00FC1B75" w:rsidRDefault="00D441C2" w:rsidP="00644069">
          <w:pPr>
            <w:pStyle w:val="Footer"/>
            <w:spacing w:after="0" w:line="240" w:lineRule="auto"/>
            <w:rPr>
              <w:rFonts w:cs="Arial"/>
              <w:sz w:val="20"/>
            </w:rPr>
          </w:pPr>
        </w:p>
      </w:tc>
      <w:tc>
        <w:tcPr>
          <w:tcW w:w="4110" w:type="dxa"/>
          <w:tcBorders>
            <w:bottom w:val="single" w:sz="4" w:space="0" w:color="auto"/>
          </w:tcBorders>
        </w:tcPr>
        <w:p w14:paraId="5FA999DB" w14:textId="77777777" w:rsidR="00D441C2" w:rsidRPr="00FC1B75" w:rsidRDefault="00D441C2" w:rsidP="00644069">
          <w:pPr>
            <w:pStyle w:val="Footer"/>
            <w:spacing w:after="0" w:line="240" w:lineRule="auto"/>
            <w:rPr>
              <w:rFonts w:cs="Arial"/>
              <w:sz w:val="20"/>
            </w:rPr>
          </w:pPr>
        </w:p>
      </w:tc>
      <w:tc>
        <w:tcPr>
          <w:tcW w:w="2843" w:type="dxa"/>
          <w:tcBorders>
            <w:bottom w:val="single" w:sz="4" w:space="0" w:color="auto"/>
          </w:tcBorders>
        </w:tcPr>
        <w:p w14:paraId="08805741" w14:textId="77777777" w:rsidR="00D441C2" w:rsidRPr="00FC1B75" w:rsidRDefault="00D441C2" w:rsidP="00644069">
          <w:pPr>
            <w:pStyle w:val="Footer"/>
            <w:tabs>
              <w:tab w:val="left" w:pos="272"/>
            </w:tabs>
            <w:spacing w:after="0" w:line="240" w:lineRule="auto"/>
            <w:jc w:val="right"/>
            <w:rPr>
              <w:rFonts w:cs="Arial"/>
              <w:sz w:val="20"/>
            </w:rPr>
          </w:pPr>
          <w:r w:rsidRPr="00FC1B75">
            <w:rPr>
              <w:rStyle w:val="PageNumber"/>
              <w:sz w:val="20"/>
            </w:rPr>
            <w:fldChar w:fldCharType="begin"/>
          </w:r>
          <w:r w:rsidRPr="00FC1B75">
            <w:rPr>
              <w:rStyle w:val="PageNumber"/>
              <w:sz w:val="20"/>
            </w:rPr>
            <w:instrText xml:space="preserve"> PAGE </w:instrText>
          </w:r>
          <w:r w:rsidRPr="00FC1B75">
            <w:rPr>
              <w:rStyle w:val="PageNumber"/>
              <w:sz w:val="20"/>
            </w:rPr>
            <w:fldChar w:fldCharType="separate"/>
          </w:r>
          <w:r>
            <w:rPr>
              <w:rStyle w:val="PageNumber"/>
              <w:noProof/>
              <w:sz w:val="20"/>
            </w:rPr>
            <w:t>24</w:t>
          </w:r>
          <w:r w:rsidRPr="00FC1B75">
            <w:rPr>
              <w:rStyle w:val="PageNumber"/>
              <w:sz w:val="20"/>
            </w:rPr>
            <w:fldChar w:fldCharType="end"/>
          </w:r>
          <w:r w:rsidRPr="00FC1B75">
            <w:rPr>
              <w:rStyle w:val="PageNumber"/>
              <w:sz w:val="20"/>
            </w:rPr>
            <w:t xml:space="preserve"> of </w:t>
          </w:r>
          <w:r w:rsidRPr="00FC1B75">
            <w:rPr>
              <w:rStyle w:val="PageNumber"/>
              <w:sz w:val="20"/>
            </w:rPr>
            <w:fldChar w:fldCharType="begin"/>
          </w:r>
          <w:r w:rsidRPr="00FC1B75">
            <w:rPr>
              <w:rStyle w:val="PageNumber"/>
              <w:sz w:val="20"/>
            </w:rPr>
            <w:instrText xml:space="preserve"> NUMPAGES </w:instrText>
          </w:r>
          <w:r w:rsidRPr="00FC1B75">
            <w:rPr>
              <w:rStyle w:val="PageNumber"/>
              <w:sz w:val="20"/>
            </w:rPr>
            <w:fldChar w:fldCharType="separate"/>
          </w:r>
          <w:r w:rsidR="00E14723">
            <w:rPr>
              <w:rStyle w:val="PageNumber"/>
              <w:noProof/>
              <w:sz w:val="20"/>
            </w:rPr>
            <w:t>5</w:t>
          </w:r>
          <w:r w:rsidRPr="00FC1B75">
            <w:rPr>
              <w:rStyle w:val="PageNumber"/>
              <w:sz w:val="20"/>
            </w:rPr>
            <w:fldChar w:fldCharType="end"/>
          </w:r>
          <w:r w:rsidRPr="00FC1B75">
            <w:rPr>
              <w:rStyle w:val="PageNumber"/>
              <w:sz w:val="20"/>
            </w:rPr>
            <w:t xml:space="preserve"> </w:t>
          </w:r>
        </w:p>
      </w:tc>
    </w:tr>
    <w:tr w:rsidR="00D441C2" w:rsidRPr="00FC1B75" w14:paraId="588C31E6" w14:textId="77777777" w:rsidTr="00644069">
      <w:trPr>
        <w:cantSplit/>
      </w:trPr>
      <w:tc>
        <w:tcPr>
          <w:tcW w:w="2694" w:type="dxa"/>
          <w:tcBorders>
            <w:top w:val="single" w:sz="4" w:space="0" w:color="auto"/>
          </w:tcBorders>
        </w:tcPr>
        <w:p w14:paraId="1E10939D" w14:textId="77777777" w:rsidR="00D441C2" w:rsidRPr="00FC1B75" w:rsidRDefault="00D441C2" w:rsidP="00644069">
          <w:pPr>
            <w:pStyle w:val="Footer"/>
            <w:spacing w:after="0" w:line="240" w:lineRule="auto"/>
            <w:rPr>
              <w:rFonts w:cs="Arial"/>
              <w:sz w:val="20"/>
            </w:rPr>
          </w:pPr>
          <w:r w:rsidRPr="00FC1B75">
            <w:rPr>
              <w:rFonts w:cs="Arial"/>
              <w:sz w:val="20"/>
            </w:rPr>
            <w:t>OSPAR Commission</w:t>
          </w:r>
        </w:p>
      </w:tc>
      <w:tc>
        <w:tcPr>
          <w:tcW w:w="4110" w:type="dxa"/>
          <w:tcBorders>
            <w:top w:val="single" w:sz="4" w:space="0" w:color="auto"/>
          </w:tcBorders>
        </w:tcPr>
        <w:p w14:paraId="7CFBBB6F" w14:textId="77777777" w:rsidR="00D441C2" w:rsidRPr="00FC1B75" w:rsidRDefault="00D441C2" w:rsidP="00644069">
          <w:pPr>
            <w:tabs>
              <w:tab w:val="left" w:pos="272"/>
              <w:tab w:val="left" w:pos="1418"/>
              <w:tab w:val="center" w:pos="2281"/>
            </w:tabs>
            <w:spacing w:after="0" w:line="240" w:lineRule="auto"/>
            <w:ind w:left="-675"/>
            <w:jc w:val="center"/>
            <w:rPr>
              <w:sz w:val="20"/>
            </w:rPr>
          </w:pPr>
          <w:r w:rsidRPr="00FC1B75">
            <w:rPr>
              <w:sz w:val="20"/>
            </w:rPr>
            <w:tab/>
          </w:r>
        </w:p>
      </w:tc>
      <w:tc>
        <w:tcPr>
          <w:tcW w:w="2843" w:type="dxa"/>
          <w:tcBorders>
            <w:top w:val="single" w:sz="4" w:space="0" w:color="auto"/>
          </w:tcBorders>
        </w:tcPr>
        <w:p w14:paraId="60528383" w14:textId="77777777" w:rsidR="00D441C2" w:rsidRPr="00FC1B75" w:rsidRDefault="00D441C2" w:rsidP="00644069">
          <w:pPr>
            <w:tabs>
              <w:tab w:val="left" w:pos="77"/>
              <w:tab w:val="left" w:pos="272"/>
              <w:tab w:val="left" w:pos="361"/>
            </w:tabs>
            <w:spacing w:after="0" w:line="240" w:lineRule="auto"/>
            <w:jc w:val="right"/>
            <w:rPr>
              <w:sz w:val="20"/>
            </w:rPr>
          </w:pPr>
          <w:r>
            <w:rPr>
              <w:sz w:val="20"/>
            </w:rPr>
            <w:t>HASEC</w:t>
          </w:r>
          <w:r w:rsidRPr="00FC1B75">
            <w:rPr>
              <w:sz w:val="20"/>
            </w:rPr>
            <w:t xml:space="preserve"> 16/</w:t>
          </w:r>
          <w:r>
            <w:rPr>
              <w:sz w:val="20"/>
            </w:rPr>
            <w:t>5/1</w:t>
          </w:r>
        </w:p>
      </w:tc>
    </w:tr>
  </w:tbl>
  <w:p w14:paraId="15632152" w14:textId="77777777" w:rsidR="00D441C2" w:rsidRPr="00C302EF" w:rsidRDefault="00D441C2" w:rsidP="006440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57" w:type="dxa"/>
        <w:left w:w="0" w:type="dxa"/>
        <w:bottom w:w="57" w:type="dxa"/>
        <w:right w:w="0" w:type="dxa"/>
      </w:tblCellMar>
      <w:tblLook w:val="0000" w:firstRow="0" w:lastRow="0" w:firstColumn="0" w:lastColumn="0" w:noHBand="0" w:noVBand="0"/>
    </w:tblPr>
    <w:tblGrid>
      <w:gridCol w:w="3275"/>
      <w:gridCol w:w="3088"/>
      <w:gridCol w:w="3275"/>
    </w:tblGrid>
    <w:tr w:rsidR="00D441C2" w:rsidRPr="005200B2" w14:paraId="7ABAF37A" w14:textId="77777777" w:rsidTr="00644069">
      <w:trPr>
        <w:cantSplit/>
        <w:trHeight w:hRule="exact" w:val="284"/>
      </w:trPr>
      <w:tc>
        <w:tcPr>
          <w:tcW w:w="5000" w:type="pct"/>
          <w:gridSpan w:val="3"/>
          <w:tcBorders>
            <w:bottom w:val="single" w:sz="4" w:space="0" w:color="auto"/>
          </w:tcBorders>
        </w:tcPr>
        <w:p w14:paraId="412D1CE9" w14:textId="3B6F9B1C" w:rsidR="00D441C2" w:rsidRPr="00FC1B75" w:rsidRDefault="00D441C2" w:rsidP="00000063">
          <w:pPr>
            <w:pStyle w:val="Footer"/>
            <w:spacing w:after="0" w:line="240" w:lineRule="auto"/>
            <w:jc w:val="right"/>
            <w:rPr>
              <w:rFonts w:cs="Arial"/>
              <w:sz w:val="20"/>
            </w:rPr>
          </w:pPr>
          <w:r w:rsidRPr="006D051B">
            <w:rPr>
              <w:rStyle w:val="PageNumber"/>
              <w:sz w:val="20"/>
            </w:rPr>
            <w:fldChar w:fldCharType="begin"/>
          </w:r>
          <w:r w:rsidRPr="006D051B">
            <w:rPr>
              <w:rStyle w:val="PageNumber"/>
              <w:sz w:val="20"/>
            </w:rPr>
            <w:instrText xml:space="preserve"> PAGE </w:instrText>
          </w:r>
          <w:r w:rsidRPr="006D051B">
            <w:rPr>
              <w:rStyle w:val="PageNumber"/>
              <w:sz w:val="20"/>
            </w:rPr>
            <w:fldChar w:fldCharType="separate"/>
          </w:r>
          <w:r w:rsidR="009E48E5">
            <w:rPr>
              <w:rStyle w:val="PageNumber"/>
              <w:noProof/>
              <w:sz w:val="20"/>
            </w:rPr>
            <w:t>1</w:t>
          </w:r>
          <w:r w:rsidRPr="006D051B">
            <w:rPr>
              <w:rStyle w:val="PageNumber"/>
              <w:sz w:val="20"/>
            </w:rPr>
            <w:fldChar w:fldCharType="end"/>
          </w:r>
          <w:r w:rsidRPr="006D051B">
            <w:rPr>
              <w:rStyle w:val="PageNumber"/>
              <w:sz w:val="20"/>
            </w:rPr>
            <w:t xml:space="preserve"> of </w:t>
          </w:r>
          <w:r w:rsidRPr="006D051B">
            <w:rPr>
              <w:rStyle w:val="PageNumber"/>
              <w:sz w:val="20"/>
            </w:rPr>
            <w:fldChar w:fldCharType="begin"/>
          </w:r>
          <w:r w:rsidRPr="006D051B">
            <w:rPr>
              <w:rStyle w:val="PageNumber"/>
              <w:sz w:val="20"/>
            </w:rPr>
            <w:instrText xml:space="preserve"> NUMPAGES </w:instrText>
          </w:r>
          <w:r w:rsidRPr="006D051B">
            <w:rPr>
              <w:rStyle w:val="PageNumber"/>
              <w:sz w:val="20"/>
            </w:rPr>
            <w:fldChar w:fldCharType="separate"/>
          </w:r>
          <w:r w:rsidR="009E48E5">
            <w:rPr>
              <w:rStyle w:val="PageNumber"/>
              <w:noProof/>
              <w:sz w:val="20"/>
            </w:rPr>
            <w:t>1</w:t>
          </w:r>
          <w:r w:rsidRPr="006D051B">
            <w:rPr>
              <w:rStyle w:val="PageNumber"/>
              <w:sz w:val="20"/>
            </w:rPr>
            <w:fldChar w:fldCharType="end"/>
          </w:r>
        </w:p>
      </w:tc>
    </w:tr>
    <w:tr w:rsidR="00607366" w:rsidRPr="005200B2" w14:paraId="5CE5E258" w14:textId="77777777" w:rsidTr="00644069">
      <w:trPr>
        <w:cantSplit/>
        <w:trHeight w:hRule="exact" w:val="284"/>
      </w:trPr>
      <w:tc>
        <w:tcPr>
          <w:tcW w:w="1699" w:type="pct"/>
          <w:tcBorders>
            <w:top w:val="single" w:sz="4" w:space="0" w:color="auto"/>
          </w:tcBorders>
        </w:tcPr>
        <w:p w14:paraId="711B918B" w14:textId="19514F53" w:rsidR="00607366" w:rsidRPr="00FC1B75" w:rsidRDefault="00607366" w:rsidP="00607366">
          <w:pPr>
            <w:pStyle w:val="Footer"/>
            <w:spacing w:after="0" w:line="240" w:lineRule="auto"/>
            <w:rPr>
              <w:rFonts w:cs="Arial"/>
              <w:sz w:val="20"/>
            </w:rPr>
          </w:pPr>
          <w:bookmarkStart w:id="1" w:name="_Hlk215006790"/>
          <w:r w:rsidRPr="00FC1B75">
            <w:rPr>
              <w:rFonts w:cs="Arial"/>
              <w:sz w:val="20"/>
            </w:rPr>
            <w:t>OSPAR Commission</w:t>
          </w:r>
        </w:p>
      </w:tc>
      <w:tc>
        <w:tcPr>
          <w:tcW w:w="1602" w:type="pct"/>
          <w:tcBorders>
            <w:top w:val="single" w:sz="4" w:space="0" w:color="auto"/>
          </w:tcBorders>
        </w:tcPr>
        <w:p w14:paraId="49AB7602" w14:textId="67591439" w:rsidR="00607366" w:rsidRPr="00FC1B75" w:rsidRDefault="00607366" w:rsidP="00607366">
          <w:pPr>
            <w:tabs>
              <w:tab w:val="left" w:pos="272"/>
              <w:tab w:val="center" w:pos="2281"/>
              <w:tab w:val="left" w:pos="4096"/>
            </w:tabs>
            <w:spacing w:after="0" w:line="240" w:lineRule="auto"/>
            <w:ind w:left="-675"/>
            <w:jc w:val="center"/>
            <w:rPr>
              <w:sz w:val="20"/>
            </w:rPr>
          </w:pPr>
          <w:r w:rsidRPr="00FC1B75">
            <w:rPr>
              <w:sz w:val="20"/>
            </w:rPr>
            <w:tab/>
          </w:r>
          <w:r>
            <w:rPr>
              <w:sz w:val="20"/>
            </w:rPr>
            <w:t xml:space="preserve">Summary Record – CoG(2) 2025 </w:t>
          </w:r>
        </w:p>
      </w:tc>
      <w:tc>
        <w:tcPr>
          <w:tcW w:w="1699" w:type="pct"/>
          <w:tcBorders>
            <w:top w:val="single" w:sz="4" w:space="0" w:color="auto"/>
          </w:tcBorders>
        </w:tcPr>
        <w:p w14:paraId="51DB15F3" w14:textId="0758E568" w:rsidR="00607366" w:rsidRPr="00FC1B75" w:rsidRDefault="00607366" w:rsidP="00607366">
          <w:pPr>
            <w:tabs>
              <w:tab w:val="left" w:pos="1292"/>
              <w:tab w:val="left" w:pos="1575"/>
            </w:tabs>
            <w:spacing w:after="0" w:line="240" w:lineRule="auto"/>
            <w:jc w:val="right"/>
            <w:rPr>
              <w:sz w:val="20"/>
            </w:rPr>
          </w:pPr>
          <w:r w:rsidRPr="00482A15">
            <w:rPr>
              <w:sz w:val="20"/>
            </w:rPr>
            <w:t>CoG(</w:t>
          </w:r>
          <w:r>
            <w:rPr>
              <w:sz w:val="20"/>
            </w:rPr>
            <w:t>2</w:t>
          </w:r>
          <w:r w:rsidRPr="00482A15">
            <w:rPr>
              <w:sz w:val="20"/>
            </w:rPr>
            <w:t>) 2</w:t>
          </w:r>
          <w:r>
            <w:rPr>
              <w:sz w:val="20"/>
            </w:rPr>
            <w:t>5</w:t>
          </w:r>
          <w:r w:rsidRPr="00482A15">
            <w:rPr>
              <w:sz w:val="20"/>
            </w:rPr>
            <w:t>/</w:t>
          </w:r>
          <w:r>
            <w:rPr>
              <w:sz w:val="20"/>
            </w:rPr>
            <w:t>09</w:t>
          </w:r>
          <w:r w:rsidRPr="00482A15">
            <w:rPr>
              <w:sz w:val="20"/>
            </w:rPr>
            <w:t>/</w:t>
          </w:r>
          <w:r>
            <w:rPr>
              <w:sz w:val="20"/>
            </w:rPr>
            <w:t>01</w:t>
          </w:r>
          <w:r w:rsidRPr="00482A15">
            <w:rPr>
              <w:sz w:val="20"/>
            </w:rPr>
            <w:t xml:space="preserve">, Annex </w:t>
          </w:r>
          <w:r>
            <w:rPr>
              <w:sz w:val="20"/>
            </w:rPr>
            <w:t>3</w:t>
          </w:r>
        </w:p>
      </w:tc>
    </w:tr>
    <w:bookmarkEnd w:id="1"/>
  </w:tbl>
  <w:p w14:paraId="17B1497A" w14:textId="388BE622" w:rsidR="00D441C2" w:rsidRDefault="00D441C2" w:rsidP="00814B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51D8D" w14:textId="77777777" w:rsidR="00A41B82" w:rsidRDefault="00A41B82">
      <w:pPr>
        <w:spacing w:after="0" w:line="240" w:lineRule="auto"/>
      </w:pPr>
      <w:r>
        <w:separator/>
      </w:r>
    </w:p>
  </w:footnote>
  <w:footnote w:type="continuationSeparator" w:id="0">
    <w:p w14:paraId="218313E1" w14:textId="77777777" w:rsidR="00A41B82" w:rsidRDefault="00A41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0842" w14:textId="77777777" w:rsidR="00D441C2" w:rsidRPr="00414838" w:rsidRDefault="00D441C2" w:rsidP="00644069">
    <w:pPr>
      <w:pStyle w:val="Header"/>
    </w:pPr>
  </w:p>
  <w:p w14:paraId="0299D420" w14:textId="77777777" w:rsidR="00D441C2" w:rsidRDefault="00D441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162B9" w14:textId="77777777" w:rsidR="00D441C2" w:rsidRDefault="00D441C2">
    <w:pPr>
      <w:pStyle w:val="Header"/>
    </w:pPr>
  </w:p>
  <w:p w14:paraId="296FD015" w14:textId="77777777" w:rsidR="00D441C2" w:rsidRDefault="00D441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4DF"/>
    <w:multiLevelType w:val="hybridMultilevel"/>
    <w:tmpl w:val="D1C60E74"/>
    <w:lvl w:ilvl="0" w:tplc="6EAACDE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A7A9D"/>
    <w:multiLevelType w:val="hybridMultilevel"/>
    <w:tmpl w:val="50CC002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7E21506"/>
    <w:multiLevelType w:val="hybridMultilevel"/>
    <w:tmpl w:val="84508EEE"/>
    <w:lvl w:ilvl="0" w:tplc="4E268ED8">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00B64"/>
    <w:multiLevelType w:val="hybridMultilevel"/>
    <w:tmpl w:val="6770B0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EA2053"/>
    <w:multiLevelType w:val="hybridMultilevel"/>
    <w:tmpl w:val="B37E5A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5B6501"/>
    <w:multiLevelType w:val="hybridMultilevel"/>
    <w:tmpl w:val="8056FC5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45F58"/>
    <w:multiLevelType w:val="hybridMultilevel"/>
    <w:tmpl w:val="119022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CC67B0"/>
    <w:multiLevelType w:val="hybridMultilevel"/>
    <w:tmpl w:val="2F10D692"/>
    <w:lvl w:ilvl="0" w:tplc="E0D01162">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211B38"/>
    <w:multiLevelType w:val="hybridMultilevel"/>
    <w:tmpl w:val="6B680D76"/>
    <w:lvl w:ilvl="0" w:tplc="8C120704">
      <w:start w:val="1"/>
      <w:numFmt w:val="decimal"/>
      <w:lvlText w:val="%1."/>
      <w:lvlJc w:val="left"/>
      <w:pPr>
        <w:ind w:left="2839" w:hanging="570"/>
      </w:pPr>
      <w:rPr>
        <w:rFonts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E338EC"/>
    <w:multiLevelType w:val="hybridMultilevel"/>
    <w:tmpl w:val="FAFC636E"/>
    <w:lvl w:ilvl="0" w:tplc="5A280348">
      <w:start w:val="1"/>
      <w:numFmt w:val="decimal"/>
      <w:lvlText w:val="8.%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992B4F"/>
    <w:multiLevelType w:val="hybridMultilevel"/>
    <w:tmpl w:val="8272E3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5BA6F82"/>
    <w:multiLevelType w:val="hybridMultilevel"/>
    <w:tmpl w:val="31D4D8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372575"/>
    <w:multiLevelType w:val="hybridMultilevel"/>
    <w:tmpl w:val="4C50F1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DB5062"/>
    <w:multiLevelType w:val="hybridMultilevel"/>
    <w:tmpl w:val="22FA4924"/>
    <w:lvl w:ilvl="0" w:tplc="5E2653A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545CE"/>
    <w:multiLevelType w:val="hybridMultilevel"/>
    <w:tmpl w:val="439650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12061D"/>
    <w:multiLevelType w:val="hybridMultilevel"/>
    <w:tmpl w:val="473C60C6"/>
    <w:lvl w:ilvl="0" w:tplc="5E2653A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C31C5F"/>
    <w:multiLevelType w:val="hybridMultilevel"/>
    <w:tmpl w:val="395E36DE"/>
    <w:lvl w:ilvl="0" w:tplc="E936673A">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C45C93"/>
    <w:multiLevelType w:val="hybridMultilevel"/>
    <w:tmpl w:val="CD3281D4"/>
    <w:lvl w:ilvl="0" w:tplc="485C80DC">
      <w:start w:val="1"/>
      <w:numFmt w:val="decimal"/>
      <w:pStyle w:val="List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7E2D40"/>
    <w:multiLevelType w:val="hybridMultilevel"/>
    <w:tmpl w:val="89B20760"/>
    <w:lvl w:ilvl="0" w:tplc="98989ED4">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2B4BEF"/>
    <w:multiLevelType w:val="hybridMultilevel"/>
    <w:tmpl w:val="FC5E477E"/>
    <w:lvl w:ilvl="0" w:tplc="94A4EE4E">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106F0"/>
    <w:multiLevelType w:val="hybridMultilevel"/>
    <w:tmpl w:val="C4569926"/>
    <w:lvl w:ilvl="0" w:tplc="3AA66F26">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CC2AAB"/>
    <w:multiLevelType w:val="hybridMultilevel"/>
    <w:tmpl w:val="19B45D18"/>
    <w:lvl w:ilvl="0" w:tplc="730CFF7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A32632"/>
    <w:multiLevelType w:val="hybridMultilevel"/>
    <w:tmpl w:val="29C6DD2C"/>
    <w:lvl w:ilvl="0" w:tplc="32D22B30">
      <w:start w:val="1"/>
      <w:numFmt w:val="decimal"/>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9150F9"/>
    <w:multiLevelType w:val="hybridMultilevel"/>
    <w:tmpl w:val="31D4D8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6742C0"/>
    <w:multiLevelType w:val="multilevel"/>
    <w:tmpl w:val="ABB029A4"/>
    <w:lvl w:ilvl="0">
      <w:start w:val="1"/>
      <w:numFmt w:val="decimal"/>
      <w:lvlText w:val="%1."/>
      <w:lvlJc w:val="left"/>
      <w:pPr>
        <w:ind w:left="717" w:hanging="360"/>
      </w:pPr>
    </w:lvl>
    <w:lvl w:ilvl="1">
      <w:start w:val="1"/>
      <w:numFmt w:val="decimal"/>
      <w:lvlText w:val="%1.%2."/>
      <w:lvlJc w:val="left"/>
      <w:pPr>
        <w:ind w:left="432" w:hanging="432"/>
      </w:pPr>
      <w:rPr>
        <w:b w:val="0"/>
      </w:r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5" w15:restartNumberingAfterBreak="0">
    <w:nsid w:val="6A8D70C5"/>
    <w:multiLevelType w:val="hybridMultilevel"/>
    <w:tmpl w:val="97C4C876"/>
    <w:lvl w:ilvl="0" w:tplc="848A391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355306"/>
    <w:multiLevelType w:val="hybridMultilevel"/>
    <w:tmpl w:val="DC542550"/>
    <w:lvl w:ilvl="0" w:tplc="08090019">
      <w:start w:val="1"/>
      <w:numFmt w:val="lowerLetter"/>
      <w:lvlText w:val="%1."/>
      <w:lvlJc w:val="left"/>
      <w:pPr>
        <w:ind w:left="1287" w:hanging="360"/>
      </w:pPr>
    </w:lvl>
    <w:lvl w:ilvl="1" w:tplc="0809001B">
      <w:start w:val="1"/>
      <w:numFmt w:val="lowerRoman"/>
      <w:lvlText w:val="%2."/>
      <w:lvlJc w:val="right"/>
      <w:pPr>
        <w:ind w:left="2007" w:hanging="360"/>
      </w:pPr>
    </w:lvl>
    <w:lvl w:ilvl="2" w:tplc="0809001B" w:tentative="1">
      <w:start w:val="1"/>
      <w:numFmt w:val="lowerRoman"/>
      <w:lvlText w:val="%3."/>
      <w:lvlJc w:val="right"/>
      <w:pPr>
        <w:ind w:left="2727" w:hanging="180"/>
      </w:pPr>
      <w:rPr>
        <w:rFonts w:cs="Times New Roman"/>
      </w:rPr>
    </w:lvl>
    <w:lvl w:ilvl="3" w:tplc="0809000F" w:tentative="1">
      <w:start w:val="1"/>
      <w:numFmt w:val="decimal"/>
      <w:lvlText w:val="%4."/>
      <w:lvlJc w:val="left"/>
      <w:pPr>
        <w:ind w:left="3447" w:hanging="360"/>
      </w:pPr>
      <w:rPr>
        <w:rFonts w:cs="Times New Roman"/>
      </w:rPr>
    </w:lvl>
    <w:lvl w:ilvl="4" w:tplc="08090019" w:tentative="1">
      <w:start w:val="1"/>
      <w:numFmt w:val="lowerLetter"/>
      <w:lvlText w:val="%5."/>
      <w:lvlJc w:val="left"/>
      <w:pPr>
        <w:ind w:left="4167" w:hanging="360"/>
      </w:pPr>
      <w:rPr>
        <w:rFonts w:cs="Times New Roman"/>
      </w:rPr>
    </w:lvl>
    <w:lvl w:ilvl="5" w:tplc="0809001B" w:tentative="1">
      <w:start w:val="1"/>
      <w:numFmt w:val="lowerRoman"/>
      <w:lvlText w:val="%6."/>
      <w:lvlJc w:val="right"/>
      <w:pPr>
        <w:ind w:left="4887" w:hanging="180"/>
      </w:pPr>
      <w:rPr>
        <w:rFonts w:cs="Times New Roman"/>
      </w:rPr>
    </w:lvl>
    <w:lvl w:ilvl="6" w:tplc="0809000F" w:tentative="1">
      <w:start w:val="1"/>
      <w:numFmt w:val="decimal"/>
      <w:lvlText w:val="%7."/>
      <w:lvlJc w:val="left"/>
      <w:pPr>
        <w:ind w:left="5607" w:hanging="360"/>
      </w:pPr>
      <w:rPr>
        <w:rFonts w:cs="Times New Roman"/>
      </w:rPr>
    </w:lvl>
    <w:lvl w:ilvl="7" w:tplc="08090019" w:tentative="1">
      <w:start w:val="1"/>
      <w:numFmt w:val="lowerLetter"/>
      <w:lvlText w:val="%8."/>
      <w:lvlJc w:val="left"/>
      <w:pPr>
        <w:ind w:left="6327" w:hanging="360"/>
      </w:pPr>
      <w:rPr>
        <w:rFonts w:cs="Times New Roman"/>
      </w:rPr>
    </w:lvl>
    <w:lvl w:ilvl="8" w:tplc="0809001B" w:tentative="1">
      <w:start w:val="1"/>
      <w:numFmt w:val="lowerRoman"/>
      <w:lvlText w:val="%9."/>
      <w:lvlJc w:val="right"/>
      <w:pPr>
        <w:ind w:left="7047" w:hanging="180"/>
      </w:pPr>
      <w:rPr>
        <w:rFonts w:cs="Times New Roman"/>
      </w:rPr>
    </w:lvl>
  </w:abstractNum>
  <w:abstractNum w:abstractNumId="27" w15:restartNumberingAfterBreak="0">
    <w:nsid w:val="6E6018B9"/>
    <w:multiLevelType w:val="hybridMultilevel"/>
    <w:tmpl w:val="9C060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993F27"/>
    <w:multiLevelType w:val="hybridMultilevel"/>
    <w:tmpl w:val="D5E07B1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9" w15:restartNumberingAfterBreak="0">
    <w:nsid w:val="755749F8"/>
    <w:multiLevelType w:val="hybridMultilevel"/>
    <w:tmpl w:val="41C20AFE"/>
    <w:lvl w:ilvl="0" w:tplc="730CFF72">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4C54E6"/>
    <w:multiLevelType w:val="hybridMultilevel"/>
    <w:tmpl w:val="41409B4E"/>
    <w:lvl w:ilvl="0" w:tplc="83D89600">
      <w:start w:val="1"/>
      <w:numFmt w:val="bullet"/>
      <w:lvlText w:val=""/>
      <w:lvlJc w:val="left"/>
      <w:pPr>
        <w:ind w:left="360" w:hanging="360"/>
      </w:pPr>
      <w:rPr>
        <w:rFonts w:ascii="Symbol" w:hAnsi="Symbol" w:hint="default"/>
        <w:lang w:val="en-GB"/>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BCE57DB"/>
    <w:multiLevelType w:val="hybridMultilevel"/>
    <w:tmpl w:val="5CAC8590"/>
    <w:lvl w:ilvl="0" w:tplc="5E2653A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CB57C1"/>
    <w:multiLevelType w:val="hybridMultilevel"/>
    <w:tmpl w:val="21C25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8041842">
    <w:abstractNumId w:val="26"/>
  </w:num>
  <w:num w:numId="2" w16cid:durableId="1577203518">
    <w:abstractNumId w:val="24"/>
  </w:num>
  <w:num w:numId="3" w16cid:durableId="1775056939">
    <w:abstractNumId w:val="17"/>
  </w:num>
  <w:num w:numId="4" w16cid:durableId="1120340384">
    <w:abstractNumId w:val="10"/>
  </w:num>
  <w:num w:numId="5" w16cid:durableId="1680503377">
    <w:abstractNumId w:val="27"/>
  </w:num>
  <w:num w:numId="6" w16cid:durableId="1537692044">
    <w:abstractNumId w:val="5"/>
  </w:num>
  <w:num w:numId="7" w16cid:durableId="900365357">
    <w:abstractNumId w:val="4"/>
  </w:num>
  <w:num w:numId="8" w16cid:durableId="707989655">
    <w:abstractNumId w:val="14"/>
  </w:num>
  <w:num w:numId="9" w16cid:durableId="1195459002">
    <w:abstractNumId w:val="23"/>
  </w:num>
  <w:num w:numId="10" w16cid:durableId="224417769">
    <w:abstractNumId w:val="11"/>
  </w:num>
  <w:num w:numId="11" w16cid:durableId="1424915345">
    <w:abstractNumId w:val="2"/>
  </w:num>
  <w:num w:numId="12" w16cid:durableId="799540626">
    <w:abstractNumId w:val="16"/>
  </w:num>
  <w:num w:numId="13" w16cid:durableId="2134319734">
    <w:abstractNumId w:val="21"/>
  </w:num>
  <w:num w:numId="14" w16cid:durableId="540484118">
    <w:abstractNumId w:val="20"/>
  </w:num>
  <w:num w:numId="15" w16cid:durableId="1302690109">
    <w:abstractNumId w:val="18"/>
  </w:num>
  <w:num w:numId="16" w16cid:durableId="416948179">
    <w:abstractNumId w:val="29"/>
  </w:num>
  <w:num w:numId="17" w16cid:durableId="647242856">
    <w:abstractNumId w:val="22"/>
  </w:num>
  <w:num w:numId="18" w16cid:durableId="1273785212">
    <w:abstractNumId w:val="7"/>
  </w:num>
  <w:num w:numId="19" w16cid:durableId="1854295772">
    <w:abstractNumId w:val="9"/>
  </w:num>
  <w:num w:numId="20" w16cid:durableId="230194214">
    <w:abstractNumId w:val="31"/>
  </w:num>
  <w:num w:numId="21" w16cid:durableId="768547967">
    <w:abstractNumId w:val="15"/>
  </w:num>
  <w:num w:numId="22" w16cid:durableId="437607372">
    <w:abstractNumId w:val="19"/>
  </w:num>
  <w:num w:numId="23" w16cid:durableId="1291477459">
    <w:abstractNumId w:val="0"/>
  </w:num>
  <w:num w:numId="24" w16cid:durableId="1039624673">
    <w:abstractNumId w:val="13"/>
  </w:num>
  <w:num w:numId="25" w16cid:durableId="312494286">
    <w:abstractNumId w:val="25"/>
  </w:num>
  <w:num w:numId="26" w16cid:durableId="1745451488">
    <w:abstractNumId w:val="3"/>
  </w:num>
  <w:num w:numId="27" w16cid:durableId="1614245435">
    <w:abstractNumId w:val="12"/>
  </w:num>
  <w:num w:numId="28" w16cid:durableId="173307286">
    <w:abstractNumId w:val="28"/>
  </w:num>
  <w:num w:numId="29" w16cid:durableId="1579711018">
    <w:abstractNumId w:val="1"/>
  </w:num>
  <w:num w:numId="30" w16cid:durableId="415975385">
    <w:abstractNumId w:val="8"/>
  </w:num>
  <w:num w:numId="31" w16cid:durableId="729574352">
    <w:abstractNumId w:val="30"/>
  </w:num>
  <w:num w:numId="32" w16cid:durableId="1004825636">
    <w:abstractNumId w:val="32"/>
  </w:num>
  <w:num w:numId="33" w16cid:durableId="4209573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467"/>
    <w:rsid w:val="00000063"/>
    <w:rsid w:val="0003172A"/>
    <w:rsid w:val="00033803"/>
    <w:rsid w:val="0005025E"/>
    <w:rsid w:val="000660C7"/>
    <w:rsid w:val="00067596"/>
    <w:rsid w:val="00075671"/>
    <w:rsid w:val="00086274"/>
    <w:rsid w:val="000A3863"/>
    <w:rsid w:val="000A4371"/>
    <w:rsid w:val="000A49BE"/>
    <w:rsid w:val="000B4BC4"/>
    <w:rsid w:val="000B7973"/>
    <w:rsid w:val="000D6A9F"/>
    <w:rsid w:val="000E4B40"/>
    <w:rsid w:val="000E4C69"/>
    <w:rsid w:val="000F15FD"/>
    <w:rsid w:val="000F273F"/>
    <w:rsid w:val="000F3490"/>
    <w:rsid w:val="001142E4"/>
    <w:rsid w:val="00117DCA"/>
    <w:rsid w:val="00127E18"/>
    <w:rsid w:val="001318DB"/>
    <w:rsid w:val="00132581"/>
    <w:rsid w:val="001361C6"/>
    <w:rsid w:val="00143CE4"/>
    <w:rsid w:val="0015265A"/>
    <w:rsid w:val="00155E9B"/>
    <w:rsid w:val="001577D1"/>
    <w:rsid w:val="001706AF"/>
    <w:rsid w:val="001728A5"/>
    <w:rsid w:val="00184048"/>
    <w:rsid w:val="00192877"/>
    <w:rsid w:val="00195860"/>
    <w:rsid w:val="001A66C0"/>
    <w:rsid w:val="001B11E9"/>
    <w:rsid w:val="001D02DB"/>
    <w:rsid w:val="001D7493"/>
    <w:rsid w:val="001D78F7"/>
    <w:rsid w:val="001E565D"/>
    <w:rsid w:val="001E7695"/>
    <w:rsid w:val="001F2312"/>
    <w:rsid w:val="001F3CF2"/>
    <w:rsid w:val="0022321D"/>
    <w:rsid w:val="00231122"/>
    <w:rsid w:val="00267B5A"/>
    <w:rsid w:val="00272AB7"/>
    <w:rsid w:val="00274D90"/>
    <w:rsid w:val="00276D8C"/>
    <w:rsid w:val="0027765B"/>
    <w:rsid w:val="00281858"/>
    <w:rsid w:val="00284B4D"/>
    <w:rsid w:val="00285B5D"/>
    <w:rsid w:val="00286737"/>
    <w:rsid w:val="002A1220"/>
    <w:rsid w:val="002C0B9B"/>
    <w:rsid w:val="002E5F22"/>
    <w:rsid w:val="002F21B1"/>
    <w:rsid w:val="002F7673"/>
    <w:rsid w:val="003016B4"/>
    <w:rsid w:val="003030D1"/>
    <w:rsid w:val="003036AB"/>
    <w:rsid w:val="00310973"/>
    <w:rsid w:val="00314194"/>
    <w:rsid w:val="003157DC"/>
    <w:rsid w:val="00323C89"/>
    <w:rsid w:val="003307C0"/>
    <w:rsid w:val="00332BDB"/>
    <w:rsid w:val="00333834"/>
    <w:rsid w:val="00346977"/>
    <w:rsid w:val="00350C6A"/>
    <w:rsid w:val="003571D5"/>
    <w:rsid w:val="00377B25"/>
    <w:rsid w:val="00377E09"/>
    <w:rsid w:val="00377F5A"/>
    <w:rsid w:val="00384B71"/>
    <w:rsid w:val="003851F2"/>
    <w:rsid w:val="00390A15"/>
    <w:rsid w:val="003A0CFF"/>
    <w:rsid w:val="003A4CF2"/>
    <w:rsid w:val="003A54C0"/>
    <w:rsid w:val="003A64F1"/>
    <w:rsid w:val="003B3DBE"/>
    <w:rsid w:val="003C0008"/>
    <w:rsid w:val="003C4DD5"/>
    <w:rsid w:val="003D30E5"/>
    <w:rsid w:val="003D7AD9"/>
    <w:rsid w:val="003E2C56"/>
    <w:rsid w:val="003E318E"/>
    <w:rsid w:val="003F2411"/>
    <w:rsid w:val="004052B8"/>
    <w:rsid w:val="00413724"/>
    <w:rsid w:val="0041389D"/>
    <w:rsid w:val="004178B9"/>
    <w:rsid w:val="00421A56"/>
    <w:rsid w:val="00421F82"/>
    <w:rsid w:val="004223FB"/>
    <w:rsid w:val="00431157"/>
    <w:rsid w:val="00437F86"/>
    <w:rsid w:val="004434AD"/>
    <w:rsid w:val="00454A1F"/>
    <w:rsid w:val="00456195"/>
    <w:rsid w:val="004612F3"/>
    <w:rsid w:val="0046520E"/>
    <w:rsid w:val="00465FB3"/>
    <w:rsid w:val="00467C98"/>
    <w:rsid w:val="0047154D"/>
    <w:rsid w:val="00476DA7"/>
    <w:rsid w:val="00480866"/>
    <w:rsid w:val="00492714"/>
    <w:rsid w:val="00494408"/>
    <w:rsid w:val="004B04CA"/>
    <w:rsid w:val="004B2FCB"/>
    <w:rsid w:val="004B7BC2"/>
    <w:rsid w:val="004C74DD"/>
    <w:rsid w:val="004D038E"/>
    <w:rsid w:val="004E7EBD"/>
    <w:rsid w:val="004F4BE9"/>
    <w:rsid w:val="005176C6"/>
    <w:rsid w:val="00537B3A"/>
    <w:rsid w:val="005810E5"/>
    <w:rsid w:val="00585AA1"/>
    <w:rsid w:val="00586BCA"/>
    <w:rsid w:val="00587A95"/>
    <w:rsid w:val="005945BD"/>
    <w:rsid w:val="005966EC"/>
    <w:rsid w:val="005A4F19"/>
    <w:rsid w:val="005B2177"/>
    <w:rsid w:val="005C03B4"/>
    <w:rsid w:val="005C3BF0"/>
    <w:rsid w:val="005D1842"/>
    <w:rsid w:val="005E1A7D"/>
    <w:rsid w:val="005E31D5"/>
    <w:rsid w:val="005E3467"/>
    <w:rsid w:val="005E704B"/>
    <w:rsid w:val="005F2B25"/>
    <w:rsid w:val="005F2F9F"/>
    <w:rsid w:val="00604A5A"/>
    <w:rsid w:val="00607366"/>
    <w:rsid w:val="00614F56"/>
    <w:rsid w:val="006226B9"/>
    <w:rsid w:val="00623B28"/>
    <w:rsid w:val="006416EE"/>
    <w:rsid w:val="00644069"/>
    <w:rsid w:val="006454D2"/>
    <w:rsid w:val="006545C9"/>
    <w:rsid w:val="00656054"/>
    <w:rsid w:val="00672D95"/>
    <w:rsid w:val="00672EC6"/>
    <w:rsid w:val="00675CBC"/>
    <w:rsid w:val="006820A8"/>
    <w:rsid w:val="006A6627"/>
    <w:rsid w:val="006C3990"/>
    <w:rsid w:val="006C7A3B"/>
    <w:rsid w:val="006D632F"/>
    <w:rsid w:val="006F35D1"/>
    <w:rsid w:val="00702BB6"/>
    <w:rsid w:val="007041B5"/>
    <w:rsid w:val="00710B3A"/>
    <w:rsid w:val="00721602"/>
    <w:rsid w:val="00725042"/>
    <w:rsid w:val="00732026"/>
    <w:rsid w:val="007453B3"/>
    <w:rsid w:val="00751FDB"/>
    <w:rsid w:val="00753A2F"/>
    <w:rsid w:val="00764604"/>
    <w:rsid w:val="00767659"/>
    <w:rsid w:val="00767890"/>
    <w:rsid w:val="007730A7"/>
    <w:rsid w:val="00782F01"/>
    <w:rsid w:val="00786C3D"/>
    <w:rsid w:val="007A1421"/>
    <w:rsid w:val="007A737A"/>
    <w:rsid w:val="007C46E6"/>
    <w:rsid w:val="007D2F4D"/>
    <w:rsid w:val="007E38A5"/>
    <w:rsid w:val="007E5094"/>
    <w:rsid w:val="007F2512"/>
    <w:rsid w:val="008149AA"/>
    <w:rsid w:val="00814B8B"/>
    <w:rsid w:val="008165BC"/>
    <w:rsid w:val="00817CC8"/>
    <w:rsid w:val="008228A1"/>
    <w:rsid w:val="00827B57"/>
    <w:rsid w:val="008305E1"/>
    <w:rsid w:val="0084274F"/>
    <w:rsid w:val="008434DA"/>
    <w:rsid w:val="00843564"/>
    <w:rsid w:val="008463A4"/>
    <w:rsid w:val="00882D21"/>
    <w:rsid w:val="00885AF2"/>
    <w:rsid w:val="00897838"/>
    <w:rsid w:val="00897F80"/>
    <w:rsid w:val="008A6952"/>
    <w:rsid w:val="008C4FF3"/>
    <w:rsid w:val="008C51E2"/>
    <w:rsid w:val="008D0BA6"/>
    <w:rsid w:val="008D4C28"/>
    <w:rsid w:val="008E3F79"/>
    <w:rsid w:val="008E47A7"/>
    <w:rsid w:val="008E5E77"/>
    <w:rsid w:val="008F6976"/>
    <w:rsid w:val="00913E14"/>
    <w:rsid w:val="00915FEC"/>
    <w:rsid w:val="00922151"/>
    <w:rsid w:val="00922273"/>
    <w:rsid w:val="009248A2"/>
    <w:rsid w:val="00924F0E"/>
    <w:rsid w:val="009328A7"/>
    <w:rsid w:val="00963972"/>
    <w:rsid w:val="0096607F"/>
    <w:rsid w:val="00967D1B"/>
    <w:rsid w:val="00973168"/>
    <w:rsid w:val="00974B1E"/>
    <w:rsid w:val="009751E8"/>
    <w:rsid w:val="0097550C"/>
    <w:rsid w:val="009867DD"/>
    <w:rsid w:val="009930DB"/>
    <w:rsid w:val="009957ED"/>
    <w:rsid w:val="009A2CF7"/>
    <w:rsid w:val="009A6770"/>
    <w:rsid w:val="009B7C89"/>
    <w:rsid w:val="009C1F9C"/>
    <w:rsid w:val="009C6549"/>
    <w:rsid w:val="009C7FF6"/>
    <w:rsid w:val="009D0BED"/>
    <w:rsid w:val="009D342D"/>
    <w:rsid w:val="009E0E53"/>
    <w:rsid w:val="009E48E5"/>
    <w:rsid w:val="009E4EF9"/>
    <w:rsid w:val="009F1AB2"/>
    <w:rsid w:val="00A141BD"/>
    <w:rsid w:val="00A41B82"/>
    <w:rsid w:val="00A4424E"/>
    <w:rsid w:val="00A44AD4"/>
    <w:rsid w:val="00A66145"/>
    <w:rsid w:val="00A7546B"/>
    <w:rsid w:val="00A8197C"/>
    <w:rsid w:val="00A8222E"/>
    <w:rsid w:val="00A92456"/>
    <w:rsid w:val="00A96702"/>
    <w:rsid w:val="00A977E6"/>
    <w:rsid w:val="00AA1E99"/>
    <w:rsid w:val="00AA21A1"/>
    <w:rsid w:val="00AA4DE0"/>
    <w:rsid w:val="00AB0D0F"/>
    <w:rsid w:val="00AB405D"/>
    <w:rsid w:val="00AB482E"/>
    <w:rsid w:val="00AC0C1E"/>
    <w:rsid w:val="00AC55BF"/>
    <w:rsid w:val="00AD1CBE"/>
    <w:rsid w:val="00AD4B8A"/>
    <w:rsid w:val="00AE2EC9"/>
    <w:rsid w:val="00B1633D"/>
    <w:rsid w:val="00B226EE"/>
    <w:rsid w:val="00B227A4"/>
    <w:rsid w:val="00B2403A"/>
    <w:rsid w:val="00B250E8"/>
    <w:rsid w:val="00B36158"/>
    <w:rsid w:val="00B37725"/>
    <w:rsid w:val="00B4417B"/>
    <w:rsid w:val="00B47C93"/>
    <w:rsid w:val="00B7223A"/>
    <w:rsid w:val="00B72EB4"/>
    <w:rsid w:val="00B8068F"/>
    <w:rsid w:val="00B8760A"/>
    <w:rsid w:val="00B96D82"/>
    <w:rsid w:val="00BA452B"/>
    <w:rsid w:val="00BB45BB"/>
    <w:rsid w:val="00BC3299"/>
    <w:rsid w:val="00BD4164"/>
    <w:rsid w:val="00BE0874"/>
    <w:rsid w:val="00BE6AF7"/>
    <w:rsid w:val="00BF087B"/>
    <w:rsid w:val="00BF0AFA"/>
    <w:rsid w:val="00BF7BA3"/>
    <w:rsid w:val="00C065C9"/>
    <w:rsid w:val="00C11E88"/>
    <w:rsid w:val="00C13D72"/>
    <w:rsid w:val="00C152DD"/>
    <w:rsid w:val="00C24FA5"/>
    <w:rsid w:val="00C53438"/>
    <w:rsid w:val="00C67EDA"/>
    <w:rsid w:val="00C72440"/>
    <w:rsid w:val="00C742EE"/>
    <w:rsid w:val="00C745AE"/>
    <w:rsid w:val="00C76266"/>
    <w:rsid w:val="00C956E3"/>
    <w:rsid w:val="00C973BA"/>
    <w:rsid w:val="00CA2845"/>
    <w:rsid w:val="00CC2499"/>
    <w:rsid w:val="00CC5CCF"/>
    <w:rsid w:val="00CC7F6B"/>
    <w:rsid w:val="00CD2054"/>
    <w:rsid w:val="00CE023A"/>
    <w:rsid w:val="00CF2244"/>
    <w:rsid w:val="00CF6E94"/>
    <w:rsid w:val="00D0065F"/>
    <w:rsid w:val="00D06AC0"/>
    <w:rsid w:val="00D30EAB"/>
    <w:rsid w:val="00D441C2"/>
    <w:rsid w:val="00D445C1"/>
    <w:rsid w:val="00D47847"/>
    <w:rsid w:val="00D65421"/>
    <w:rsid w:val="00D87E5D"/>
    <w:rsid w:val="00D93B77"/>
    <w:rsid w:val="00DA476A"/>
    <w:rsid w:val="00DB343E"/>
    <w:rsid w:val="00DB5BB9"/>
    <w:rsid w:val="00DC48EE"/>
    <w:rsid w:val="00DE2228"/>
    <w:rsid w:val="00DE4F5B"/>
    <w:rsid w:val="00DF40A6"/>
    <w:rsid w:val="00E04B64"/>
    <w:rsid w:val="00E05426"/>
    <w:rsid w:val="00E0599B"/>
    <w:rsid w:val="00E14723"/>
    <w:rsid w:val="00E23D91"/>
    <w:rsid w:val="00E46ABC"/>
    <w:rsid w:val="00E51BCB"/>
    <w:rsid w:val="00E54224"/>
    <w:rsid w:val="00E5589B"/>
    <w:rsid w:val="00E778D4"/>
    <w:rsid w:val="00EA4552"/>
    <w:rsid w:val="00EB03F5"/>
    <w:rsid w:val="00EB4BFE"/>
    <w:rsid w:val="00EC3990"/>
    <w:rsid w:val="00EC7005"/>
    <w:rsid w:val="00EE0716"/>
    <w:rsid w:val="00EE2688"/>
    <w:rsid w:val="00EF0A7E"/>
    <w:rsid w:val="00EF3306"/>
    <w:rsid w:val="00EF4D83"/>
    <w:rsid w:val="00EF7C1D"/>
    <w:rsid w:val="00EF7C64"/>
    <w:rsid w:val="00F03E5C"/>
    <w:rsid w:val="00F05958"/>
    <w:rsid w:val="00F15D74"/>
    <w:rsid w:val="00F31F57"/>
    <w:rsid w:val="00F32D8E"/>
    <w:rsid w:val="00F35BCA"/>
    <w:rsid w:val="00F4024B"/>
    <w:rsid w:val="00F451FF"/>
    <w:rsid w:val="00F51A09"/>
    <w:rsid w:val="00F74A86"/>
    <w:rsid w:val="00F766E6"/>
    <w:rsid w:val="00F76918"/>
    <w:rsid w:val="00F83E97"/>
    <w:rsid w:val="00FB0763"/>
    <w:rsid w:val="00FB7A43"/>
    <w:rsid w:val="00FC1457"/>
    <w:rsid w:val="00FD4D09"/>
    <w:rsid w:val="00FF53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050276"/>
  <w15:docId w15:val="{7A8FF8B7-9BA1-481E-A7F5-BED59944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E88"/>
    <w:pPr>
      <w:spacing w:after="120"/>
      <w:jc w:val="both"/>
    </w:pPr>
  </w:style>
  <w:style w:type="paragraph" w:styleId="Heading1">
    <w:name w:val="heading 1"/>
    <w:basedOn w:val="Normal"/>
    <w:next w:val="Normal"/>
    <w:link w:val="Heading1Char"/>
    <w:uiPriority w:val="9"/>
    <w:qFormat/>
    <w:rsid w:val="00E778D4"/>
    <w:pPr>
      <w:spacing w:before="200"/>
      <w:outlineLvl w:val="0"/>
    </w:pPr>
    <w:rPr>
      <w:rFonts w:ascii="Calibri" w:hAnsi="Calibri" w:cs="Arial"/>
      <w:kern w:val="28"/>
      <w:sz w:val="26"/>
      <w:szCs w:val="26"/>
    </w:rPr>
  </w:style>
  <w:style w:type="paragraph" w:styleId="Heading2">
    <w:name w:val="heading 2"/>
    <w:basedOn w:val="Normal"/>
    <w:next w:val="BodyText"/>
    <w:link w:val="Heading2Char"/>
    <w:qFormat/>
    <w:rsid w:val="00E54224"/>
    <w:pPr>
      <w:spacing w:before="240" w:line="240" w:lineRule="atLeast"/>
      <w:outlineLvl w:val="1"/>
    </w:pPr>
    <w:rPr>
      <w:rFonts w:ascii="Calibri" w:hAnsi="Calibri" w:cs="Arial"/>
      <w:b/>
    </w:rPr>
  </w:style>
  <w:style w:type="paragraph" w:styleId="Heading3">
    <w:name w:val="heading 3"/>
    <w:basedOn w:val="Normal"/>
    <w:next w:val="Normal"/>
    <w:link w:val="Heading3Char"/>
    <w:uiPriority w:val="9"/>
    <w:unhideWhenUsed/>
    <w:qFormat/>
    <w:rsid w:val="00EF3306"/>
    <w:pPr>
      <w:outlineLvl w:val="2"/>
    </w:pPr>
    <w:rPr>
      <w:rFonts w:ascii="Calibri" w:eastAsia="Calibri" w:hAnsi="Calibri"/>
      <w:i/>
    </w:rPr>
  </w:style>
  <w:style w:type="paragraph" w:styleId="Heading4">
    <w:name w:val="heading 4"/>
    <w:basedOn w:val="Normal"/>
    <w:next w:val="Normal"/>
    <w:link w:val="Heading4Char"/>
    <w:uiPriority w:val="9"/>
    <w:semiHidden/>
    <w:unhideWhenUsed/>
    <w:qFormat/>
    <w:rsid w:val="0076789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54224"/>
    <w:rPr>
      <w:rFonts w:ascii="Calibri" w:hAnsi="Calibri" w:cs="Arial"/>
      <w:b/>
    </w:rPr>
  </w:style>
  <w:style w:type="paragraph" w:styleId="Header">
    <w:name w:val="header"/>
    <w:aliases w:val="Header1"/>
    <w:basedOn w:val="Normal"/>
    <w:link w:val="HeaderChar"/>
    <w:uiPriority w:val="99"/>
    <w:rsid w:val="005E3467"/>
    <w:pPr>
      <w:tabs>
        <w:tab w:val="center" w:pos="4320"/>
        <w:tab w:val="right" w:pos="8640"/>
      </w:tabs>
    </w:pPr>
    <w:rPr>
      <w:rFonts w:ascii="Calibri" w:eastAsia="Times New Roman" w:hAnsi="Calibri" w:cs="Times New Roman"/>
      <w:szCs w:val="20"/>
      <w:lang w:eastAsia="en-GB"/>
    </w:rPr>
  </w:style>
  <w:style w:type="character" w:customStyle="1" w:styleId="HeaderChar">
    <w:name w:val="Header Char"/>
    <w:aliases w:val="Header1 Char"/>
    <w:basedOn w:val="DefaultParagraphFont"/>
    <w:link w:val="Header"/>
    <w:uiPriority w:val="99"/>
    <w:rsid w:val="005E3467"/>
    <w:rPr>
      <w:rFonts w:ascii="Calibri" w:eastAsia="Times New Roman" w:hAnsi="Calibri" w:cs="Times New Roman"/>
      <w:szCs w:val="20"/>
      <w:lang w:eastAsia="en-GB"/>
    </w:rPr>
  </w:style>
  <w:style w:type="paragraph" w:styleId="Footer">
    <w:name w:val="footer"/>
    <w:aliases w:val="Footer1"/>
    <w:basedOn w:val="Normal"/>
    <w:link w:val="FooterChar"/>
    <w:uiPriority w:val="99"/>
    <w:rsid w:val="005E3467"/>
    <w:rPr>
      <w:rFonts w:ascii="Calibri" w:eastAsia="Times New Roman" w:hAnsi="Calibri" w:cs="Times New Roman"/>
      <w:szCs w:val="20"/>
      <w:lang w:eastAsia="en-GB"/>
    </w:rPr>
  </w:style>
  <w:style w:type="character" w:customStyle="1" w:styleId="FooterChar">
    <w:name w:val="Footer Char"/>
    <w:aliases w:val="Footer1 Char"/>
    <w:basedOn w:val="DefaultParagraphFont"/>
    <w:link w:val="Footer"/>
    <w:uiPriority w:val="99"/>
    <w:rsid w:val="005E3467"/>
    <w:rPr>
      <w:rFonts w:ascii="Calibri" w:eastAsia="Times New Roman" w:hAnsi="Calibri" w:cs="Times New Roman"/>
      <w:szCs w:val="20"/>
      <w:lang w:eastAsia="en-GB"/>
    </w:rPr>
  </w:style>
  <w:style w:type="character" w:styleId="PageNumber">
    <w:name w:val="page number"/>
    <w:basedOn w:val="DefaultParagraphFont"/>
    <w:rsid w:val="005E3467"/>
  </w:style>
  <w:style w:type="paragraph" w:styleId="Title">
    <w:name w:val="Title"/>
    <w:basedOn w:val="Normal"/>
    <w:link w:val="TitleChar"/>
    <w:qFormat/>
    <w:rsid w:val="00C11E88"/>
    <w:pPr>
      <w:spacing w:before="240" w:after="240"/>
      <w:outlineLvl w:val="0"/>
    </w:pPr>
    <w:rPr>
      <w:rFonts w:ascii="Calibri" w:hAnsi="Calibri" w:cs="Arial"/>
      <w:kern w:val="28"/>
      <w:sz w:val="40"/>
    </w:rPr>
  </w:style>
  <w:style w:type="character" w:customStyle="1" w:styleId="TitleChar">
    <w:name w:val="Title Char"/>
    <w:basedOn w:val="DefaultParagraphFont"/>
    <w:link w:val="Title"/>
    <w:rsid w:val="00C11E88"/>
    <w:rPr>
      <w:rFonts w:ascii="Calibri" w:hAnsi="Calibri" w:cs="Arial"/>
      <w:kern w:val="28"/>
      <w:sz w:val="40"/>
    </w:rPr>
  </w:style>
  <w:style w:type="paragraph" w:customStyle="1" w:styleId="Docheader">
    <w:name w:val="Doc header"/>
    <w:basedOn w:val="Normal"/>
    <w:rsid w:val="005E3467"/>
    <w:pPr>
      <w:tabs>
        <w:tab w:val="left" w:pos="567"/>
      </w:tabs>
      <w:spacing w:line="280" w:lineRule="exact"/>
    </w:pPr>
    <w:rPr>
      <w:rFonts w:ascii="Arial" w:eastAsia="Times New Roman" w:hAnsi="Arial" w:cs="Times New Roman"/>
      <w:sz w:val="24"/>
      <w:szCs w:val="20"/>
      <w:lang w:val="en-US"/>
    </w:rPr>
  </w:style>
  <w:style w:type="paragraph" w:styleId="BodyText">
    <w:name w:val="Body Text"/>
    <w:basedOn w:val="Normal"/>
    <w:link w:val="BodyTextChar"/>
    <w:uiPriority w:val="99"/>
    <w:unhideWhenUsed/>
    <w:rsid w:val="005E3467"/>
  </w:style>
  <w:style w:type="character" w:customStyle="1" w:styleId="BodyTextChar">
    <w:name w:val="Body Text Char"/>
    <w:basedOn w:val="DefaultParagraphFont"/>
    <w:link w:val="BodyText"/>
    <w:uiPriority w:val="99"/>
    <w:rsid w:val="005E3467"/>
  </w:style>
  <w:style w:type="character" w:customStyle="1" w:styleId="Heading1Char">
    <w:name w:val="Heading 1 Char"/>
    <w:basedOn w:val="DefaultParagraphFont"/>
    <w:link w:val="Heading1"/>
    <w:uiPriority w:val="9"/>
    <w:rsid w:val="00E778D4"/>
    <w:rPr>
      <w:rFonts w:ascii="Calibri" w:hAnsi="Calibri" w:cs="Arial"/>
      <w:kern w:val="28"/>
      <w:sz w:val="26"/>
      <w:szCs w:val="26"/>
    </w:rPr>
  </w:style>
  <w:style w:type="paragraph" w:styleId="ListParagraph">
    <w:name w:val="List Paragraph"/>
    <w:aliases w:val="_Bullet,Heading 2_sj,List Paragraph1,Listenabsatz1,Normal bullet 2,Bullet list,Dot pt,Liststycke,No Spacing1,List Paragraph Char Char Char,Indicator Text,Numbered Para 1,Bullet 1,Bullet Points,MAIN CONTENT,Listeavsnitt,Parágrafo da Lista"/>
    <w:basedOn w:val="Normal"/>
    <w:link w:val="ListParagraphChar"/>
    <w:uiPriority w:val="34"/>
    <w:qFormat/>
    <w:rsid w:val="00C67EDA"/>
    <w:pPr>
      <w:numPr>
        <w:numId w:val="3"/>
      </w:numPr>
      <w:tabs>
        <w:tab w:val="left" w:pos="567"/>
      </w:tabs>
      <w:spacing w:before="120"/>
      <w:ind w:left="0" w:firstLine="0"/>
    </w:pPr>
    <w:rPr>
      <w:rFonts w:cs="Arial"/>
    </w:rPr>
  </w:style>
  <w:style w:type="character" w:styleId="Hyperlink">
    <w:name w:val="Hyperlink"/>
    <w:uiPriority w:val="99"/>
    <w:rsid w:val="00C11E88"/>
    <w:rPr>
      <w:rFonts w:ascii="Arial" w:hAnsi="Arial"/>
      <w:color w:val="16288E"/>
      <w:u w:val="none"/>
    </w:rPr>
  </w:style>
  <w:style w:type="paragraph" w:styleId="NoSpacing">
    <w:name w:val="No Spacing"/>
    <w:uiPriority w:val="1"/>
    <w:qFormat/>
    <w:rsid w:val="00C11E88"/>
    <w:pPr>
      <w:spacing w:after="0" w:line="240" w:lineRule="auto"/>
    </w:pPr>
    <w:rPr>
      <w:rFonts w:ascii="Calibri" w:eastAsia="Times New Roman" w:hAnsi="Calibri" w:cs="Times New Roman"/>
      <w:lang w:eastAsia="en-GB"/>
    </w:rPr>
  </w:style>
  <w:style w:type="paragraph" w:styleId="PlainText">
    <w:name w:val="Plain Text"/>
    <w:basedOn w:val="Normal"/>
    <w:link w:val="PlainTextChar"/>
    <w:uiPriority w:val="99"/>
    <w:rsid w:val="00C11E88"/>
    <w:pPr>
      <w:spacing w:after="0" w:line="240" w:lineRule="auto"/>
      <w:jc w:val="left"/>
    </w:pPr>
    <w:rPr>
      <w:rFonts w:ascii="Calibri" w:eastAsia="Times New Roman" w:hAnsi="Calibri" w:cs="Times New Roman"/>
      <w:szCs w:val="21"/>
      <w:lang w:val="es-ES"/>
    </w:rPr>
  </w:style>
  <w:style w:type="character" w:customStyle="1" w:styleId="PlainTextChar">
    <w:name w:val="Plain Text Char"/>
    <w:basedOn w:val="DefaultParagraphFont"/>
    <w:link w:val="PlainText"/>
    <w:uiPriority w:val="99"/>
    <w:rsid w:val="00C11E88"/>
    <w:rPr>
      <w:rFonts w:ascii="Calibri" w:eastAsia="Times New Roman" w:hAnsi="Calibri" w:cs="Times New Roman"/>
      <w:szCs w:val="21"/>
      <w:lang w:val="es-ES"/>
    </w:rPr>
  </w:style>
  <w:style w:type="character" w:customStyle="1" w:styleId="Heading3Char">
    <w:name w:val="Heading 3 Char"/>
    <w:basedOn w:val="DefaultParagraphFont"/>
    <w:link w:val="Heading3"/>
    <w:uiPriority w:val="9"/>
    <w:rsid w:val="00EF3306"/>
    <w:rPr>
      <w:rFonts w:ascii="Calibri" w:eastAsia="Calibri" w:hAnsi="Calibri"/>
      <w:i/>
    </w:rPr>
  </w:style>
  <w:style w:type="paragraph" w:styleId="BalloonText">
    <w:name w:val="Balloon Text"/>
    <w:basedOn w:val="Normal"/>
    <w:link w:val="BalloonTextChar"/>
    <w:uiPriority w:val="99"/>
    <w:semiHidden/>
    <w:unhideWhenUsed/>
    <w:rsid w:val="003A6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4F1"/>
    <w:rPr>
      <w:rFonts w:ascii="Tahoma" w:hAnsi="Tahoma" w:cs="Tahoma"/>
      <w:sz w:val="16"/>
      <w:szCs w:val="16"/>
    </w:rPr>
  </w:style>
  <w:style w:type="character" w:styleId="CommentReference">
    <w:name w:val="annotation reference"/>
    <w:basedOn w:val="DefaultParagraphFont"/>
    <w:uiPriority w:val="99"/>
    <w:semiHidden/>
    <w:unhideWhenUsed/>
    <w:rsid w:val="0047154D"/>
    <w:rPr>
      <w:sz w:val="16"/>
      <w:szCs w:val="16"/>
    </w:rPr>
  </w:style>
  <w:style w:type="paragraph" w:styleId="CommentText">
    <w:name w:val="annotation text"/>
    <w:basedOn w:val="Normal"/>
    <w:link w:val="CommentTextChar"/>
    <w:uiPriority w:val="99"/>
    <w:unhideWhenUsed/>
    <w:rsid w:val="0047154D"/>
    <w:pPr>
      <w:spacing w:line="240" w:lineRule="auto"/>
    </w:pPr>
    <w:rPr>
      <w:sz w:val="20"/>
      <w:szCs w:val="20"/>
    </w:rPr>
  </w:style>
  <w:style w:type="character" w:customStyle="1" w:styleId="CommentTextChar">
    <w:name w:val="Comment Text Char"/>
    <w:basedOn w:val="DefaultParagraphFont"/>
    <w:link w:val="CommentText"/>
    <w:uiPriority w:val="99"/>
    <w:rsid w:val="0047154D"/>
    <w:rPr>
      <w:sz w:val="20"/>
      <w:szCs w:val="20"/>
    </w:rPr>
  </w:style>
  <w:style w:type="paragraph" w:styleId="CommentSubject">
    <w:name w:val="annotation subject"/>
    <w:basedOn w:val="CommentText"/>
    <w:next w:val="CommentText"/>
    <w:link w:val="CommentSubjectChar"/>
    <w:uiPriority w:val="99"/>
    <w:semiHidden/>
    <w:unhideWhenUsed/>
    <w:rsid w:val="0047154D"/>
    <w:rPr>
      <w:b/>
      <w:bCs/>
    </w:rPr>
  </w:style>
  <w:style w:type="character" w:customStyle="1" w:styleId="CommentSubjectChar">
    <w:name w:val="Comment Subject Char"/>
    <w:basedOn w:val="CommentTextChar"/>
    <w:link w:val="CommentSubject"/>
    <w:uiPriority w:val="99"/>
    <w:semiHidden/>
    <w:rsid w:val="0047154D"/>
    <w:rPr>
      <w:b/>
      <w:bCs/>
      <w:sz w:val="20"/>
      <w:szCs w:val="20"/>
    </w:rPr>
  </w:style>
  <w:style w:type="paragraph" w:styleId="Revision">
    <w:name w:val="Revision"/>
    <w:hidden/>
    <w:uiPriority w:val="99"/>
    <w:semiHidden/>
    <w:rsid w:val="005945BD"/>
    <w:pPr>
      <w:spacing w:after="0" w:line="240" w:lineRule="auto"/>
    </w:pPr>
  </w:style>
  <w:style w:type="character" w:styleId="BookTitle">
    <w:name w:val="Book Title"/>
    <w:basedOn w:val="DefaultParagraphFont"/>
    <w:uiPriority w:val="33"/>
    <w:qFormat/>
    <w:rsid w:val="008A6952"/>
    <w:rPr>
      <w:b/>
      <w:bCs/>
      <w:smallCaps/>
      <w:spacing w:val="5"/>
    </w:rPr>
  </w:style>
  <w:style w:type="paragraph" w:styleId="FootnoteText">
    <w:name w:val="footnote text"/>
    <w:aliases w:val="Ftnote Txt 11ptG"/>
    <w:basedOn w:val="Normal"/>
    <w:link w:val="FootnoteTextChar"/>
    <w:uiPriority w:val="99"/>
    <w:unhideWhenUsed/>
    <w:rsid w:val="002F21B1"/>
    <w:pPr>
      <w:spacing w:after="0" w:line="240" w:lineRule="auto"/>
    </w:pPr>
    <w:rPr>
      <w:sz w:val="24"/>
      <w:szCs w:val="24"/>
    </w:rPr>
  </w:style>
  <w:style w:type="character" w:customStyle="1" w:styleId="FootnoteTextChar">
    <w:name w:val="Footnote Text Char"/>
    <w:aliases w:val="Ftnote Txt 11ptG Char"/>
    <w:basedOn w:val="DefaultParagraphFont"/>
    <w:link w:val="FootnoteText"/>
    <w:uiPriority w:val="99"/>
    <w:rsid w:val="002F21B1"/>
    <w:rPr>
      <w:sz w:val="24"/>
      <w:szCs w:val="24"/>
    </w:rPr>
  </w:style>
  <w:style w:type="character" w:styleId="FootnoteReference">
    <w:name w:val="footnote reference"/>
    <w:aliases w:val="stylish"/>
    <w:basedOn w:val="DefaultParagraphFont"/>
    <w:unhideWhenUsed/>
    <w:rsid w:val="00DB5BB9"/>
    <w:rPr>
      <w:rFonts w:ascii="Calibri" w:hAnsi="Calibri"/>
      <w:sz w:val="20"/>
      <w:vertAlign w:val="superscript"/>
    </w:rPr>
  </w:style>
  <w:style w:type="character" w:customStyle="1" w:styleId="ListParagraphChar">
    <w:name w:val="List Paragraph Char"/>
    <w:aliases w:val="_Bullet Char,Heading 2_sj Char,List Paragraph1 Char,Listenabsatz1 Char,Normal bullet 2 Char,Bullet list Char,Dot pt Char,Liststycke Char,No Spacing1 Char,List Paragraph Char Char Char Char,Indicator Text Char,Numbered Para 1 Char"/>
    <w:basedOn w:val="DefaultParagraphFont"/>
    <w:link w:val="ListParagraph"/>
    <w:uiPriority w:val="34"/>
    <w:qFormat/>
    <w:rsid w:val="002E5F22"/>
    <w:rPr>
      <w:rFonts w:cs="Arial"/>
    </w:rPr>
  </w:style>
  <w:style w:type="character" w:customStyle="1" w:styleId="Heading4Char">
    <w:name w:val="Heading 4 Char"/>
    <w:basedOn w:val="DefaultParagraphFont"/>
    <w:link w:val="Heading4"/>
    <w:uiPriority w:val="9"/>
    <w:semiHidden/>
    <w:rsid w:val="00767890"/>
    <w:rPr>
      <w:rFonts w:asciiTheme="majorHAnsi" w:eastAsiaTheme="majorEastAsia" w:hAnsiTheme="majorHAnsi" w:cstheme="majorBidi"/>
      <w:i/>
      <w:iCs/>
      <w:color w:val="365F91" w:themeColor="accent1" w:themeShade="BF"/>
    </w:rPr>
  </w:style>
  <w:style w:type="paragraph" w:styleId="Caption">
    <w:name w:val="caption"/>
    <w:basedOn w:val="Normal"/>
    <w:next w:val="Normal"/>
    <w:uiPriority w:val="35"/>
    <w:semiHidden/>
    <w:unhideWhenUsed/>
    <w:qFormat/>
    <w:rsid w:val="00767890"/>
    <w:pPr>
      <w:spacing w:after="200" w:line="240" w:lineRule="auto"/>
    </w:pPr>
    <w:rPr>
      <w:i/>
      <w:iCs/>
      <w:color w:val="1F497D" w:themeColor="text2"/>
      <w:sz w:val="18"/>
      <w:szCs w:val="18"/>
    </w:rPr>
  </w:style>
  <w:style w:type="table" w:styleId="TableGrid">
    <w:name w:val="Table Grid"/>
    <w:basedOn w:val="TableNormal"/>
    <w:uiPriority w:val="59"/>
    <w:rsid w:val="00767890"/>
    <w:pPr>
      <w:spacing w:after="0" w:line="240" w:lineRule="auto"/>
    </w:pPr>
    <w:rPr>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30D1"/>
    <w:rPr>
      <w:color w:val="605E5C"/>
      <w:shd w:val="clear" w:color="auto" w:fill="E1DFDD"/>
    </w:rPr>
  </w:style>
  <w:style w:type="paragraph" w:styleId="Subtitle">
    <w:name w:val="Subtitle"/>
    <w:basedOn w:val="Normal"/>
    <w:next w:val="Normal"/>
    <w:link w:val="SubtitleChar"/>
    <w:uiPriority w:val="11"/>
    <w:qFormat/>
    <w:rsid w:val="00AB482E"/>
    <w:pPr>
      <w:numPr>
        <w:ilvl w:val="1"/>
      </w:numPr>
      <w:spacing w:after="160" w:line="259" w:lineRule="auto"/>
      <w:jc w:val="left"/>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82E"/>
    <w:rPr>
      <w:rFonts w:eastAsiaTheme="majorEastAsia" w:cstheme="majorBidi"/>
      <w:color w:val="595959" w:themeColor="text1" w:themeTint="A6"/>
      <w:spacing w:val="15"/>
      <w:sz w:val="28"/>
      <w:szCs w:val="28"/>
    </w:rPr>
  </w:style>
  <w:style w:type="character" w:customStyle="1" w:styleId="markedcontent">
    <w:name w:val="markedcontent"/>
    <w:basedOn w:val="DefaultParagraphFont"/>
    <w:rsid w:val="00172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27BE9-E059-4C82-923D-69BBA3076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3</Pages>
  <Words>1048</Words>
  <Characters>5818</Characters>
  <Application>Microsoft Office Word</Application>
  <DocSecurity>0</DocSecurity>
  <Lines>95</Lines>
  <Paragraphs>47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Lena Avellan</dc:creator>
  <cp:lastModifiedBy>Carole Durussel</cp:lastModifiedBy>
  <cp:revision>88</cp:revision>
  <cp:lastPrinted>2018-02-09T14:52:00Z</cp:lastPrinted>
  <dcterms:created xsi:type="dcterms:W3CDTF">2022-08-11T08:52:00Z</dcterms:created>
  <dcterms:modified xsi:type="dcterms:W3CDTF">2025-11-25T23:47:00Z</dcterms:modified>
</cp:coreProperties>
</file>