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0C736" w14:textId="4E49FEFB" w:rsidR="00441413" w:rsidRDefault="003C1F54" w:rsidP="00A46F5A">
      <w:pPr>
        <w:rPr>
          <w:sz w:val="24"/>
          <w:szCs w:val="24"/>
        </w:rPr>
      </w:pPr>
      <w:r>
        <w:rPr>
          <w:noProof/>
          <w:sz w:val="24"/>
          <w:szCs w:val="24"/>
        </w:rPr>
        <w:drawing>
          <wp:anchor distT="0" distB="0" distL="114300" distR="114300" simplePos="0" relativeHeight="251658242" behindDoc="0" locked="0" layoutInCell="1" allowOverlap="1" wp14:anchorId="15CD952A" wp14:editId="5AAD1326">
            <wp:simplePos x="0" y="0"/>
            <wp:positionH relativeFrom="margin">
              <wp:posOffset>4012565</wp:posOffset>
            </wp:positionH>
            <wp:positionV relativeFrom="margin">
              <wp:posOffset>160655</wp:posOffset>
            </wp:positionV>
            <wp:extent cx="1706880" cy="482600"/>
            <wp:effectExtent l="0" t="0" r="762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6880" cy="482600"/>
                    </a:xfrm>
                    <a:prstGeom prst="rect">
                      <a:avLst/>
                    </a:prstGeom>
                  </pic:spPr>
                </pic:pic>
              </a:graphicData>
            </a:graphic>
            <wp14:sizeRelH relativeFrom="margin">
              <wp14:pctWidth>0</wp14:pctWidth>
            </wp14:sizeRelH>
            <wp14:sizeRelV relativeFrom="margin">
              <wp14:pctHeight>0</wp14:pctHeight>
            </wp14:sizeRelV>
          </wp:anchor>
        </w:drawing>
      </w:r>
    </w:p>
    <w:p w14:paraId="5B05B77E" w14:textId="20253409" w:rsidR="00441413" w:rsidRDefault="00441413" w:rsidP="00441413">
      <w:pPr>
        <w:spacing w:after="0"/>
        <w:rPr>
          <w:sz w:val="24"/>
          <w:szCs w:val="24"/>
        </w:rPr>
      </w:pPr>
    </w:p>
    <w:p w14:paraId="665ADBCE" w14:textId="3746BF45" w:rsidR="00441413" w:rsidRDefault="00441413" w:rsidP="00441413">
      <w:pPr>
        <w:spacing w:after="0"/>
        <w:rPr>
          <w:sz w:val="24"/>
          <w:szCs w:val="24"/>
        </w:rPr>
      </w:pPr>
    </w:p>
    <w:p w14:paraId="09C3376D" w14:textId="2787ECDA" w:rsidR="00441413" w:rsidRDefault="00441413" w:rsidP="00441413">
      <w:pPr>
        <w:spacing w:after="0"/>
        <w:rPr>
          <w:sz w:val="24"/>
          <w:szCs w:val="24"/>
        </w:rPr>
      </w:pPr>
    </w:p>
    <w:p w14:paraId="16B65FDF" w14:textId="1A1D89D4" w:rsidR="00441413" w:rsidRDefault="00441413" w:rsidP="00441413">
      <w:pPr>
        <w:spacing w:after="0"/>
        <w:rPr>
          <w:sz w:val="24"/>
          <w:szCs w:val="24"/>
        </w:rPr>
      </w:pPr>
    </w:p>
    <w:p w14:paraId="2E0405F2" w14:textId="0D7A6ED3" w:rsidR="00441413" w:rsidRDefault="00441413" w:rsidP="00441413">
      <w:pPr>
        <w:spacing w:after="0"/>
        <w:rPr>
          <w:sz w:val="24"/>
          <w:szCs w:val="24"/>
        </w:rPr>
      </w:pPr>
    </w:p>
    <w:p w14:paraId="1798D146" w14:textId="5CA1307C" w:rsidR="00441413" w:rsidRDefault="00441413" w:rsidP="00441413">
      <w:pPr>
        <w:spacing w:after="0"/>
        <w:rPr>
          <w:sz w:val="24"/>
          <w:szCs w:val="24"/>
        </w:rPr>
      </w:pPr>
    </w:p>
    <w:p w14:paraId="2ECDFEE2" w14:textId="20DE5590" w:rsidR="00441413" w:rsidRDefault="00441413" w:rsidP="00441413">
      <w:pPr>
        <w:spacing w:after="0"/>
        <w:rPr>
          <w:sz w:val="24"/>
          <w:szCs w:val="24"/>
        </w:rPr>
      </w:pPr>
    </w:p>
    <w:p w14:paraId="0C853EBF" w14:textId="70D02077" w:rsidR="00E97E40" w:rsidRDefault="00E97E40" w:rsidP="00441413">
      <w:pPr>
        <w:spacing w:after="0"/>
        <w:rPr>
          <w:sz w:val="24"/>
          <w:szCs w:val="24"/>
        </w:rPr>
      </w:pPr>
    </w:p>
    <w:p w14:paraId="7B7A7787" w14:textId="77777777" w:rsidR="00E97E40" w:rsidRDefault="00E97E40" w:rsidP="00441413">
      <w:pPr>
        <w:spacing w:after="0"/>
        <w:rPr>
          <w:sz w:val="24"/>
          <w:szCs w:val="24"/>
        </w:rPr>
      </w:pPr>
    </w:p>
    <w:p w14:paraId="3CD5C36B" w14:textId="44D2F2E1" w:rsidR="00441413" w:rsidRDefault="00441413" w:rsidP="00441413">
      <w:pPr>
        <w:spacing w:after="0"/>
        <w:rPr>
          <w:sz w:val="24"/>
          <w:szCs w:val="24"/>
        </w:rPr>
      </w:pPr>
    </w:p>
    <w:p w14:paraId="4F3BD595" w14:textId="7F6049BF" w:rsidR="00441413" w:rsidRPr="003C1F54" w:rsidRDefault="00441413" w:rsidP="00441413">
      <w:pPr>
        <w:spacing w:after="0"/>
        <w:rPr>
          <w:rFonts w:cstheme="minorHAnsi"/>
          <w:sz w:val="24"/>
          <w:szCs w:val="24"/>
        </w:rPr>
      </w:pPr>
    </w:p>
    <w:p w14:paraId="350A6557" w14:textId="015D85A5" w:rsidR="00441413" w:rsidRPr="003C1F54" w:rsidRDefault="00D270AD" w:rsidP="00441413">
      <w:pPr>
        <w:spacing w:after="0"/>
        <w:rPr>
          <w:rFonts w:cstheme="minorHAnsi"/>
          <w:b/>
          <w:bCs/>
          <w:sz w:val="96"/>
          <w:szCs w:val="96"/>
        </w:rPr>
      </w:pPr>
      <w:r>
        <w:rPr>
          <w:rFonts w:cstheme="minorHAnsi"/>
          <w:b/>
          <w:bCs/>
          <w:sz w:val="96"/>
          <w:szCs w:val="96"/>
        </w:rPr>
        <w:t xml:space="preserve">REPORT </w:t>
      </w:r>
    </w:p>
    <w:p w14:paraId="1DCF5D81" w14:textId="035B9B2E" w:rsidR="00441413" w:rsidRPr="003C1F54" w:rsidRDefault="00441413" w:rsidP="00441413">
      <w:pPr>
        <w:spacing w:after="0"/>
        <w:rPr>
          <w:rFonts w:cstheme="minorHAnsi"/>
          <w:sz w:val="24"/>
          <w:szCs w:val="24"/>
        </w:rPr>
      </w:pPr>
    </w:p>
    <w:p w14:paraId="478A9109" w14:textId="11D22A93" w:rsidR="00F509EF" w:rsidRPr="00383FD6" w:rsidRDefault="00F509EF" w:rsidP="00441413">
      <w:pPr>
        <w:spacing w:after="0"/>
        <w:rPr>
          <w:rFonts w:cstheme="minorHAnsi"/>
          <w:b/>
          <w:bCs/>
          <w:sz w:val="28"/>
          <w:szCs w:val="28"/>
        </w:rPr>
      </w:pPr>
      <w:r w:rsidRPr="00383FD6">
        <w:rPr>
          <w:rFonts w:cstheme="minorHAnsi"/>
          <w:b/>
          <w:bCs/>
          <w:sz w:val="28"/>
          <w:szCs w:val="28"/>
        </w:rPr>
        <w:t xml:space="preserve">Reference: </w:t>
      </w:r>
      <w:proofErr w:type="spellStart"/>
      <w:r w:rsidR="00383FD6" w:rsidRPr="00383FD6">
        <w:rPr>
          <w:rFonts w:cstheme="minorHAnsi"/>
          <w:b/>
          <w:bCs/>
          <w:sz w:val="28"/>
          <w:szCs w:val="28"/>
        </w:rPr>
        <w:t>PSP_0</w:t>
      </w:r>
      <w:r w:rsidR="00D270AD">
        <w:rPr>
          <w:rFonts w:cstheme="minorHAnsi"/>
          <w:b/>
          <w:bCs/>
          <w:sz w:val="28"/>
          <w:szCs w:val="28"/>
        </w:rPr>
        <w:t>355</w:t>
      </w:r>
      <w:proofErr w:type="spellEnd"/>
    </w:p>
    <w:p w14:paraId="1A41652B" w14:textId="59D2D50D" w:rsidR="00F509EF" w:rsidRPr="003C1F54" w:rsidRDefault="00F509EF" w:rsidP="00441413">
      <w:pPr>
        <w:spacing w:after="0"/>
        <w:rPr>
          <w:rFonts w:cstheme="minorHAnsi"/>
          <w:sz w:val="24"/>
          <w:szCs w:val="24"/>
        </w:rPr>
      </w:pPr>
    </w:p>
    <w:p w14:paraId="08442792" w14:textId="1C818F8B" w:rsidR="00F509EF" w:rsidRPr="00383FD6" w:rsidRDefault="00F509EF" w:rsidP="00441413">
      <w:pPr>
        <w:spacing w:after="0"/>
        <w:rPr>
          <w:rFonts w:cstheme="minorHAnsi"/>
          <w:b/>
          <w:bCs/>
          <w:sz w:val="28"/>
          <w:szCs w:val="28"/>
        </w:rPr>
      </w:pPr>
      <w:r w:rsidRPr="00383FD6">
        <w:rPr>
          <w:rFonts w:cstheme="minorHAnsi"/>
          <w:b/>
          <w:bCs/>
          <w:sz w:val="28"/>
          <w:szCs w:val="28"/>
        </w:rPr>
        <w:t xml:space="preserve">Project: </w:t>
      </w:r>
      <w:r w:rsidR="00D270AD">
        <w:rPr>
          <w:rFonts w:cstheme="minorHAnsi"/>
          <w:b/>
          <w:bCs/>
          <w:sz w:val="28"/>
          <w:szCs w:val="28"/>
        </w:rPr>
        <w:t xml:space="preserve">Critical Evaluation of EU Pellet Regulations </w:t>
      </w:r>
      <w:r w:rsidR="00383FD6" w:rsidRPr="00383FD6">
        <w:rPr>
          <w:rFonts w:cstheme="minorHAnsi"/>
          <w:b/>
          <w:bCs/>
          <w:sz w:val="28"/>
          <w:szCs w:val="28"/>
        </w:rPr>
        <w:t xml:space="preserve">  </w:t>
      </w:r>
    </w:p>
    <w:p w14:paraId="1E3410EE" w14:textId="6D84CDB2" w:rsidR="00441413" w:rsidRDefault="00684A36" w:rsidP="00441413">
      <w:pPr>
        <w:spacing w:after="0"/>
        <w:rPr>
          <w:sz w:val="24"/>
          <w:szCs w:val="24"/>
        </w:rPr>
      </w:pPr>
      <w:r>
        <w:rPr>
          <w:noProof/>
        </w:rPr>
        <mc:AlternateContent>
          <mc:Choice Requires="wps">
            <w:drawing>
              <wp:anchor distT="0" distB="0" distL="114300" distR="114300" simplePos="0" relativeHeight="251658241" behindDoc="0" locked="0" layoutInCell="1" allowOverlap="1" wp14:anchorId="15B0F332" wp14:editId="56A35109">
                <wp:simplePos x="0" y="0"/>
                <wp:positionH relativeFrom="column">
                  <wp:posOffset>0</wp:posOffset>
                </wp:positionH>
                <wp:positionV relativeFrom="paragraph">
                  <wp:posOffset>171970</wp:posOffset>
                </wp:positionV>
                <wp:extent cx="3829792" cy="0"/>
                <wp:effectExtent l="0" t="19050" r="56515" b="38100"/>
                <wp:wrapNone/>
                <wp:docPr id="8" name="Straight Connector 8"/>
                <wp:cNvGraphicFramePr/>
                <a:graphic xmlns:a="http://schemas.openxmlformats.org/drawingml/2006/main">
                  <a:graphicData uri="http://schemas.microsoft.com/office/word/2010/wordprocessingShape">
                    <wps:wsp>
                      <wps:cNvCnPr/>
                      <wps:spPr>
                        <a:xfrm>
                          <a:off x="0" y="0"/>
                          <a:ext cx="3829792" cy="0"/>
                        </a:xfrm>
                        <a:prstGeom prst="line">
                          <a:avLst/>
                        </a:prstGeom>
                        <a:ln w="57150">
                          <a:solidFill>
                            <a:srgbClr val="3BA79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w16cei="http://schemas.microsoft.com/office/word/2026/wordml/cei">
            <w:pict w14:anchorId="73802858">
              <v:line id="Straight Connector 8"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3ba793" strokeweight="4.5pt" from="0,13.55pt" to="301.55pt,13.55pt" w14:anchorId="2F281F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">
                <v:stroke joinstyle="miter"/>
              </v:line>
            </w:pict>
          </mc:Fallback>
        </mc:AlternateContent>
      </w:r>
    </w:p>
    <w:p w14:paraId="40526115" w14:textId="29A26903" w:rsidR="00441413" w:rsidRDefault="00441413" w:rsidP="00441413">
      <w:pPr>
        <w:spacing w:after="0"/>
        <w:rPr>
          <w:sz w:val="24"/>
          <w:szCs w:val="24"/>
        </w:rPr>
      </w:pPr>
    </w:p>
    <w:p w14:paraId="030D8282" w14:textId="49FF985C" w:rsidR="00441413" w:rsidRDefault="00441413" w:rsidP="00441413">
      <w:pPr>
        <w:spacing w:after="0"/>
        <w:rPr>
          <w:sz w:val="24"/>
          <w:szCs w:val="24"/>
        </w:rPr>
      </w:pPr>
    </w:p>
    <w:p w14:paraId="19BA4DA3" w14:textId="3286392B" w:rsidR="00441413" w:rsidRDefault="00441413" w:rsidP="00441413">
      <w:pPr>
        <w:spacing w:after="0"/>
        <w:rPr>
          <w:sz w:val="24"/>
          <w:szCs w:val="24"/>
        </w:rPr>
      </w:pPr>
    </w:p>
    <w:p w14:paraId="53C93267" w14:textId="691F7C34" w:rsidR="00733428" w:rsidRDefault="00F509EF" w:rsidP="00B34D1A">
      <w:pPr>
        <w:spacing w:after="0"/>
        <w:rPr>
          <w:sz w:val="24"/>
          <w:szCs w:val="24"/>
        </w:rPr>
      </w:pPr>
      <w:r>
        <w:rPr>
          <w:sz w:val="24"/>
          <w:szCs w:val="24"/>
        </w:rPr>
        <w:t>Prepared for:</w:t>
      </w:r>
      <w:r w:rsidR="00882163">
        <w:rPr>
          <w:sz w:val="24"/>
          <w:szCs w:val="24"/>
        </w:rPr>
        <w:tab/>
      </w:r>
      <w:r w:rsidR="00882163">
        <w:rPr>
          <w:sz w:val="24"/>
          <w:szCs w:val="24"/>
        </w:rPr>
        <w:tab/>
      </w:r>
      <w:r w:rsidR="00D270AD">
        <w:rPr>
          <w:sz w:val="24"/>
          <w:szCs w:val="24"/>
        </w:rPr>
        <w:t xml:space="preserve">Morag Campbell </w:t>
      </w:r>
    </w:p>
    <w:p w14:paraId="0BE75D5C" w14:textId="1F93742D" w:rsidR="00B34D1A" w:rsidRDefault="00D270AD" w:rsidP="00B34D1A">
      <w:pPr>
        <w:spacing w:after="0"/>
        <w:rPr>
          <w:sz w:val="24"/>
          <w:szCs w:val="24"/>
        </w:rPr>
      </w:pPr>
      <w:r>
        <w:rPr>
          <w:sz w:val="24"/>
          <w:szCs w:val="24"/>
        </w:rPr>
        <w:t xml:space="preserve">Organisation </w:t>
      </w:r>
      <w:r>
        <w:rPr>
          <w:sz w:val="24"/>
          <w:szCs w:val="24"/>
        </w:rPr>
        <w:tab/>
      </w:r>
      <w:r>
        <w:rPr>
          <w:sz w:val="24"/>
          <w:szCs w:val="24"/>
        </w:rPr>
        <w:tab/>
        <w:t xml:space="preserve">Scottish Government </w:t>
      </w:r>
    </w:p>
    <w:p w14:paraId="1F4A8716" w14:textId="4E2D1464" w:rsidR="00F509EF" w:rsidRDefault="00F509EF" w:rsidP="00441413">
      <w:pPr>
        <w:spacing w:after="0"/>
        <w:rPr>
          <w:sz w:val="24"/>
          <w:szCs w:val="24"/>
        </w:rPr>
      </w:pPr>
    </w:p>
    <w:p w14:paraId="58B52F5A" w14:textId="1F2AE15C" w:rsidR="00882163" w:rsidRDefault="00882163" w:rsidP="00B34D1A">
      <w:pPr>
        <w:spacing w:after="0"/>
        <w:rPr>
          <w:sz w:val="24"/>
          <w:szCs w:val="24"/>
        </w:rPr>
      </w:pPr>
      <w:r>
        <w:rPr>
          <w:sz w:val="24"/>
          <w:szCs w:val="24"/>
        </w:rPr>
        <w:t xml:space="preserve">Prepared by: </w:t>
      </w:r>
      <w:r>
        <w:rPr>
          <w:sz w:val="24"/>
          <w:szCs w:val="24"/>
        </w:rPr>
        <w:tab/>
      </w:r>
      <w:r>
        <w:rPr>
          <w:sz w:val="24"/>
          <w:szCs w:val="24"/>
        </w:rPr>
        <w:tab/>
      </w:r>
      <w:r w:rsidR="00D270AD">
        <w:rPr>
          <w:sz w:val="24"/>
          <w:szCs w:val="24"/>
        </w:rPr>
        <w:t xml:space="preserve">Suzanne Johnston </w:t>
      </w:r>
    </w:p>
    <w:p w14:paraId="50760B69" w14:textId="03C35BEC" w:rsidR="00B34D1A" w:rsidRDefault="00B34D1A" w:rsidP="00B34D1A">
      <w:pPr>
        <w:spacing w:after="0"/>
        <w:rPr>
          <w:sz w:val="24"/>
          <w:szCs w:val="24"/>
        </w:rPr>
      </w:pPr>
      <w:r>
        <w:rPr>
          <w:sz w:val="24"/>
          <w:szCs w:val="24"/>
        </w:rPr>
        <w:tab/>
      </w:r>
      <w:r>
        <w:rPr>
          <w:sz w:val="24"/>
          <w:szCs w:val="24"/>
        </w:rPr>
        <w:tab/>
      </w:r>
      <w:r>
        <w:rPr>
          <w:sz w:val="24"/>
          <w:szCs w:val="24"/>
        </w:rPr>
        <w:tab/>
      </w:r>
      <w:hyperlink r:id="rId12" w:history="1">
        <w:r w:rsidR="00D270AD" w:rsidRPr="001C334C">
          <w:rPr>
            <w:rStyle w:val="Hyperlink"/>
            <w:sz w:val="24"/>
            <w:szCs w:val="24"/>
          </w:rPr>
          <w:t>suzanne@ps-partnerships.com</w:t>
        </w:r>
      </w:hyperlink>
      <w:r w:rsidR="00D270AD">
        <w:rPr>
          <w:sz w:val="24"/>
          <w:szCs w:val="24"/>
        </w:rPr>
        <w:t xml:space="preserve"> </w:t>
      </w:r>
    </w:p>
    <w:p w14:paraId="20469BC5" w14:textId="62EF5E3C" w:rsidR="00B34D1A" w:rsidRDefault="00B34D1A" w:rsidP="00B34D1A">
      <w:pPr>
        <w:spacing w:after="0"/>
        <w:rPr>
          <w:sz w:val="24"/>
          <w:szCs w:val="24"/>
        </w:rPr>
      </w:pPr>
      <w:r>
        <w:rPr>
          <w:sz w:val="24"/>
          <w:szCs w:val="24"/>
        </w:rPr>
        <w:tab/>
      </w:r>
      <w:r>
        <w:rPr>
          <w:sz w:val="24"/>
          <w:szCs w:val="24"/>
        </w:rPr>
        <w:tab/>
      </w:r>
      <w:r>
        <w:rPr>
          <w:sz w:val="24"/>
          <w:szCs w:val="24"/>
        </w:rPr>
        <w:tab/>
      </w:r>
      <w:r w:rsidR="00D270AD">
        <w:rPr>
          <w:sz w:val="24"/>
          <w:szCs w:val="24"/>
        </w:rPr>
        <w:t xml:space="preserve">01743 612050 | 07813 913 206 </w:t>
      </w:r>
    </w:p>
    <w:p w14:paraId="3D8118E5" w14:textId="24487174" w:rsidR="009C75F0" w:rsidRDefault="009C75F0" w:rsidP="00441413">
      <w:pPr>
        <w:spacing w:after="0"/>
        <w:rPr>
          <w:sz w:val="24"/>
          <w:szCs w:val="24"/>
        </w:rPr>
      </w:pPr>
    </w:p>
    <w:p w14:paraId="68C8A122" w14:textId="40DCB737" w:rsidR="00E97E40" w:rsidRDefault="00FE13BF" w:rsidP="00441413">
      <w:pPr>
        <w:spacing w:after="0"/>
        <w:rPr>
          <w:sz w:val="24"/>
          <w:szCs w:val="24"/>
        </w:rPr>
      </w:pPr>
      <w:r>
        <w:rPr>
          <w:sz w:val="24"/>
          <w:szCs w:val="24"/>
        </w:rPr>
        <w:t>Date:</w:t>
      </w:r>
      <w:r>
        <w:rPr>
          <w:sz w:val="24"/>
          <w:szCs w:val="24"/>
        </w:rPr>
        <w:tab/>
      </w:r>
      <w:r>
        <w:rPr>
          <w:sz w:val="24"/>
          <w:szCs w:val="24"/>
        </w:rPr>
        <w:tab/>
      </w:r>
      <w:r>
        <w:rPr>
          <w:sz w:val="24"/>
          <w:szCs w:val="24"/>
        </w:rPr>
        <w:tab/>
      </w:r>
      <w:r w:rsidR="004C0DBF">
        <w:rPr>
          <w:sz w:val="24"/>
          <w:szCs w:val="24"/>
        </w:rPr>
        <w:t>30</w:t>
      </w:r>
      <w:r w:rsidR="004C0DBF" w:rsidRPr="004C0DBF">
        <w:rPr>
          <w:sz w:val="24"/>
          <w:szCs w:val="24"/>
          <w:vertAlign w:val="superscript"/>
        </w:rPr>
        <w:t>th</w:t>
      </w:r>
      <w:r w:rsidR="004C0DBF">
        <w:rPr>
          <w:sz w:val="24"/>
          <w:szCs w:val="24"/>
        </w:rPr>
        <w:t xml:space="preserve"> March 2026 </w:t>
      </w:r>
    </w:p>
    <w:p w14:paraId="208EDDF4" w14:textId="77777777" w:rsidR="00E97E40" w:rsidRDefault="00E97E40" w:rsidP="00441413">
      <w:pPr>
        <w:spacing w:after="0"/>
        <w:rPr>
          <w:sz w:val="24"/>
          <w:szCs w:val="24"/>
        </w:rPr>
      </w:pPr>
    </w:p>
    <w:p w14:paraId="7E1F0AA2" w14:textId="5AC67B3D" w:rsidR="00332389" w:rsidRDefault="0093760E">
      <w:pPr>
        <w:rPr>
          <w:sz w:val="24"/>
          <w:szCs w:val="24"/>
        </w:rPr>
      </w:pPr>
      <w:r>
        <w:rPr>
          <w:noProof/>
          <w:sz w:val="24"/>
          <w:szCs w:val="24"/>
        </w:rPr>
        <mc:AlternateContent>
          <mc:Choice Requires="wps">
            <w:drawing>
              <wp:anchor distT="0" distB="0" distL="114300" distR="114300" simplePos="0" relativeHeight="251658243" behindDoc="0" locked="0" layoutInCell="1" allowOverlap="1" wp14:anchorId="0B72CC79" wp14:editId="26B024F5">
                <wp:simplePos x="0" y="0"/>
                <wp:positionH relativeFrom="column">
                  <wp:posOffset>-622301</wp:posOffset>
                </wp:positionH>
                <wp:positionV relativeFrom="paragraph">
                  <wp:posOffset>1698202</wp:posOffset>
                </wp:positionV>
                <wp:extent cx="1443567" cy="850900"/>
                <wp:effectExtent l="0" t="0" r="0" b="6350"/>
                <wp:wrapNone/>
                <wp:docPr id="1304589865" name="Text Box 6"/>
                <wp:cNvGraphicFramePr/>
                <a:graphic xmlns:a="http://schemas.openxmlformats.org/drawingml/2006/main">
                  <a:graphicData uri="http://schemas.microsoft.com/office/word/2010/wordprocessingShape">
                    <wps:wsp>
                      <wps:cNvSpPr txBox="1"/>
                      <wps:spPr>
                        <a:xfrm>
                          <a:off x="0" y="0"/>
                          <a:ext cx="1443567" cy="850900"/>
                        </a:xfrm>
                        <a:prstGeom prst="rect">
                          <a:avLst/>
                        </a:prstGeom>
                        <a:noFill/>
                        <a:ln w="6350">
                          <a:noFill/>
                        </a:ln>
                      </wps:spPr>
                      <wps:txbx>
                        <w:txbxContent>
                          <w:p w14:paraId="7B1D1BF3" w14:textId="24974912" w:rsidR="0093760E" w:rsidRDefault="0093760E">
                            <w:r>
                              <w:rPr>
                                <w:noProof/>
                              </w:rPr>
                              <w:drawing>
                                <wp:inline distT="0" distB="0" distL="0" distR="0" wp14:anchorId="5ADAF50E" wp14:editId="0B9CC237">
                                  <wp:extent cx="1198368" cy="740833"/>
                                  <wp:effectExtent l="0" t="0" r="1905" b="2540"/>
                                  <wp:docPr id="1577936490" name="Picture 8" descr="A white rectangular sign with blue text and a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936490" name="Picture 8" descr="A white rectangular sign with blue text and a check mark&#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9173" cy="74751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B72CC79" id="_x0000_t202" coordsize="21600,21600" o:spt="202" path="m,l,21600r21600,l21600,xe">
                <v:stroke joinstyle="miter"/>
                <v:path gradientshapeok="t" o:connecttype="rect"/>
              </v:shapetype>
              <v:shape id="Text Box 6" o:spid="_x0000_s1026" type="#_x0000_t202" style="position:absolute;margin-left:-49pt;margin-top:133.7pt;width:113.65pt;height:6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" filled="f" stroked="f" strokeweight=".5pt">
                <v:textbox>
                  <w:txbxContent>
                    <w:p w14:paraId="7B1D1BF3" w14:textId="24974912" w:rsidR="0093760E" w:rsidRDefault="0093760E">
                      <w:r>
                        <w:rPr>
                          <w:noProof/>
                        </w:rPr>
                        <w:drawing>
                          <wp:inline distT="0" distB="0" distL="0" distR="0" wp14:anchorId="5ADAF50E" wp14:editId="0B9CC237">
                            <wp:extent cx="1198368" cy="740833"/>
                            <wp:effectExtent l="0" t="0" r="1905" b="2540"/>
                            <wp:docPr id="1577936490" name="Picture 8" descr="A white rectangular sign with blue text and a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936490" name="Picture 8" descr="A white rectangular sign with blue text and a check mark&#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9173" cy="747513"/>
                                    </a:xfrm>
                                    <a:prstGeom prst="rect">
                                      <a:avLst/>
                                    </a:prstGeom>
                                    <a:noFill/>
                                    <a:ln>
                                      <a:noFill/>
                                    </a:ln>
                                  </pic:spPr>
                                </pic:pic>
                              </a:graphicData>
                            </a:graphic>
                          </wp:inline>
                        </w:drawing>
                      </w:r>
                    </w:p>
                  </w:txbxContent>
                </v:textbox>
              </v:shape>
            </w:pict>
          </mc:Fallback>
        </mc:AlternateContent>
      </w:r>
      <w:r w:rsidR="00904EFA">
        <w:rPr>
          <w:noProof/>
          <w:sz w:val="24"/>
          <w:szCs w:val="24"/>
        </w:rPr>
        <mc:AlternateContent>
          <mc:Choice Requires="wpg">
            <w:drawing>
              <wp:anchor distT="0" distB="0" distL="114300" distR="114300" simplePos="0" relativeHeight="251658240" behindDoc="0" locked="1" layoutInCell="1" allowOverlap="1" wp14:anchorId="3AC4DD16" wp14:editId="30370068">
                <wp:simplePos x="0" y="0"/>
                <wp:positionH relativeFrom="column">
                  <wp:posOffset>-908050</wp:posOffset>
                </wp:positionH>
                <wp:positionV relativeFrom="page">
                  <wp:posOffset>9053195</wp:posOffset>
                </wp:positionV>
                <wp:extent cx="7674610" cy="1626870"/>
                <wp:effectExtent l="0" t="0" r="2540" b="0"/>
                <wp:wrapNone/>
                <wp:docPr id="9" name="Group 9"/>
                <wp:cNvGraphicFramePr/>
                <a:graphic xmlns:a="http://schemas.openxmlformats.org/drawingml/2006/main">
                  <a:graphicData uri="http://schemas.microsoft.com/office/word/2010/wordprocessingGroup">
                    <wpg:wgp>
                      <wpg:cNvGrpSpPr/>
                      <wpg:grpSpPr>
                        <a:xfrm>
                          <a:off x="0" y="0"/>
                          <a:ext cx="7674610" cy="1626870"/>
                          <a:chOff x="0" y="898498"/>
                          <a:chExt cx="7675880" cy="1626952"/>
                        </a:xfrm>
                        <a:solidFill>
                          <a:srgbClr val="3BA793"/>
                        </a:solidFill>
                      </wpg:grpSpPr>
                      <wps:wsp>
                        <wps:cNvPr id="4" name="Rectangle 4"/>
                        <wps:cNvSpPr/>
                        <wps:spPr>
                          <a:xfrm>
                            <a:off x="0" y="898498"/>
                            <a:ext cx="7675880" cy="1626952"/>
                          </a:xfrm>
                          <a:prstGeom prst="rect">
                            <a:avLst/>
                          </a:prstGeom>
                          <a:gr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625199" y="1157750"/>
                            <a:ext cx="5562641" cy="1020144"/>
                          </a:xfrm>
                          <a:prstGeom prst="rect">
                            <a:avLst/>
                          </a:prstGeom>
                          <a:grpFill/>
                          <a:ln w="6350">
                            <a:noFill/>
                          </a:ln>
                        </wps:spPr>
                        <wps:txbx>
                          <w:txbxContent>
                            <w:p w14:paraId="3912E096" w14:textId="1469C7A0" w:rsidR="00904EFA" w:rsidRPr="00FF6726" w:rsidRDefault="00FF6726" w:rsidP="00FF6726">
                              <w:pPr>
                                <w:spacing w:after="0"/>
                                <w:rPr>
                                  <w:color w:val="FFFFFF" w:themeColor="background1"/>
                                  <w:sz w:val="16"/>
                                  <w:szCs w:val="16"/>
                                </w:rPr>
                              </w:pPr>
                              <w:r w:rsidRPr="00FF6726">
                                <w:rPr>
                                  <w:color w:val="FFFFFF" w:themeColor="background1"/>
                                  <w:sz w:val="16"/>
                                  <w:szCs w:val="16"/>
                                </w:rPr>
                                <w:t xml:space="preserve">All technical and other information has been given for information purposes only.  Although the information is believed to be reliable, the data is provided without implied warranties of any </w:t>
                              </w:r>
                              <w:r w:rsidR="00E07C7F">
                                <w:rPr>
                                  <w:color w:val="FFFFFF" w:themeColor="background1"/>
                                  <w:sz w:val="16"/>
                                  <w:szCs w:val="16"/>
                                </w:rPr>
                                <w:t>k</w:t>
                              </w:r>
                              <w:r w:rsidRPr="00FF6726">
                                <w:rPr>
                                  <w:color w:val="FFFFFF" w:themeColor="background1"/>
                                  <w:sz w:val="16"/>
                                  <w:szCs w:val="16"/>
                                </w:rPr>
                                <w:t xml:space="preserve">ind.  </w:t>
                              </w:r>
                            </w:p>
                            <w:p w14:paraId="453F876E" w14:textId="7AAA1D2E" w:rsidR="00FF6726" w:rsidRDefault="00FF6726" w:rsidP="00FF6726">
                              <w:pPr>
                                <w:spacing w:after="0"/>
                                <w:rPr>
                                  <w:color w:val="FFFFFF" w:themeColor="background1"/>
                                  <w:sz w:val="16"/>
                                  <w:szCs w:val="16"/>
                                </w:rPr>
                              </w:pPr>
                              <w:r w:rsidRPr="00FF6726">
                                <w:rPr>
                                  <w:color w:val="FFFFFF" w:themeColor="background1"/>
                                  <w:sz w:val="16"/>
                                  <w:szCs w:val="16"/>
                                </w:rPr>
                                <w:t xml:space="preserve">PS Partnerships &amp; Consultancy Ltd shall not be liable or obligated under any contract, negligence, strict liability or other legal equitable theory to any party for any amounts representing loss of profits, loss of business, indirect, consequential, special or punitive damages, even if advised on the possibility </w:t>
                              </w:r>
                              <w:r>
                                <w:rPr>
                                  <w:color w:val="FFFFFF" w:themeColor="background1"/>
                                  <w:sz w:val="16"/>
                                  <w:szCs w:val="16"/>
                                </w:rPr>
                                <w:t xml:space="preserve">of such damages.  </w:t>
                              </w:r>
                            </w:p>
                            <w:p w14:paraId="6B2E70FC" w14:textId="56118529" w:rsidR="00FF6726" w:rsidRPr="00FF6726" w:rsidRDefault="00FF6726" w:rsidP="00FF6726">
                              <w:pPr>
                                <w:spacing w:after="0"/>
                                <w:rPr>
                                  <w:color w:val="FFFFFF" w:themeColor="background1"/>
                                  <w:sz w:val="16"/>
                                  <w:szCs w:val="16"/>
                                </w:rPr>
                              </w:pPr>
                              <w:r>
                                <w:rPr>
                                  <w:color w:val="FFFFFF" w:themeColor="background1"/>
                                  <w:sz w:val="16"/>
                                  <w:szCs w:val="16"/>
                                </w:rPr>
                                <w:t xml:space="preserve">This report has been prepared based solely on information supplied up to the point of its completion and has been accepted in good faith.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Straight Connector 5"/>
                        <wps:cNvCnPr/>
                        <wps:spPr>
                          <a:xfrm>
                            <a:off x="341906" y="1149953"/>
                            <a:ext cx="6846073" cy="0"/>
                          </a:xfrm>
                          <a:prstGeom prst="line">
                            <a:avLst/>
                          </a:prstGeom>
                          <a:grpFill/>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7" name="Straight Connector 7"/>
                        <wps:cNvCnPr/>
                        <wps:spPr>
                          <a:xfrm>
                            <a:off x="341906" y="2203836"/>
                            <a:ext cx="6845935" cy="0"/>
                          </a:xfrm>
                          <a:prstGeom prst="line">
                            <a:avLst/>
                          </a:prstGeom>
                          <a:grpFill/>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AC4DD16" id="Group 9" o:spid="_x0000_s1027" style="position:absolute;margin-left:-71.5pt;margin-top:712.85pt;width:604.3pt;height:128.1pt;z-index:251658240;mso-position-vertical-relative:page;mso-width-relative:margin;mso-height-relative:margin" coordorigin=",8984" coordsize="76758,1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">
                <v:rect id="Rectangle 4" o:spid="_x0000_s1028" style="position:absolute;top:8984;width:76758;height:16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" filled="f" stroked="f" strokeweight=".25pt"/>
                <v:shape id="Text Box 3" o:spid="_x0000_s1029" type="#_x0000_t202" style="position:absolute;left:16251;top:11577;width:55627;height:10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3912E096" w14:textId="1469C7A0" w:rsidR="00904EFA" w:rsidRPr="00FF6726" w:rsidRDefault="00FF6726" w:rsidP="00FF6726">
                        <w:pPr>
                          <w:spacing w:after="0"/>
                          <w:rPr>
                            <w:color w:val="FFFFFF" w:themeColor="background1"/>
                            <w:sz w:val="16"/>
                            <w:szCs w:val="16"/>
                          </w:rPr>
                        </w:pPr>
                        <w:r w:rsidRPr="00FF6726">
                          <w:rPr>
                            <w:color w:val="FFFFFF" w:themeColor="background1"/>
                            <w:sz w:val="16"/>
                            <w:szCs w:val="16"/>
                          </w:rPr>
                          <w:t xml:space="preserve">All technical and other information has been given for information purposes only.  Although the information is believed to be reliable, the data is provided without implied warranties of any </w:t>
                        </w:r>
                        <w:r w:rsidR="00E07C7F">
                          <w:rPr>
                            <w:color w:val="FFFFFF" w:themeColor="background1"/>
                            <w:sz w:val="16"/>
                            <w:szCs w:val="16"/>
                          </w:rPr>
                          <w:t>k</w:t>
                        </w:r>
                        <w:r w:rsidRPr="00FF6726">
                          <w:rPr>
                            <w:color w:val="FFFFFF" w:themeColor="background1"/>
                            <w:sz w:val="16"/>
                            <w:szCs w:val="16"/>
                          </w:rPr>
                          <w:t xml:space="preserve">ind.  </w:t>
                        </w:r>
                      </w:p>
                      <w:p w14:paraId="453F876E" w14:textId="7AAA1D2E" w:rsidR="00FF6726" w:rsidRDefault="00FF6726" w:rsidP="00FF6726">
                        <w:pPr>
                          <w:spacing w:after="0"/>
                          <w:rPr>
                            <w:color w:val="FFFFFF" w:themeColor="background1"/>
                            <w:sz w:val="16"/>
                            <w:szCs w:val="16"/>
                          </w:rPr>
                        </w:pPr>
                        <w:r w:rsidRPr="00FF6726">
                          <w:rPr>
                            <w:color w:val="FFFFFF" w:themeColor="background1"/>
                            <w:sz w:val="16"/>
                            <w:szCs w:val="16"/>
                          </w:rPr>
                          <w:t xml:space="preserve">PS Partnerships &amp; Consultancy Ltd shall not be liable or obligated under any contract, negligence, strict liability or other legal equitable theory to any party for any amounts representing loss of profits, loss of business, indirect, consequential, special or punitive damages, even if advised on the possibility </w:t>
                        </w:r>
                        <w:r>
                          <w:rPr>
                            <w:color w:val="FFFFFF" w:themeColor="background1"/>
                            <w:sz w:val="16"/>
                            <w:szCs w:val="16"/>
                          </w:rPr>
                          <w:t xml:space="preserve">of such damages.  </w:t>
                        </w:r>
                      </w:p>
                      <w:p w14:paraId="6B2E70FC" w14:textId="56118529" w:rsidR="00FF6726" w:rsidRPr="00FF6726" w:rsidRDefault="00FF6726" w:rsidP="00FF6726">
                        <w:pPr>
                          <w:spacing w:after="0"/>
                          <w:rPr>
                            <w:color w:val="FFFFFF" w:themeColor="background1"/>
                            <w:sz w:val="16"/>
                            <w:szCs w:val="16"/>
                          </w:rPr>
                        </w:pPr>
                        <w:r>
                          <w:rPr>
                            <w:color w:val="FFFFFF" w:themeColor="background1"/>
                            <w:sz w:val="16"/>
                            <w:szCs w:val="16"/>
                          </w:rPr>
                          <w:t xml:space="preserve">This report has been prepared based solely on information supplied up to the point of its completion and has been accepted in good faith. </w:t>
                        </w:r>
                      </w:p>
                    </w:txbxContent>
                  </v:textbox>
                </v:shape>
                <v:line id="Straight Connector 5" o:spid="_x0000_s1030" style="position:absolute;visibility:visible;mso-wrap-style:square" from="3419,11499" to="71879,11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" strokecolor="white [3212]" strokeweight="3pt">
                  <v:stroke joinstyle="miter"/>
                </v:line>
                <v:line id="Straight Connector 7" o:spid="_x0000_s1031" style="position:absolute;visibility:visible;mso-wrap-style:square" from="3419,22038" to="71878,22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" strokecolor="white [3212]" strokeweight="3pt">
                  <v:stroke joinstyle="miter"/>
                </v:line>
                <w10:wrap anchory="page"/>
                <w10:anchorlock/>
              </v:group>
            </w:pict>
          </mc:Fallback>
        </mc:AlternateContent>
      </w:r>
      <w:r w:rsidR="00332389">
        <w:rPr>
          <w:sz w:val="24"/>
          <w:szCs w:val="24"/>
        </w:rPr>
        <w:br w:type="page"/>
      </w:r>
    </w:p>
    <w:p w14:paraId="0A662C60" w14:textId="05B07463" w:rsidR="009C75F0" w:rsidRPr="00FE4ECB" w:rsidRDefault="00D270AD" w:rsidP="00D5097E">
      <w:pPr>
        <w:pStyle w:val="Heading01"/>
      </w:pPr>
      <w:bookmarkStart w:id="0" w:name="_Toc225083738"/>
      <w:bookmarkStart w:id="1" w:name="_Toc225594970"/>
      <w:r>
        <w:lastRenderedPageBreak/>
        <w:t>Table of Contents</w:t>
      </w:r>
      <w:bookmarkEnd w:id="0"/>
      <w:bookmarkEnd w:id="1"/>
      <w:r>
        <w:t xml:space="preserve"> </w:t>
      </w:r>
    </w:p>
    <w:p w14:paraId="345B883A" w14:textId="66EC8BD0" w:rsidR="00590A34" w:rsidRPr="00590A34" w:rsidRDefault="002B5CEF">
      <w:pPr>
        <w:pStyle w:val="TOC1"/>
        <w:tabs>
          <w:tab w:val="right" w:leader="dot" w:pos="9016"/>
        </w:tabs>
        <w:rPr>
          <w:rFonts w:eastAsiaTheme="minorEastAsia"/>
          <w:noProof/>
          <w:kern w:val="2"/>
          <w:sz w:val="20"/>
          <w:szCs w:val="20"/>
          <w:lang w:eastAsia="en-GB"/>
          <w14:ligatures w14:val="standardContextual"/>
        </w:rPr>
      </w:pPr>
      <w:r w:rsidRPr="00590A34">
        <w:rPr>
          <w:rFonts w:cstheme="minorHAnsi"/>
          <w:sz w:val="20"/>
          <w:szCs w:val="20"/>
        </w:rPr>
        <w:fldChar w:fldCharType="begin"/>
      </w:r>
      <w:r w:rsidRPr="00590A34">
        <w:rPr>
          <w:rFonts w:cstheme="minorHAnsi"/>
          <w:sz w:val="20"/>
          <w:szCs w:val="20"/>
        </w:rPr>
        <w:instrText xml:space="preserve"> TOC \o "1-3" \h \z \t "Heading 01,1,Heading 02,2,heading 03,3" </w:instrText>
      </w:r>
      <w:r w:rsidRPr="00590A34">
        <w:rPr>
          <w:rFonts w:cstheme="minorHAnsi"/>
          <w:sz w:val="20"/>
          <w:szCs w:val="20"/>
        </w:rPr>
        <w:fldChar w:fldCharType="separate"/>
      </w:r>
    </w:p>
    <w:p w14:paraId="3685F981" w14:textId="338AAB33" w:rsidR="00590A34" w:rsidRPr="00590A34" w:rsidRDefault="00590A34">
      <w:pPr>
        <w:pStyle w:val="TOC1"/>
        <w:tabs>
          <w:tab w:val="left" w:pos="440"/>
          <w:tab w:val="right" w:leader="dot" w:pos="9016"/>
        </w:tabs>
        <w:rPr>
          <w:rFonts w:eastAsiaTheme="minorEastAsia"/>
          <w:noProof/>
          <w:kern w:val="2"/>
          <w:sz w:val="20"/>
          <w:szCs w:val="20"/>
          <w:lang w:eastAsia="en-GB"/>
          <w14:ligatures w14:val="standardContextual"/>
        </w:rPr>
      </w:pPr>
      <w:hyperlink w:anchor="_Toc225594971" w:history="1">
        <w:r w:rsidRPr="00590A34">
          <w:rPr>
            <w:rStyle w:val="Hyperlink"/>
            <w:noProof/>
            <w:sz w:val="20"/>
            <w:szCs w:val="20"/>
          </w:rPr>
          <w:t>1.</w:t>
        </w:r>
        <w:r w:rsidRPr="00590A34">
          <w:rPr>
            <w:rFonts w:eastAsiaTheme="minorEastAsia"/>
            <w:noProof/>
            <w:kern w:val="2"/>
            <w:sz w:val="20"/>
            <w:szCs w:val="20"/>
            <w:lang w:eastAsia="en-GB"/>
            <w14:ligatures w14:val="standardContextual"/>
          </w:rPr>
          <w:tab/>
        </w:r>
        <w:r w:rsidRPr="00590A34">
          <w:rPr>
            <w:rStyle w:val="Hyperlink"/>
            <w:noProof/>
            <w:sz w:val="20"/>
            <w:szCs w:val="20"/>
          </w:rPr>
          <w:t>Executive Summary</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_Toc225594971 \h </w:instrText>
        </w:r>
        <w:r w:rsidRPr="00590A34">
          <w:rPr>
            <w:noProof/>
            <w:webHidden/>
            <w:sz w:val="20"/>
            <w:szCs w:val="20"/>
          </w:rPr>
        </w:r>
        <w:r w:rsidRPr="00590A34">
          <w:rPr>
            <w:noProof/>
            <w:webHidden/>
            <w:sz w:val="20"/>
            <w:szCs w:val="20"/>
          </w:rPr>
          <w:fldChar w:fldCharType="separate"/>
        </w:r>
        <w:r w:rsidR="002030C9">
          <w:rPr>
            <w:noProof/>
            <w:webHidden/>
            <w:sz w:val="20"/>
            <w:szCs w:val="20"/>
          </w:rPr>
          <w:t>4</w:t>
        </w:r>
        <w:r w:rsidRPr="00590A34">
          <w:rPr>
            <w:noProof/>
            <w:webHidden/>
            <w:sz w:val="20"/>
            <w:szCs w:val="20"/>
          </w:rPr>
          <w:fldChar w:fldCharType="end"/>
        </w:r>
      </w:hyperlink>
    </w:p>
    <w:p w14:paraId="4CC19AEF" w14:textId="6F6C1080" w:rsidR="00590A34" w:rsidRPr="00590A34" w:rsidRDefault="00590A34">
      <w:pPr>
        <w:pStyle w:val="TOC1"/>
        <w:tabs>
          <w:tab w:val="left" w:pos="440"/>
          <w:tab w:val="right" w:leader="dot" w:pos="9016"/>
        </w:tabs>
        <w:rPr>
          <w:rFonts w:eastAsiaTheme="minorEastAsia"/>
          <w:noProof/>
          <w:kern w:val="2"/>
          <w:sz w:val="20"/>
          <w:szCs w:val="20"/>
          <w:lang w:eastAsia="en-GB"/>
          <w14:ligatures w14:val="standardContextual"/>
        </w:rPr>
      </w:pPr>
      <w:hyperlink w:anchor="_Toc225594972" w:history="1">
        <w:r w:rsidRPr="00590A34">
          <w:rPr>
            <w:rStyle w:val="Hyperlink"/>
            <w:noProof/>
            <w:sz w:val="20"/>
            <w:szCs w:val="20"/>
          </w:rPr>
          <w:t>2.</w:t>
        </w:r>
        <w:r w:rsidRPr="00590A34">
          <w:rPr>
            <w:rFonts w:eastAsiaTheme="minorEastAsia"/>
            <w:noProof/>
            <w:kern w:val="2"/>
            <w:sz w:val="20"/>
            <w:szCs w:val="20"/>
            <w:lang w:eastAsia="en-GB"/>
            <w14:ligatures w14:val="standardContextual"/>
          </w:rPr>
          <w:tab/>
        </w:r>
        <w:r w:rsidRPr="00590A34">
          <w:rPr>
            <w:rStyle w:val="Hyperlink"/>
            <w:noProof/>
            <w:sz w:val="20"/>
            <w:szCs w:val="20"/>
          </w:rPr>
          <w:t>Introduction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_Toc225594972 \h </w:instrText>
        </w:r>
        <w:r w:rsidRPr="00590A34">
          <w:rPr>
            <w:noProof/>
            <w:webHidden/>
            <w:sz w:val="20"/>
            <w:szCs w:val="20"/>
          </w:rPr>
        </w:r>
        <w:r w:rsidRPr="00590A34">
          <w:rPr>
            <w:noProof/>
            <w:webHidden/>
            <w:sz w:val="20"/>
            <w:szCs w:val="20"/>
          </w:rPr>
          <w:fldChar w:fldCharType="separate"/>
        </w:r>
        <w:r w:rsidR="002030C9">
          <w:rPr>
            <w:noProof/>
            <w:webHidden/>
            <w:sz w:val="20"/>
            <w:szCs w:val="20"/>
          </w:rPr>
          <w:t>6</w:t>
        </w:r>
        <w:r w:rsidRPr="00590A34">
          <w:rPr>
            <w:noProof/>
            <w:webHidden/>
            <w:sz w:val="20"/>
            <w:szCs w:val="20"/>
          </w:rPr>
          <w:fldChar w:fldCharType="end"/>
        </w:r>
      </w:hyperlink>
    </w:p>
    <w:p w14:paraId="3A61B132" w14:textId="1FC1F3D7"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73" w:history="1">
        <w:r w:rsidRPr="00590A34">
          <w:rPr>
            <w:rStyle w:val="Hyperlink"/>
            <w:noProof/>
            <w:sz w:val="20"/>
            <w:szCs w:val="20"/>
          </w:rPr>
          <w:t>2.1</w:t>
        </w:r>
        <w:r w:rsidRPr="00590A34">
          <w:rPr>
            <w:rFonts w:eastAsiaTheme="minorEastAsia"/>
            <w:noProof/>
            <w:kern w:val="2"/>
            <w:sz w:val="20"/>
            <w:szCs w:val="20"/>
            <w:lang w:eastAsia="en-GB"/>
            <w14:ligatures w14:val="standardContextual"/>
          </w:rPr>
          <w:tab/>
        </w:r>
        <w:r w:rsidRPr="00590A34">
          <w:rPr>
            <w:rStyle w:val="Hyperlink"/>
            <w:noProof/>
            <w:sz w:val="20"/>
            <w:szCs w:val="20"/>
          </w:rPr>
          <w:t>OSPAR Recommendation background and requirements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_Toc225594973 \h </w:instrText>
        </w:r>
        <w:r w:rsidRPr="00590A34">
          <w:rPr>
            <w:noProof/>
            <w:webHidden/>
            <w:sz w:val="20"/>
            <w:szCs w:val="20"/>
          </w:rPr>
        </w:r>
        <w:r w:rsidRPr="00590A34">
          <w:rPr>
            <w:noProof/>
            <w:webHidden/>
            <w:sz w:val="20"/>
            <w:szCs w:val="20"/>
          </w:rPr>
          <w:fldChar w:fldCharType="separate"/>
        </w:r>
        <w:r w:rsidR="002030C9">
          <w:rPr>
            <w:noProof/>
            <w:webHidden/>
            <w:sz w:val="20"/>
            <w:szCs w:val="20"/>
          </w:rPr>
          <w:t>6</w:t>
        </w:r>
        <w:r w:rsidRPr="00590A34">
          <w:rPr>
            <w:noProof/>
            <w:webHidden/>
            <w:sz w:val="20"/>
            <w:szCs w:val="20"/>
          </w:rPr>
          <w:fldChar w:fldCharType="end"/>
        </w:r>
      </w:hyperlink>
    </w:p>
    <w:p w14:paraId="50D793FE" w14:textId="6EB443F6"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4974" w:history="1">
        <w:r w:rsidRPr="00590A34">
          <w:rPr>
            <w:rStyle w:val="Hyperlink"/>
            <w:noProof/>
            <w:sz w:val="20"/>
            <w:szCs w:val="20"/>
          </w:rPr>
          <w:t>2.1.1</w:t>
        </w:r>
        <w:r w:rsidRPr="00590A34">
          <w:rPr>
            <w:rFonts w:eastAsiaTheme="minorEastAsia"/>
            <w:noProof/>
            <w:kern w:val="2"/>
            <w:sz w:val="20"/>
            <w:szCs w:val="20"/>
            <w:lang w:eastAsia="en-GB"/>
            <w14:ligatures w14:val="standardContextual"/>
          </w:rPr>
          <w:tab/>
        </w:r>
        <w:r w:rsidRPr="00590A34">
          <w:rPr>
            <w:rStyle w:val="Hyperlink"/>
            <w:noProof/>
            <w:sz w:val="20"/>
            <w:szCs w:val="20"/>
          </w:rPr>
          <w:t>OSPAR Key Principles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_Toc225594974 \h </w:instrText>
        </w:r>
        <w:r w:rsidRPr="00590A34">
          <w:rPr>
            <w:noProof/>
            <w:webHidden/>
            <w:sz w:val="20"/>
            <w:szCs w:val="20"/>
          </w:rPr>
        </w:r>
        <w:r w:rsidRPr="00590A34">
          <w:rPr>
            <w:noProof/>
            <w:webHidden/>
            <w:sz w:val="20"/>
            <w:szCs w:val="20"/>
          </w:rPr>
          <w:fldChar w:fldCharType="separate"/>
        </w:r>
        <w:r w:rsidR="002030C9">
          <w:rPr>
            <w:noProof/>
            <w:webHidden/>
            <w:sz w:val="20"/>
            <w:szCs w:val="20"/>
          </w:rPr>
          <w:t>7</w:t>
        </w:r>
        <w:r w:rsidRPr="00590A34">
          <w:rPr>
            <w:noProof/>
            <w:webHidden/>
            <w:sz w:val="20"/>
            <w:szCs w:val="20"/>
          </w:rPr>
          <w:fldChar w:fldCharType="end"/>
        </w:r>
      </w:hyperlink>
    </w:p>
    <w:p w14:paraId="79556664" w14:textId="14A031CD" w:rsidR="00590A34" w:rsidRPr="00590A34" w:rsidRDefault="00590A34">
      <w:pPr>
        <w:pStyle w:val="TOC1"/>
        <w:tabs>
          <w:tab w:val="left" w:pos="440"/>
          <w:tab w:val="right" w:leader="dot" w:pos="9016"/>
        </w:tabs>
        <w:rPr>
          <w:rFonts w:eastAsiaTheme="minorEastAsia"/>
          <w:noProof/>
          <w:kern w:val="2"/>
          <w:sz w:val="20"/>
          <w:szCs w:val="20"/>
          <w:lang w:eastAsia="en-GB"/>
          <w14:ligatures w14:val="standardContextual"/>
        </w:rPr>
      </w:pPr>
      <w:hyperlink w:anchor="_Toc225594975" w:history="1">
        <w:r w:rsidRPr="00590A34">
          <w:rPr>
            <w:rStyle w:val="Hyperlink"/>
            <w:noProof/>
            <w:sz w:val="20"/>
            <w:szCs w:val="20"/>
          </w:rPr>
          <w:t>3.</w:t>
        </w:r>
        <w:r w:rsidRPr="00590A34">
          <w:rPr>
            <w:rFonts w:eastAsiaTheme="minorEastAsia"/>
            <w:noProof/>
            <w:kern w:val="2"/>
            <w:sz w:val="20"/>
            <w:szCs w:val="20"/>
            <w:lang w:eastAsia="en-GB"/>
            <w14:ligatures w14:val="standardContextual"/>
          </w:rPr>
          <w:tab/>
        </w:r>
        <w:r w:rsidRPr="00590A34">
          <w:rPr>
            <w:rStyle w:val="Hyperlink"/>
            <w:noProof/>
            <w:sz w:val="20"/>
            <w:szCs w:val="20"/>
          </w:rPr>
          <w:t>Overview of the EU Regulation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_Toc225594975 \h </w:instrText>
        </w:r>
        <w:r w:rsidRPr="00590A34">
          <w:rPr>
            <w:noProof/>
            <w:webHidden/>
            <w:sz w:val="20"/>
            <w:szCs w:val="20"/>
          </w:rPr>
        </w:r>
        <w:r w:rsidRPr="00590A34">
          <w:rPr>
            <w:noProof/>
            <w:webHidden/>
            <w:sz w:val="20"/>
            <w:szCs w:val="20"/>
          </w:rPr>
          <w:fldChar w:fldCharType="separate"/>
        </w:r>
        <w:r w:rsidR="002030C9">
          <w:rPr>
            <w:noProof/>
            <w:webHidden/>
            <w:sz w:val="20"/>
            <w:szCs w:val="20"/>
          </w:rPr>
          <w:t>10</w:t>
        </w:r>
        <w:r w:rsidRPr="00590A34">
          <w:rPr>
            <w:noProof/>
            <w:webHidden/>
            <w:sz w:val="20"/>
            <w:szCs w:val="20"/>
          </w:rPr>
          <w:fldChar w:fldCharType="end"/>
        </w:r>
      </w:hyperlink>
    </w:p>
    <w:p w14:paraId="5C45F27A" w14:textId="60A33BA5"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76" w:history="1">
        <w:r w:rsidRPr="00590A34">
          <w:rPr>
            <w:rStyle w:val="Hyperlink"/>
            <w:noProof/>
            <w:sz w:val="20"/>
            <w:szCs w:val="20"/>
          </w:rPr>
          <w:t>3.1</w:t>
        </w:r>
        <w:r w:rsidRPr="00590A34">
          <w:rPr>
            <w:rFonts w:eastAsiaTheme="minorEastAsia"/>
            <w:noProof/>
            <w:kern w:val="2"/>
            <w:sz w:val="20"/>
            <w:szCs w:val="20"/>
            <w:lang w:eastAsia="en-GB"/>
            <w14:ligatures w14:val="standardContextual"/>
          </w:rPr>
          <w:tab/>
        </w:r>
        <w:r w:rsidRPr="00590A34">
          <w:rPr>
            <w:rStyle w:val="Hyperlink"/>
            <w:noProof/>
            <w:sz w:val="20"/>
            <w:szCs w:val="20"/>
          </w:rPr>
          <w:t>Why the Regulation was introduced</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_Toc225594976 \h </w:instrText>
        </w:r>
        <w:r w:rsidRPr="00590A34">
          <w:rPr>
            <w:noProof/>
            <w:webHidden/>
            <w:sz w:val="20"/>
            <w:szCs w:val="20"/>
          </w:rPr>
        </w:r>
        <w:r w:rsidRPr="00590A34">
          <w:rPr>
            <w:noProof/>
            <w:webHidden/>
            <w:sz w:val="20"/>
            <w:szCs w:val="20"/>
          </w:rPr>
          <w:fldChar w:fldCharType="separate"/>
        </w:r>
        <w:r w:rsidR="002030C9">
          <w:rPr>
            <w:noProof/>
            <w:webHidden/>
            <w:sz w:val="20"/>
            <w:szCs w:val="20"/>
          </w:rPr>
          <w:t>10</w:t>
        </w:r>
        <w:r w:rsidRPr="00590A34">
          <w:rPr>
            <w:noProof/>
            <w:webHidden/>
            <w:sz w:val="20"/>
            <w:szCs w:val="20"/>
          </w:rPr>
          <w:fldChar w:fldCharType="end"/>
        </w:r>
      </w:hyperlink>
    </w:p>
    <w:p w14:paraId="02741EBF" w14:textId="71340F4A"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77" w:history="1">
        <w:r w:rsidRPr="00590A34">
          <w:rPr>
            <w:rStyle w:val="Hyperlink"/>
            <w:noProof/>
            <w:sz w:val="20"/>
            <w:szCs w:val="20"/>
          </w:rPr>
          <w:t>3.2</w:t>
        </w:r>
        <w:r w:rsidRPr="00590A34">
          <w:rPr>
            <w:rFonts w:eastAsiaTheme="minorEastAsia"/>
            <w:noProof/>
            <w:kern w:val="2"/>
            <w:sz w:val="20"/>
            <w:szCs w:val="20"/>
            <w:lang w:eastAsia="en-GB"/>
            <w14:ligatures w14:val="standardContextual"/>
          </w:rPr>
          <w:tab/>
        </w:r>
        <w:r w:rsidRPr="00590A34">
          <w:rPr>
            <w:rStyle w:val="Hyperlink"/>
            <w:noProof/>
            <w:sz w:val="20"/>
            <w:szCs w:val="20"/>
          </w:rPr>
          <w:t>Scope</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_Toc225594977 \h </w:instrText>
        </w:r>
        <w:r w:rsidRPr="00590A34">
          <w:rPr>
            <w:noProof/>
            <w:webHidden/>
            <w:sz w:val="20"/>
            <w:szCs w:val="20"/>
          </w:rPr>
        </w:r>
        <w:r w:rsidRPr="00590A34">
          <w:rPr>
            <w:noProof/>
            <w:webHidden/>
            <w:sz w:val="20"/>
            <w:szCs w:val="20"/>
          </w:rPr>
          <w:fldChar w:fldCharType="separate"/>
        </w:r>
        <w:r w:rsidR="002030C9">
          <w:rPr>
            <w:noProof/>
            <w:webHidden/>
            <w:sz w:val="20"/>
            <w:szCs w:val="20"/>
          </w:rPr>
          <w:t>10</w:t>
        </w:r>
        <w:r w:rsidRPr="00590A34">
          <w:rPr>
            <w:noProof/>
            <w:webHidden/>
            <w:sz w:val="20"/>
            <w:szCs w:val="20"/>
          </w:rPr>
          <w:fldChar w:fldCharType="end"/>
        </w:r>
      </w:hyperlink>
    </w:p>
    <w:p w14:paraId="3BCC327E" w14:textId="753B8EBA"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4978" w:history="1">
        <w:r w:rsidRPr="00590A34">
          <w:rPr>
            <w:rStyle w:val="Hyperlink"/>
            <w:noProof/>
            <w:sz w:val="20"/>
            <w:szCs w:val="20"/>
          </w:rPr>
          <w:t>3.2.1</w:t>
        </w:r>
        <w:r w:rsidRPr="00590A34">
          <w:rPr>
            <w:rFonts w:eastAsiaTheme="minorEastAsia"/>
            <w:noProof/>
            <w:kern w:val="2"/>
            <w:sz w:val="20"/>
            <w:szCs w:val="20"/>
            <w:lang w:eastAsia="en-GB"/>
            <w14:ligatures w14:val="standardContextual"/>
          </w:rPr>
          <w:tab/>
        </w:r>
        <w:r w:rsidRPr="00590A34">
          <w:rPr>
            <w:rStyle w:val="Hyperlink"/>
            <w:noProof/>
            <w:sz w:val="20"/>
            <w:szCs w:val="20"/>
          </w:rPr>
          <w:t>Overview of thresholds and pellet handling obligations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_Toc225594978 \h </w:instrText>
        </w:r>
        <w:r w:rsidRPr="00590A34">
          <w:rPr>
            <w:noProof/>
            <w:webHidden/>
            <w:sz w:val="20"/>
            <w:szCs w:val="20"/>
          </w:rPr>
        </w:r>
        <w:r w:rsidRPr="00590A34">
          <w:rPr>
            <w:noProof/>
            <w:webHidden/>
            <w:sz w:val="20"/>
            <w:szCs w:val="20"/>
          </w:rPr>
          <w:fldChar w:fldCharType="separate"/>
        </w:r>
        <w:r w:rsidR="002030C9">
          <w:rPr>
            <w:noProof/>
            <w:webHidden/>
            <w:sz w:val="20"/>
            <w:szCs w:val="20"/>
          </w:rPr>
          <w:t>11</w:t>
        </w:r>
        <w:r w:rsidRPr="00590A34">
          <w:rPr>
            <w:noProof/>
            <w:webHidden/>
            <w:sz w:val="20"/>
            <w:szCs w:val="20"/>
          </w:rPr>
          <w:fldChar w:fldCharType="end"/>
        </w:r>
      </w:hyperlink>
    </w:p>
    <w:p w14:paraId="23B9F2F4" w14:textId="08DF77B9"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79" w:history="1">
        <w:r w:rsidRPr="00590A34">
          <w:rPr>
            <w:rStyle w:val="Hyperlink"/>
            <w:noProof/>
            <w:sz w:val="20"/>
            <w:szCs w:val="20"/>
          </w:rPr>
          <w:t>3.3</w:t>
        </w:r>
        <w:r w:rsidRPr="00590A34">
          <w:rPr>
            <w:rFonts w:eastAsiaTheme="minorEastAsia"/>
            <w:noProof/>
            <w:kern w:val="2"/>
            <w:sz w:val="20"/>
            <w:szCs w:val="20"/>
            <w:lang w:eastAsia="en-GB"/>
            <w14:ligatures w14:val="standardContextual"/>
          </w:rPr>
          <w:tab/>
        </w:r>
        <w:r w:rsidRPr="00590A34">
          <w:rPr>
            <w:rStyle w:val="Hyperlink"/>
            <w:noProof/>
            <w:sz w:val="20"/>
            <w:szCs w:val="20"/>
          </w:rPr>
          <w:t>Core obligations for economic operators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_Toc225594979 \h </w:instrText>
        </w:r>
        <w:r w:rsidRPr="00590A34">
          <w:rPr>
            <w:noProof/>
            <w:webHidden/>
            <w:sz w:val="20"/>
            <w:szCs w:val="20"/>
          </w:rPr>
        </w:r>
        <w:r w:rsidRPr="00590A34">
          <w:rPr>
            <w:noProof/>
            <w:webHidden/>
            <w:sz w:val="20"/>
            <w:szCs w:val="20"/>
          </w:rPr>
          <w:fldChar w:fldCharType="separate"/>
        </w:r>
        <w:r w:rsidR="002030C9">
          <w:rPr>
            <w:noProof/>
            <w:webHidden/>
            <w:sz w:val="20"/>
            <w:szCs w:val="20"/>
          </w:rPr>
          <w:t>12</w:t>
        </w:r>
        <w:r w:rsidRPr="00590A34">
          <w:rPr>
            <w:noProof/>
            <w:webHidden/>
            <w:sz w:val="20"/>
            <w:szCs w:val="20"/>
          </w:rPr>
          <w:fldChar w:fldCharType="end"/>
        </w:r>
      </w:hyperlink>
    </w:p>
    <w:p w14:paraId="2FAA49B1" w14:textId="0000BB51"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4980" w:history="1">
        <w:r w:rsidRPr="00590A34">
          <w:rPr>
            <w:rStyle w:val="Hyperlink"/>
            <w:noProof/>
            <w:sz w:val="20"/>
            <w:szCs w:val="20"/>
          </w:rPr>
          <w:t>3.3.1</w:t>
        </w:r>
        <w:r w:rsidRPr="00590A34">
          <w:rPr>
            <w:rFonts w:eastAsiaTheme="minorEastAsia"/>
            <w:noProof/>
            <w:kern w:val="2"/>
            <w:sz w:val="20"/>
            <w:szCs w:val="20"/>
            <w:lang w:eastAsia="en-GB"/>
            <w14:ligatures w14:val="standardContextual"/>
          </w:rPr>
          <w:tab/>
        </w:r>
        <w:r w:rsidRPr="00590A34">
          <w:rPr>
            <w:rStyle w:val="Hyperlink"/>
            <w:noProof/>
            <w:sz w:val="20"/>
            <w:szCs w:val="20"/>
          </w:rPr>
          <w:t>Risk Management Plans (RMPs)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_Toc225594980 \h </w:instrText>
        </w:r>
        <w:r w:rsidRPr="00590A34">
          <w:rPr>
            <w:noProof/>
            <w:webHidden/>
            <w:sz w:val="20"/>
            <w:szCs w:val="20"/>
          </w:rPr>
        </w:r>
        <w:r w:rsidRPr="00590A34">
          <w:rPr>
            <w:noProof/>
            <w:webHidden/>
            <w:sz w:val="20"/>
            <w:szCs w:val="20"/>
          </w:rPr>
          <w:fldChar w:fldCharType="separate"/>
        </w:r>
        <w:r w:rsidR="002030C9">
          <w:rPr>
            <w:noProof/>
            <w:webHidden/>
            <w:sz w:val="20"/>
            <w:szCs w:val="20"/>
          </w:rPr>
          <w:t>12</w:t>
        </w:r>
        <w:r w:rsidRPr="00590A34">
          <w:rPr>
            <w:noProof/>
            <w:webHidden/>
            <w:sz w:val="20"/>
            <w:szCs w:val="20"/>
          </w:rPr>
          <w:fldChar w:fldCharType="end"/>
        </w:r>
      </w:hyperlink>
    </w:p>
    <w:p w14:paraId="32D9D6FB" w14:textId="371ED45D"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4981" w:history="1">
        <w:r w:rsidRPr="00590A34">
          <w:rPr>
            <w:rStyle w:val="Hyperlink"/>
            <w:noProof/>
            <w:sz w:val="20"/>
            <w:szCs w:val="20"/>
          </w:rPr>
          <w:t>3.3.2</w:t>
        </w:r>
        <w:r w:rsidRPr="00590A34">
          <w:rPr>
            <w:rFonts w:eastAsiaTheme="minorEastAsia"/>
            <w:noProof/>
            <w:kern w:val="2"/>
            <w:sz w:val="20"/>
            <w:szCs w:val="20"/>
            <w:lang w:eastAsia="en-GB"/>
            <w14:ligatures w14:val="standardContextual"/>
          </w:rPr>
          <w:tab/>
        </w:r>
        <w:r w:rsidRPr="00590A34">
          <w:rPr>
            <w:rStyle w:val="Hyperlink"/>
            <w:noProof/>
            <w:sz w:val="20"/>
            <w:szCs w:val="20"/>
          </w:rPr>
          <w:t>Prevention, containment and clean-up requirements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_Toc225594981 \h </w:instrText>
        </w:r>
        <w:r w:rsidRPr="00590A34">
          <w:rPr>
            <w:noProof/>
            <w:webHidden/>
            <w:sz w:val="20"/>
            <w:szCs w:val="20"/>
          </w:rPr>
        </w:r>
        <w:r w:rsidRPr="00590A34">
          <w:rPr>
            <w:noProof/>
            <w:webHidden/>
            <w:sz w:val="20"/>
            <w:szCs w:val="20"/>
          </w:rPr>
          <w:fldChar w:fldCharType="separate"/>
        </w:r>
        <w:r w:rsidR="002030C9">
          <w:rPr>
            <w:noProof/>
            <w:webHidden/>
            <w:sz w:val="20"/>
            <w:szCs w:val="20"/>
          </w:rPr>
          <w:t>12</w:t>
        </w:r>
        <w:r w:rsidRPr="00590A34">
          <w:rPr>
            <w:noProof/>
            <w:webHidden/>
            <w:sz w:val="20"/>
            <w:szCs w:val="20"/>
          </w:rPr>
          <w:fldChar w:fldCharType="end"/>
        </w:r>
      </w:hyperlink>
    </w:p>
    <w:p w14:paraId="6A192031" w14:textId="34C5C7A2"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4982" w:history="1">
        <w:r w:rsidRPr="00590A34">
          <w:rPr>
            <w:rStyle w:val="Hyperlink"/>
            <w:noProof/>
            <w:sz w:val="20"/>
            <w:szCs w:val="20"/>
          </w:rPr>
          <w:t>3.3.3</w:t>
        </w:r>
        <w:r w:rsidRPr="00590A34">
          <w:rPr>
            <w:rFonts w:eastAsiaTheme="minorEastAsia"/>
            <w:noProof/>
            <w:kern w:val="2"/>
            <w:sz w:val="20"/>
            <w:szCs w:val="20"/>
            <w:lang w:eastAsia="en-GB"/>
            <w14:ligatures w14:val="standardContextual"/>
          </w:rPr>
          <w:tab/>
        </w:r>
        <w:r w:rsidRPr="00590A34">
          <w:rPr>
            <w:rStyle w:val="Hyperlink"/>
            <w:noProof/>
            <w:sz w:val="20"/>
            <w:szCs w:val="20"/>
          </w:rPr>
          <w:t>Registration, traceability and reporting</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_Toc225594982 \h </w:instrText>
        </w:r>
        <w:r w:rsidRPr="00590A34">
          <w:rPr>
            <w:noProof/>
            <w:webHidden/>
            <w:sz w:val="20"/>
            <w:szCs w:val="20"/>
          </w:rPr>
        </w:r>
        <w:r w:rsidRPr="00590A34">
          <w:rPr>
            <w:noProof/>
            <w:webHidden/>
            <w:sz w:val="20"/>
            <w:szCs w:val="20"/>
          </w:rPr>
          <w:fldChar w:fldCharType="separate"/>
        </w:r>
        <w:r w:rsidR="002030C9">
          <w:rPr>
            <w:noProof/>
            <w:webHidden/>
            <w:sz w:val="20"/>
            <w:szCs w:val="20"/>
          </w:rPr>
          <w:t>13</w:t>
        </w:r>
        <w:r w:rsidRPr="00590A34">
          <w:rPr>
            <w:noProof/>
            <w:webHidden/>
            <w:sz w:val="20"/>
            <w:szCs w:val="20"/>
          </w:rPr>
          <w:fldChar w:fldCharType="end"/>
        </w:r>
      </w:hyperlink>
    </w:p>
    <w:p w14:paraId="60F4DCCD" w14:textId="22885CEF"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83" w:history="1">
        <w:r w:rsidRPr="00590A34">
          <w:rPr>
            <w:rStyle w:val="Hyperlink"/>
            <w:noProof/>
            <w:sz w:val="20"/>
            <w:szCs w:val="20"/>
          </w:rPr>
          <w:t>3.4</w:t>
        </w:r>
        <w:r w:rsidRPr="00590A34">
          <w:rPr>
            <w:rFonts w:eastAsiaTheme="minorEastAsia"/>
            <w:noProof/>
            <w:kern w:val="2"/>
            <w:sz w:val="20"/>
            <w:szCs w:val="20"/>
            <w:lang w:eastAsia="en-GB"/>
            <w14:ligatures w14:val="standardContextual"/>
          </w:rPr>
          <w:tab/>
        </w:r>
        <w:r w:rsidRPr="00590A34">
          <w:rPr>
            <w:rStyle w:val="Hyperlink"/>
            <w:noProof/>
            <w:sz w:val="20"/>
            <w:szCs w:val="20"/>
          </w:rPr>
          <w:t>Certification and compliance</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_Toc225594983 \h </w:instrText>
        </w:r>
        <w:r w:rsidRPr="00590A34">
          <w:rPr>
            <w:noProof/>
            <w:webHidden/>
            <w:sz w:val="20"/>
            <w:szCs w:val="20"/>
          </w:rPr>
        </w:r>
        <w:r w:rsidRPr="00590A34">
          <w:rPr>
            <w:noProof/>
            <w:webHidden/>
            <w:sz w:val="20"/>
            <w:szCs w:val="20"/>
          </w:rPr>
          <w:fldChar w:fldCharType="separate"/>
        </w:r>
        <w:r w:rsidR="002030C9">
          <w:rPr>
            <w:noProof/>
            <w:webHidden/>
            <w:sz w:val="20"/>
            <w:szCs w:val="20"/>
          </w:rPr>
          <w:t>13</w:t>
        </w:r>
        <w:r w:rsidRPr="00590A34">
          <w:rPr>
            <w:noProof/>
            <w:webHidden/>
            <w:sz w:val="20"/>
            <w:szCs w:val="20"/>
          </w:rPr>
          <w:fldChar w:fldCharType="end"/>
        </w:r>
      </w:hyperlink>
    </w:p>
    <w:p w14:paraId="2CC79EFB" w14:textId="6461F073"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84" w:history="1">
        <w:r w:rsidRPr="00590A34">
          <w:rPr>
            <w:rStyle w:val="Hyperlink"/>
            <w:noProof/>
            <w:sz w:val="20"/>
            <w:szCs w:val="20"/>
          </w:rPr>
          <w:t>3.5</w:t>
        </w:r>
        <w:r w:rsidRPr="00590A34">
          <w:rPr>
            <w:rFonts w:eastAsiaTheme="minorEastAsia"/>
            <w:noProof/>
            <w:kern w:val="2"/>
            <w:sz w:val="20"/>
            <w:szCs w:val="20"/>
            <w:lang w:eastAsia="en-GB"/>
            <w14:ligatures w14:val="standardContextual"/>
          </w:rPr>
          <w:tab/>
        </w:r>
        <w:r w:rsidRPr="00590A34">
          <w:rPr>
            <w:rStyle w:val="Hyperlink"/>
            <w:noProof/>
            <w:sz w:val="20"/>
            <w:szCs w:val="20"/>
          </w:rPr>
          <w:t>Obligations for carriers and maritime transport</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_Toc225594984 \h </w:instrText>
        </w:r>
        <w:r w:rsidRPr="00590A34">
          <w:rPr>
            <w:noProof/>
            <w:webHidden/>
            <w:sz w:val="20"/>
            <w:szCs w:val="20"/>
          </w:rPr>
        </w:r>
        <w:r w:rsidRPr="00590A34">
          <w:rPr>
            <w:noProof/>
            <w:webHidden/>
            <w:sz w:val="20"/>
            <w:szCs w:val="20"/>
          </w:rPr>
          <w:fldChar w:fldCharType="separate"/>
        </w:r>
        <w:r w:rsidR="002030C9">
          <w:rPr>
            <w:noProof/>
            <w:webHidden/>
            <w:sz w:val="20"/>
            <w:szCs w:val="20"/>
          </w:rPr>
          <w:t>14</w:t>
        </w:r>
        <w:r w:rsidRPr="00590A34">
          <w:rPr>
            <w:noProof/>
            <w:webHidden/>
            <w:sz w:val="20"/>
            <w:szCs w:val="20"/>
          </w:rPr>
          <w:fldChar w:fldCharType="end"/>
        </w:r>
      </w:hyperlink>
    </w:p>
    <w:p w14:paraId="012ADC5A" w14:textId="1C524B63"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85" w:history="1">
        <w:r w:rsidRPr="00590A34">
          <w:rPr>
            <w:rStyle w:val="Hyperlink"/>
            <w:noProof/>
            <w:sz w:val="20"/>
            <w:szCs w:val="20"/>
          </w:rPr>
          <w:t>3.6</w:t>
        </w:r>
        <w:r w:rsidRPr="00590A34">
          <w:rPr>
            <w:rFonts w:eastAsiaTheme="minorEastAsia"/>
            <w:noProof/>
            <w:kern w:val="2"/>
            <w:sz w:val="20"/>
            <w:szCs w:val="20"/>
            <w:lang w:eastAsia="en-GB"/>
            <w14:ligatures w14:val="standardContextual"/>
          </w:rPr>
          <w:tab/>
        </w:r>
        <w:r w:rsidRPr="00590A34">
          <w:rPr>
            <w:rStyle w:val="Hyperlink"/>
            <w:noProof/>
            <w:sz w:val="20"/>
            <w:szCs w:val="20"/>
          </w:rPr>
          <w:t>Transparency and data collection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_Toc225594985 \h </w:instrText>
        </w:r>
        <w:r w:rsidRPr="00590A34">
          <w:rPr>
            <w:noProof/>
            <w:webHidden/>
            <w:sz w:val="20"/>
            <w:szCs w:val="20"/>
          </w:rPr>
        </w:r>
        <w:r w:rsidRPr="00590A34">
          <w:rPr>
            <w:noProof/>
            <w:webHidden/>
            <w:sz w:val="20"/>
            <w:szCs w:val="20"/>
          </w:rPr>
          <w:fldChar w:fldCharType="separate"/>
        </w:r>
        <w:r w:rsidR="002030C9">
          <w:rPr>
            <w:noProof/>
            <w:webHidden/>
            <w:sz w:val="20"/>
            <w:szCs w:val="20"/>
          </w:rPr>
          <w:t>14</w:t>
        </w:r>
        <w:r w:rsidRPr="00590A34">
          <w:rPr>
            <w:noProof/>
            <w:webHidden/>
            <w:sz w:val="20"/>
            <w:szCs w:val="20"/>
          </w:rPr>
          <w:fldChar w:fldCharType="end"/>
        </w:r>
      </w:hyperlink>
    </w:p>
    <w:p w14:paraId="64542203" w14:textId="1C22E61D"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86" w:history="1">
        <w:r w:rsidRPr="00590A34">
          <w:rPr>
            <w:rStyle w:val="Hyperlink"/>
            <w:noProof/>
            <w:sz w:val="20"/>
            <w:szCs w:val="20"/>
          </w:rPr>
          <w:t>3.7</w:t>
        </w:r>
        <w:r w:rsidRPr="00590A34">
          <w:rPr>
            <w:rFonts w:eastAsiaTheme="minorEastAsia"/>
            <w:noProof/>
            <w:kern w:val="2"/>
            <w:sz w:val="20"/>
            <w:szCs w:val="20"/>
            <w:lang w:eastAsia="en-GB"/>
            <w14:ligatures w14:val="standardContextual"/>
          </w:rPr>
          <w:tab/>
        </w:r>
        <w:r w:rsidRPr="00590A34">
          <w:rPr>
            <w:rStyle w:val="Hyperlink"/>
            <w:noProof/>
            <w:sz w:val="20"/>
            <w:szCs w:val="20"/>
          </w:rPr>
          <w:t>Enforcement, penalties and corrective measures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_Toc225594986 \h </w:instrText>
        </w:r>
        <w:r w:rsidRPr="00590A34">
          <w:rPr>
            <w:noProof/>
            <w:webHidden/>
            <w:sz w:val="20"/>
            <w:szCs w:val="20"/>
          </w:rPr>
        </w:r>
        <w:r w:rsidRPr="00590A34">
          <w:rPr>
            <w:noProof/>
            <w:webHidden/>
            <w:sz w:val="20"/>
            <w:szCs w:val="20"/>
          </w:rPr>
          <w:fldChar w:fldCharType="separate"/>
        </w:r>
        <w:r w:rsidR="002030C9">
          <w:rPr>
            <w:noProof/>
            <w:webHidden/>
            <w:sz w:val="20"/>
            <w:szCs w:val="20"/>
          </w:rPr>
          <w:t>15</w:t>
        </w:r>
        <w:r w:rsidRPr="00590A34">
          <w:rPr>
            <w:noProof/>
            <w:webHidden/>
            <w:sz w:val="20"/>
            <w:szCs w:val="20"/>
          </w:rPr>
          <w:fldChar w:fldCharType="end"/>
        </w:r>
      </w:hyperlink>
    </w:p>
    <w:p w14:paraId="0AA9CB93" w14:textId="01E2B584"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87" w:history="1">
        <w:r w:rsidRPr="00590A34">
          <w:rPr>
            <w:rStyle w:val="Hyperlink"/>
            <w:noProof/>
            <w:sz w:val="20"/>
            <w:szCs w:val="20"/>
          </w:rPr>
          <w:t>3.8</w:t>
        </w:r>
        <w:r w:rsidRPr="00590A34">
          <w:rPr>
            <w:rFonts w:eastAsiaTheme="minorEastAsia"/>
            <w:noProof/>
            <w:kern w:val="2"/>
            <w:sz w:val="20"/>
            <w:szCs w:val="20"/>
            <w:lang w:eastAsia="en-GB"/>
            <w14:ligatures w14:val="standardContextual"/>
          </w:rPr>
          <w:tab/>
        </w:r>
        <w:r w:rsidRPr="00590A34">
          <w:rPr>
            <w:rStyle w:val="Hyperlink"/>
            <w:noProof/>
            <w:sz w:val="20"/>
            <w:szCs w:val="20"/>
          </w:rPr>
          <w:t>Implementation timeline</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_Toc225594987 \h </w:instrText>
        </w:r>
        <w:r w:rsidRPr="00590A34">
          <w:rPr>
            <w:noProof/>
            <w:webHidden/>
            <w:sz w:val="20"/>
            <w:szCs w:val="20"/>
          </w:rPr>
        </w:r>
        <w:r w:rsidRPr="00590A34">
          <w:rPr>
            <w:noProof/>
            <w:webHidden/>
            <w:sz w:val="20"/>
            <w:szCs w:val="20"/>
          </w:rPr>
          <w:fldChar w:fldCharType="separate"/>
        </w:r>
        <w:r w:rsidR="002030C9">
          <w:rPr>
            <w:noProof/>
            <w:webHidden/>
            <w:sz w:val="20"/>
            <w:szCs w:val="20"/>
          </w:rPr>
          <w:t>15</w:t>
        </w:r>
        <w:r w:rsidRPr="00590A34">
          <w:rPr>
            <w:noProof/>
            <w:webHidden/>
            <w:sz w:val="20"/>
            <w:szCs w:val="20"/>
          </w:rPr>
          <w:fldChar w:fldCharType="end"/>
        </w:r>
      </w:hyperlink>
    </w:p>
    <w:p w14:paraId="2EF3765C" w14:textId="715A274C"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88" w:history="1">
        <w:r w:rsidRPr="00590A34">
          <w:rPr>
            <w:rStyle w:val="Hyperlink"/>
            <w:noProof/>
            <w:sz w:val="20"/>
            <w:szCs w:val="20"/>
          </w:rPr>
          <w:t>3.9</w:t>
        </w:r>
        <w:r w:rsidRPr="00590A34">
          <w:rPr>
            <w:rFonts w:eastAsiaTheme="minorEastAsia"/>
            <w:noProof/>
            <w:kern w:val="2"/>
            <w:sz w:val="20"/>
            <w:szCs w:val="20"/>
            <w:lang w:eastAsia="en-GB"/>
            <w14:ligatures w14:val="standardContextual"/>
          </w:rPr>
          <w:tab/>
        </w:r>
        <w:r w:rsidRPr="00590A34">
          <w:rPr>
            <w:rStyle w:val="Hyperlink"/>
            <w:noProof/>
            <w:sz w:val="20"/>
            <w:szCs w:val="20"/>
          </w:rPr>
          <w:t>Summary</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_Toc225594988 \h </w:instrText>
        </w:r>
        <w:r w:rsidRPr="00590A34">
          <w:rPr>
            <w:noProof/>
            <w:webHidden/>
            <w:sz w:val="20"/>
            <w:szCs w:val="20"/>
          </w:rPr>
        </w:r>
        <w:r w:rsidRPr="00590A34">
          <w:rPr>
            <w:noProof/>
            <w:webHidden/>
            <w:sz w:val="20"/>
            <w:szCs w:val="20"/>
          </w:rPr>
          <w:fldChar w:fldCharType="separate"/>
        </w:r>
        <w:r w:rsidR="002030C9">
          <w:rPr>
            <w:noProof/>
            <w:webHidden/>
            <w:sz w:val="20"/>
            <w:szCs w:val="20"/>
          </w:rPr>
          <w:t>17</w:t>
        </w:r>
        <w:r w:rsidRPr="00590A34">
          <w:rPr>
            <w:noProof/>
            <w:webHidden/>
            <w:sz w:val="20"/>
            <w:szCs w:val="20"/>
          </w:rPr>
          <w:fldChar w:fldCharType="end"/>
        </w:r>
      </w:hyperlink>
    </w:p>
    <w:p w14:paraId="4D10647D" w14:textId="2AA27E1B" w:rsidR="00590A34" w:rsidRPr="00590A34" w:rsidRDefault="00590A34">
      <w:pPr>
        <w:pStyle w:val="TOC1"/>
        <w:tabs>
          <w:tab w:val="left" w:pos="440"/>
          <w:tab w:val="right" w:leader="dot" w:pos="9016"/>
        </w:tabs>
        <w:rPr>
          <w:rFonts w:eastAsiaTheme="minorEastAsia"/>
          <w:noProof/>
          <w:kern w:val="2"/>
          <w:sz w:val="20"/>
          <w:szCs w:val="20"/>
          <w:lang w:eastAsia="en-GB"/>
          <w14:ligatures w14:val="standardContextual"/>
        </w:rPr>
      </w:pPr>
      <w:hyperlink w:anchor="_Toc225594989" w:history="1">
        <w:r w:rsidRPr="00590A34">
          <w:rPr>
            <w:rStyle w:val="Hyperlink"/>
            <w:noProof/>
            <w:sz w:val="20"/>
            <w:szCs w:val="20"/>
          </w:rPr>
          <w:t>4.</w:t>
        </w:r>
        <w:r w:rsidRPr="00590A34">
          <w:rPr>
            <w:rFonts w:eastAsiaTheme="minorEastAsia"/>
            <w:noProof/>
            <w:kern w:val="2"/>
            <w:sz w:val="20"/>
            <w:szCs w:val="20"/>
            <w:lang w:eastAsia="en-GB"/>
            <w14:ligatures w14:val="standardContextual"/>
          </w:rPr>
          <w:tab/>
        </w:r>
        <w:r w:rsidRPr="00590A34">
          <w:rPr>
            <w:rStyle w:val="Hyperlink"/>
            <w:noProof/>
            <w:sz w:val="20"/>
            <w:szCs w:val="20"/>
          </w:rPr>
          <w:t>Detailed analysis of the Regulation’s alignment with or divergence from the OSPAR Recommendation requirements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_Toc225594989 \h </w:instrText>
        </w:r>
        <w:r w:rsidRPr="00590A34">
          <w:rPr>
            <w:noProof/>
            <w:webHidden/>
            <w:sz w:val="20"/>
            <w:szCs w:val="20"/>
          </w:rPr>
        </w:r>
        <w:r w:rsidRPr="00590A34">
          <w:rPr>
            <w:noProof/>
            <w:webHidden/>
            <w:sz w:val="20"/>
            <w:szCs w:val="20"/>
          </w:rPr>
          <w:fldChar w:fldCharType="separate"/>
        </w:r>
        <w:r w:rsidR="002030C9">
          <w:rPr>
            <w:noProof/>
            <w:webHidden/>
            <w:sz w:val="20"/>
            <w:szCs w:val="20"/>
          </w:rPr>
          <w:t>18</w:t>
        </w:r>
        <w:r w:rsidRPr="00590A34">
          <w:rPr>
            <w:noProof/>
            <w:webHidden/>
            <w:sz w:val="20"/>
            <w:szCs w:val="20"/>
          </w:rPr>
          <w:fldChar w:fldCharType="end"/>
        </w:r>
      </w:hyperlink>
    </w:p>
    <w:p w14:paraId="08EBEAAD" w14:textId="36CCA727"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90" w:history="1">
        <w:r w:rsidRPr="00590A34">
          <w:rPr>
            <w:rStyle w:val="Hyperlink"/>
            <w:noProof/>
            <w:sz w:val="20"/>
            <w:szCs w:val="20"/>
          </w:rPr>
          <w:t>4.1</w:t>
        </w:r>
        <w:r w:rsidRPr="00590A34">
          <w:rPr>
            <w:rFonts w:eastAsiaTheme="minorEastAsia"/>
            <w:noProof/>
            <w:kern w:val="2"/>
            <w:sz w:val="20"/>
            <w:szCs w:val="20"/>
            <w:lang w:eastAsia="en-GB"/>
            <w14:ligatures w14:val="standardContextual"/>
          </w:rPr>
          <w:tab/>
        </w:r>
        <w:r w:rsidRPr="00590A34">
          <w:rPr>
            <w:rStyle w:val="Hyperlink"/>
            <w:noProof/>
            <w:sz w:val="20"/>
            <w:szCs w:val="20"/>
          </w:rPr>
          <w:t>Self-declaration and permits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_Toc225594990 \h </w:instrText>
        </w:r>
        <w:r w:rsidRPr="00590A34">
          <w:rPr>
            <w:noProof/>
            <w:webHidden/>
            <w:sz w:val="20"/>
            <w:szCs w:val="20"/>
          </w:rPr>
        </w:r>
        <w:r w:rsidRPr="00590A34">
          <w:rPr>
            <w:noProof/>
            <w:webHidden/>
            <w:sz w:val="20"/>
            <w:szCs w:val="20"/>
          </w:rPr>
          <w:fldChar w:fldCharType="separate"/>
        </w:r>
        <w:r w:rsidR="002030C9">
          <w:rPr>
            <w:noProof/>
            <w:webHidden/>
            <w:sz w:val="20"/>
            <w:szCs w:val="20"/>
          </w:rPr>
          <w:t>18</w:t>
        </w:r>
        <w:r w:rsidRPr="00590A34">
          <w:rPr>
            <w:noProof/>
            <w:webHidden/>
            <w:sz w:val="20"/>
            <w:szCs w:val="20"/>
          </w:rPr>
          <w:fldChar w:fldCharType="end"/>
        </w:r>
      </w:hyperlink>
    </w:p>
    <w:p w14:paraId="5D96AB77" w14:textId="643558BC"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91" w:history="1">
        <w:r w:rsidRPr="00590A34">
          <w:rPr>
            <w:rStyle w:val="Hyperlink"/>
            <w:noProof/>
            <w:sz w:val="20"/>
            <w:szCs w:val="20"/>
          </w:rPr>
          <w:t>4.2</w:t>
        </w:r>
        <w:r w:rsidRPr="00590A34">
          <w:rPr>
            <w:rFonts w:eastAsiaTheme="minorEastAsia"/>
            <w:noProof/>
            <w:kern w:val="2"/>
            <w:sz w:val="20"/>
            <w:szCs w:val="20"/>
            <w:lang w:eastAsia="en-GB"/>
            <w14:ligatures w14:val="standardContextual"/>
          </w:rPr>
          <w:tab/>
        </w:r>
        <w:r w:rsidRPr="00590A34">
          <w:rPr>
            <w:rStyle w:val="Hyperlink"/>
            <w:noProof/>
            <w:sz w:val="20"/>
            <w:szCs w:val="20"/>
          </w:rPr>
          <w:t>Self-Declaration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_Toc225594991 \h </w:instrText>
        </w:r>
        <w:r w:rsidRPr="00590A34">
          <w:rPr>
            <w:noProof/>
            <w:webHidden/>
            <w:sz w:val="20"/>
            <w:szCs w:val="20"/>
          </w:rPr>
        </w:r>
        <w:r w:rsidRPr="00590A34">
          <w:rPr>
            <w:noProof/>
            <w:webHidden/>
            <w:sz w:val="20"/>
            <w:szCs w:val="20"/>
          </w:rPr>
          <w:fldChar w:fldCharType="separate"/>
        </w:r>
        <w:r w:rsidR="002030C9">
          <w:rPr>
            <w:noProof/>
            <w:webHidden/>
            <w:sz w:val="20"/>
            <w:szCs w:val="20"/>
          </w:rPr>
          <w:t>18</w:t>
        </w:r>
        <w:r w:rsidRPr="00590A34">
          <w:rPr>
            <w:noProof/>
            <w:webHidden/>
            <w:sz w:val="20"/>
            <w:szCs w:val="20"/>
          </w:rPr>
          <w:fldChar w:fldCharType="end"/>
        </w:r>
      </w:hyperlink>
    </w:p>
    <w:p w14:paraId="783CCC0B" w14:textId="6D9A0EC4"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4992" w:history="1">
        <w:r w:rsidRPr="00590A34">
          <w:rPr>
            <w:rStyle w:val="Hyperlink"/>
            <w:noProof/>
            <w:sz w:val="20"/>
            <w:szCs w:val="20"/>
          </w:rPr>
          <w:t>4.2.1</w:t>
        </w:r>
        <w:r w:rsidRPr="00590A34">
          <w:rPr>
            <w:rFonts w:eastAsiaTheme="minorEastAsia"/>
            <w:noProof/>
            <w:kern w:val="2"/>
            <w:sz w:val="20"/>
            <w:szCs w:val="20"/>
            <w:lang w:eastAsia="en-GB"/>
            <w14:ligatures w14:val="standardContextual"/>
          </w:rPr>
          <w:tab/>
        </w:r>
        <w:r w:rsidRPr="00590A34">
          <w:rPr>
            <w:rStyle w:val="Hyperlink"/>
            <w:noProof/>
            <w:sz w:val="20"/>
            <w:szCs w:val="20"/>
          </w:rPr>
          <w:t>Self-declaration as a regulatory instrument</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_Toc225594992 \h </w:instrText>
        </w:r>
        <w:r w:rsidRPr="00590A34">
          <w:rPr>
            <w:noProof/>
            <w:webHidden/>
            <w:sz w:val="20"/>
            <w:szCs w:val="20"/>
          </w:rPr>
        </w:r>
        <w:r w:rsidRPr="00590A34">
          <w:rPr>
            <w:noProof/>
            <w:webHidden/>
            <w:sz w:val="20"/>
            <w:szCs w:val="20"/>
          </w:rPr>
          <w:fldChar w:fldCharType="separate"/>
        </w:r>
        <w:r w:rsidR="002030C9">
          <w:rPr>
            <w:noProof/>
            <w:webHidden/>
            <w:sz w:val="20"/>
            <w:szCs w:val="20"/>
          </w:rPr>
          <w:t>19</w:t>
        </w:r>
        <w:r w:rsidRPr="00590A34">
          <w:rPr>
            <w:noProof/>
            <w:webHidden/>
            <w:sz w:val="20"/>
            <w:szCs w:val="20"/>
          </w:rPr>
          <w:fldChar w:fldCharType="end"/>
        </w:r>
      </w:hyperlink>
    </w:p>
    <w:p w14:paraId="4F6CBDB4" w14:textId="4A3579AD"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4993" w:history="1">
        <w:r w:rsidRPr="00590A34">
          <w:rPr>
            <w:rStyle w:val="Hyperlink"/>
            <w:noProof/>
            <w:sz w:val="20"/>
            <w:szCs w:val="20"/>
          </w:rPr>
          <w:t>4.2.2</w:t>
        </w:r>
        <w:r w:rsidRPr="00590A34">
          <w:rPr>
            <w:rFonts w:eastAsiaTheme="minorEastAsia"/>
            <w:noProof/>
            <w:kern w:val="2"/>
            <w:sz w:val="20"/>
            <w:szCs w:val="20"/>
            <w:lang w:eastAsia="en-GB"/>
            <w14:ligatures w14:val="standardContextual"/>
          </w:rPr>
          <w:tab/>
        </w:r>
        <w:r w:rsidRPr="00590A34">
          <w:rPr>
            <w:rStyle w:val="Hyperlink"/>
            <w:noProof/>
            <w:sz w:val="20"/>
            <w:szCs w:val="20"/>
          </w:rPr>
          <w:t>Regulations that allow self-declaration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_Toc225594993 \h </w:instrText>
        </w:r>
        <w:r w:rsidRPr="00590A34">
          <w:rPr>
            <w:noProof/>
            <w:webHidden/>
            <w:sz w:val="20"/>
            <w:szCs w:val="20"/>
          </w:rPr>
        </w:r>
        <w:r w:rsidRPr="00590A34">
          <w:rPr>
            <w:noProof/>
            <w:webHidden/>
            <w:sz w:val="20"/>
            <w:szCs w:val="20"/>
          </w:rPr>
          <w:fldChar w:fldCharType="separate"/>
        </w:r>
        <w:r w:rsidR="002030C9">
          <w:rPr>
            <w:noProof/>
            <w:webHidden/>
            <w:sz w:val="20"/>
            <w:szCs w:val="20"/>
          </w:rPr>
          <w:t>20</w:t>
        </w:r>
        <w:r w:rsidRPr="00590A34">
          <w:rPr>
            <w:noProof/>
            <w:webHidden/>
            <w:sz w:val="20"/>
            <w:szCs w:val="20"/>
          </w:rPr>
          <w:fldChar w:fldCharType="end"/>
        </w:r>
      </w:hyperlink>
    </w:p>
    <w:p w14:paraId="19B67809" w14:textId="0089C116"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94" w:history="1">
        <w:r w:rsidRPr="00590A34">
          <w:rPr>
            <w:rStyle w:val="Hyperlink"/>
            <w:noProof/>
            <w:sz w:val="20"/>
            <w:szCs w:val="20"/>
          </w:rPr>
          <w:t>4.3</w:t>
        </w:r>
        <w:r w:rsidRPr="00590A34">
          <w:rPr>
            <w:rFonts w:eastAsiaTheme="minorEastAsia"/>
            <w:noProof/>
            <w:kern w:val="2"/>
            <w:sz w:val="20"/>
            <w:szCs w:val="20"/>
            <w:lang w:eastAsia="en-GB"/>
            <w14:ligatures w14:val="standardContextual"/>
          </w:rPr>
          <w:tab/>
        </w:r>
        <w:r w:rsidRPr="00590A34">
          <w:rPr>
            <w:rStyle w:val="Hyperlink"/>
            <w:noProof/>
            <w:sz w:val="20"/>
            <w:szCs w:val="20"/>
          </w:rPr>
          <w:t>Permits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_Toc225594994 \h </w:instrText>
        </w:r>
        <w:r w:rsidRPr="00590A34">
          <w:rPr>
            <w:noProof/>
            <w:webHidden/>
            <w:sz w:val="20"/>
            <w:szCs w:val="20"/>
          </w:rPr>
        </w:r>
        <w:r w:rsidRPr="00590A34">
          <w:rPr>
            <w:noProof/>
            <w:webHidden/>
            <w:sz w:val="20"/>
            <w:szCs w:val="20"/>
          </w:rPr>
          <w:fldChar w:fldCharType="separate"/>
        </w:r>
        <w:r w:rsidR="002030C9">
          <w:rPr>
            <w:noProof/>
            <w:webHidden/>
            <w:sz w:val="20"/>
            <w:szCs w:val="20"/>
          </w:rPr>
          <w:t>22</w:t>
        </w:r>
        <w:r w:rsidRPr="00590A34">
          <w:rPr>
            <w:noProof/>
            <w:webHidden/>
            <w:sz w:val="20"/>
            <w:szCs w:val="20"/>
          </w:rPr>
          <w:fldChar w:fldCharType="end"/>
        </w:r>
      </w:hyperlink>
    </w:p>
    <w:p w14:paraId="0827BC5A" w14:textId="3FC1174C"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4995" w:history="1">
        <w:r w:rsidRPr="00590A34">
          <w:rPr>
            <w:rStyle w:val="Hyperlink"/>
            <w:noProof/>
            <w:sz w:val="20"/>
            <w:szCs w:val="20"/>
          </w:rPr>
          <w:t>4.3.1</w:t>
        </w:r>
        <w:r w:rsidRPr="00590A34">
          <w:rPr>
            <w:rFonts w:eastAsiaTheme="minorEastAsia"/>
            <w:noProof/>
            <w:kern w:val="2"/>
            <w:sz w:val="20"/>
            <w:szCs w:val="20"/>
            <w:lang w:eastAsia="en-GB"/>
            <w14:ligatures w14:val="standardContextual"/>
          </w:rPr>
          <w:tab/>
        </w:r>
        <w:r w:rsidRPr="00590A34">
          <w:rPr>
            <w:rStyle w:val="Hyperlink"/>
            <w:noProof/>
            <w:sz w:val="20"/>
            <w:szCs w:val="20"/>
          </w:rPr>
          <w:t>OSPAR Recommendation and permits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_Toc225594995 \h </w:instrText>
        </w:r>
        <w:r w:rsidRPr="00590A34">
          <w:rPr>
            <w:noProof/>
            <w:webHidden/>
            <w:sz w:val="20"/>
            <w:szCs w:val="20"/>
          </w:rPr>
        </w:r>
        <w:r w:rsidRPr="00590A34">
          <w:rPr>
            <w:noProof/>
            <w:webHidden/>
            <w:sz w:val="20"/>
            <w:szCs w:val="20"/>
          </w:rPr>
          <w:fldChar w:fldCharType="separate"/>
        </w:r>
        <w:r w:rsidR="002030C9">
          <w:rPr>
            <w:noProof/>
            <w:webHidden/>
            <w:sz w:val="20"/>
            <w:szCs w:val="20"/>
          </w:rPr>
          <w:t>22</w:t>
        </w:r>
        <w:r w:rsidRPr="00590A34">
          <w:rPr>
            <w:noProof/>
            <w:webHidden/>
            <w:sz w:val="20"/>
            <w:szCs w:val="20"/>
          </w:rPr>
          <w:fldChar w:fldCharType="end"/>
        </w:r>
      </w:hyperlink>
    </w:p>
    <w:p w14:paraId="77717C51" w14:textId="6DA7A230"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4996" w:history="1">
        <w:r w:rsidRPr="00590A34">
          <w:rPr>
            <w:rStyle w:val="Hyperlink"/>
            <w:noProof/>
            <w:sz w:val="20"/>
            <w:szCs w:val="20"/>
          </w:rPr>
          <w:t>4.3.2</w:t>
        </w:r>
        <w:r w:rsidRPr="00590A34">
          <w:rPr>
            <w:rFonts w:eastAsiaTheme="minorEastAsia"/>
            <w:noProof/>
            <w:kern w:val="2"/>
            <w:sz w:val="20"/>
            <w:szCs w:val="20"/>
            <w:lang w:eastAsia="en-GB"/>
            <w14:ligatures w14:val="standardContextual"/>
          </w:rPr>
          <w:tab/>
        </w:r>
        <w:r w:rsidRPr="00590A34">
          <w:rPr>
            <w:rStyle w:val="Hyperlink"/>
            <w:noProof/>
            <w:sz w:val="20"/>
            <w:szCs w:val="20"/>
          </w:rPr>
          <w:t>Why the Regulation includes a permit option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_Toc225594996 \h </w:instrText>
        </w:r>
        <w:r w:rsidRPr="00590A34">
          <w:rPr>
            <w:noProof/>
            <w:webHidden/>
            <w:sz w:val="20"/>
            <w:szCs w:val="20"/>
          </w:rPr>
        </w:r>
        <w:r w:rsidRPr="00590A34">
          <w:rPr>
            <w:noProof/>
            <w:webHidden/>
            <w:sz w:val="20"/>
            <w:szCs w:val="20"/>
          </w:rPr>
          <w:fldChar w:fldCharType="separate"/>
        </w:r>
        <w:r w:rsidR="002030C9">
          <w:rPr>
            <w:noProof/>
            <w:webHidden/>
            <w:sz w:val="20"/>
            <w:szCs w:val="20"/>
          </w:rPr>
          <w:t>23</w:t>
        </w:r>
        <w:r w:rsidRPr="00590A34">
          <w:rPr>
            <w:noProof/>
            <w:webHidden/>
            <w:sz w:val="20"/>
            <w:szCs w:val="20"/>
          </w:rPr>
          <w:fldChar w:fldCharType="end"/>
        </w:r>
      </w:hyperlink>
    </w:p>
    <w:p w14:paraId="57BB3565" w14:textId="5306001A"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97" w:history="1">
        <w:r w:rsidRPr="00590A34">
          <w:rPr>
            <w:rStyle w:val="Hyperlink"/>
            <w:noProof/>
            <w:sz w:val="20"/>
            <w:szCs w:val="20"/>
          </w:rPr>
          <w:t>4.4</w:t>
        </w:r>
        <w:r w:rsidRPr="00590A34">
          <w:rPr>
            <w:rFonts w:eastAsiaTheme="minorEastAsia"/>
            <w:noProof/>
            <w:kern w:val="2"/>
            <w:sz w:val="20"/>
            <w:szCs w:val="20"/>
            <w:lang w:eastAsia="en-GB"/>
            <w14:ligatures w14:val="standardContextual"/>
          </w:rPr>
          <w:tab/>
        </w:r>
        <w:r w:rsidRPr="00590A34">
          <w:rPr>
            <w:rStyle w:val="Hyperlink"/>
            <w:noProof/>
            <w:sz w:val="20"/>
            <w:szCs w:val="20"/>
          </w:rPr>
          <w:t>Assessment against the OSPAR Recommendation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_Toc225594997 \h </w:instrText>
        </w:r>
        <w:r w:rsidRPr="00590A34">
          <w:rPr>
            <w:noProof/>
            <w:webHidden/>
            <w:sz w:val="20"/>
            <w:szCs w:val="20"/>
          </w:rPr>
        </w:r>
        <w:r w:rsidRPr="00590A34">
          <w:rPr>
            <w:noProof/>
            <w:webHidden/>
            <w:sz w:val="20"/>
            <w:szCs w:val="20"/>
          </w:rPr>
          <w:fldChar w:fldCharType="separate"/>
        </w:r>
        <w:r w:rsidR="002030C9">
          <w:rPr>
            <w:noProof/>
            <w:webHidden/>
            <w:sz w:val="20"/>
            <w:szCs w:val="20"/>
          </w:rPr>
          <w:t>24</w:t>
        </w:r>
        <w:r w:rsidRPr="00590A34">
          <w:rPr>
            <w:noProof/>
            <w:webHidden/>
            <w:sz w:val="20"/>
            <w:szCs w:val="20"/>
          </w:rPr>
          <w:fldChar w:fldCharType="end"/>
        </w:r>
      </w:hyperlink>
    </w:p>
    <w:p w14:paraId="43FC5B34" w14:textId="283EB83E" w:rsidR="00590A34" w:rsidRPr="00590A34" w:rsidRDefault="00590A34">
      <w:pPr>
        <w:pStyle w:val="TOC1"/>
        <w:tabs>
          <w:tab w:val="left" w:pos="440"/>
          <w:tab w:val="right" w:leader="dot" w:pos="9016"/>
        </w:tabs>
        <w:rPr>
          <w:rFonts w:eastAsiaTheme="minorEastAsia"/>
          <w:noProof/>
          <w:kern w:val="2"/>
          <w:sz w:val="20"/>
          <w:szCs w:val="20"/>
          <w:lang w:eastAsia="en-GB"/>
          <w14:ligatures w14:val="standardContextual"/>
        </w:rPr>
      </w:pPr>
      <w:hyperlink w:anchor="_Toc225594998" w:history="1">
        <w:r w:rsidRPr="00590A34">
          <w:rPr>
            <w:rStyle w:val="Hyperlink"/>
            <w:noProof/>
            <w:sz w:val="20"/>
            <w:szCs w:val="20"/>
          </w:rPr>
          <w:t>5.</w:t>
        </w:r>
        <w:r w:rsidRPr="00590A34">
          <w:rPr>
            <w:rFonts w:eastAsiaTheme="minorEastAsia"/>
            <w:noProof/>
            <w:kern w:val="2"/>
            <w:sz w:val="20"/>
            <w:szCs w:val="20"/>
            <w:lang w:eastAsia="en-GB"/>
            <w14:ligatures w14:val="standardContextual"/>
          </w:rPr>
          <w:tab/>
        </w:r>
        <w:r w:rsidRPr="00590A34">
          <w:rPr>
            <w:rStyle w:val="Hyperlink"/>
            <w:noProof/>
            <w:sz w:val="20"/>
            <w:szCs w:val="20"/>
          </w:rPr>
          <w:t>Summary of the Regulation’s projected reach across the plastics supply chain sectors and business sizes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_Toc225594998 \h </w:instrText>
        </w:r>
        <w:r w:rsidRPr="00590A34">
          <w:rPr>
            <w:noProof/>
            <w:webHidden/>
            <w:sz w:val="20"/>
            <w:szCs w:val="20"/>
          </w:rPr>
        </w:r>
        <w:r w:rsidRPr="00590A34">
          <w:rPr>
            <w:noProof/>
            <w:webHidden/>
            <w:sz w:val="20"/>
            <w:szCs w:val="20"/>
          </w:rPr>
          <w:fldChar w:fldCharType="separate"/>
        </w:r>
        <w:r w:rsidR="002030C9">
          <w:rPr>
            <w:noProof/>
            <w:webHidden/>
            <w:sz w:val="20"/>
            <w:szCs w:val="20"/>
          </w:rPr>
          <w:t>50</w:t>
        </w:r>
        <w:r w:rsidRPr="00590A34">
          <w:rPr>
            <w:noProof/>
            <w:webHidden/>
            <w:sz w:val="20"/>
            <w:szCs w:val="20"/>
          </w:rPr>
          <w:fldChar w:fldCharType="end"/>
        </w:r>
      </w:hyperlink>
    </w:p>
    <w:p w14:paraId="4343A8DD" w14:textId="092EF15A"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4999" w:history="1">
        <w:r w:rsidRPr="00590A34">
          <w:rPr>
            <w:rStyle w:val="Hyperlink"/>
            <w:noProof/>
            <w:sz w:val="20"/>
            <w:szCs w:val="20"/>
          </w:rPr>
          <w:t>5.1</w:t>
        </w:r>
        <w:r w:rsidRPr="00590A34">
          <w:rPr>
            <w:rFonts w:eastAsiaTheme="minorEastAsia"/>
            <w:noProof/>
            <w:kern w:val="2"/>
            <w:sz w:val="20"/>
            <w:szCs w:val="20"/>
            <w:lang w:eastAsia="en-GB"/>
            <w14:ligatures w14:val="standardContextual"/>
          </w:rPr>
          <w:tab/>
        </w:r>
        <w:r w:rsidRPr="00590A34">
          <w:rPr>
            <w:rStyle w:val="Hyperlink"/>
            <w:noProof/>
            <w:sz w:val="20"/>
            <w:szCs w:val="20"/>
          </w:rPr>
          <w:t>Scope of the regulation across supply chain sectors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_Toc225594999 \h </w:instrText>
        </w:r>
        <w:r w:rsidRPr="00590A34">
          <w:rPr>
            <w:noProof/>
            <w:webHidden/>
            <w:sz w:val="20"/>
            <w:szCs w:val="20"/>
          </w:rPr>
        </w:r>
        <w:r w:rsidRPr="00590A34">
          <w:rPr>
            <w:noProof/>
            <w:webHidden/>
            <w:sz w:val="20"/>
            <w:szCs w:val="20"/>
          </w:rPr>
          <w:fldChar w:fldCharType="separate"/>
        </w:r>
        <w:r w:rsidR="002030C9">
          <w:rPr>
            <w:noProof/>
            <w:webHidden/>
            <w:sz w:val="20"/>
            <w:szCs w:val="20"/>
          </w:rPr>
          <w:t>50</w:t>
        </w:r>
        <w:r w:rsidRPr="00590A34">
          <w:rPr>
            <w:noProof/>
            <w:webHidden/>
            <w:sz w:val="20"/>
            <w:szCs w:val="20"/>
          </w:rPr>
          <w:fldChar w:fldCharType="end"/>
        </w:r>
      </w:hyperlink>
    </w:p>
    <w:p w14:paraId="15B2115C" w14:textId="68EDC077"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5000" w:history="1">
        <w:r w:rsidRPr="00590A34">
          <w:rPr>
            <w:rStyle w:val="Hyperlink"/>
            <w:noProof/>
            <w:sz w:val="20"/>
            <w:szCs w:val="20"/>
          </w:rPr>
          <w:t>5.2</w:t>
        </w:r>
        <w:r w:rsidRPr="00590A34">
          <w:rPr>
            <w:rFonts w:eastAsiaTheme="minorEastAsia"/>
            <w:noProof/>
            <w:kern w:val="2"/>
            <w:sz w:val="20"/>
            <w:szCs w:val="20"/>
            <w:lang w:eastAsia="en-GB"/>
            <w14:ligatures w14:val="standardContextual"/>
          </w:rPr>
          <w:tab/>
        </w:r>
        <w:r w:rsidRPr="00590A34">
          <w:rPr>
            <w:rStyle w:val="Hyperlink"/>
            <w:noProof/>
            <w:sz w:val="20"/>
            <w:szCs w:val="20"/>
          </w:rPr>
          <w:t>Reach across supply chain sectors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_Toc225595000 \h </w:instrText>
        </w:r>
        <w:r w:rsidRPr="00590A34">
          <w:rPr>
            <w:noProof/>
            <w:webHidden/>
            <w:sz w:val="20"/>
            <w:szCs w:val="20"/>
          </w:rPr>
        </w:r>
        <w:r w:rsidRPr="00590A34">
          <w:rPr>
            <w:noProof/>
            <w:webHidden/>
            <w:sz w:val="20"/>
            <w:szCs w:val="20"/>
          </w:rPr>
          <w:fldChar w:fldCharType="separate"/>
        </w:r>
        <w:r w:rsidR="002030C9">
          <w:rPr>
            <w:noProof/>
            <w:webHidden/>
            <w:sz w:val="20"/>
            <w:szCs w:val="20"/>
          </w:rPr>
          <w:t>50</w:t>
        </w:r>
        <w:r w:rsidRPr="00590A34">
          <w:rPr>
            <w:noProof/>
            <w:webHidden/>
            <w:sz w:val="20"/>
            <w:szCs w:val="20"/>
          </w:rPr>
          <w:fldChar w:fldCharType="end"/>
        </w:r>
      </w:hyperlink>
    </w:p>
    <w:p w14:paraId="6B50BF8D" w14:textId="03FD8CF8"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5001" w:history="1">
        <w:r w:rsidRPr="00590A34">
          <w:rPr>
            <w:rStyle w:val="Hyperlink"/>
            <w:noProof/>
            <w:sz w:val="20"/>
            <w:szCs w:val="20"/>
          </w:rPr>
          <w:t>5.2.1</w:t>
        </w:r>
        <w:r w:rsidRPr="00590A34">
          <w:rPr>
            <w:rFonts w:eastAsiaTheme="minorEastAsia"/>
            <w:noProof/>
            <w:kern w:val="2"/>
            <w:sz w:val="20"/>
            <w:szCs w:val="20"/>
            <w:lang w:eastAsia="en-GB"/>
            <w14:ligatures w14:val="standardContextual"/>
          </w:rPr>
          <w:tab/>
        </w:r>
        <w:r w:rsidRPr="00590A34">
          <w:rPr>
            <w:rStyle w:val="Hyperlink"/>
            <w:noProof/>
            <w:sz w:val="20"/>
            <w:szCs w:val="20"/>
          </w:rPr>
          <w:t>Impact summary by sector</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_Toc225595001 \h </w:instrText>
        </w:r>
        <w:r w:rsidRPr="00590A34">
          <w:rPr>
            <w:noProof/>
            <w:webHidden/>
            <w:sz w:val="20"/>
            <w:szCs w:val="20"/>
          </w:rPr>
        </w:r>
        <w:r w:rsidRPr="00590A34">
          <w:rPr>
            <w:noProof/>
            <w:webHidden/>
            <w:sz w:val="20"/>
            <w:szCs w:val="20"/>
          </w:rPr>
          <w:fldChar w:fldCharType="separate"/>
        </w:r>
        <w:r w:rsidR="002030C9">
          <w:rPr>
            <w:noProof/>
            <w:webHidden/>
            <w:sz w:val="20"/>
            <w:szCs w:val="20"/>
          </w:rPr>
          <w:t>50</w:t>
        </w:r>
        <w:r w:rsidRPr="00590A34">
          <w:rPr>
            <w:noProof/>
            <w:webHidden/>
            <w:sz w:val="20"/>
            <w:szCs w:val="20"/>
          </w:rPr>
          <w:fldChar w:fldCharType="end"/>
        </w:r>
      </w:hyperlink>
    </w:p>
    <w:p w14:paraId="13D168DB" w14:textId="3115C39C"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5002" w:history="1">
        <w:r w:rsidRPr="00590A34">
          <w:rPr>
            <w:rStyle w:val="Hyperlink"/>
            <w:noProof/>
            <w:sz w:val="20"/>
            <w:szCs w:val="20"/>
          </w:rPr>
          <w:t>5.3</w:t>
        </w:r>
        <w:r w:rsidRPr="00590A34">
          <w:rPr>
            <w:rFonts w:eastAsiaTheme="minorEastAsia"/>
            <w:noProof/>
            <w:kern w:val="2"/>
            <w:sz w:val="20"/>
            <w:szCs w:val="20"/>
            <w:lang w:eastAsia="en-GB"/>
            <w14:ligatures w14:val="standardContextual"/>
          </w:rPr>
          <w:tab/>
        </w:r>
        <w:r w:rsidRPr="00590A34">
          <w:rPr>
            <w:rStyle w:val="Hyperlink"/>
            <w:noProof/>
            <w:sz w:val="20"/>
            <w:szCs w:val="20"/>
          </w:rPr>
          <w:t>Reach across business sizes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_Toc225595002 \h </w:instrText>
        </w:r>
        <w:r w:rsidRPr="00590A34">
          <w:rPr>
            <w:noProof/>
            <w:webHidden/>
            <w:sz w:val="20"/>
            <w:szCs w:val="20"/>
          </w:rPr>
        </w:r>
        <w:r w:rsidRPr="00590A34">
          <w:rPr>
            <w:noProof/>
            <w:webHidden/>
            <w:sz w:val="20"/>
            <w:szCs w:val="20"/>
          </w:rPr>
          <w:fldChar w:fldCharType="separate"/>
        </w:r>
        <w:r w:rsidR="002030C9">
          <w:rPr>
            <w:noProof/>
            <w:webHidden/>
            <w:sz w:val="20"/>
            <w:szCs w:val="20"/>
          </w:rPr>
          <w:t>53</w:t>
        </w:r>
        <w:r w:rsidRPr="00590A34">
          <w:rPr>
            <w:noProof/>
            <w:webHidden/>
            <w:sz w:val="20"/>
            <w:szCs w:val="20"/>
          </w:rPr>
          <w:fldChar w:fldCharType="end"/>
        </w:r>
      </w:hyperlink>
    </w:p>
    <w:p w14:paraId="63B04AEF" w14:textId="2AFE1662"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5003" w:history="1">
        <w:r w:rsidRPr="00590A34">
          <w:rPr>
            <w:rStyle w:val="Hyperlink"/>
            <w:noProof/>
            <w:sz w:val="20"/>
            <w:szCs w:val="20"/>
          </w:rPr>
          <w:t>5.3.1</w:t>
        </w:r>
        <w:r w:rsidRPr="00590A34">
          <w:rPr>
            <w:rFonts w:eastAsiaTheme="minorEastAsia"/>
            <w:noProof/>
            <w:kern w:val="2"/>
            <w:sz w:val="20"/>
            <w:szCs w:val="20"/>
            <w:lang w:eastAsia="en-GB"/>
            <w14:ligatures w14:val="standardContextual"/>
          </w:rPr>
          <w:tab/>
        </w:r>
        <w:r w:rsidRPr="00590A34">
          <w:rPr>
            <w:rStyle w:val="Hyperlink"/>
            <w:noProof/>
            <w:sz w:val="20"/>
            <w:szCs w:val="20"/>
          </w:rPr>
          <w:t>Impact summary</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_Toc225595003 \h </w:instrText>
        </w:r>
        <w:r w:rsidRPr="00590A34">
          <w:rPr>
            <w:noProof/>
            <w:webHidden/>
            <w:sz w:val="20"/>
            <w:szCs w:val="20"/>
          </w:rPr>
        </w:r>
        <w:r w:rsidRPr="00590A34">
          <w:rPr>
            <w:noProof/>
            <w:webHidden/>
            <w:sz w:val="20"/>
            <w:szCs w:val="20"/>
          </w:rPr>
          <w:fldChar w:fldCharType="separate"/>
        </w:r>
        <w:r w:rsidR="002030C9">
          <w:rPr>
            <w:noProof/>
            <w:webHidden/>
            <w:sz w:val="20"/>
            <w:szCs w:val="20"/>
          </w:rPr>
          <w:t>53</w:t>
        </w:r>
        <w:r w:rsidRPr="00590A34">
          <w:rPr>
            <w:noProof/>
            <w:webHidden/>
            <w:sz w:val="20"/>
            <w:szCs w:val="20"/>
          </w:rPr>
          <w:fldChar w:fldCharType="end"/>
        </w:r>
      </w:hyperlink>
    </w:p>
    <w:p w14:paraId="7D37A78F" w14:textId="70AD77DA" w:rsidR="00590A34" w:rsidRPr="00590A34" w:rsidRDefault="00590A34">
      <w:pPr>
        <w:pStyle w:val="TOC3"/>
        <w:tabs>
          <w:tab w:val="left" w:pos="1200"/>
          <w:tab w:val="right" w:leader="dot" w:pos="9016"/>
        </w:tabs>
        <w:rPr>
          <w:rFonts w:eastAsiaTheme="minorEastAsia"/>
          <w:noProof/>
          <w:kern w:val="2"/>
          <w:sz w:val="20"/>
          <w:szCs w:val="20"/>
          <w:lang w:eastAsia="en-GB"/>
          <w14:ligatures w14:val="standardContextual"/>
        </w:rPr>
      </w:pPr>
      <w:hyperlink w:anchor="_Toc225595004" w:history="1">
        <w:r w:rsidRPr="00590A34">
          <w:rPr>
            <w:rStyle w:val="Hyperlink"/>
            <w:noProof/>
            <w:sz w:val="20"/>
            <w:szCs w:val="20"/>
          </w:rPr>
          <w:t>5.3.2</w:t>
        </w:r>
        <w:r w:rsidRPr="00590A34">
          <w:rPr>
            <w:rFonts w:eastAsiaTheme="minorEastAsia"/>
            <w:noProof/>
            <w:kern w:val="2"/>
            <w:sz w:val="20"/>
            <w:szCs w:val="20"/>
            <w:lang w:eastAsia="en-GB"/>
            <w14:ligatures w14:val="standardContextual"/>
          </w:rPr>
          <w:tab/>
        </w:r>
        <w:r w:rsidRPr="00590A34">
          <w:rPr>
            <w:rStyle w:val="Hyperlink"/>
            <w:noProof/>
            <w:sz w:val="20"/>
            <w:szCs w:val="20"/>
          </w:rPr>
          <w:t>System wide transparency and enforcement</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_Toc225595004 \h </w:instrText>
        </w:r>
        <w:r w:rsidRPr="00590A34">
          <w:rPr>
            <w:noProof/>
            <w:webHidden/>
            <w:sz w:val="20"/>
            <w:szCs w:val="20"/>
          </w:rPr>
        </w:r>
        <w:r w:rsidRPr="00590A34">
          <w:rPr>
            <w:noProof/>
            <w:webHidden/>
            <w:sz w:val="20"/>
            <w:szCs w:val="20"/>
          </w:rPr>
          <w:fldChar w:fldCharType="separate"/>
        </w:r>
        <w:r w:rsidR="002030C9">
          <w:rPr>
            <w:noProof/>
            <w:webHidden/>
            <w:sz w:val="20"/>
            <w:szCs w:val="20"/>
          </w:rPr>
          <w:t>55</w:t>
        </w:r>
        <w:r w:rsidRPr="00590A34">
          <w:rPr>
            <w:noProof/>
            <w:webHidden/>
            <w:sz w:val="20"/>
            <w:szCs w:val="20"/>
          </w:rPr>
          <w:fldChar w:fldCharType="end"/>
        </w:r>
      </w:hyperlink>
    </w:p>
    <w:p w14:paraId="5B241900" w14:textId="49DBE69F"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5005" w:history="1">
        <w:r w:rsidRPr="00590A34">
          <w:rPr>
            <w:rStyle w:val="Hyperlink"/>
            <w:noProof/>
            <w:sz w:val="20"/>
            <w:szCs w:val="20"/>
          </w:rPr>
          <w:t>5.4</w:t>
        </w:r>
        <w:r w:rsidRPr="00590A34">
          <w:rPr>
            <w:rFonts w:eastAsiaTheme="minorEastAsia"/>
            <w:noProof/>
            <w:kern w:val="2"/>
            <w:sz w:val="20"/>
            <w:szCs w:val="20"/>
            <w:lang w:eastAsia="en-GB"/>
            <w14:ligatures w14:val="standardContextual"/>
          </w:rPr>
          <w:tab/>
        </w:r>
        <w:r w:rsidRPr="00590A34">
          <w:rPr>
            <w:rStyle w:val="Hyperlink"/>
            <w:noProof/>
            <w:sz w:val="20"/>
            <w:szCs w:val="20"/>
          </w:rPr>
          <w:t>Conclusion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_Toc225595005 \h </w:instrText>
        </w:r>
        <w:r w:rsidRPr="00590A34">
          <w:rPr>
            <w:noProof/>
            <w:webHidden/>
            <w:sz w:val="20"/>
            <w:szCs w:val="20"/>
          </w:rPr>
        </w:r>
        <w:r w:rsidRPr="00590A34">
          <w:rPr>
            <w:noProof/>
            <w:webHidden/>
            <w:sz w:val="20"/>
            <w:szCs w:val="20"/>
          </w:rPr>
          <w:fldChar w:fldCharType="separate"/>
        </w:r>
        <w:r w:rsidR="002030C9">
          <w:rPr>
            <w:noProof/>
            <w:webHidden/>
            <w:sz w:val="20"/>
            <w:szCs w:val="20"/>
          </w:rPr>
          <w:t>55</w:t>
        </w:r>
        <w:r w:rsidRPr="00590A34">
          <w:rPr>
            <w:noProof/>
            <w:webHidden/>
            <w:sz w:val="20"/>
            <w:szCs w:val="20"/>
          </w:rPr>
          <w:fldChar w:fldCharType="end"/>
        </w:r>
      </w:hyperlink>
    </w:p>
    <w:p w14:paraId="12DFFF2D" w14:textId="142B487E" w:rsidR="00590A34" w:rsidRPr="00590A34" w:rsidRDefault="00590A34">
      <w:pPr>
        <w:pStyle w:val="TOC1"/>
        <w:tabs>
          <w:tab w:val="left" w:pos="440"/>
          <w:tab w:val="right" w:leader="dot" w:pos="9016"/>
        </w:tabs>
        <w:rPr>
          <w:rFonts w:eastAsiaTheme="minorEastAsia"/>
          <w:noProof/>
          <w:kern w:val="2"/>
          <w:sz w:val="20"/>
          <w:szCs w:val="20"/>
          <w:lang w:eastAsia="en-GB"/>
          <w14:ligatures w14:val="standardContextual"/>
        </w:rPr>
      </w:pPr>
      <w:hyperlink w:anchor="_Toc225595006" w:history="1">
        <w:r w:rsidRPr="00590A34">
          <w:rPr>
            <w:rStyle w:val="Hyperlink"/>
            <w:noProof/>
            <w:sz w:val="20"/>
            <w:szCs w:val="20"/>
          </w:rPr>
          <w:t>6.</w:t>
        </w:r>
        <w:r w:rsidRPr="00590A34">
          <w:rPr>
            <w:rFonts w:eastAsiaTheme="minorEastAsia"/>
            <w:noProof/>
            <w:kern w:val="2"/>
            <w:sz w:val="20"/>
            <w:szCs w:val="20"/>
            <w:lang w:eastAsia="en-GB"/>
            <w14:ligatures w14:val="standardContextual"/>
          </w:rPr>
          <w:tab/>
        </w:r>
        <w:r w:rsidRPr="00590A34">
          <w:rPr>
            <w:rStyle w:val="Hyperlink"/>
            <w:noProof/>
            <w:sz w:val="20"/>
            <w:szCs w:val="20"/>
          </w:rPr>
          <w:t>Summary of the suitability of the Regulation as a tool to implement the OSPAR Recommendation, highlighting the need for any additional measures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_Toc225595006 \h </w:instrText>
        </w:r>
        <w:r w:rsidRPr="00590A34">
          <w:rPr>
            <w:noProof/>
            <w:webHidden/>
            <w:sz w:val="20"/>
            <w:szCs w:val="20"/>
          </w:rPr>
        </w:r>
        <w:r w:rsidRPr="00590A34">
          <w:rPr>
            <w:noProof/>
            <w:webHidden/>
            <w:sz w:val="20"/>
            <w:szCs w:val="20"/>
          </w:rPr>
          <w:fldChar w:fldCharType="separate"/>
        </w:r>
        <w:r w:rsidR="002030C9">
          <w:rPr>
            <w:noProof/>
            <w:webHidden/>
            <w:sz w:val="20"/>
            <w:szCs w:val="20"/>
          </w:rPr>
          <w:t>57</w:t>
        </w:r>
        <w:r w:rsidRPr="00590A34">
          <w:rPr>
            <w:noProof/>
            <w:webHidden/>
            <w:sz w:val="20"/>
            <w:szCs w:val="20"/>
          </w:rPr>
          <w:fldChar w:fldCharType="end"/>
        </w:r>
      </w:hyperlink>
    </w:p>
    <w:p w14:paraId="364D2396" w14:textId="5B88BE5F"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5007" w:history="1">
        <w:r w:rsidRPr="00590A34">
          <w:rPr>
            <w:rStyle w:val="Hyperlink"/>
            <w:noProof/>
            <w:sz w:val="20"/>
            <w:szCs w:val="20"/>
          </w:rPr>
          <w:t>6.1</w:t>
        </w:r>
        <w:r w:rsidRPr="00590A34">
          <w:rPr>
            <w:rFonts w:eastAsiaTheme="minorEastAsia"/>
            <w:noProof/>
            <w:kern w:val="2"/>
            <w:sz w:val="20"/>
            <w:szCs w:val="20"/>
            <w:lang w:eastAsia="en-GB"/>
            <w14:ligatures w14:val="standardContextual"/>
          </w:rPr>
          <w:tab/>
        </w:r>
        <w:r w:rsidRPr="00590A34">
          <w:rPr>
            <w:rStyle w:val="Hyperlink"/>
            <w:noProof/>
            <w:sz w:val="20"/>
            <w:szCs w:val="20"/>
          </w:rPr>
          <w:t>Overall alignment with the OSPAR Recommendation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_Toc225595007 \h </w:instrText>
        </w:r>
        <w:r w:rsidRPr="00590A34">
          <w:rPr>
            <w:noProof/>
            <w:webHidden/>
            <w:sz w:val="20"/>
            <w:szCs w:val="20"/>
          </w:rPr>
        </w:r>
        <w:r w:rsidRPr="00590A34">
          <w:rPr>
            <w:noProof/>
            <w:webHidden/>
            <w:sz w:val="20"/>
            <w:szCs w:val="20"/>
          </w:rPr>
          <w:fldChar w:fldCharType="separate"/>
        </w:r>
        <w:r w:rsidR="002030C9">
          <w:rPr>
            <w:noProof/>
            <w:webHidden/>
            <w:sz w:val="20"/>
            <w:szCs w:val="20"/>
          </w:rPr>
          <w:t>57</w:t>
        </w:r>
        <w:r w:rsidRPr="00590A34">
          <w:rPr>
            <w:noProof/>
            <w:webHidden/>
            <w:sz w:val="20"/>
            <w:szCs w:val="20"/>
          </w:rPr>
          <w:fldChar w:fldCharType="end"/>
        </w:r>
      </w:hyperlink>
    </w:p>
    <w:p w14:paraId="485AFAD9" w14:textId="27FC2FFC"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5008" w:history="1">
        <w:r w:rsidRPr="00590A34">
          <w:rPr>
            <w:rStyle w:val="Hyperlink"/>
            <w:noProof/>
            <w:sz w:val="20"/>
            <w:szCs w:val="20"/>
          </w:rPr>
          <w:t>6.2</w:t>
        </w:r>
        <w:r w:rsidRPr="00590A34">
          <w:rPr>
            <w:rFonts w:eastAsiaTheme="minorEastAsia"/>
            <w:noProof/>
            <w:kern w:val="2"/>
            <w:sz w:val="20"/>
            <w:szCs w:val="20"/>
            <w:lang w:eastAsia="en-GB"/>
            <w14:ligatures w14:val="standardContextual"/>
          </w:rPr>
          <w:tab/>
        </w:r>
        <w:r w:rsidRPr="00590A34">
          <w:rPr>
            <w:rStyle w:val="Hyperlink"/>
            <w:noProof/>
            <w:sz w:val="20"/>
            <w:szCs w:val="20"/>
          </w:rPr>
          <w:t>Strengths and key areas of strong alignment</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_Toc225595008 \h </w:instrText>
        </w:r>
        <w:r w:rsidRPr="00590A34">
          <w:rPr>
            <w:noProof/>
            <w:webHidden/>
            <w:sz w:val="20"/>
            <w:szCs w:val="20"/>
          </w:rPr>
        </w:r>
        <w:r w:rsidRPr="00590A34">
          <w:rPr>
            <w:noProof/>
            <w:webHidden/>
            <w:sz w:val="20"/>
            <w:szCs w:val="20"/>
          </w:rPr>
          <w:fldChar w:fldCharType="separate"/>
        </w:r>
        <w:r w:rsidR="002030C9">
          <w:rPr>
            <w:noProof/>
            <w:webHidden/>
            <w:sz w:val="20"/>
            <w:szCs w:val="20"/>
          </w:rPr>
          <w:t>58</w:t>
        </w:r>
        <w:r w:rsidRPr="00590A34">
          <w:rPr>
            <w:noProof/>
            <w:webHidden/>
            <w:sz w:val="20"/>
            <w:szCs w:val="20"/>
          </w:rPr>
          <w:fldChar w:fldCharType="end"/>
        </w:r>
      </w:hyperlink>
    </w:p>
    <w:p w14:paraId="65562A00" w14:textId="10C9987D"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5009" w:history="1">
        <w:r w:rsidRPr="00590A34">
          <w:rPr>
            <w:rStyle w:val="Hyperlink"/>
            <w:noProof/>
            <w:sz w:val="20"/>
            <w:szCs w:val="20"/>
          </w:rPr>
          <w:t>6.3</w:t>
        </w:r>
        <w:r w:rsidRPr="00590A34">
          <w:rPr>
            <w:rFonts w:eastAsiaTheme="minorEastAsia"/>
            <w:noProof/>
            <w:kern w:val="2"/>
            <w:sz w:val="20"/>
            <w:szCs w:val="20"/>
            <w:lang w:eastAsia="en-GB"/>
            <w14:ligatures w14:val="standardContextual"/>
          </w:rPr>
          <w:tab/>
        </w:r>
        <w:r w:rsidRPr="00590A34">
          <w:rPr>
            <w:rStyle w:val="Hyperlink"/>
            <w:noProof/>
            <w:sz w:val="20"/>
            <w:szCs w:val="20"/>
          </w:rPr>
          <w:t>Gaps and limitations in implementing OSPAR Recommendation 2021/06</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_Toc225595009 \h </w:instrText>
        </w:r>
        <w:r w:rsidRPr="00590A34">
          <w:rPr>
            <w:noProof/>
            <w:webHidden/>
            <w:sz w:val="20"/>
            <w:szCs w:val="20"/>
          </w:rPr>
        </w:r>
        <w:r w:rsidRPr="00590A34">
          <w:rPr>
            <w:noProof/>
            <w:webHidden/>
            <w:sz w:val="20"/>
            <w:szCs w:val="20"/>
          </w:rPr>
          <w:fldChar w:fldCharType="separate"/>
        </w:r>
        <w:r w:rsidR="002030C9">
          <w:rPr>
            <w:noProof/>
            <w:webHidden/>
            <w:sz w:val="20"/>
            <w:szCs w:val="20"/>
          </w:rPr>
          <w:t>58</w:t>
        </w:r>
        <w:r w:rsidRPr="00590A34">
          <w:rPr>
            <w:noProof/>
            <w:webHidden/>
            <w:sz w:val="20"/>
            <w:szCs w:val="20"/>
          </w:rPr>
          <w:fldChar w:fldCharType="end"/>
        </w:r>
      </w:hyperlink>
    </w:p>
    <w:p w14:paraId="359633AB" w14:textId="20EBA0E5"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5010" w:history="1">
        <w:r w:rsidRPr="00590A34">
          <w:rPr>
            <w:rStyle w:val="Hyperlink"/>
            <w:noProof/>
            <w:sz w:val="20"/>
            <w:szCs w:val="20"/>
          </w:rPr>
          <w:t>6.4</w:t>
        </w:r>
        <w:r w:rsidRPr="00590A34">
          <w:rPr>
            <w:rFonts w:eastAsiaTheme="minorEastAsia"/>
            <w:noProof/>
            <w:kern w:val="2"/>
            <w:sz w:val="20"/>
            <w:szCs w:val="20"/>
            <w:lang w:eastAsia="en-GB"/>
            <w14:ligatures w14:val="standardContextual"/>
          </w:rPr>
          <w:tab/>
        </w:r>
        <w:r w:rsidRPr="00590A34">
          <w:rPr>
            <w:rStyle w:val="Hyperlink"/>
            <w:noProof/>
            <w:sz w:val="20"/>
            <w:szCs w:val="20"/>
          </w:rPr>
          <w:t>Need for additional measures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_Toc225595010 \h </w:instrText>
        </w:r>
        <w:r w:rsidRPr="00590A34">
          <w:rPr>
            <w:noProof/>
            <w:webHidden/>
            <w:sz w:val="20"/>
            <w:szCs w:val="20"/>
          </w:rPr>
        </w:r>
        <w:r w:rsidRPr="00590A34">
          <w:rPr>
            <w:noProof/>
            <w:webHidden/>
            <w:sz w:val="20"/>
            <w:szCs w:val="20"/>
          </w:rPr>
          <w:fldChar w:fldCharType="separate"/>
        </w:r>
        <w:r w:rsidR="002030C9">
          <w:rPr>
            <w:noProof/>
            <w:webHidden/>
            <w:sz w:val="20"/>
            <w:szCs w:val="20"/>
          </w:rPr>
          <w:t>60</w:t>
        </w:r>
        <w:r w:rsidRPr="00590A34">
          <w:rPr>
            <w:noProof/>
            <w:webHidden/>
            <w:sz w:val="20"/>
            <w:szCs w:val="20"/>
          </w:rPr>
          <w:fldChar w:fldCharType="end"/>
        </w:r>
      </w:hyperlink>
    </w:p>
    <w:p w14:paraId="5E48EFA6" w14:textId="0A882E7D" w:rsidR="00590A34" w:rsidRPr="00590A34" w:rsidRDefault="00590A34">
      <w:pPr>
        <w:pStyle w:val="TOC2"/>
        <w:tabs>
          <w:tab w:val="left" w:pos="960"/>
          <w:tab w:val="right" w:leader="dot" w:pos="9016"/>
        </w:tabs>
        <w:rPr>
          <w:rFonts w:eastAsiaTheme="minorEastAsia"/>
          <w:noProof/>
          <w:kern w:val="2"/>
          <w:sz w:val="20"/>
          <w:szCs w:val="20"/>
          <w:lang w:eastAsia="en-GB"/>
          <w14:ligatures w14:val="standardContextual"/>
        </w:rPr>
      </w:pPr>
      <w:hyperlink w:anchor="_Toc225595011" w:history="1">
        <w:r w:rsidRPr="00590A34">
          <w:rPr>
            <w:rStyle w:val="Hyperlink"/>
            <w:noProof/>
            <w:sz w:val="20"/>
            <w:szCs w:val="20"/>
          </w:rPr>
          <w:t>6.5</w:t>
        </w:r>
        <w:r w:rsidRPr="00590A34">
          <w:rPr>
            <w:rFonts w:eastAsiaTheme="minorEastAsia"/>
            <w:noProof/>
            <w:kern w:val="2"/>
            <w:sz w:val="20"/>
            <w:szCs w:val="20"/>
            <w:lang w:eastAsia="en-GB"/>
            <w14:ligatures w14:val="standardContextual"/>
          </w:rPr>
          <w:tab/>
        </w:r>
        <w:r w:rsidRPr="00590A34">
          <w:rPr>
            <w:rStyle w:val="Hyperlink"/>
            <w:noProof/>
            <w:sz w:val="20"/>
            <w:szCs w:val="20"/>
          </w:rPr>
          <w:t>Conclusion</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_Toc225595011 \h </w:instrText>
        </w:r>
        <w:r w:rsidRPr="00590A34">
          <w:rPr>
            <w:noProof/>
            <w:webHidden/>
            <w:sz w:val="20"/>
            <w:szCs w:val="20"/>
          </w:rPr>
        </w:r>
        <w:r w:rsidRPr="00590A34">
          <w:rPr>
            <w:noProof/>
            <w:webHidden/>
            <w:sz w:val="20"/>
            <w:szCs w:val="20"/>
          </w:rPr>
          <w:fldChar w:fldCharType="separate"/>
        </w:r>
        <w:r w:rsidR="002030C9">
          <w:rPr>
            <w:noProof/>
            <w:webHidden/>
            <w:sz w:val="20"/>
            <w:szCs w:val="20"/>
          </w:rPr>
          <w:t>62</w:t>
        </w:r>
        <w:r w:rsidRPr="00590A34">
          <w:rPr>
            <w:noProof/>
            <w:webHidden/>
            <w:sz w:val="20"/>
            <w:szCs w:val="20"/>
          </w:rPr>
          <w:fldChar w:fldCharType="end"/>
        </w:r>
      </w:hyperlink>
    </w:p>
    <w:p w14:paraId="2F1EACEA" w14:textId="256C14DA" w:rsidR="00590A34" w:rsidRPr="00590A34" w:rsidRDefault="00590A34">
      <w:pPr>
        <w:pStyle w:val="TOC1"/>
        <w:tabs>
          <w:tab w:val="left" w:pos="440"/>
          <w:tab w:val="right" w:leader="dot" w:pos="9016"/>
        </w:tabs>
        <w:rPr>
          <w:rFonts w:eastAsiaTheme="minorEastAsia"/>
          <w:noProof/>
          <w:kern w:val="2"/>
          <w:sz w:val="20"/>
          <w:szCs w:val="20"/>
          <w:lang w:eastAsia="en-GB"/>
          <w14:ligatures w14:val="standardContextual"/>
        </w:rPr>
      </w:pPr>
      <w:hyperlink w:anchor="_Toc225595012" w:history="1">
        <w:r w:rsidRPr="00590A34">
          <w:rPr>
            <w:rStyle w:val="Hyperlink"/>
            <w:noProof/>
            <w:sz w:val="20"/>
            <w:szCs w:val="20"/>
          </w:rPr>
          <w:t>7.</w:t>
        </w:r>
        <w:r w:rsidRPr="00590A34">
          <w:rPr>
            <w:rFonts w:eastAsiaTheme="minorEastAsia"/>
            <w:noProof/>
            <w:kern w:val="2"/>
            <w:sz w:val="20"/>
            <w:szCs w:val="20"/>
            <w:lang w:eastAsia="en-GB"/>
            <w14:ligatures w14:val="standardContextual"/>
          </w:rPr>
          <w:tab/>
        </w:r>
        <w:r w:rsidRPr="00590A34">
          <w:rPr>
            <w:rStyle w:val="Hyperlink"/>
            <w:noProof/>
            <w:sz w:val="20"/>
            <w:szCs w:val="20"/>
          </w:rPr>
          <w:t>References</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_Toc225595012 \h </w:instrText>
        </w:r>
        <w:r w:rsidRPr="00590A34">
          <w:rPr>
            <w:noProof/>
            <w:webHidden/>
            <w:sz w:val="20"/>
            <w:szCs w:val="20"/>
          </w:rPr>
        </w:r>
        <w:r w:rsidRPr="00590A34">
          <w:rPr>
            <w:noProof/>
            <w:webHidden/>
            <w:sz w:val="20"/>
            <w:szCs w:val="20"/>
          </w:rPr>
          <w:fldChar w:fldCharType="separate"/>
        </w:r>
        <w:r w:rsidR="002030C9">
          <w:rPr>
            <w:noProof/>
            <w:webHidden/>
            <w:sz w:val="20"/>
            <w:szCs w:val="20"/>
          </w:rPr>
          <w:t>63</w:t>
        </w:r>
        <w:r w:rsidRPr="00590A34">
          <w:rPr>
            <w:noProof/>
            <w:webHidden/>
            <w:sz w:val="20"/>
            <w:szCs w:val="20"/>
          </w:rPr>
          <w:fldChar w:fldCharType="end"/>
        </w:r>
      </w:hyperlink>
    </w:p>
    <w:p w14:paraId="46DC5F47" w14:textId="3E68C5D0" w:rsidR="00590A34" w:rsidRPr="00590A34" w:rsidRDefault="00590A34">
      <w:pPr>
        <w:pStyle w:val="TOC1"/>
        <w:tabs>
          <w:tab w:val="left" w:pos="440"/>
          <w:tab w:val="right" w:leader="dot" w:pos="9016"/>
        </w:tabs>
        <w:rPr>
          <w:rFonts w:eastAsiaTheme="minorEastAsia"/>
          <w:noProof/>
          <w:kern w:val="2"/>
          <w:sz w:val="20"/>
          <w:szCs w:val="20"/>
          <w:lang w:eastAsia="en-GB"/>
          <w14:ligatures w14:val="standardContextual"/>
        </w:rPr>
      </w:pPr>
      <w:hyperlink w:anchor="_Toc225595013" w:history="1">
        <w:r w:rsidRPr="00590A34">
          <w:rPr>
            <w:rStyle w:val="Hyperlink"/>
            <w:noProof/>
            <w:sz w:val="20"/>
            <w:szCs w:val="20"/>
          </w:rPr>
          <w:t>8.</w:t>
        </w:r>
        <w:r w:rsidRPr="00590A34">
          <w:rPr>
            <w:rFonts w:eastAsiaTheme="minorEastAsia"/>
            <w:noProof/>
            <w:kern w:val="2"/>
            <w:sz w:val="20"/>
            <w:szCs w:val="20"/>
            <w:lang w:eastAsia="en-GB"/>
            <w14:ligatures w14:val="standardContextual"/>
          </w:rPr>
          <w:tab/>
        </w:r>
        <w:r w:rsidRPr="00590A34">
          <w:rPr>
            <w:rStyle w:val="Hyperlink"/>
            <w:noProof/>
            <w:sz w:val="20"/>
            <w:szCs w:val="20"/>
          </w:rPr>
          <w:t>Mapping OSPAR Requirements to Regulation (EU) 2025/2365</w:t>
        </w:r>
        <w:r w:rsidRPr="00590A34">
          <w:rPr>
            <w:noProof/>
            <w:webHidden/>
            <w:sz w:val="20"/>
            <w:szCs w:val="20"/>
          </w:rPr>
          <w:tab/>
        </w:r>
        <w:r w:rsidRPr="00590A34">
          <w:rPr>
            <w:noProof/>
            <w:webHidden/>
            <w:sz w:val="20"/>
            <w:szCs w:val="20"/>
          </w:rPr>
          <w:fldChar w:fldCharType="begin"/>
        </w:r>
        <w:r w:rsidRPr="00590A34">
          <w:rPr>
            <w:noProof/>
            <w:webHidden/>
            <w:sz w:val="20"/>
            <w:szCs w:val="20"/>
          </w:rPr>
          <w:instrText xml:space="preserve"> PAGEREF _Toc225595013 \h </w:instrText>
        </w:r>
        <w:r w:rsidRPr="00590A34">
          <w:rPr>
            <w:noProof/>
            <w:webHidden/>
            <w:sz w:val="20"/>
            <w:szCs w:val="20"/>
          </w:rPr>
        </w:r>
        <w:r w:rsidRPr="00590A34">
          <w:rPr>
            <w:noProof/>
            <w:webHidden/>
            <w:sz w:val="20"/>
            <w:szCs w:val="20"/>
          </w:rPr>
          <w:fldChar w:fldCharType="separate"/>
        </w:r>
        <w:r w:rsidR="002030C9">
          <w:rPr>
            <w:noProof/>
            <w:webHidden/>
            <w:sz w:val="20"/>
            <w:szCs w:val="20"/>
          </w:rPr>
          <w:t>64</w:t>
        </w:r>
        <w:r w:rsidRPr="00590A34">
          <w:rPr>
            <w:noProof/>
            <w:webHidden/>
            <w:sz w:val="20"/>
            <w:szCs w:val="20"/>
          </w:rPr>
          <w:fldChar w:fldCharType="end"/>
        </w:r>
      </w:hyperlink>
    </w:p>
    <w:p w14:paraId="6668F551" w14:textId="0F401192" w:rsidR="009C75F0" w:rsidRPr="00590A34" w:rsidRDefault="002B5CEF" w:rsidP="002B5CEF">
      <w:pPr>
        <w:spacing w:before="60" w:after="60" w:line="276" w:lineRule="auto"/>
        <w:rPr>
          <w:rFonts w:cstheme="minorHAnsi"/>
          <w:sz w:val="20"/>
          <w:szCs w:val="20"/>
        </w:rPr>
      </w:pPr>
      <w:r w:rsidRPr="00590A34">
        <w:rPr>
          <w:rFonts w:cstheme="minorHAnsi"/>
          <w:sz w:val="20"/>
          <w:szCs w:val="20"/>
        </w:rPr>
        <w:fldChar w:fldCharType="end"/>
      </w:r>
    </w:p>
    <w:p w14:paraId="7A0054CC" w14:textId="2491FC25" w:rsidR="007505EF" w:rsidRPr="00FE4ECB" w:rsidRDefault="007505EF" w:rsidP="00D4522D">
      <w:pPr>
        <w:spacing w:before="120" w:after="120" w:line="276" w:lineRule="auto"/>
        <w:rPr>
          <w:rFonts w:cstheme="minorHAnsi"/>
          <w:sz w:val="20"/>
          <w:szCs w:val="20"/>
        </w:rPr>
      </w:pPr>
    </w:p>
    <w:p w14:paraId="7614EC03" w14:textId="5D6DB1C9" w:rsidR="00D270AD" w:rsidRDefault="00D270AD">
      <w:pPr>
        <w:rPr>
          <w:sz w:val="20"/>
          <w:szCs w:val="20"/>
        </w:rPr>
      </w:pPr>
      <w:r>
        <w:rPr>
          <w:sz w:val="20"/>
          <w:szCs w:val="20"/>
        </w:rPr>
        <w:br w:type="page"/>
      </w:r>
    </w:p>
    <w:p w14:paraId="76506235" w14:textId="421209FC" w:rsidR="0088114A" w:rsidRPr="00D5097E" w:rsidRDefault="0088114A" w:rsidP="00FC58CE">
      <w:pPr>
        <w:pStyle w:val="Heading01"/>
        <w:numPr>
          <w:ilvl w:val="0"/>
          <w:numId w:val="1"/>
        </w:numPr>
      </w:pPr>
      <w:bookmarkStart w:id="2" w:name="_Toc225594971"/>
      <w:r>
        <w:lastRenderedPageBreak/>
        <w:t>Executive Summary</w:t>
      </w:r>
      <w:bookmarkEnd w:id="2"/>
      <w:r>
        <w:t xml:space="preserve"> </w:t>
      </w:r>
    </w:p>
    <w:p w14:paraId="776F8914" w14:textId="6DD94BED" w:rsidR="00090118" w:rsidRDefault="00620C40">
      <w:pPr>
        <w:rPr>
          <w:sz w:val="20"/>
          <w:szCs w:val="20"/>
        </w:rPr>
      </w:pPr>
      <w:r w:rsidRPr="06648917">
        <w:rPr>
          <w:sz w:val="20"/>
          <w:szCs w:val="20"/>
        </w:rPr>
        <w:t>This report presents a critical evaluation of Regulation (EU) 2025/2365, the EU’s first legally binding framework designed to prevent plastic pellet losses and reduce microplastic pollution.  The assessment compares the Regulation against the requirements of OSPAR Recommendation 2021/06</w:t>
      </w:r>
      <w:r w:rsidR="5039C8EB" w:rsidRPr="06648917">
        <w:rPr>
          <w:sz w:val="20"/>
          <w:szCs w:val="20"/>
        </w:rPr>
        <w:t xml:space="preserve"> and guidelines</w:t>
      </w:r>
      <w:r w:rsidRPr="06648917">
        <w:rPr>
          <w:sz w:val="20"/>
          <w:szCs w:val="20"/>
        </w:rPr>
        <w:t xml:space="preserve">, which aims to achieve zero pellet loss across the entire plastics supply chain.  The analysis considers scope, governance, operational requirements, certification, transparency and overall effectiveness, along with the Regulation’s projected reach across sectors and business sizes.  </w:t>
      </w:r>
    </w:p>
    <w:p w14:paraId="5480FFB6" w14:textId="54799580" w:rsidR="00620C40" w:rsidRDefault="00620C40">
      <w:pPr>
        <w:rPr>
          <w:rFonts w:cstheme="minorHAnsi"/>
          <w:sz w:val="20"/>
          <w:szCs w:val="20"/>
        </w:rPr>
      </w:pPr>
      <w:r>
        <w:rPr>
          <w:sz w:val="20"/>
          <w:szCs w:val="20"/>
        </w:rPr>
        <w:t xml:space="preserve">Overall, the Regulation represents a significant strengthening of the policy landscape.  It replaces inconsistent voluntary initiatives with mandatory, pan-EU rules covering all operators handling </w:t>
      </w:r>
      <w:r>
        <w:rPr>
          <w:rFonts w:cstheme="minorHAnsi"/>
          <w:sz w:val="20"/>
          <w:szCs w:val="20"/>
        </w:rPr>
        <w:t>≥</w:t>
      </w:r>
      <w:r>
        <w:rPr>
          <w:sz w:val="20"/>
          <w:szCs w:val="20"/>
        </w:rPr>
        <w:t xml:space="preserve"> 5 tonnes of pellets per year.  The scope </w:t>
      </w:r>
      <w:r w:rsidR="00D468F1">
        <w:rPr>
          <w:sz w:val="20"/>
          <w:szCs w:val="20"/>
        </w:rPr>
        <w:t>includes</w:t>
      </w:r>
      <w:r>
        <w:rPr>
          <w:sz w:val="20"/>
          <w:szCs w:val="20"/>
        </w:rPr>
        <w:t xml:space="preserve"> production, compounding, conversion, storage, packaging, land-based transport, maritime transport and container cleaning.  It establishe</w:t>
      </w:r>
      <w:r w:rsidR="00D468F1">
        <w:rPr>
          <w:sz w:val="20"/>
          <w:szCs w:val="20"/>
        </w:rPr>
        <w:t>s</w:t>
      </w:r>
      <w:r>
        <w:rPr>
          <w:sz w:val="20"/>
          <w:szCs w:val="20"/>
        </w:rPr>
        <w:t xml:space="preserve"> a clear hierarchy of action (prevention, containment and clean-up) and embeds these principles through detailed requirements for risk management plans, spill controls, staff training, incident reporting and annual loss estimation.  For high volume handlers (</w:t>
      </w:r>
      <w:r>
        <w:rPr>
          <w:rFonts w:cstheme="minorHAnsi"/>
          <w:sz w:val="20"/>
          <w:szCs w:val="20"/>
        </w:rPr>
        <w:t xml:space="preserve">≥ 1,500 tonnes per year), the Regulation requires independent third-party certification, while smaller operators follow a self-declaration model supported by transparency, record-keeping and oversight by Competent Authorities.  </w:t>
      </w:r>
    </w:p>
    <w:p w14:paraId="36493B05" w14:textId="11BEB783" w:rsidR="00620C40" w:rsidRDefault="007947B7">
      <w:pPr>
        <w:rPr>
          <w:rFonts w:cstheme="minorHAnsi"/>
          <w:sz w:val="20"/>
          <w:szCs w:val="20"/>
        </w:rPr>
      </w:pPr>
      <w:r>
        <w:rPr>
          <w:rFonts w:cstheme="minorHAnsi"/>
          <w:sz w:val="20"/>
          <w:szCs w:val="20"/>
        </w:rPr>
        <w:t xml:space="preserve">The Regulation closely aligns with most of </w:t>
      </w:r>
      <w:proofErr w:type="spellStart"/>
      <w:r>
        <w:rPr>
          <w:rFonts w:cstheme="minorHAnsi"/>
          <w:sz w:val="20"/>
          <w:szCs w:val="20"/>
        </w:rPr>
        <w:t>OSPAR’s</w:t>
      </w:r>
      <w:proofErr w:type="spellEnd"/>
      <w:r>
        <w:rPr>
          <w:rFonts w:cstheme="minorHAnsi"/>
          <w:sz w:val="20"/>
          <w:szCs w:val="20"/>
        </w:rPr>
        <w:t xml:space="preserve"> core aims.  It adopts a whole supply chain approach, formalises zero pellet loss as an objective and sets minimum pellet-handling standards through Annex I and III.  It also introduces strong enforcement powers, including unannounced inspections, corrective measures, </w:t>
      </w:r>
      <w:r w:rsidR="00A37557" w:rsidRPr="00A37557">
        <w:rPr>
          <w:rFonts w:cstheme="minorHAnsi"/>
          <w:sz w:val="20"/>
          <w:szCs w:val="20"/>
        </w:rPr>
        <w:t>operational suspensions and, for the most serious infringements committed by a legal person, a requirement that Member States set a maximum administrative financial penalty of at least 3% of annual Union turnover (Article 20(3)).</w:t>
      </w:r>
      <w:r w:rsidR="00A37557">
        <w:rPr>
          <w:rFonts w:cstheme="minorHAnsi"/>
          <w:sz w:val="20"/>
          <w:szCs w:val="20"/>
        </w:rPr>
        <w:t xml:space="preserve"> </w:t>
      </w:r>
      <w:r>
        <w:rPr>
          <w:rFonts w:cstheme="minorHAnsi"/>
          <w:sz w:val="20"/>
          <w:szCs w:val="20"/>
        </w:rPr>
        <w:t xml:space="preserve">Public disclosure of risk management plans, certificates and self-declarations creates greater transparency and accountability than previously existed in the voluntary system.  </w:t>
      </w:r>
    </w:p>
    <w:p w14:paraId="583E896F" w14:textId="1E334193" w:rsidR="005558DB" w:rsidRDefault="005558DB" w:rsidP="7289609F">
      <w:pPr>
        <w:rPr>
          <w:sz w:val="20"/>
          <w:szCs w:val="20"/>
        </w:rPr>
      </w:pPr>
      <w:r>
        <w:rPr>
          <w:sz w:val="20"/>
          <w:szCs w:val="20"/>
        </w:rPr>
        <w:t xml:space="preserve">Several divergences mean the Regulation alone does not deliver the OSPAR Recommendation.  OSPAR expects certification to apply to organisations of all sizes, with no exemptions and its guidance details that pellet handling standards should be implemented at site level across all businesses, regardless of size.  The Regulation, however, bases certification requirements on installation throughput.  </w:t>
      </w:r>
    </w:p>
    <w:p w14:paraId="5C4781FC" w14:textId="5C63C8F2" w:rsidR="005558DB" w:rsidRDefault="005558DB" w:rsidP="7289609F">
      <w:pPr>
        <w:rPr>
          <w:sz w:val="20"/>
          <w:szCs w:val="20"/>
        </w:rPr>
      </w:pPr>
      <w:r>
        <w:rPr>
          <w:sz w:val="20"/>
          <w:szCs w:val="20"/>
        </w:rPr>
        <w:t xml:space="preserve">Under Article 6, installations that handled 1,500 tonnes or more of plastic pellets in the previous calendar year must obtain certification, with compliance deadlines and renewal frequencies linked to the size of the enterprise.  Installations below this threshold are able to self-declare under Article 5(2) and may never be subject to an accredited third-party audit.  </w:t>
      </w:r>
    </w:p>
    <w:p w14:paraId="730938C5" w14:textId="77777777" w:rsidR="008B7CB7" w:rsidRDefault="008B7CB7" w:rsidP="7289609F">
      <w:pPr>
        <w:rPr>
          <w:sz w:val="20"/>
          <w:szCs w:val="20"/>
        </w:rPr>
      </w:pPr>
      <w:r>
        <w:rPr>
          <w:sz w:val="20"/>
          <w:szCs w:val="20"/>
        </w:rPr>
        <w:t xml:space="preserve">Microenterprises are exempt from Article 6 certification requirements regardless of throughput, while economic operators handling less than 5 tonnes per year fall outside of the Regulation entirely.  </w:t>
      </w:r>
    </w:p>
    <w:p w14:paraId="135196EF" w14:textId="4D76531B" w:rsidR="005558DB" w:rsidRDefault="00F10B43" w:rsidP="7289609F">
      <w:pPr>
        <w:rPr>
          <w:sz w:val="20"/>
          <w:szCs w:val="20"/>
        </w:rPr>
      </w:pPr>
      <w:r>
        <w:rPr>
          <w:sz w:val="20"/>
          <w:szCs w:val="20"/>
        </w:rPr>
        <w:t xml:space="preserve">The Regulation also allows compliance to be demonstrated through an </w:t>
      </w:r>
      <w:r w:rsidR="00A4215C">
        <w:rPr>
          <w:sz w:val="20"/>
          <w:szCs w:val="20"/>
        </w:rPr>
        <w:t xml:space="preserve">environmental permit (Article 7) or a verified environmental management system (Article 8).  Although OSPAR partly recognises these alternative routes they create a more fragmented assurance model, with different mechanisms used to demonstrate compliance across the sector.  </w:t>
      </w:r>
    </w:p>
    <w:p w14:paraId="4BD5BD79" w14:textId="03F13295" w:rsidR="00A4215C" w:rsidRDefault="00A4215C">
      <w:pPr>
        <w:rPr>
          <w:rFonts w:cstheme="minorHAnsi"/>
          <w:sz w:val="20"/>
          <w:szCs w:val="20"/>
        </w:rPr>
      </w:pPr>
      <w:r>
        <w:rPr>
          <w:rFonts w:cstheme="minorHAnsi"/>
          <w:sz w:val="20"/>
          <w:szCs w:val="20"/>
        </w:rPr>
        <w:t xml:space="preserve">OSPAR calls for a clear chain of custody for plastic pellets and a publicly accessible register of certified companies.  Its guidance envisages an international, searchable system that allows certification and compliance to be traced throughout the supply chain.  </w:t>
      </w:r>
    </w:p>
    <w:p w14:paraId="54B52BEB" w14:textId="5A494E65" w:rsidR="00A4215C" w:rsidRDefault="00A4215C">
      <w:pPr>
        <w:rPr>
          <w:rFonts w:cstheme="minorHAnsi"/>
          <w:sz w:val="20"/>
          <w:szCs w:val="20"/>
        </w:rPr>
      </w:pPr>
      <w:r>
        <w:rPr>
          <w:rFonts w:cstheme="minorHAnsi"/>
          <w:sz w:val="20"/>
          <w:szCs w:val="20"/>
        </w:rPr>
        <w:t>The Regulation does not include either of these mechanisms.  Under Article 11, each competent authority is responsible for publishing compliance information on its own website, while the Commission publishes only a list of those websites.  Information can also be withheld for confidentiality reasons.  This means that a buyer may be able to verify the status of a supplier, but there is no way to trace compliance through the wider supply chain.  Therefore, th</w:t>
      </w:r>
      <w:r w:rsidR="00855FCA">
        <w:rPr>
          <w:rFonts w:cstheme="minorHAnsi"/>
          <w:sz w:val="20"/>
          <w:szCs w:val="20"/>
        </w:rPr>
        <w:t xml:space="preserve">is removes one of the key mechanisms OSPAR requires for driving certification throughout the supply chain.  Without a chain of custody system or central public register, customers have limited visibility beyond their direct suppliers and little ability to verify compliance further up- or downstream.  </w:t>
      </w:r>
    </w:p>
    <w:p w14:paraId="6F62D91C" w14:textId="1BC5F718" w:rsidR="00855FCA" w:rsidRDefault="00D7622B">
      <w:pPr>
        <w:rPr>
          <w:rFonts w:cstheme="minorHAnsi"/>
          <w:sz w:val="20"/>
          <w:szCs w:val="20"/>
        </w:rPr>
      </w:pPr>
      <w:r>
        <w:rPr>
          <w:rFonts w:cstheme="minorHAnsi"/>
          <w:sz w:val="20"/>
          <w:szCs w:val="20"/>
        </w:rPr>
        <w:lastRenderedPageBreak/>
        <w:t xml:space="preserve">The assessment of the Regulation’s reach shows that it will affect a vast number of organisations.  Europe’s plastics sector comprises over 50,000 companies, with </w:t>
      </w:r>
      <w:r w:rsidR="00452DCC">
        <w:rPr>
          <w:rFonts w:cstheme="minorHAnsi"/>
          <w:sz w:val="20"/>
          <w:szCs w:val="20"/>
        </w:rPr>
        <w:t>over 90% being</w:t>
      </w:r>
      <w:r>
        <w:rPr>
          <w:rFonts w:cstheme="minorHAnsi"/>
          <w:sz w:val="20"/>
          <w:szCs w:val="20"/>
        </w:rPr>
        <w:t xml:space="preserve"> micro or small enterprises. Most handle pellets over the 5-tonne annual threshold and will therefore be required to implement risk management planning, staff training, operational controls and annual loss estimates.  </w:t>
      </w:r>
      <w:r w:rsidR="00855FCA">
        <w:rPr>
          <w:rFonts w:cstheme="minorHAnsi"/>
          <w:sz w:val="20"/>
          <w:szCs w:val="20"/>
        </w:rPr>
        <w:t xml:space="preserve">Installations above the certification threshold, which account for the bulk of pellet throughput, additionally face third party certification, with further annual internal assessment for medium- and large-sized enterprises (Article 5(8)).  </w:t>
      </w:r>
    </w:p>
    <w:p w14:paraId="4C85379A" w14:textId="1C39C202" w:rsidR="00D7622B" w:rsidRDefault="00D7622B">
      <w:pPr>
        <w:rPr>
          <w:rFonts w:cstheme="minorHAnsi"/>
          <w:sz w:val="20"/>
          <w:szCs w:val="20"/>
        </w:rPr>
      </w:pPr>
      <w:r>
        <w:rPr>
          <w:rFonts w:cstheme="minorHAnsi"/>
          <w:sz w:val="20"/>
          <w:szCs w:val="20"/>
        </w:rPr>
        <w:t xml:space="preserve">Maritime carriers, logistics companies, recyclers, converters and upstream producers are all brought into scope, addressing gaps in voluntary frameworks.  </w:t>
      </w:r>
    </w:p>
    <w:p w14:paraId="2CAABBFB" w14:textId="0039757F" w:rsidR="00D7622B" w:rsidRDefault="00D7622B">
      <w:pPr>
        <w:rPr>
          <w:rFonts w:cstheme="minorHAnsi"/>
          <w:sz w:val="20"/>
          <w:szCs w:val="20"/>
        </w:rPr>
      </w:pPr>
      <w:r>
        <w:rPr>
          <w:rFonts w:cstheme="minorHAnsi"/>
          <w:sz w:val="20"/>
          <w:szCs w:val="20"/>
        </w:rPr>
        <w:t xml:space="preserve">Regulation (EU) 2025/2365 is highly suitable as the core regulatory instrument for delivering many of the fundamental aims of OSPAR Recommendation 2021/06.  It creates binding, consistent, enforceable rules and is expected to substantially reduce pellet losses across the EU.  </w:t>
      </w:r>
    </w:p>
    <w:p w14:paraId="4466EBCC" w14:textId="53B5E6D6" w:rsidR="00D7622B" w:rsidRDefault="00D7622B">
      <w:pPr>
        <w:rPr>
          <w:rFonts w:cstheme="minorHAnsi"/>
          <w:sz w:val="20"/>
          <w:szCs w:val="20"/>
        </w:rPr>
      </w:pPr>
      <w:r>
        <w:rPr>
          <w:rFonts w:cstheme="minorHAnsi"/>
          <w:sz w:val="20"/>
          <w:szCs w:val="20"/>
        </w:rPr>
        <w:t xml:space="preserve">However, the Regulation on its own does not constitute a full implementation of </w:t>
      </w:r>
      <w:proofErr w:type="spellStart"/>
      <w:r>
        <w:rPr>
          <w:rFonts w:cstheme="minorHAnsi"/>
          <w:sz w:val="20"/>
          <w:szCs w:val="20"/>
        </w:rPr>
        <w:t>OSPAR’s</w:t>
      </w:r>
      <w:proofErr w:type="spellEnd"/>
      <w:r>
        <w:rPr>
          <w:rFonts w:cstheme="minorHAnsi"/>
          <w:sz w:val="20"/>
          <w:szCs w:val="20"/>
        </w:rPr>
        <w:t xml:space="preserve"> </w:t>
      </w:r>
      <w:r w:rsidR="00F11FC9">
        <w:rPr>
          <w:rFonts w:cstheme="minorHAnsi"/>
          <w:sz w:val="20"/>
          <w:szCs w:val="20"/>
        </w:rPr>
        <w:t xml:space="preserve">desired certification and governance model.  To fully meet </w:t>
      </w:r>
      <w:proofErr w:type="spellStart"/>
      <w:r w:rsidR="00F11FC9">
        <w:rPr>
          <w:rFonts w:cstheme="minorHAnsi"/>
          <w:sz w:val="20"/>
          <w:szCs w:val="20"/>
        </w:rPr>
        <w:t>OSPAR’s</w:t>
      </w:r>
      <w:proofErr w:type="spellEnd"/>
      <w:r w:rsidR="00F11FC9">
        <w:rPr>
          <w:rFonts w:cstheme="minorHAnsi"/>
          <w:sz w:val="20"/>
          <w:szCs w:val="20"/>
        </w:rPr>
        <w:t xml:space="preserve"> intentions, additional measures, such as certification register</w:t>
      </w:r>
      <w:r w:rsidR="00D468F1">
        <w:rPr>
          <w:rFonts w:cstheme="minorHAnsi"/>
          <w:sz w:val="20"/>
          <w:szCs w:val="20"/>
        </w:rPr>
        <w:t>s</w:t>
      </w:r>
      <w:r w:rsidR="00F11FC9">
        <w:rPr>
          <w:rFonts w:cstheme="minorHAnsi"/>
          <w:sz w:val="20"/>
          <w:szCs w:val="20"/>
        </w:rPr>
        <w:t xml:space="preserve">, procurement-based drivers, expanded certification coverage, a chain of custody standard and enhanced support for SMEs would be required.  </w:t>
      </w:r>
      <w:r w:rsidR="00F11FC9" w:rsidRPr="00090118">
        <w:rPr>
          <w:rFonts w:cstheme="minorHAnsi"/>
          <w:sz w:val="20"/>
          <w:szCs w:val="20"/>
        </w:rPr>
        <w:t xml:space="preserve">With these additions, the EU framework could fully align with, and potentially exceed, the ambition of </w:t>
      </w:r>
      <w:proofErr w:type="spellStart"/>
      <w:r w:rsidR="00F11FC9" w:rsidRPr="00090118">
        <w:rPr>
          <w:rFonts w:cstheme="minorHAnsi"/>
          <w:sz w:val="20"/>
          <w:szCs w:val="20"/>
        </w:rPr>
        <w:t>OSPAR’s</w:t>
      </w:r>
      <w:proofErr w:type="spellEnd"/>
      <w:r w:rsidR="00F11FC9" w:rsidRPr="00090118">
        <w:rPr>
          <w:rFonts w:cstheme="minorHAnsi"/>
          <w:sz w:val="20"/>
          <w:szCs w:val="20"/>
        </w:rPr>
        <w:t xml:space="preserve"> approach to eliminating pellet loss.</w:t>
      </w:r>
    </w:p>
    <w:p w14:paraId="5FBFC1D6" w14:textId="4FC4F071" w:rsidR="0088114A" w:rsidRDefault="0088114A">
      <w:pPr>
        <w:rPr>
          <w:rFonts w:cstheme="minorHAnsi"/>
          <w:b/>
          <w:bCs/>
          <w:sz w:val="28"/>
          <w:szCs w:val="28"/>
        </w:rPr>
      </w:pPr>
      <w:r>
        <w:br w:type="page"/>
      </w:r>
    </w:p>
    <w:p w14:paraId="544A5239" w14:textId="1F1ABC8A" w:rsidR="002E1B99" w:rsidRPr="00D5097E" w:rsidRDefault="00D5097E" w:rsidP="00FC58CE">
      <w:pPr>
        <w:pStyle w:val="Heading01"/>
        <w:numPr>
          <w:ilvl w:val="0"/>
          <w:numId w:val="1"/>
        </w:numPr>
      </w:pPr>
      <w:bookmarkStart w:id="3" w:name="_Toc225594972"/>
      <w:r w:rsidRPr="00D5097E">
        <w:lastRenderedPageBreak/>
        <w:t>Introduction</w:t>
      </w:r>
      <w:bookmarkEnd w:id="3"/>
      <w:r w:rsidRPr="00D5097E">
        <w:t xml:space="preserve"> </w:t>
      </w:r>
    </w:p>
    <w:p w14:paraId="2B5FBA70" w14:textId="4809F296" w:rsidR="002E1B99" w:rsidRPr="00FE4ECB" w:rsidRDefault="00D5097E" w:rsidP="00D4522D">
      <w:pPr>
        <w:spacing w:before="120" w:after="120" w:line="276" w:lineRule="auto"/>
        <w:rPr>
          <w:sz w:val="20"/>
          <w:szCs w:val="20"/>
        </w:rPr>
      </w:pPr>
      <w:r>
        <w:rPr>
          <w:sz w:val="20"/>
          <w:szCs w:val="20"/>
        </w:rPr>
        <w:t>This report details the results of the critical evaluation of the EU pellet regulations (</w:t>
      </w:r>
      <w:r w:rsidRPr="00D5097E">
        <w:rPr>
          <w:sz w:val="20"/>
          <w:szCs w:val="20"/>
        </w:rPr>
        <w:t xml:space="preserve">EU Regulation (EU) 2025/2365 </w:t>
      </w:r>
      <w:r>
        <w:rPr>
          <w:sz w:val="20"/>
          <w:szCs w:val="20"/>
        </w:rPr>
        <w:t xml:space="preserve">of the European Parliament and of the Council of 12 November 2025 </w:t>
      </w:r>
      <w:r w:rsidRPr="00D5097E">
        <w:rPr>
          <w:sz w:val="20"/>
          <w:szCs w:val="20"/>
        </w:rPr>
        <w:t>on preventing plastic pellet losses to reduce microplastic pollution</w:t>
      </w:r>
      <w:r w:rsidR="00A64D52">
        <w:rPr>
          <w:rStyle w:val="FootnoteReference"/>
          <w:sz w:val="20"/>
          <w:szCs w:val="20"/>
        </w:rPr>
        <w:footnoteReference w:id="1"/>
      </w:r>
      <w:r>
        <w:rPr>
          <w:sz w:val="20"/>
          <w:szCs w:val="20"/>
        </w:rPr>
        <w:t>).</w:t>
      </w:r>
      <w:r w:rsidR="00A64D52">
        <w:rPr>
          <w:sz w:val="20"/>
          <w:szCs w:val="20"/>
        </w:rPr>
        <w:t xml:space="preserve">  The Regulation was assessed against OSPAR Recommendation 2021/06 on the reduction of plastic pellet loss into the marine environment and supporting Guidelines.  </w:t>
      </w:r>
      <w:r>
        <w:rPr>
          <w:sz w:val="20"/>
          <w:szCs w:val="20"/>
        </w:rPr>
        <w:t xml:space="preserve">  </w:t>
      </w:r>
    </w:p>
    <w:p w14:paraId="0D7D1869" w14:textId="2BF05398" w:rsidR="00F54D9F" w:rsidRDefault="00A64D52" w:rsidP="00D4522D">
      <w:pPr>
        <w:spacing w:before="120" w:after="120" w:line="276" w:lineRule="auto"/>
        <w:rPr>
          <w:sz w:val="20"/>
          <w:szCs w:val="20"/>
        </w:rPr>
      </w:pPr>
      <w:r>
        <w:rPr>
          <w:sz w:val="20"/>
          <w:szCs w:val="20"/>
        </w:rPr>
        <w:t>This desk-</w:t>
      </w:r>
      <w:r w:rsidR="007E36B0">
        <w:rPr>
          <w:sz w:val="20"/>
          <w:szCs w:val="20"/>
        </w:rPr>
        <w:t>based</w:t>
      </w:r>
      <w:r>
        <w:rPr>
          <w:sz w:val="20"/>
          <w:szCs w:val="20"/>
        </w:rPr>
        <w:t xml:space="preserve"> study provides a breakdown of </w:t>
      </w:r>
      <w:r w:rsidR="00F54D9F">
        <w:rPr>
          <w:sz w:val="20"/>
          <w:szCs w:val="20"/>
        </w:rPr>
        <w:t xml:space="preserve">the Regulation requirements, structure and scope compared with the detailed requirements and guidelines of the OSPAR Recommendation.  It reviews areas of alignment and divergence and the extent of the supply chain reach.  The study also identifies strengths, gaps and any need for additional measures to ensure meaningful progress toward eliminating pellet pollution.    </w:t>
      </w:r>
    </w:p>
    <w:p w14:paraId="1212EBA9" w14:textId="77777777" w:rsidR="002E1B99" w:rsidRDefault="002E1B99" w:rsidP="00D4522D">
      <w:pPr>
        <w:spacing w:before="120" w:after="120" w:line="276" w:lineRule="auto"/>
        <w:rPr>
          <w:sz w:val="20"/>
          <w:szCs w:val="20"/>
        </w:rPr>
      </w:pPr>
    </w:p>
    <w:p w14:paraId="70F7A3DE" w14:textId="059B1F7B" w:rsidR="00D5097E" w:rsidRPr="00D5097E" w:rsidRDefault="00D5097E" w:rsidP="00D5097E">
      <w:pPr>
        <w:pStyle w:val="Heading02"/>
      </w:pPr>
      <w:bookmarkStart w:id="4" w:name="_Toc225594973"/>
      <w:r w:rsidRPr="00D5097E">
        <w:t>OSPAR Recommendation background and requirements</w:t>
      </w:r>
      <w:bookmarkEnd w:id="4"/>
      <w:r w:rsidRPr="00D5097E">
        <w:t xml:space="preserve"> </w:t>
      </w:r>
    </w:p>
    <w:p w14:paraId="3DB7A162" w14:textId="77777777" w:rsidR="00260735" w:rsidRDefault="00260735" w:rsidP="00260735">
      <w:pPr>
        <w:spacing w:before="120" w:after="120" w:line="276" w:lineRule="auto"/>
        <w:rPr>
          <w:sz w:val="20"/>
          <w:szCs w:val="20"/>
        </w:rPr>
      </w:pPr>
      <w:r w:rsidRPr="00F03027">
        <w:rPr>
          <w:sz w:val="20"/>
          <w:szCs w:val="20"/>
        </w:rPr>
        <w:t xml:space="preserve">OSPAR (Oslo-Paris Convention) is the mechanism by which 15 governments and the EU cooperate to protect the marine environment of the North-East Atlantic. </w:t>
      </w:r>
      <w:r>
        <w:rPr>
          <w:sz w:val="20"/>
          <w:szCs w:val="20"/>
        </w:rPr>
        <w:t xml:space="preserve"> </w:t>
      </w:r>
      <w:r w:rsidRPr="00F03027">
        <w:rPr>
          <w:sz w:val="20"/>
          <w:szCs w:val="20"/>
        </w:rPr>
        <w:t>OSPAR Recommendations are formal agreements that lay out specific actions or standards that contracting parties are expected to implement to fulfil the goals of the Convention.</w:t>
      </w:r>
    </w:p>
    <w:p w14:paraId="48B71401" w14:textId="7AC4652A" w:rsidR="00260735" w:rsidRDefault="00260735" w:rsidP="00260735">
      <w:pPr>
        <w:spacing w:before="120" w:after="120" w:line="276" w:lineRule="auto"/>
        <w:rPr>
          <w:sz w:val="20"/>
          <w:szCs w:val="20"/>
        </w:rPr>
      </w:pPr>
      <w:r w:rsidRPr="009916D3">
        <w:rPr>
          <w:b/>
          <w:bCs/>
          <w:sz w:val="20"/>
          <w:szCs w:val="20"/>
        </w:rPr>
        <w:t>OSPAR Recommendation 2021/06</w:t>
      </w:r>
      <w:r w:rsidRPr="009916D3">
        <w:rPr>
          <w:sz w:val="20"/>
          <w:szCs w:val="20"/>
        </w:rPr>
        <w:t>, adopted in 2021, addresses the growing concern over microplastic pollution, specifically targeting the loss of plastic pellets</w:t>
      </w:r>
      <w:r w:rsidR="006E338E">
        <w:rPr>
          <w:sz w:val="20"/>
          <w:szCs w:val="20"/>
        </w:rPr>
        <w:t xml:space="preserve">, </w:t>
      </w:r>
      <w:r w:rsidRPr="009916D3">
        <w:rPr>
          <w:sz w:val="20"/>
          <w:szCs w:val="20"/>
        </w:rPr>
        <w:t>also known as nurdles</w:t>
      </w:r>
      <w:r w:rsidR="006E338E">
        <w:rPr>
          <w:sz w:val="20"/>
          <w:szCs w:val="20"/>
        </w:rPr>
        <w:t xml:space="preserve">, </w:t>
      </w:r>
      <w:r w:rsidRPr="009916D3">
        <w:rPr>
          <w:sz w:val="20"/>
          <w:szCs w:val="20"/>
        </w:rPr>
        <w:t xml:space="preserve">into the marine environment. </w:t>
      </w:r>
      <w:r>
        <w:rPr>
          <w:sz w:val="20"/>
          <w:szCs w:val="20"/>
        </w:rPr>
        <w:t xml:space="preserve"> </w:t>
      </w:r>
      <w:r w:rsidRPr="009916D3">
        <w:rPr>
          <w:sz w:val="20"/>
          <w:szCs w:val="20"/>
        </w:rPr>
        <w:t xml:space="preserve">These small plastic granules, used as raw materials in the production of plastic products, can enter marine ecosystems during manufacturing, transportation, or handling processes. </w:t>
      </w:r>
      <w:r>
        <w:rPr>
          <w:sz w:val="20"/>
          <w:szCs w:val="20"/>
        </w:rPr>
        <w:t xml:space="preserve"> </w:t>
      </w:r>
      <w:r w:rsidRPr="009916D3">
        <w:rPr>
          <w:sz w:val="20"/>
          <w:szCs w:val="20"/>
        </w:rPr>
        <w:t xml:space="preserve">Once released, they are challenging to recover and </w:t>
      </w:r>
      <w:r>
        <w:rPr>
          <w:sz w:val="20"/>
          <w:szCs w:val="20"/>
        </w:rPr>
        <w:t xml:space="preserve">are a threat to the health of </w:t>
      </w:r>
      <w:r w:rsidRPr="009916D3">
        <w:rPr>
          <w:sz w:val="20"/>
          <w:szCs w:val="20"/>
        </w:rPr>
        <w:t>marine life and ecosystems</w:t>
      </w:r>
      <w:r>
        <w:rPr>
          <w:sz w:val="20"/>
          <w:szCs w:val="20"/>
        </w:rPr>
        <w:t xml:space="preserve">.  </w:t>
      </w:r>
    </w:p>
    <w:p w14:paraId="32873751" w14:textId="77777777" w:rsidR="00260735" w:rsidRDefault="00260735" w:rsidP="00260735">
      <w:pPr>
        <w:spacing w:before="120" w:after="120" w:line="276" w:lineRule="auto"/>
        <w:rPr>
          <w:sz w:val="20"/>
          <w:szCs w:val="20"/>
        </w:rPr>
      </w:pPr>
      <w:r>
        <w:rPr>
          <w:sz w:val="20"/>
          <w:szCs w:val="20"/>
        </w:rPr>
        <w:t xml:space="preserve">The primary aim of Recommendation 2021/06 is to prevent or significantly reduce the loss of plastic pellets into the marine environment, recognising that preventative measures are more effective and economically viable than remedial actions.  </w:t>
      </w:r>
    </w:p>
    <w:p w14:paraId="0861E6CF" w14:textId="2E569FD3" w:rsidR="00260735" w:rsidRPr="004D754D" w:rsidRDefault="00260735" w:rsidP="00260735">
      <w:pPr>
        <w:spacing w:before="120" w:after="120" w:line="276" w:lineRule="auto"/>
        <w:rPr>
          <w:sz w:val="20"/>
          <w:szCs w:val="20"/>
        </w:rPr>
      </w:pPr>
      <w:r>
        <w:rPr>
          <w:sz w:val="20"/>
          <w:szCs w:val="20"/>
        </w:rPr>
        <w:t xml:space="preserve">The </w:t>
      </w:r>
      <w:r w:rsidR="008514DA">
        <w:rPr>
          <w:sz w:val="20"/>
          <w:szCs w:val="20"/>
        </w:rPr>
        <w:t>R</w:t>
      </w:r>
      <w:r>
        <w:rPr>
          <w:sz w:val="20"/>
          <w:szCs w:val="20"/>
        </w:rPr>
        <w:t xml:space="preserve">ecommendation has been adopted to ‘… </w:t>
      </w:r>
      <w:r w:rsidRPr="00C30A28">
        <w:rPr>
          <w:i/>
          <w:iCs/>
          <w:sz w:val="20"/>
          <w:szCs w:val="20"/>
        </w:rPr>
        <w:t>(in particular, to prevent where possible or to significantly reduce the loss of pellets into the marine environment) by promoting the timely development and implementation of effective and consistent pellet loss prevention standards, developed by standards bodies or equivalent, and certification schemes for the entire supply chain.  The recommendation will also support European Union (EU) Member States in implementing the EU Plastics Strategy in a harmonised implementation of the schemes</w:t>
      </w:r>
      <w:r w:rsidRPr="00C30A28">
        <w:rPr>
          <w:sz w:val="20"/>
          <w:szCs w:val="20"/>
        </w:rPr>
        <w:t>.</w:t>
      </w:r>
      <w:r>
        <w:rPr>
          <w:sz w:val="20"/>
          <w:szCs w:val="20"/>
        </w:rPr>
        <w:t>’</w:t>
      </w:r>
      <w:r w:rsidRPr="00C30A28">
        <w:rPr>
          <w:sz w:val="20"/>
          <w:szCs w:val="20"/>
        </w:rPr>
        <w:t xml:space="preserve"> (OSPAR Recommendation 2021/06 §2.1).</w:t>
      </w:r>
      <w:r>
        <w:rPr>
          <w:sz w:val="20"/>
          <w:szCs w:val="20"/>
        </w:rPr>
        <w:t xml:space="preserve">  </w:t>
      </w:r>
    </w:p>
    <w:p w14:paraId="2EE05882" w14:textId="77777777" w:rsidR="00260735" w:rsidRDefault="00260735" w:rsidP="00260735">
      <w:pPr>
        <w:spacing w:before="120" w:after="120" w:line="276" w:lineRule="auto"/>
        <w:rPr>
          <w:sz w:val="20"/>
          <w:szCs w:val="20"/>
        </w:rPr>
      </w:pPr>
      <w:r>
        <w:rPr>
          <w:sz w:val="20"/>
          <w:szCs w:val="20"/>
        </w:rPr>
        <w:t xml:space="preserve">To support Recommendation 2021/06 objectives, OSPAR has developed Guidelines </w:t>
      </w:r>
      <w:r w:rsidRPr="00835BA5">
        <w:rPr>
          <w:sz w:val="20"/>
          <w:szCs w:val="20"/>
        </w:rPr>
        <w:t>to assist Contracting Parties and stakeholders in implementing effective pellet loss prevention measures</w:t>
      </w:r>
      <w:r>
        <w:rPr>
          <w:sz w:val="20"/>
          <w:szCs w:val="20"/>
        </w:rPr>
        <w:t>.  They relate to the provisions and requirements set out in O</w:t>
      </w:r>
      <w:r w:rsidRPr="00C30A28">
        <w:rPr>
          <w:sz w:val="20"/>
          <w:szCs w:val="20"/>
        </w:rPr>
        <w:t>SPAR Recommendation 2021/06</w:t>
      </w:r>
      <w:r>
        <w:rPr>
          <w:sz w:val="20"/>
          <w:szCs w:val="20"/>
        </w:rPr>
        <w:t xml:space="preserve"> on the reduction of plastic pellet loss into the marine environment.  </w:t>
      </w:r>
    </w:p>
    <w:p w14:paraId="6FB04DBD" w14:textId="77777777" w:rsidR="00260735" w:rsidRPr="00835BA5" w:rsidRDefault="00260735" w:rsidP="00260735">
      <w:pPr>
        <w:spacing w:before="120" w:after="120" w:line="276" w:lineRule="auto"/>
        <w:rPr>
          <w:b/>
          <w:bCs/>
          <w:sz w:val="20"/>
          <w:szCs w:val="20"/>
        </w:rPr>
      </w:pPr>
      <w:r w:rsidRPr="00835BA5">
        <w:rPr>
          <w:b/>
          <w:bCs/>
          <w:sz w:val="20"/>
          <w:szCs w:val="20"/>
        </w:rPr>
        <w:t xml:space="preserve">Key requirements </w:t>
      </w:r>
    </w:p>
    <w:p w14:paraId="59A335AF" w14:textId="7C0437BA" w:rsidR="00260735" w:rsidRDefault="00260735" w:rsidP="00260735">
      <w:pPr>
        <w:spacing w:before="120" w:after="120" w:line="276" w:lineRule="auto"/>
        <w:rPr>
          <w:sz w:val="20"/>
          <w:szCs w:val="20"/>
        </w:rPr>
      </w:pPr>
      <w:r>
        <w:rPr>
          <w:sz w:val="20"/>
          <w:szCs w:val="20"/>
        </w:rPr>
        <w:t xml:space="preserve">Under this Recommendation, OSPAR Contracting Parties are encouraged to: </w:t>
      </w:r>
    </w:p>
    <w:p w14:paraId="654F554F" w14:textId="670E1093" w:rsidR="00260735" w:rsidRDefault="00BB3DBD" w:rsidP="00FC58CE">
      <w:pPr>
        <w:pStyle w:val="ListParagraph"/>
        <w:numPr>
          <w:ilvl w:val="0"/>
          <w:numId w:val="4"/>
        </w:numPr>
        <w:spacing w:before="120" w:after="120" w:line="276" w:lineRule="auto"/>
        <w:rPr>
          <w:sz w:val="20"/>
          <w:szCs w:val="20"/>
        </w:rPr>
      </w:pPr>
      <w:r>
        <w:rPr>
          <w:b/>
          <w:bCs/>
          <w:sz w:val="20"/>
          <w:szCs w:val="20"/>
        </w:rPr>
        <w:t>Promote the development</w:t>
      </w:r>
      <w:r w:rsidRPr="00201B20">
        <w:rPr>
          <w:b/>
          <w:bCs/>
          <w:sz w:val="20"/>
          <w:szCs w:val="20"/>
        </w:rPr>
        <w:t xml:space="preserve"> </w:t>
      </w:r>
      <w:r w:rsidR="00260735" w:rsidRPr="00201B20">
        <w:rPr>
          <w:b/>
          <w:bCs/>
          <w:sz w:val="20"/>
          <w:szCs w:val="20"/>
        </w:rPr>
        <w:t>and implement</w:t>
      </w:r>
      <w:r>
        <w:rPr>
          <w:b/>
          <w:bCs/>
          <w:sz w:val="20"/>
          <w:szCs w:val="20"/>
        </w:rPr>
        <w:t>ation of</w:t>
      </w:r>
      <w:r w:rsidR="00260735" w:rsidRPr="00201B20">
        <w:rPr>
          <w:b/>
          <w:bCs/>
          <w:sz w:val="20"/>
          <w:szCs w:val="20"/>
        </w:rPr>
        <w:t xml:space="preserve"> pellet loss prevention standards</w:t>
      </w:r>
      <w:r w:rsidR="00260735">
        <w:rPr>
          <w:sz w:val="20"/>
          <w:szCs w:val="20"/>
        </w:rPr>
        <w:t>:  These standards should be effective and consistent, aiming to prevent pellet loss at every stage of the plastic supply chain</w:t>
      </w:r>
    </w:p>
    <w:p w14:paraId="2F88B6A1" w14:textId="77777777" w:rsidR="00260735" w:rsidRDefault="00260735" w:rsidP="00FC58CE">
      <w:pPr>
        <w:pStyle w:val="ListParagraph"/>
        <w:numPr>
          <w:ilvl w:val="0"/>
          <w:numId w:val="4"/>
        </w:numPr>
        <w:spacing w:before="120" w:after="120" w:line="276" w:lineRule="auto"/>
        <w:rPr>
          <w:sz w:val="20"/>
          <w:szCs w:val="20"/>
        </w:rPr>
      </w:pPr>
      <w:r w:rsidRPr="00201B20">
        <w:rPr>
          <w:b/>
          <w:bCs/>
          <w:sz w:val="20"/>
          <w:szCs w:val="20"/>
        </w:rPr>
        <w:t>Encourage participation in certification schemes</w:t>
      </w:r>
      <w:r>
        <w:rPr>
          <w:sz w:val="20"/>
          <w:szCs w:val="20"/>
        </w:rPr>
        <w:t>: Stakeholders across the supply chain, including producers, transporters and converters should be encouraged to participate in these schemes</w:t>
      </w:r>
    </w:p>
    <w:p w14:paraId="2AD30CCA" w14:textId="3F426E81" w:rsidR="00260735" w:rsidRDefault="00260735" w:rsidP="00FC58CE">
      <w:pPr>
        <w:pStyle w:val="ListParagraph"/>
        <w:numPr>
          <w:ilvl w:val="0"/>
          <w:numId w:val="4"/>
        </w:numPr>
        <w:spacing w:before="120" w:after="120" w:line="276" w:lineRule="auto"/>
        <w:rPr>
          <w:sz w:val="20"/>
          <w:szCs w:val="20"/>
        </w:rPr>
      </w:pPr>
      <w:r w:rsidRPr="00201B20">
        <w:rPr>
          <w:b/>
          <w:bCs/>
          <w:sz w:val="20"/>
          <w:szCs w:val="20"/>
        </w:rPr>
        <w:lastRenderedPageBreak/>
        <w:t>Report on implementation</w:t>
      </w:r>
      <w:r>
        <w:rPr>
          <w:sz w:val="20"/>
          <w:szCs w:val="20"/>
        </w:rPr>
        <w:t xml:space="preserve">: </w:t>
      </w:r>
      <w:r w:rsidR="00BB3DBD" w:rsidRPr="00BB3DBD">
        <w:rPr>
          <w:sz w:val="20"/>
          <w:szCs w:val="20"/>
        </w:rPr>
        <w:t xml:space="preserve">Contracting Parties </w:t>
      </w:r>
      <w:r w:rsidR="00BB3DBD">
        <w:rPr>
          <w:sz w:val="20"/>
          <w:szCs w:val="20"/>
        </w:rPr>
        <w:t xml:space="preserve"> </w:t>
      </w:r>
      <w:r w:rsidR="00BB3DBD" w:rsidRPr="00BB3DBD">
        <w:rPr>
          <w:sz w:val="20"/>
          <w:szCs w:val="20"/>
        </w:rPr>
        <w:t xml:space="preserve">provide an initial report by 31 January 2023 on progress developing and promoting certification schemes for the supply chain, and a report by 31 January 2025 on implementation of the Recommendation, then every six years thereafter. </w:t>
      </w:r>
      <w:r w:rsidR="00BB3DBD">
        <w:rPr>
          <w:sz w:val="20"/>
          <w:szCs w:val="20"/>
        </w:rPr>
        <w:t xml:space="preserve"> </w:t>
      </w:r>
      <w:r w:rsidR="00BB3DBD" w:rsidRPr="00BB3DBD">
        <w:rPr>
          <w:sz w:val="20"/>
          <w:szCs w:val="20"/>
        </w:rPr>
        <w:t>Reports should cover supply chain participation in the certification schemes and an evaluation of their effectiveness (Recommendation 4.1 to 4.3).</w:t>
      </w:r>
      <w:r w:rsidR="00BB3DBD">
        <w:rPr>
          <w:sz w:val="20"/>
          <w:szCs w:val="20"/>
        </w:rPr>
        <w:t xml:space="preserve"> </w:t>
      </w:r>
    </w:p>
    <w:p w14:paraId="7D9E741A" w14:textId="66CD0776" w:rsidR="00260735" w:rsidRDefault="00260735" w:rsidP="00260735">
      <w:pPr>
        <w:spacing w:before="120" w:after="120" w:line="276" w:lineRule="auto"/>
        <w:rPr>
          <w:sz w:val="20"/>
          <w:szCs w:val="20"/>
        </w:rPr>
      </w:pPr>
      <w:r>
        <w:rPr>
          <w:sz w:val="20"/>
          <w:szCs w:val="20"/>
        </w:rPr>
        <w:t>Interim reporting by Contracting Parties in 2023,</w:t>
      </w:r>
      <w:r w:rsidR="00BC290F">
        <w:rPr>
          <w:sz w:val="20"/>
          <w:szCs w:val="20"/>
        </w:rPr>
        <w:t xml:space="preserve"> </w:t>
      </w:r>
      <w:r>
        <w:rPr>
          <w:sz w:val="20"/>
          <w:szCs w:val="20"/>
        </w:rPr>
        <w:t>published in 2024, (</w:t>
      </w:r>
      <w:r w:rsidRPr="00C855ED">
        <w:rPr>
          <w:sz w:val="20"/>
          <w:szCs w:val="20"/>
        </w:rPr>
        <w:t>Implementation of OSPAR Recommendation 2021/06 on the reduction of plastic pellet loss into the marine environment</w:t>
      </w:r>
      <w:r>
        <w:rPr>
          <w:sz w:val="20"/>
          <w:szCs w:val="20"/>
        </w:rPr>
        <w:t xml:space="preserve">) found that while several Contracting Parties had initiated steps towards implementing the recommendation, challenges persist, including: </w:t>
      </w:r>
    </w:p>
    <w:p w14:paraId="42D8F7AA" w14:textId="0EB64310" w:rsidR="00260735" w:rsidRDefault="00260735" w:rsidP="00FC58CE">
      <w:pPr>
        <w:pStyle w:val="ListParagraph"/>
        <w:numPr>
          <w:ilvl w:val="0"/>
          <w:numId w:val="5"/>
        </w:numPr>
        <w:spacing w:before="120" w:after="120" w:line="276" w:lineRule="auto"/>
        <w:rPr>
          <w:sz w:val="20"/>
          <w:szCs w:val="20"/>
        </w:rPr>
      </w:pPr>
      <w:r w:rsidRPr="009F139F">
        <w:rPr>
          <w:b/>
          <w:bCs/>
          <w:sz w:val="20"/>
          <w:szCs w:val="20"/>
        </w:rPr>
        <w:t>Lack of established international certification schemes</w:t>
      </w:r>
      <w:r>
        <w:rPr>
          <w:sz w:val="20"/>
          <w:szCs w:val="20"/>
        </w:rPr>
        <w:t xml:space="preserve">: The absence of </w:t>
      </w:r>
      <w:r w:rsidR="000A1927">
        <w:rPr>
          <w:sz w:val="20"/>
          <w:szCs w:val="20"/>
        </w:rPr>
        <w:t xml:space="preserve">a </w:t>
      </w:r>
      <w:r>
        <w:rPr>
          <w:sz w:val="20"/>
          <w:szCs w:val="20"/>
        </w:rPr>
        <w:t xml:space="preserve">universally recognised certification scheme hindered full implementation </w:t>
      </w:r>
    </w:p>
    <w:p w14:paraId="18A21618" w14:textId="77777777" w:rsidR="00260735" w:rsidRDefault="00260735" w:rsidP="00FC58CE">
      <w:pPr>
        <w:pStyle w:val="ListParagraph"/>
        <w:numPr>
          <w:ilvl w:val="0"/>
          <w:numId w:val="5"/>
        </w:numPr>
        <w:spacing w:before="120" w:after="120" w:line="276" w:lineRule="auto"/>
        <w:rPr>
          <w:sz w:val="20"/>
          <w:szCs w:val="20"/>
        </w:rPr>
      </w:pPr>
      <w:r w:rsidRPr="009F139F">
        <w:rPr>
          <w:b/>
          <w:bCs/>
          <w:sz w:val="20"/>
          <w:szCs w:val="20"/>
        </w:rPr>
        <w:t>Varied participation levels</w:t>
      </w:r>
      <w:r>
        <w:rPr>
          <w:sz w:val="20"/>
          <w:szCs w:val="20"/>
        </w:rPr>
        <w:t xml:space="preserve">: Countries such as Spain had seen significant industry participation in voluntary initiatives (e.g. Operation Clean Sweep®) whereas others were still developing frameworks </w:t>
      </w:r>
    </w:p>
    <w:p w14:paraId="1D364853" w14:textId="77777777" w:rsidR="00260735" w:rsidRDefault="00260735" w:rsidP="00FC58CE">
      <w:pPr>
        <w:pStyle w:val="ListParagraph"/>
        <w:numPr>
          <w:ilvl w:val="0"/>
          <w:numId w:val="5"/>
        </w:numPr>
        <w:spacing w:before="120" w:after="120" w:line="276" w:lineRule="auto"/>
        <w:rPr>
          <w:sz w:val="20"/>
          <w:szCs w:val="20"/>
        </w:rPr>
      </w:pPr>
      <w:r w:rsidRPr="009F139F">
        <w:rPr>
          <w:b/>
          <w:bCs/>
          <w:sz w:val="20"/>
          <w:szCs w:val="20"/>
        </w:rPr>
        <w:t>Need for harmonisation</w:t>
      </w:r>
      <w:r>
        <w:rPr>
          <w:sz w:val="20"/>
          <w:szCs w:val="20"/>
        </w:rPr>
        <w:t xml:space="preserve">: Ensuring compatibility across different national measures and certification schemes remained a challenge </w:t>
      </w:r>
    </w:p>
    <w:p w14:paraId="222057F0" w14:textId="3749E4FC" w:rsidR="00347288" w:rsidRDefault="007E10AA" w:rsidP="00260735">
      <w:pPr>
        <w:spacing w:before="120" w:after="120" w:line="276" w:lineRule="auto"/>
        <w:rPr>
          <w:sz w:val="20"/>
          <w:szCs w:val="20"/>
        </w:rPr>
      </w:pPr>
      <w:r>
        <w:rPr>
          <w:sz w:val="20"/>
          <w:szCs w:val="20"/>
        </w:rPr>
        <w:t>A further report published in 2025 (</w:t>
      </w:r>
      <w:r w:rsidRPr="007E10AA">
        <w:rPr>
          <w:sz w:val="20"/>
          <w:szCs w:val="20"/>
        </w:rPr>
        <w:t>Implementation of OSPAR Recommendation 2021/06 on the reduction of plastic pellet loss into the marine environment</w:t>
      </w:r>
      <w:r>
        <w:rPr>
          <w:rStyle w:val="FootnoteReference"/>
          <w:sz w:val="20"/>
          <w:szCs w:val="20"/>
        </w:rPr>
        <w:footnoteReference w:id="2"/>
      </w:r>
      <w:r>
        <w:rPr>
          <w:sz w:val="20"/>
          <w:szCs w:val="20"/>
        </w:rPr>
        <w:t xml:space="preserve">) and based on national reports submitted by Contracting Parties in January 2023 and 2025, found that the majority of Contracting Parties had experienced barriers to the implementation of the Recommendation.  This is largely due to the timing of the launch and expansion of an international, industry led certification scheme as well as the announcement of the </w:t>
      </w:r>
      <w:r w:rsidRPr="00D5097E">
        <w:rPr>
          <w:sz w:val="20"/>
          <w:szCs w:val="20"/>
        </w:rPr>
        <w:t xml:space="preserve">EU Regulation </w:t>
      </w:r>
      <w:r>
        <w:rPr>
          <w:sz w:val="20"/>
          <w:szCs w:val="20"/>
        </w:rPr>
        <w:t xml:space="preserve">on preventing plastic pellet losses to reduce microplastic pollution.  </w:t>
      </w:r>
    </w:p>
    <w:p w14:paraId="711226B7" w14:textId="1EBE15A2" w:rsidR="007E10AA" w:rsidRPr="007E10AA" w:rsidRDefault="007E10AA" w:rsidP="007E10AA">
      <w:pPr>
        <w:spacing w:before="120" w:after="120" w:line="276" w:lineRule="auto"/>
        <w:rPr>
          <w:sz w:val="20"/>
          <w:szCs w:val="20"/>
        </w:rPr>
      </w:pPr>
      <w:r w:rsidRPr="7D7A86EC">
        <w:rPr>
          <w:sz w:val="20"/>
          <w:szCs w:val="20"/>
        </w:rPr>
        <w:t>Looking ahead, Contracting Parties expect that future reporting will show greater participation by relevant companies in such certification schemes and reflect the implementation of the EU Regulation.</w:t>
      </w:r>
    </w:p>
    <w:p w14:paraId="46815512" w14:textId="6BAB0213" w:rsidR="00260735" w:rsidRDefault="00260735" w:rsidP="00260735">
      <w:pPr>
        <w:spacing w:before="120" w:after="120" w:line="276" w:lineRule="auto"/>
        <w:rPr>
          <w:sz w:val="20"/>
          <w:szCs w:val="20"/>
        </w:rPr>
      </w:pPr>
      <w:r>
        <w:rPr>
          <w:sz w:val="20"/>
          <w:szCs w:val="20"/>
        </w:rPr>
        <w:t>The next comprehensive reporting on the implementation of Recommendation 2021/06</w:t>
      </w:r>
      <w:r w:rsidR="007E10AA">
        <w:rPr>
          <w:sz w:val="20"/>
          <w:szCs w:val="20"/>
        </w:rPr>
        <w:t xml:space="preserve"> is scheduled for </w:t>
      </w:r>
      <w:r w:rsidR="002535B4">
        <w:rPr>
          <w:sz w:val="20"/>
          <w:szCs w:val="20"/>
        </w:rPr>
        <w:t>31</w:t>
      </w:r>
      <w:r w:rsidR="002535B4" w:rsidRPr="002535B4">
        <w:rPr>
          <w:sz w:val="20"/>
          <w:szCs w:val="20"/>
          <w:vertAlign w:val="superscript"/>
        </w:rPr>
        <w:t>st</w:t>
      </w:r>
      <w:r w:rsidR="002535B4">
        <w:rPr>
          <w:sz w:val="20"/>
          <w:szCs w:val="20"/>
        </w:rPr>
        <w:t xml:space="preserve"> January 2031.  </w:t>
      </w:r>
      <w:r>
        <w:rPr>
          <w:sz w:val="20"/>
          <w:szCs w:val="20"/>
        </w:rPr>
        <w:t xml:space="preserve"> </w:t>
      </w:r>
    </w:p>
    <w:p w14:paraId="6AA960DD" w14:textId="77777777" w:rsidR="00260735" w:rsidRDefault="00260735" w:rsidP="00260735">
      <w:pPr>
        <w:spacing w:before="120" w:after="120" w:line="276" w:lineRule="auto"/>
        <w:rPr>
          <w:sz w:val="20"/>
          <w:szCs w:val="20"/>
        </w:rPr>
      </w:pPr>
    </w:p>
    <w:p w14:paraId="7EF5E981" w14:textId="77777777" w:rsidR="00260735" w:rsidRDefault="00260735" w:rsidP="003C74EA">
      <w:pPr>
        <w:pStyle w:val="heading03"/>
      </w:pPr>
      <w:bookmarkStart w:id="5" w:name="_Toc199236962"/>
      <w:bookmarkStart w:id="6" w:name="_Toc225594974"/>
      <w:r>
        <w:t>OSPAR Key Principles</w:t>
      </w:r>
      <w:bookmarkEnd w:id="5"/>
      <w:bookmarkEnd w:id="6"/>
      <w:r>
        <w:t xml:space="preserve"> </w:t>
      </w:r>
    </w:p>
    <w:p w14:paraId="3B0BF74B" w14:textId="0FD26E09" w:rsidR="00260735" w:rsidRDefault="00260735" w:rsidP="00260735">
      <w:pPr>
        <w:spacing w:before="120" w:after="120" w:line="276" w:lineRule="auto"/>
        <w:rPr>
          <w:sz w:val="20"/>
          <w:szCs w:val="20"/>
        </w:rPr>
      </w:pPr>
      <w:r>
        <w:rPr>
          <w:sz w:val="20"/>
          <w:szCs w:val="20"/>
        </w:rPr>
        <w:t xml:space="preserve">The overarching objective of the OSPAR recommendation is to achieve zero pellet loss and incorporates three key principles.  The table below details the objective/key principles and how </w:t>
      </w:r>
      <w:r w:rsidR="002535B4">
        <w:rPr>
          <w:sz w:val="20"/>
          <w:szCs w:val="20"/>
        </w:rPr>
        <w:t xml:space="preserve">EU Regulation 2025/2365 </w:t>
      </w:r>
      <w:r>
        <w:rPr>
          <w:sz w:val="20"/>
          <w:szCs w:val="20"/>
        </w:rPr>
        <w:t xml:space="preserve">meets (or does not meet) the principles.  </w:t>
      </w:r>
    </w:p>
    <w:tbl>
      <w:tblPr>
        <w:tblStyle w:val="GridTable1Light-Accent1"/>
        <w:tblW w:w="0" w:type="auto"/>
        <w:tblLook w:val="04A0" w:firstRow="1" w:lastRow="0" w:firstColumn="1" w:lastColumn="0" w:noHBand="0" w:noVBand="1"/>
      </w:tblPr>
      <w:tblGrid>
        <w:gridCol w:w="3681"/>
        <w:gridCol w:w="5335"/>
      </w:tblGrid>
      <w:tr w:rsidR="00260735" w14:paraId="234EA237" w14:textId="77777777" w:rsidTr="00C939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51AD4C8" w14:textId="77777777" w:rsidR="00260735" w:rsidRDefault="00260735" w:rsidP="0042524C">
            <w:pPr>
              <w:spacing w:before="120" w:after="120" w:line="276" w:lineRule="auto"/>
              <w:rPr>
                <w:sz w:val="20"/>
                <w:szCs w:val="20"/>
              </w:rPr>
            </w:pPr>
            <w:r>
              <w:rPr>
                <w:sz w:val="20"/>
                <w:szCs w:val="20"/>
              </w:rPr>
              <w:t xml:space="preserve">OSPAR objective/key principle </w:t>
            </w:r>
          </w:p>
        </w:tc>
        <w:tc>
          <w:tcPr>
            <w:tcW w:w="5335" w:type="dxa"/>
          </w:tcPr>
          <w:p w14:paraId="0161E303" w14:textId="05458B60" w:rsidR="00260735" w:rsidRDefault="00260735" w:rsidP="0042524C">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How</w:t>
            </w:r>
            <w:r w:rsidR="00BC290F">
              <w:rPr>
                <w:sz w:val="20"/>
                <w:szCs w:val="20"/>
              </w:rPr>
              <w:t xml:space="preserve"> EU Regulation 2025/2365 </w:t>
            </w:r>
            <w:r>
              <w:rPr>
                <w:sz w:val="20"/>
                <w:szCs w:val="20"/>
              </w:rPr>
              <w:t xml:space="preserve">meets this principle? </w:t>
            </w:r>
          </w:p>
        </w:tc>
      </w:tr>
      <w:tr w:rsidR="00260735" w14:paraId="61B4F02B" w14:textId="77777777" w:rsidTr="00182268">
        <w:tc>
          <w:tcPr>
            <w:cnfStyle w:val="001000000000" w:firstRow="0" w:lastRow="0" w:firstColumn="1" w:lastColumn="0" w:oddVBand="0" w:evenVBand="0" w:oddHBand="0" w:evenHBand="0" w:firstRowFirstColumn="0" w:firstRowLastColumn="0" w:lastRowFirstColumn="0" w:lastRowLastColumn="0"/>
            <w:tcW w:w="3681" w:type="dxa"/>
          </w:tcPr>
          <w:p w14:paraId="1AB1CD55" w14:textId="77777777" w:rsidR="00260735" w:rsidRPr="00042BA5" w:rsidRDefault="00260735" w:rsidP="0042524C">
            <w:pPr>
              <w:spacing w:before="120" w:after="120" w:line="276" w:lineRule="auto"/>
              <w:rPr>
                <w:b w:val="0"/>
                <w:bCs w:val="0"/>
                <w:sz w:val="20"/>
                <w:szCs w:val="20"/>
              </w:rPr>
            </w:pPr>
            <w:r w:rsidRPr="00042BA5">
              <w:rPr>
                <w:b w:val="0"/>
                <w:bCs w:val="0"/>
                <w:sz w:val="20"/>
                <w:szCs w:val="20"/>
              </w:rPr>
              <w:t xml:space="preserve">Achieve zero pellet loss across the plastic supply chain </w:t>
            </w:r>
          </w:p>
        </w:tc>
        <w:tc>
          <w:tcPr>
            <w:tcW w:w="5335" w:type="dxa"/>
          </w:tcPr>
          <w:p w14:paraId="364A6B59" w14:textId="193C54A0" w:rsidR="00AC24FA" w:rsidRDefault="008514D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EU </w:t>
            </w:r>
            <w:r w:rsidR="00AC24FA">
              <w:rPr>
                <w:sz w:val="20"/>
                <w:szCs w:val="20"/>
              </w:rPr>
              <w:t>Regulation</w:t>
            </w:r>
            <w:r>
              <w:rPr>
                <w:sz w:val="20"/>
                <w:szCs w:val="20"/>
              </w:rPr>
              <w:t xml:space="preserve"> 2025/2365 advances the principle of </w:t>
            </w:r>
            <w:r w:rsidR="00BB3DBD">
              <w:rPr>
                <w:sz w:val="20"/>
                <w:szCs w:val="20"/>
              </w:rPr>
              <w:t xml:space="preserve">achieving </w:t>
            </w:r>
            <w:r>
              <w:rPr>
                <w:sz w:val="20"/>
                <w:szCs w:val="20"/>
              </w:rPr>
              <w:t>zero pellet loss across the plastic supply chain by imposing comprehensive, legally binding requirements on all actors</w:t>
            </w:r>
            <w:r w:rsidR="00BB3DBD">
              <w:rPr>
                <w:sz w:val="20"/>
                <w:szCs w:val="20"/>
              </w:rPr>
              <w:t>, above the five-tonne threshold, involved</w:t>
            </w:r>
            <w:r>
              <w:rPr>
                <w:sz w:val="20"/>
                <w:szCs w:val="20"/>
              </w:rPr>
              <w:t xml:space="preserve"> in producing, handling, converting, transporting, storing and shipping plastic pellets. </w:t>
            </w:r>
          </w:p>
          <w:p w14:paraId="1B8510F4" w14:textId="5CED3707" w:rsidR="00AC24FA" w:rsidRDefault="00AC24F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It mandates risk management plans, preventative and containment equipment, staff training, record-keeping, spill </w:t>
            </w:r>
            <w:r>
              <w:rPr>
                <w:sz w:val="20"/>
                <w:szCs w:val="20"/>
              </w:rPr>
              <w:lastRenderedPageBreak/>
              <w:t xml:space="preserve">response and regular compliance checks ensuring strengthened controls at every stage of the supply chain.  </w:t>
            </w:r>
          </w:p>
          <w:p w14:paraId="06193504" w14:textId="4A39F1C2" w:rsidR="008514DA" w:rsidRDefault="00C93907"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Although the goal of the Regulation is ‘</w:t>
            </w:r>
            <w:r w:rsidRPr="00C93907">
              <w:rPr>
                <w:i/>
                <w:iCs/>
                <w:sz w:val="20"/>
                <w:szCs w:val="20"/>
              </w:rPr>
              <w:t>achieving zero pellet losses</w:t>
            </w:r>
            <w:r>
              <w:rPr>
                <w:sz w:val="20"/>
                <w:szCs w:val="20"/>
              </w:rPr>
              <w:t xml:space="preserve">’, it recognises that losses may still occur and immediate containment, clean-up and corrective actions are required when they do.  </w:t>
            </w:r>
          </w:p>
          <w:p w14:paraId="6A874026" w14:textId="3A42B75D" w:rsidR="00260735" w:rsidRDefault="00C93907"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Regulation substantially meets the principle by embedding zero pellet loss as its overarching aim</w:t>
            </w:r>
            <w:r w:rsidR="00182268">
              <w:rPr>
                <w:sz w:val="20"/>
                <w:szCs w:val="20"/>
              </w:rPr>
              <w:t xml:space="preserve"> and establishing detailed mechanisms to minimise spills.  However, practical limitations mean it ensures continual reduction and management rather than absolute elimination.  </w:t>
            </w:r>
            <w:r w:rsidR="00260735">
              <w:rPr>
                <w:sz w:val="20"/>
                <w:szCs w:val="20"/>
              </w:rPr>
              <w:t xml:space="preserve"> </w:t>
            </w:r>
          </w:p>
        </w:tc>
      </w:tr>
      <w:tr w:rsidR="00260735" w14:paraId="69BA365B" w14:textId="77777777" w:rsidTr="00AC1DCA">
        <w:tc>
          <w:tcPr>
            <w:cnfStyle w:val="001000000000" w:firstRow="0" w:lastRow="0" w:firstColumn="1" w:lastColumn="0" w:oddVBand="0" w:evenVBand="0" w:oddHBand="0" w:evenHBand="0" w:firstRowFirstColumn="0" w:firstRowLastColumn="0" w:lastRowFirstColumn="0" w:lastRowLastColumn="0"/>
            <w:tcW w:w="3681" w:type="dxa"/>
          </w:tcPr>
          <w:p w14:paraId="756E9B9A" w14:textId="77777777" w:rsidR="00260735" w:rsidRDefault="00260735" w:rsidP="0042524C">
            <w:pPr>
              <w:spacing w:before="120" w:after="120" w:line="276" w:lineRule="auto"/>
              <w:rPr>
                <w:sz w:val="20"/>
                <w:szCs w:val="20"/>
              </w:rPr>
            </w:pPr>
            <w:r>
              <w:rPr>
                <w:b w:val="0"/>
                <w:bCs w:val="0"/>
                <w:sz w:val="20"/>
                <w:szCs w:val="20"/>
              </w:rPr>
              <w:lastRenderedPageBreak/>
              <w:t xml:space="preserve">Priority orders of action for industry-wide best practice pellet handling </w:t>
            </w:r>
          </w:p>
          <w:p w14:paraId="2F54580F" w14:textId="77777777" w:rsidR="00260735" w:rsidRPr="003B1B50" w:rsidRDefault="00260735" w:rsidP="00FC58CE">
            <w:pPr>
              <w:pStyle w:val="ListParagraph"/>
              <w:numPr>
                <w:ilvl w:val="0"/>
                <w:numId w:val="3"/>
              </w:numPr>
              <w:spacing w:before="120" w:after="120" w:line="276" w:lineRule="auto"/>
              <w:rPr>
                <w:b w:val="0"/>
                <w:bCs w:val="0"/>
                <w:sz w:val="20"/>
                <w:szCs w:val="20"/>
              </w:rPr>
            </w:pPr>
            <w:r w:rsidRPr="003B1B50">
              <w:rPr>
                <w:b w:val="0"/>
                <w:bCs w:val="0"/>
                <w:sz w:val="20"/>
                <w:szCs w:val="20"/>
              </w:rPr>
              <w:t xml:space="preserve">Prevention </w:t>
            </w:r>
          </w:p>
          <w:p w14:paraId="51C30DB1" w14:textId="77777777" w:rsidR="00260735" w:rsidRPr="003B1B50" w:rsidRDefault="00260735" w:rsidP="00FC58CE">
            <w:pPr>
              <w:pStyle w:val="ListParagraph"/>
              <w:numPr>
                <w:ilvl w:val="0"/>
                <w:numId w:val="3"/>
              </w:numPr>
              <w:spacing w:before="120" w:after="120" w:line="276" w:lineRule="auto"/>
              <w:rPr>
                <w:b w:val="0"/>
                <w:bCs w:val="0"/>
                <w:sz w:val="20"/>
                <w:szCs w:val="20"/>
              </w:rPr>
            </w:pPr>
            <w:r>
              <w:rPr>
                <w:b w:val="0"/>
                <w:bCs w:val="0"/>
                <w:sz w:val="20"/>
                <w:szCs w:val="20"/>
              </w:rPr>
              <w:t xml:space="preserve">Containment and mitigation </w:t>
            </w:r>
          </w:p>
          <w:p w14:paraId="42F11BC3" w14:textId="10F26B58" w:rsidR="00260735" w:rsidRPr="003B1B50" w:rsidRDefault="00260735" w:rsidP="00FC58CE">
            <w:pPr>
              <w:pStyle w:val="ListParagraph"/>
              <w:numPr>
                <w:ilvl w:val="0"/>
                <w:numId w:val="3"/>
              </w:numPr>
              <w:spacing w:before="120" w:after="120" w:line="276" w:lineRule="auto"/>
              <w:rPr>
                <w:b w:val="0"/>
                <w:bCs w:val="0"/>
                <w:sz w:val="20"/>
                <w:szCs w:val="20"/>
              </w:rPr>
            </w:pPr>
            <w:r>
              <w:rPr>
                <w:b w:val="0"/>
                <w:bCs w:val="0"/>
                <w:sz w:val="20"/>
                <w:szCs w:val="20"/>
              </w:rPr>
              <w:t>Clean-up</w:t>
            </w:r>
          </w:p>
          <w:p w14:paraId="36C2E739" w14:textId="77777777" w:rsidR="00260735" w:rsidRPr="003B1B50" w:rsidRDefault="00260735" w:rsidP="0042524C">
            <w:pPr>
              <w:spacing w:before="120" w:after="120" w:line="276" w:lineRule="auto"/>
              <w:rPr>
                <w:b w:val="0"/>
                <w:bCs w:val="0"/>
                <w:sz w:val="20"/>
                <w:szCs w:val="20"/>
              </w:rPr>
            </w:pPr>
            <w:r>
              <w:rPr>
                <w:b w:val="0"/>
                <w:bCs w:val="0"/>
                <w:sz w:val="20"/>
                <w:szCs w:val="20"/>
              </w:rPr>
              <w:t xml:space="preserve">Must be a clear hierarchy of measures in the standard and certification scheme </w:t>
            </w:r>
          </w:p>
        </w:tc>
        <w:tc>
          <w:tcPr>
            <w:tcW w:w="5335" w:type="dxa"/>
          </w:tcPr>
          <w:p w14:paraId="224EF4AC" w14:textId="16BF3169" w:rsidR="00182268" w:rsidRDefault="00B139B1"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required hierarchy of best practice pellet handling is clearly embedded within the Regulation as it mandates that all economic operators and carriers implement measures in a strict order: </w:t>
            </w:r>
          </w:p>
          <w:p w14:paraId="41991646" w14:textId="79586C74" w:rsidR="00B139B1" w:rsidRDefault="00B139B1" w:rsidP="00FC58CE">
            <w:pPr>
              <w:pStyle w:val="ListParagraph"/>
              <w:numPr>
                <w:ilvl w:val="0"/>
                <w:numId w:val="1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Prevention </w:t>
            </w:r>
          </w:p>
          <w:p w14:paraId="1B9033DB" w14:textId="68D9D215" w:rsidR="00B139B1" w:rsidRDefault="00B139B1" w:rsidP="00FC58CE">
            <w:pPr>
              <w:pStyle w:val="ListParagraph"/>
              <w:numPr>
                <w:ilvl w:val="0"/>
                <w:numId w:val="1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Containment and mitigation </w:t>
            </w:r>
          </w:p>
          <w:p w14:paraId="458F19C7" w14:textId="64AC9A68" w:rsidR="00B139B1" w:rsidRPr="00B139B1" w:rsidRDefault="00B139B1" w:rsidP="00FC58CE">
            <w:pPr>
              <w:pStyle w:val="ListParagraph"/>
              <w:numPr>
                <w:ilvl w:val="0"/>
                <w:numId w:val="1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Clean-up </w:t>
            </w:r>
          </w:p>
          <w:p w14:paraId="78622893" w14:textId="1B69B2F7" w:rsidR="00182268" w:rsidRDefault="00B139B1"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5(5) explicitly sets out this priority order of action requiring prioritisation of preventing spills at source, followed by containing any spills to avoid losses and finally undertaking clean-up activities.  </w:t>
            </w:r>
          </w:p>
          <w:p w14:paraId="5AEA4DDE" w14:textId="6F14F203" w:rsidR="00AC1DCA" w:rsidRPr="00B139B1" w:rsidRDefault="00B139B1" w:rsidP="00B139B1">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This hierarchy is reinforced throughout Annex I and Annex III </w:t>
            </w:r>
            <w:r w:rsidR="005B4CCD">
              <w:rPr>
                <w:sz w:val="20"/>
                <w:szCs w:val="20"/>
              </w:rPr>
              <w:t xml:space="preserve">in </w:t>
            </w:r>
            <w:r>
              <w:rPr>
                <w:sz w:val="20"/>
                <w:szCs w:val="20"/>
              </w:rPr>
              <w:t xml:space="preserve">which specific equipment and procedures </w:t>
            </w:r>
            <w:r w:rsidR="00AC1DCA">
              <w:rPr>
                <w:sz w:val="20"/>
                <w:szCs w:val="20"/>
              </w:rPr>
              <w:t xml:space="preserve">categorised under prevention, containment and clean-up ensuring that certification, risk management plans and operational practices align with this structured sequence.  </w:t>
            </w:r>
          </w:p>
        </w:tc>
      </w:tr>
      <w:tr w:rsidR="00260735" w14:paraId="176B2317" w14:textId="77777777" w:rsidTr="00FE2D2E">
        <w:tc>
          <w:tcPr>
            <w:cnfStyle w:val="001000000000" w:firstRow="0" w:lastRow="0" w:firstColumn="1" w:lastColumn="0" w:oddVBand="0" w:evenVBand="0" w:oddHBand="0" w:evenHBand="0" w:firstRowFirstColumn="0" w:firstRowLastColumn="0" w:lastRowFirstColumn="0" w:lastRowLastColumn="0"/>
            <w:tcW w:w="3681" w:type="dxa"/>
          </w:tcPr>
          <w:p w14:paraId="27C432CD" w14:textId="77777777" w:rsidR="00260735" w:rsidRDefault="00260735" w:rsidP="0042524C">
            <w:pPr>
              <w:spacing w:before="120" w:after="120" w:line="276" w:lineRule="auto"/>
              <w:rPr>
                <w:sz w:val="20"/>
                <w:szCs w:val="20"/>
              </w:rPr>
            </w:pPr>
            <w:r>
              <w:rPr>
                <w:b w:val="0"/>
                <w:bCs w:val="0"/>
                <w:sz w:val="20"/>
                <w:szCs w:val="20"/>
              </w:rPr>
              <w:t xml:space="preserve">Reporting and Transparency </w:t>
            </w:r>
          </w:p>
          <w:p w14:paraId="2CDDB1F9" w14:textId="77777777" w:rsidR="00260735" w:rsidRDefault="00260735" w:rsidP="0042524C">
            <w:pPr>
              <w:spacing w:before="120" w:after="120" w:line="276" w:lineRule="auto"/>
              <w:rPr>
                <w:b w:val="0"/>
                <w:bCs w:val="0"/>
                <w:sz w:val="20"/>
                <w:szCs w:val="20"/>
              </w:rPr>
            </w:pPr>
            <w:r w:rsidRPr="003158D5">
              <w:rPr>
                <w:b w:val="0"/>
                <w:bCs w:val="0"/>
                <w:sz w:val="20"/>
                <w:szCs w:val="20"/>
              </w:rPr>
              <w:t>The reporting of any losses, and the reporting of upgraded handling practices, drives industry-wide improvement on the issue of pellet loss and allows for external tracking of progress.</w:t>
            </w:r>
          </w:p>
        </w:tc>
        <w:tc>
          <w:tcPr>
            <w:tcW w:w="5335" w:type="dxa"/>
          </w:tcPr>
          <w:p w14:paraId="2FADF638" w14:textId="46CF2F43" w:rsidR="00092348" w:rsidRDefault="00092348"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Article 18 requires a harmonised methodology for estimating pellet losses to be developed through the European standardisation process, with the Commission required to submit the standardisation request by 17 December 2026.  However, no deadline has been set for the resulting standard.  The obligation to estimate losses using that methodology will only apply six months after the standard is published in the Official Journal, or from the date an implementing act adopted under Article 18(3) takes effect.  Until the</w:t>
            </w:r>
            <w:r w:rsidR="002E49BD">
              <w:rPr>
                <w:sz w:val="20"/>
                <w:szCs w:val="20"/>
              </w:rPr>
              <w:t>n</w:t>
            </w:r>
            <w:r>
              <w:rPr>
                <w:sz w:val="20"/>
                <w:szCs w:val="20"/>
              </w:rPr>
              <w:t>, operators must continue to estimate losses using their own methods, meaning reported figures are unlikely to be directly comparable.</w:t>
            </w:r>
          </w:p>
          <w:p w14:paraId="09E8CE55" w14:textId="1B2F6CC1" w:rsidR="00092348" w:rsidRDefault="00092348"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However, the </w:t>
            </w:r>
            <w:r w:rsidR="00680988">
              <w:rPr>
                <w:sz w:val="20"/>
                <w:szCs w:val="20"/>
              </w:rPr>
              <w:t>Regulation</w:t>
            </w:r>
            <w:r>
              <w:rPr>
                <w:sz w:val="20"/>
                <w:szCs w:val="20"/>
              </w:rPr>
              <w:t xml:space="preserve"> introduces a number of measures intended to improve transparency and accountability.  Operators must maintain annual records of estimated pellet losses and the quantities of pellets handled, making the information available to competent authorities on request.   </w:t>
            </w:r>
          </w:p>
          <w:p w14:paraId="56BDE5CB" w14:textId="77777777" w:rsidR="00680988" w:rsidRPr="00680988" w:rsidRDefault="00680988" w:rsidP="0068098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80988">
              <w:rPr>
                <w:sz w:val="20"/>
                <w:szCs w:val="20"/>
              </w:rPr>
              <w:lastRenderedPageBreak/>
              <w:t xml:space="preserve">It mandates the public disclosure of key documents including risk management plans, self-declarations of conformity, certificates and permit information via easily accessible websites maintained by national authorities, with exceptions for safety and confidentiality.  </w:t>
            </w:r>
          </w:p>
          <w:p w14:paraId="4E258665" w14:textId="72169689" w:rsidR="00680988" w:rsidRPr="00680988" w:rsidRDefault="00680988" w:rsidP="0068098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80988">
              <w:rPr>
                <w:sz w:val="20"/>
                <w:szCs w:val="20"/>
              </w:rPr>
              <w:t>It obliges operators to report incidents or accidents involving pellet losses</w:t>
            </w:r>
            <w:r w:rsidR="00BB3DBD">
              <w:rPr>
                <w:sz w:val="20"/>
                <w:szCs w:val="20"/>
              </w:rPr>
              <w:t>, that cause a loss affecting human health or the environment,</w:t>
            </w:r>
            <w:r w:rsidRPr="00680988">
              <w:rPr>
                <w:sz w:val="20"/>
                <w:szCs w:val="20"/>
              </w:rPr>
              <w:t xml:space="preserve"> within 30 days, including cause and corrective measures.  </w:t>
            </w:r>
          </w:p>
          <w:p w14:paraId="206D2D2F" w14:textId="5C5CBD77" w:rsidR="00260735" w:rsidRPr="00E5027A" w:rsidRDefault="00680988" w:rsidP="00E5027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80988">
              <w:rPr>
                <w:sz w:val="20"/>
                <w:szCs w:val="20"/>
              </w:rPr>
              <w:t xml:space="preserve">Together these requirements help make the system more open and accountable.  Tracking losses and sharing information about improved handling practices enables external tracking of progress.  </w:t>
            </w:r>
          </w:p>
        </w:tc>
      </w:tr>
      <w:tr w:rsidR="00260735" w14:paraId="0D2C4DF4" w14:textId="77777777" w:rsidTr="005D2FED">
        <w:tc>
          <w:tcPr>
            <w:cnfStyle w:val="001000000000" w:firstRow="0" w:lastRow="0" w:firstColumn="1" w:lastColumn="0" w:oddVBand="0" w:evenVBand="0" w:oddHBand="0" w:evenHBand="0" w:firstRowFirstColumn="0" w:firstRowLastColumn="0" w:lastRowFirstColumn="0" w:lastRowLastColumn="0"/>
            <w:tcW w:w="3681" w:type="dxa"/>
          </w:tcPr>
          <w:p w14:paraId="042DF9FB" w14:textId="77777777" w:rsidR="00260735" w:rsidRDefault="00260735" w:rsidP="0042524C">
            <w:pPr>
              <w:spacing w:before="120" w:after="120" w:line="276" w:lineRule="auto"/>
              <w:rPr>
                <w:sz w:val="20"/>
                <w:szCs w:val="20"/>
              </w:rPr>
            </w:pPr>
            <w:r>
              <w:rPr>
                <w:b w:val="0"/>
                <w:bCs w:val="0"/>
                <w:sz w:val="20"/>
                <w:szCs w:val="20"/>
              </w:rPr>
              <w:lastRenderedPageBreak/>
              <w:t>Adoption</w:t>
            </w:r>
          </w:p>
          <w:p w14:paraId="72DBD6BD" w14:textId="77777777" w:rsidR="00260735" w:rsidRDefault="00260735" w:rsidP="0042524C">
            <w:pPr>
              <w:spacing w:before="120" w:after="120" w:line="276" w:lineRule="auto"/>
              <w:rPr>
                <w:sz w:val="20"/>
                <w:szCs w:val="20"/>
              </w:rPr>
            </w:pPr>
            <w:r>
              <w:rPr>
                <w:b w:val="0"/>
                <w:bCs w:val="0"/>
                <w:sz w:val="20"/>
                <w:szCs w:val="20"/>
              </w:rPr>
              <w:t xml:space="preserve">Best practice implemented by the full plastics supply chain and instigate an industry-wide culture shift.  </w:t>
            </w:r>
          </w:p>
          <w:p w14:paraId="76CA1894" w14:textId="77777777" w:rsidR="00260735" w:rsidRDefault="00260735" w:rsidP="0042524C">
            <w:pPr>
              <w:spacing w:before="120" w:after="120" w:line="276" w:lineRule="auto"/>
              <w:rPr>
                <w:b w:val="0"/>
                <w:bCs w:val="0"/>
                <w:sz w:val="20"/>
                <w:szCs w:val="20"/>
              </w:rPr>
            </w:pPr>
            <w:r>
              <w:rPr>
                <w:b w:val="0"/>
                <w:bCs w:val="0"/>
                <w:sz w:val="20"/>
                <w:szCs w:val="20"/>
              </w:rPr>
              <w:t xml:space="preserve">Apply to all businesses, regardless of size, handling or managing new or recycled plastic pellets. </w:t>
            </w:r>
          </w:p>
        </w:tc>
        <w:tc>
          <w:tcPr>
            <w:tcW w:w="5335" w:type="dxa"/>
          </w:tcPr>
          <w:p w14:paraId="633EA344" w14:textId="1BC64156" w:rsidR="00680988" w:rsidRPr="00680988" w:rsidRDefault="00680988" w:rsidP="0068098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80988">
              <w:rPr>
                <w:sz w:val="20"/>
                <w:szCs w:val="20"/>
              </w:rPr>
              <w:t>The Regulation imposes binding requirements on all economic operators handling five tonnes or more of plastic pellets annually, regardless of business size, and on EU and non-EU carriers and maritime shippers without any tonnage threshold (Article 1(2)).</w:t>
            </w:r>
            <w:r>
              <w:rPr>
                <w:sz w:val="20"/>
                <w:szCs w:val="20"/>
              </w:rPr>
              <w:t xml:space="preserve"> </w:t>
            </w:r>
            <w:r w:rsidRPr="00680988">
              <w:rPr>
                <w:sz w:val="20"/>
                <w:szCs w:val="20"/>
              </w:rPr>
              <w:t xml:space="preserve"> Its requirements for prevention, containment, clean-up, training and reporting support </w:t>
            </w:r>
            <w:r>
              <w:rPr>
                <w:sz w:val="20"/>
                <w:szCs w:val="20"/>
              </w:rPr>
              <w:t xml:space="preserve">a consistent approach to pellet loss prevention across the sector.  </w:t>
            </w:r>
          </w:p>
          <w:p w14:paraId="28A8FED4" w14:textId="798DE0A6" w:rsidR="00680988" w:rsidRPr="00680988" w:rsidRDefault="00680988" w:rsidP="0068098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80988">
              <w:rPr>
                <w:sz w:val="20"/>
                <w:szCs w:val="20"/>
              </w:rPr>
              <w:t xml:space="preserve">However, it does not fully align with </w:t>
            </w:r>
            <w:proofErr w:type="spellStart"/>
            <w:r w:rsidRPr="00680988">
              <w:rPr>
                <w:sz w:val="20"/>
                <w:szCs w:val="20"/>
              </w:rPr>
              <w:t>OSPAR's</w:t>
            </w:r>
            <w:proofErr w:type="spellEnd"/>
            <w:r w:rsidRPr="00680988">
              <w:rPr>
                <w:sz w:val="20"/>
                <w:szCs w:val="20"/>
              </w:rPr>
              <w:t xml:space="preserve"> principle that standards should apply to all businesses. </w:t>
            </w:r>
            <w:r>
              <w:rPr>
                <w:sz w:val="20"/>
                <w:szCs w:val="20"/>
              </w:rPr>
              <w:t xml:space="preserve"> </w:t>
            </w:r>
            <w:r w:rsidRPr="00680988">
              <w:rPr>
                <w:sz w:val="20"/>
                <w:szCs w:val="20"/>
              </w:rPr>
              <w:t>Operators handling fewer than five tonnes per year are excluded entirely, while installations handling less than 1,500 tonnes annually can rely on self-declaration rather than accredited third-party certification.</w:t>
            </w:r>
            <w:r>
              <w:rPr>
                <w:sz w:val="20"/>
                <w:szCs w:val="20"/>
              </w:rPr>
              <w:t xml:space="preserve"> </w:t>
            </w:r>
            <w:r w:rsidRPr="00680988">
              <w:rPr>
                <w:sz w:val="20"/>
                <w:szCs w:val="20"/>
              </w:rPr>
              <w:t xml:space="preserve"> </w:t>
            </w:r>
            <w:r>
              <w:rPr>
                <w:sz w:val="20"/>
                <w:szCs w:val="20"/>
              </w:rPr>
              <w:t xml:space="preserve">Instead, compliance is monitored through </w:t>
            </w:r>
            <w:r w:rsidR="00002D85">
              <w:rPr>
                <w:sz w:val="20"/>
                <w:szCs w:val="20"/>
              </w:rPr>
              <w:t>risk-based</w:t>
            </w:r>
            <w:r>
              <w:rPr>
                <w:sz w:val="20"/>
                <w:szCs w:val="20"/>
              </w:rPr>
              <w:t xml:space="preserve"> inspections by competent authorities.  </w:t>
            </w:r>
          </w:p>
          <w:p w14:paraId="4AED042A" w14:textId="5A0D3EA2" w:rsidR="00680988" w:rsidRPr="00680988" w:rsidRDefault="00680988" w:rsidP="0068098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80988">
              <w:rPr>
                <w:sz w:val="20"/>
                <w:szCs w:val="20"/>
              </w:rPr>
              <w:t>The Commission must review the impact of these thresholds by 17 December 2033, including the exclusion of smaller operators and the absence of a threshold for carriers (Article 25</w:t>
            </w:r>
            <w:r w:rsidR="00002D85">
              <w:rPr>
                <w:sz w:val="20"/>
                <w:szCs w:val="20"/>
              </w:rPr>
              <w:t>(1)(i)</w:t>
            </w:r>
            <w:r w:rsidRPr="00680988">
              <w:rPr>
                <w:sz w:val="20"/>
                <w:szCs w:val="20"/>
              </w:rPr>
              <w:t>).</w:t>
            </w:r>
          </w:p>
          <w:p w14:paraId="421DD2C9" w14:textId="167FD638" w:rsidR="004B6C18" w:rsidRDefault="00680988"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80988">
              <w:rPr>
                <w:sz w:val="20"/>
                <w:szCs w:val="20"/>
              </w:rPr>
              <w:t>The Regulation also differs in legal reach.</w:t>
            </w:r>
            <w:r>
              <w:rPr>
                <w:sz w:val="20"/>
                <w:szCs w:val="20"/>
              </w:rPr>
              <w:t xml:space="preserve"> </w:t>
            </w:r>
            <w:r w:rsidRPr="00680988">
              <w:rPr>
                <w:sz w:val="20"/>
                <w:szCs w:val="20"/>
              </w:rPr>
              <w:t xml:space="preserve"> It is directly applicable and legally binding across the EU but does not extend to the four OSPAR Contracting Parties outside the EU. </w:t>
            </w:r>
            <w:r>
              <w:rPr>
                <w:sz w:val="20"/>
                <w:szCs w:val="20"/>
              </w:rPr>
              <w:t xml:space="preserve"> </w:t>
            </w:r>
          </w:p>
        </w:tc>
      </w:tr>
    </w:tbl>
    <w:p w14:paraId="79956A8A" w14:textId="77777777" w:rsidR="00D5097E" w:rsidRDefault="00D5097E" w:rsidP="00D4522D">
      <w:pPr>
        <w:spacing w:before="120" w:after="120" w:line="276" w:lineRule="auto"/>
        <w:rPr>
          <w:sz w:val="20"/>
          <w:szCs w:val="20"/>
        </w:rPr>
      </w:pPr>
    </w:p>
    <w:p w14:paraId="50DECF05" w14:textId="0EB8E4A3" w:rsidR="00D5097E" w:rsidRDefault="00D5097E">
      <w:pPr>
        <w:rPr>
          <w:sz w:val="20"/>
          <w:szCs w:val="20"/>
        </w:rPr>
      </w:pPr>
      <w:r>
        <w:rPr>
          <w:sz w:val="20"/>
          <w:szCs w:val="20"/>
        </w:rPr>
        <w:br w:type="page"/>
      </w:r>
    </w:p>
    <w:p w14:paraId="6627F151" w14:textId="4AC0D61C" w:rsidR="00D5097E" w:rsidRPr="00D5097E" w:rsidRDefault="00D5097E" w:rsidP="00FC58CE">
      <w:pPr>
        <w:pStyle w:val="Heading01"/>
        <w:numPr>
          <w:ilvl w:val="0"/>
          <w:numId w:val="1"/>
        </w:numPr>
      </w:pPr>
      <w:bookmarkStart w:id="7" w:name="_Toc225594975"/>
      <w:r w:rsidRPr="00D5097E">
        <w:lastRenderedPageBreak/>
        <w:t>Overview of the EU Regulation</w:t>
      </w:r>
      <w:bookmarkEnd w:id="7"/>
    </w:p>
    <w:p w14:paraId="02E56C14" w14:textId="049D886C" w:rsidR="00D5097E" w:rsidRDefault="00D1289E" w:rsidP="00D5097E">
      <w:pPr>
        <w:spacing w:before="120" w:after="120" w:line="276" w:lineRule="auto"/>
        <w:rPr>
          <w:sz w:val="20"/>
          <w:szCs w:val="20"/>
        </w:rPr>
      </w:pPr>
      <w:r>
        <w:rPr>
          <w:sz w:val="20"/>
          <w:szCs w:val="20"/>
        </w:rPr>
        <w:t xml:space="preserve">EU Regulation 2025/2365 is the European Union’s first comprehensive </w:t>
      </w:r>
      <w:r w:rsidR="005D65F4">
        <w:rPr>
          <w:sz w:val="20"/>
          <w:szCs w:val="20"/>
        </w:rPr>
        <w:t>legal</w:t>
      </w:r>
      <w:r>
        <w:rPr>
          <w:sz w:val="20"/>
          <w:szCs w:val="20"/>
        </w:rPr>
        <w:t xml:space="preserve"> framework aimed at preventing plastic pellet losses across the </w:t>
      </w:r>
      <w:r w:rsidR="007A5E5F">
        <w:rPr>
          <w:sz w:val="20"/>
          <w:szCs w:val="20"/>
        </w:rPr>
        <w:t>entire supply chain, with the broader objective of reducing microplastic pollution at source.  It was adopted on 12</w:t>
      </w:r>
      <w:r w:rsidR="007A5E5F" w:rsidRPr="007A5E5F">
        <w:rPr>
          <w:sz w:val="20"/>
          <w:szCs w:val="20"/>
          <w:vertAlign w:val="superscript"/>
        </w:rPr>
        <w:t>th</w:t>
      </w:r>
      <w:r w:rsidR="007A5E5F">
        <w:rPr>
          <w:sz w:val="20"/>
          <w:szCs w:val="20"/>
        </w:rPr>
        <w:t xml:space="preserve"> November 2025 and published on 26</w:t>
      </w:r>
      <w:r w:rsidR="007A5E5F" w:rsidRPr="007A5E5F">
        <w:rPr>
          <w:sz w:val="20"/>
          <w:szCs w:val="20"/>
          <w:vertAlign w:val="superscript"/>
        </w:rPr>
        <w:t>th</w:t>
      </w:r>
      <w:r w:rsidR="007A5E5F">
        <w:rPr>
          <w:sz w:val="20"/>
          <w:szCs w:val="20"/>
        </w:rPr>
        <w:t xml:space="preserve"> November 2025, entering into force on 16</w:t>
      </w:r>
      <w:r w:rsidR="007A5E5F" w:rsidRPr="007A5E5F">
        <w:rPr>
          <w:sz w:val="20"/>
          <w:szCs w:val="20"/>
          <w:vertAlign w:val="superscript"/>
        </w:rPr>
        <w:t>th</w:t>
      </w:r>
      <w:r w:rsidR="007A5E5F">
        <w:rPr>
          <w:sz w:val="20"/>
          <w:szCs w:val="20"/>
        </w:rPr>
        <w:t xml:space="preserve"> December 2025.  It forms part of the EU’s Zero Pollution Action Plan</w:t>
      </w:r>
      <w:r w:rsidR="007A5E5F">
        <w:rPr>
          <w:rStyle w:val="FootnoteReference"/>
          <w:sz w:val="20"/>
          <w:szCs w:val="20"/>
        </w:rPr>
        <w:footnoteReference w:id="3"/>
      </w:r>
      <w:r w:rsidR="007A5E5F">
        <w:rPr>
          <w:sz w:val="20"/>
          <w:szCs w:val="20"/>
        </w:rPr>
        <w:t>, complementing existing measures such as the REACH microplastics restriction, the Single-Use Plastics Directive and the Packaging and Packaging Waste Regulation (</w:t>
      </w:r>
      <w:proofErr w:type="spellStart"/>
      <w:r w:rsidR="007A5E5F">
        <w:rPr>
          <w:sz w:val="20"/>
          <w:szCs w:val="20"/>
        </w:rPr>
        <w:t>PPWR</w:t>
      </w:r>
      <w:proofErr w:type="spellEnd"/>
      <w:r w:rsidR="007A5E5F">
        <w:rPr>
          <w:sz w:val="20"/>
          <w:szCs w:val="20"/>
        </w:rPr>
        <w:t xml:space="preserve">).  </w:t>
      </w:r>
    </w:p>
    <w:p w14:paraId="53EEF60C" w14:textId="62097AB3" w:rsidR="00DD0B95" w:rsidRDefault="005D65F4" w:rsidP="00D5097E">
      <w:pPr>
        <w:spacing w:before="120" w:after="120" w:line="276" w:lineRule="auto"/>
        <w:rPr>
          <w:sz w:val="20"/>
          <w:szCs w:val="20"/>
        </w:rPr>
      </w:pPr>
      <w:r>
        <w:rPr>
          <w:sz w:val="20"/>
          <w:szCs w:val="20"/>
        </w:rPr>
        <w:t xml:space="preserve">Plastic pellets, </w:t>
      </w:r>
      <w:r w:rsidR="00ED2E0B">
        <w:rPr>
          <w:sz w:val="20"/>
          <w:szCs w:val="20"/>
        </w:rPr>
        <w:t>flakes and powders</w:t>
      </w:r>
      <w:r w:rsidR="00205A5E">
        <w:rPr>
          <w:sz w:val="20"/>
          <w:szCs w:val="20"/>
        </w:rPr>
        <w:t>,</w:t>
      </w:r>
      <w:r>
        <w:rPr>
          <w:sz w:val="20"/>
          <w:szCs w:val="20"/>
        </w:rPr>
        <w:t xml:space="preserve"> are a source of microplastic pollution and the EU estimates that billions leak into the environment every year through poor handling, accidents and transport incidents.  Once </w:t>
      </w:r>
      <w:r w:rsidR="00ED2E0B">
        <w:rPr>
          <w:sz w:val="20"/>
          <w:szCs w:val="20"/>
        </w:rPr>
        <w:t>lost</w:t>
      </w:r>
      <w:r>
        <w:rPr>
          <w:sz w:val="20"/>
          <w:szCs w:val="20"/>
        </w:rPr>
        <w:t xml:space="preserve"> pellets are</w:t>
      </w:r>
      <w:r w:rsidR="0055230B">
        <w:rPr>
          <w:sz w:val="20"/>
          <w:szCs w:val="20"/>
        </w:rPr>
        <w:t xml:space="preserve"> difficult</w:t>
      </w:r>
      <w:r>
        <w:rPr>
          <w:sz w:val="20"/>
          <w:szCs w:val="20"/>
        </w:rPr>
        <w:t xml:space="preserve"> to recover, harming wildlife, ecosystems and </w:t>
      </w:r>
      <w:r w:rsidR="0055230B">
        <w:rPr>
          <w:sz w:val="20"/>
          <w:szCs w:val="20"/>
        </w:rPr>
        <w:t xml:space="preserve">potentially </w:t>
      </w:r>
      <w:r>
        <w:rPr>
          <w:sz w:val="20"/>
          <w:szCs w:val="20"/>
        </w:rPr>
        <w:t xml:space="preserve">human health.  </w:t>
      </w:r>
    </w:p>
    <w:p w14:paraId="6480A11D" w14:textId="04DE9828" w:rsidR="005D65F4" w:rsidRDefault="005D65F4" w:rsidP="00D5097E">
      <w:pPr>
        <w:spacing w:before="120" w:after="120" w:line="276" w:lineRule="auto"/>
        <w:rPr>
          <w:sz w:val="20"/>
          <w:szCs w:val="20"/>
        </w:rPr>
      </w:pPr>
      <w:r>
        <w:rPr>
          <w:sz w:val="20"/>
          <w:szCs w:val="20"/>
        </w:rPr>
        <w:t xml:space="preserve">This Regulation responds to long-standing concerns about microplastic pollution and aims to achieve zero pellet loss by requiring economic operators and transport carriers to adopt strict handling, containment, </w:t>
      </w:r>
      <w:r w:rsidR="00ED2E0B">
        <w:rPr>
          <w:sz w:val="20"/>
          <w:szCs w:val="20"/>
        </w:rPr>
        <w:t xml:space="preserve">clean-up and </w:t>
      </w:r>
      <w:r>
        <w:rPr>
          <w:sz w:val="20"/>
          <w:szCs w:val="20"/>
        </w:rPr>
        <w:t xml:space="preserve">monitoring reporting practices.  It adopts a whole supply chain approach covering production, processing, packaging, transport (by land and sea), storage and container cleaning.  </w:t>
      </w:r>
    </w:p>
    <w:p w14:paraId="08F3EE6D" w14:textId="77777777" w:rsidR="00DD0B95" w:rsidRDefault="00DD0B95" w:rsidP="00D5097E">
      <w:pPr>
        <w:spacing w:before="120" w:after="120" w:line="276" w:lineRule="auto"/>
        <w:rPr>
          <w:sz w:val="20"/>
          <w:szCs w:val="20"/>
        </w:rPr>
      </w:pPr>
    </w:p>
    <w:p w14:paraId="675E56D0" w14:textId="7BB89F84" w:rsidR="0055230B" w:rsidRDefault="0055230B" w:rsidP="0055230B">
      <w:pPr>
        <w:pStyle w:val="Heading02"/>
      </w:pPr>
      <w:bookmarkStart w:id="8" w:name="_Toc225594976"/>
      <w:r>
        <w:t>Why the Regulation was introduced</w:t>
      </w:r>
      <w:bookmarkEnd w:id="8"/>
      <w:r>
        <w:t xml:space="preserve"> </w:t>
      </w:r>
    </w:p>
    <w:p w14:paraId="75899DEC" w14:textId="1C2370BB" w:rsidR="00DD0B95" w:rsidRDefault="0055230B" w:rsidP="00D5097E">
      <w:pPr>
        <w:spacing w:before="120" w:after="120" w:line="276" w:lineRule="auto"/>
        <w:rPr>
          <w:sz w:val="20"/>
          <w:szCs w:val="20"/>
        </w:rPr>
      </w:pPr>
      <w:r>
        <w:rPr>
          <w:sz w:val="20"/>
          <w:szCs w:val="20"/>
        </w:rPr>
        <w:t xml:space="preserve">Microplastics, including those created when pellets escape into the environment, are found in soil, rivers, oceans, beaches, food and air.  They are particularly problematic as they can persist for decades, be mistaken for food by seabirds, sea turtles and other marine life, carry harmful chemicals or pathogens and clean-up can be extremely difficult once they reach natural environments.  </w:t>
      </w:r>
    </w:p>
    <w:p w14:paraId="442AEE41" w14:textId="2B79F01E" w:rsidR="0055230B" w:rsidRDefault="0055230B" w:rsidP="00D5097E">
      <w:pPr>
        <w:spacing w:before="120" w:after="120" w:line="276" w:lineRule="auto"/>
        <w:rPr>
          <w:sz w:val="20"/>
          <w:szCs w:val="20"/>
        </w:rPr>
      </w:pPr>
      <w:r>
        <w:rPr>
          <w:sz w:val="20"/>
          <w:szCs w:val="20"/>
        </w:rPr>
        <w:t>Pellet losses occur through routine mishandling and large-scale incidents at sea.  For example, the 2023 ‘</w:t>
      </w:r>
      <w:proofErr w:type="spellStart"/>
      <w:r>
        <w:rPr>
          <w:sz w:val="20"/>
          <w:szCs w:val="20"/>
        </w:rPr>
        <w:t>Toconao</w:t>
      </w:r>
      <w:proofErr w:type="spellEnd"/>
      <w:r>
        <w:rPr>
          <w:sz w:val="20"/>
          <w:szCs w:val="20"/>
        </w:rPr>
        <w:t xml:space="preserve">’ container loss off the coast of Spain released millions of pellets and severely impacted coastal communities.  </w:t>
      </w:r>
    </w:p>
    <w:p w14:paraId="14AE3BBA" w14:textId="0A01B502" w:rsidR="000F7519" w:rsidRDefault="000F7519" w:rsidP="00D5097E">
      <w:pPr>
        <w:spacing w:before="120" w:after="120" w:line="276" w:lineRule="auto"/>
        <w:rPr>
          <w:sz w:val="20"/>
          <w:szCs w:val="20"/>
        </w:rPr>
      </w:pPr>
      <w:r w:rsidRPr="000F7519">
        <w:rPr>
          <w:sz w:val="20"/>
          <w:szCs w:val="20"/>
        </w:rPr>
        <w:t xml:space="preserve">Until now, EU legislation did not include specific, binding requirements governing pellet handling.  Voluntary initiatives such as Operation Clean Sweep® had low uptake and inconsistent implementation.  Similarly, voluntary international shipping measures from the IMO have had limited implementation.  In 2024 the IMO Marine Environment Protection Committee approved </w:t>
      </w:r>
      <w:proofErr w:type="spellStart"/>
      <w:r w:rsidRPr="000F7519">
        <w:rPr>
          <w:sz w:val="20"/>
          <w:szCs w:val="20"/>
        </w:rPr>
        <w:t>MEPC.1</w:t>
      </w:r>
      <w:proofErr w:type="spellEnd"/>
      <w:r w:rsidRPr="000F7519">
        <w:rPr>
          <w:sz w:val="20"/>
          <w:szCs w:val="20"/>
        </w:rPr>
        <w:t>/</w:t>
      </w:r>
      <w:proofErr w:type="spellStart"/>
      <w:r w:rsidRPr="000F7519">
        <w:rPr>
          <w:sz w:val="20"/>
          <w:szCs w:val="20"/>
        </w:rPr>
        <w:t>Circ.909</w:t>
      </w:r>
      <w:proofErr w:type="spellEnd"/>
      <w:r w:rsidRPr="000F7519">
        <w:rPr>
          <w:sz w:val="20"/>
          <w:szCs w:val="20"/>
        </w:rPr>
        <w:t>, covering the packaging, transport documentation and stowage of freight containers carrying plastic pellets.  Because the circular is not binding it has not been applied consistently, and the Regulation proceeds on that basis: recital 19 records that those recommendations ‘are not legally binding’ and that the Union should therefore introduce binding rules, while recital 16 calls on the Union and its Member States to ‘</w:t>
      </w:r>
      <w:r w:rsidRPr="00885B9A">
        <w:rPr>
          <w:i/>
          <w:iCs/>
          <w:sz w:val="20"/>
          <w:szCs w:val="20"/>
        </w:rPr>
        <w:t xml:space="preserve">pursue efforts to make the recommendations in </w:t>
      </w:r>
      <w:proofErr w:type="spellStart"/>
      <w:r w:rsidRPr="00885B9A">
        <w:rPr>
          <w:i/>
          <w:iCs/>
          <w:sz w:val="20"/>
          <w:szCs w:val="20"/>
        </w:rPr>
        <w:t>MEPC.1</w:t>
      </w:r>
      <w:proofErr w:type="spellEnd"/>
      <w:r w:rsidRPr="00885B9A">
        <w:rPr>
          <w:i/>
          <w:iCs/>
          <w:sz w:val="20"/>
          <w:szCs w:val="20"/>
        </w:rPr>
        <w:t>/</w:t>
      </w:r>
      <w:proofErr w:type="spellStart"/>
      <w:r w:rsidRPr="00885B9A">
        <w:rPr>
          <w:i/>
          <w:iCs/>
          <w:sz w:val="20"/>
          <w:szCs w:val="20"/>
        </w:rPr>
        <w:t>Circ</w:t>
      </w:r>
      <w:proofErr w:type="spellEnd"/>
      <w:r w:rsidRPr="00885B9A">
        <w:rPr>
          <w:i/>
          <w:iCs/>
          <w:sz w:val="20"/>
          <w:szCs w:val="20"/>
        </w:rPr>
        <w:t xml:space="preserve"> 909 mandatory at international level</w:t>
      </w:r>
      <w:r w:rsidRPr="000F7519">
        <w:rPr>
          <w:sz w:val="20"/>
          <w:szCs w:val="20"/>
        </w:rPr>
        <w:t xml:space="preserve">’.  </w:t>
      </w:r>
    </w:p>
    <w:p w14:paraId="280BF507" w14:textId="77777777" w:rsidR="00DD0B95" w:rsidRDefault="00DD0B95" w:rsidP="00D5097E">
      <w:pPr>
        <w:spacing w:before="120" w:after="120" w:line="276" w:lineRule="auto"/>
        <w:rPr>
          <w:sz w:val="20"/>
          <w:szCs w:val="20"/>
        </w:rPr>
      </w:pPr>
    </w:p>
    <w:p w14:paraId="3EBA99D8" w14:textId="1987FBA5" w:rsidR="00DD0B95" w:rsidRDefault="0090777F" w:rsidP="00DD0B95">
      <w:pPr>
        <w:pStyle w:val="Heading02"/>
      </w:pPr>
      <w:bookmarkStart w:id="9" w:name="_Toc225594977"/>
      <w:r>
        <w:t>Scope</w:t>
      </w:r>
      <w:bookmarkEnd w:id="9"/>
      <w:r>
        <w:t xml:space="preserve"> </w:t>
      </w:r>
    </w:p>
    <w:p w14:paraId="0D9C42C8" w14:textId="513B459B" w:rsidR="00DD0B95" w:rsidRDefault="0090777F" w:rsidP="00D5097E">
      <w:pPr>
        <w:spacing w:before="120" w:after="120" w:line="276" w:lineRule="auto"/>
        <w:rPr>
          <w:sz w:val="20"/>
          <w:szCs w:val="20"/>
        </w:rPr>
      </w:pPr>
      <w:r>
        <w:rPr>
          <w:sz w:val="20"/>
          <w:szCs w:val="20"/>
        </w:rPr>
        <w:t xml:space="preserve">The Regulation applies broadly to anyone handling or transporting pellets within the EU, including: </w:t>
      </w:r>
    </w:p>
    <w:p w14:paraId="5A182C83" w14:textId="4CAACAE7" w:rsidR="0090777F" w:rsidRDefault="0090777F" w:rsidP="00FC58CE">
      <w:pPr>
        <w:pStyle w:val="ListParagraph"/>
        <w:numPr>
          <w:ilvl w:val="0"/>
          <w:numId w:val="28"/>
        </w:numPr>
        <w:spacing w:before="120" w:after="120" w:line="276" w:lineRule="auto"/>
        <w:rPr>
          <w:sz w:val="20"/>
          <w:szCs w:val="20"/>
        </w:rPr>
      </w:pPr>
      <w:r>
        <w:rPr>
          <w:sz w:val="20"/>
          <w:szCs w:val="20"/>
        </w:rPr>
        <w:t xml:space="preserve">Manufacturers, processors, recyclers and converters handling </w:t>
      </w:r>
      <w:r>
        <w:rPr>
          <w:rFonts w:cstheme="minorHAnsi"/>
          <w:sz w:val="20"/>
          <w:szCs w:val="20"/>
        </w:rPr>
        <w:t>≥</w:t>
      </w:r>
      <w:r>
        <w:rPr>
          <w:sz w:val="20"/>
          <w:szCs w:val="20"/>
        </w:rPr>
        <w:t xml:space="preserve"> 5 tonnes/year </w:t>
      </w:r>
    </w:p>
    <w:p w14:paraId="0960635B" w14:textId="32A1B9D3" w:rsidR="0090777F" w:rsidRDefault="0090777F" w:rsidP="00FC58CE">
      <w:pPr>
        <w:pStyle w:val="ListParagraph"/>
        <w:numPr>
          <w:ilvl w:val="0"/>
          <w:numId w:val="28"/>
        </w:numPr>
        <w:spacing w:before="120" w:after="120" w:line="276" w:lineRule="auto"/>
        <w:rPr>
          <w:sz w:val="20"/>
          <w:szCs w:val="20"/>
        </w:rPr>
      </w:pPr>
      <w:r>
        <w:rPr>
          <w:sz w:val="20"/>
          <w:szCs w:val="20"/>
        </w:rPr>
        <w:t xml:space="preserve">Installations that clean pellet containers or tanks </w:t>
      </w:r>
    </w:p>
    <w:p w14:paraId="41C06B48" w14:textId="6B63A1EB" w:rsidR="0090777F" w:rsidRDefault="0090777F" w:rsidP="00FC58CE">
      <w:pPr>
        <w:pStyle w:val="ListParagraph"/>
        <w:numPr>
          <w:ilvl w:val="0"/>
          <w:numId w:val="28"/>
        </w:numPr>
        <w:spacing w:before="120" w:after="120" w:line="276" w:lineRule="auto"/>
        <w:rPr>
          <w:sz w:val="20"/>
          <w:szCs w:val="20"/>
        </w:rPr>
      </w:pPr>
      <w:r>
        <w:rPr>
          <w:sz w:val="20"/>
          <w:szCs w:val="20"/>
        </w:rPr>
        <w:t xml:space="preserve">EU and non-EU carriers transporting pellets by road, rail or inland waterways </w:t>
      </w:r>
    </w:p>
    <w:p w14:paraId="1EAB6266" w14:textId="1E15E7A3" w:rsidR="0090777F" w:rsidRDefault="0090777F" w:rsidP="00FC58CE">
      <w:pPr>
        <w:pStyle w:val="ListParagraph"/>
        <w:numPr>
          <w:ilvl w:val="0"/>
          <w:numId w:val="28"/>
        </w:numPr>
        <w:spacing w:before="120" w:after="120" w:line="276" w:lineRule="auto"/>
        <w:rPr>
          <w:sz w:val="20"/>
          <w:szCs w:val="20"/>
        </w:rPr>
      </w:pPr>
      <w:r>
        <w:rPr>
          <w:sz w:val="20"/>
          <w:szCs w:val="20"/>
        </w:rPr>
        <w:t xml:space="preserve">Shippers, operators, agents and masters of seagoing vessels carrying pellet containers to or from EU ports </w:t>
      </w:r>
    </w:p>
    <w:p w14:paraId="1F7F819F" w14:textId="593DE2BC" w:rsidR="009577DA" w:rsidRDefault="0090777F" w:rsidP="00D5097E">
      <w:pPr>
        <w:spacing w:before="120" w:after="120" w:line="276" w:lineRule="auto"/>
        <w:rPr>
          <w:sz w:val="20"/>
          <w:szCs w:val="20"/>
        </w:rPr>
      </w:pPr>
      <w:r>
        <w:rPr>
          <w:sz w:val="20"/>
          <w:szCs w:val="20"/>
        </w:rPr>
        <w:lastRenderedPageBreak/>
        <w:t xml:space="preserve">Compliance requirements vary based on company size and the volume of pellets handled.  </w:t>
      </w:r>
      <w:r w:rsidR="002E01B4">
        <w:rPr>
          <w:sz w:val="20"/>
          <w:szCs w:val="20"/>
        </w:rPr>
        <w:t>T</w:t>
      </w:r>
      <w:r w:rsidR="002E01B4" w:rsidRPr="00885B9A">
        <w:rPr>
          <w:sz w:val="20"/>
          <w:szCs w:val="20"/>
        </w:rPr>
        <w:t>he tonnage thresholds apply to economic operators.  Carriers and maritime actors are in scope at any volume.</w:t>
      </w:r>
    </w:p>
    <w:p w14:paraId="2EF86337" w14:textId="77777777" w:rsidR="00ED2E0B" w:rsidRDefault="00ED2E0B" w:rsidP="00D5097E">
      <w:pPr>
        <w:spacing w:before="120" w:after="120" w:line="276" w:lineRule="auto"/>
        <w:rPr>
          <w:sz w:val="20"/>
          <w:szCs w:val="20"/>
        </w:rPr>
      </w:pPr>
    </w:p>
    <w:p w14:paraId="05C7C0A5" w14:textId="553F7019" w:rsidR="00ED2E0B" w:rsidRPr="00DD0B95" w:rsidRDefault="00DF796B" w:rsidP="00ED2E0B">
      <w:pPr>
        <w:pStyle w:val="heading03"/>
      </w:pPr>
      <w:bookmarkStart w:id="10" w:name="_Toc225594978"/>
      <w:r>
        <w:t>Overview of t</w:t>
      </w:r>
      <w:r w:rsidR="00ED2E0B">
        <w:t>hresholds and pellet handling obligations</w:t>
      </w:r>
      <w:bookmarkEnd w:id="10"/>
      <w:r w:rsidR="00ED2E0B">
        <w:t xml:space="preserve"> </w:t>
      </w:r>
    </w:p>
    <w:tbl>
      <w:tblPr>
        <w:tblStyle w:val="GridTable1Light-Accent1"/>
        <w:tblW w:w="0" w:type="auto"/>
        <w:tblLook w:val="04A0" w:firstRow="1" w:lastRow="0" w:firstColumn="1" w:lastColumn="0" w:noHBand="0" w:noVBand="1"/>
      </w:tblPr>
      <w:tblGrid>
        <w:gridCol w:w="3005"/>
        <w:gridCol w:w="2519"/>
        <w:gridCol w:w="3492"/>
      </w:tblGrid>
      <w:tr w:rsidR="00ED2E0B" w14:paraId="5D994DCE" w14:textId="77777777" w:rsidTr="00DF79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2E631767" w14:textId="16D32EB5" w:rsidR="00ED2E0B" w:rsidRDefault="00ED2E0B" w:rsidP="00D5097E">
            <w:pPr>
              <w:spacing w:before="120" w:after="120" w:line="276" w:lineRule="auto"/>
              <w:rPr>
                <w:sz w:val="20"/>
                <w:szCs w:val="20"/>
              </w:rPr>
            </w:pPr>
            <w:r>
              <w:rPr>
                <w:sz w:val="20"/>
                <w:szCs w:val="20"/>
              </w:rPr>
              <w:t xml:space="preserve">Volume of pellets handled per year </w:t>
            </w:r>
          </w:p>
        </w:tc>
        <w:tc>
          <w:tcPr>
            <w:tcW w:w="2519" w:type="dxa"/>
          </w:tcPr>
          <w:p w14:paraId="2A85A8FB" w14:textId="49628C02" w:rsidR="00ED2E0B" w:rsidRDefault="00ED2E0B" w:rsidP="00D5097E">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Who this applies to </w:t>
            </w:r>
          </w:p>
        </w:tc>
        <w:tc>
          <w:tcPr>
            <w:tcW w:w="3492" w:type="dxa"/>
          </w:tcPr>
          <w:p w14:paraId="64B06180" w14:textId="3843F084" w:rsidR="00ED2E0B" w:rsidRDefault="00ED2E0B" w:rsidP="00D5097E">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Main obligations </w:t>
            </w:r>
          </w:p>
        </w:tc>
      </w:tr>
      <w:tr w:rsidR="00ED2E0B" w14:paraId="20BAFC6D" w14:textId="77777777" w:rsidTr="00DF796B">
        <w:tc>
          <w:tcPr>
            <w:cnfStyle w:val="001000000000" w:firstRow="0" w:lastRow="0" w:firstColumn="1" w:lastColumn="0" w:oddVBand="0" w:evenVBand="0" w:oddHBand="0" w:evenHBand="0" w:firstRowFirstColumn="0" w:firstRowLastColumn="0" w:lastRowFirstColumn="0" w:lastRowLastColumn="0"/>
            <w:tcW w:w="3005" w:type="dxa"/>
          </w:tcPr>
          <w:p w14:paraId="5D4ABDA9" w14:textId="5665C0ED" w:rsidR="00ED2E0B" w:rsidRDefault="00ED2E0B" w:rsidP="00D5097E">
            <w:pPr>
              <w:spacing w:before="120" w:after="120" w:line="276" w:lineRule="auto"/>
              <w:rPr>
                <w:sz w:val="20"/>
                <w:szCs w:val="20"/>
              </w:rPr>
            </w:pPr>
            <w:r>
              <w:rPr>
                <w:sz w:val="20"/>
                <w:szCs w:val="20"/>
              </w:rPr>
              <w:t xml:space="preserve">Less than 5 tonnes </w:t>
            </w:r>
          </w:p>
        </w:tc>
        <w:tc>
          <w:tcPr>
            <w:tcW w:w="2519" w:type="dxa"/>
          </w:tcPr>
          <w:p w14:paraId="175AF6D5" w14:textId="36302B9A" w:rsidR="00ED2E0B"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Economic operators below the scope threshold</w:t>
            </w:r>
          </w:p>
        </w:tc>
        <w:tc>
          <w:tcPr>
            <w:tcW w:w="3492" w:type="dxa"/>
          </w:tcPr>
          <w:p w14:paraId="17BBF537" w14:textId="71057C99" w:rsidR="00ED2E0B"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No obligations as an economic operator. A business below this threshold that also transports pellets is still caught as a carrier under Article 1(2)(c).</w:t>
            </w:r>
          </w:p>
        </w:tc>
      </w:tr>
      <w:tr w:rsidR="00ED2E0B" w14:paraId="33925FAE" w14:textId="77777777" w:rsidTr="00DF796B">
        <w:tc>
          <w:tcPr>
            <w:cnfStyle w:val="001000000000" w:firstRow="0" w:lastRow="0" w:firstColumn="1" w:lastColumn="0" w:oddVBand="0" w:evenVBand="0" w:oddHBand="0" w:evenHBand="0" w:firstRowFirstColumn="0" w:firstRowLastColumn="0" w:lastRowFirstColumn="0" w:lastRowLastColumn="0"/>
            <w:tcW w:w="3005" w:type="dxa"/>
          </w:tcPr>
          <w:p w14:paraId="61C603AE" w14:textId="7A89E89F" w:rsidR="00ED2E0B" w:rsidRDefault="00ED2E0B" w:rsidP="00D5097E">
            <w:pPr>
              <w:spacing w:before="120" w:after="120" w:line="276" w:lineRule="auto"/>
              <w:rPr>
                <w:sz w:val="20"/>
                <w:szCs w:val="20"/>
              </w:rPr>
            </w:pPr>
            <w:r>
              <w:rPr>
                <w:sz w:val="20"/>
                <w:szCs w:val="20"/>
              </w:rPr>
              <w:t>5 tonnes o</w:t>
            </w:r>
            <w:r w:rsidR="00002D85">
              <w:rPr>
                <w:sz w:val="20"/>
                <w:szCs w:val="20"/>
              </w:rPr>
              <w:t>r</w:t>
            </w:r>
            <w:r>
              <w:rPr>
                <w:sz w:val="20"/>
                <w:szCs w:val="20"/>
              </w:rPr>
              <w:t xml:space="preserve"> more </w:t>
            </w:r>
          </w:p>
        </w:tc>
        <w:tc>
          <w:tcPr>
            <w:tcW w:w="2519" w:type="dxa"/>
          </w:tcPr>
          <w:p w14:paraId="04880F4B" w14:textId="17AE2376" w:rsidR="00ED2E0B"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All economic operators at or above the threshold, any enterprise size</w:t>
            </w:r>
          </w:p>
        </w:tc>
        <w:tc>
          <w:tcPr>
            <w:tcW w:w="3492" w:type="dxa"/>
          </w:tcPr>
          <w:p w14:paraId="72BF64FE" w14:textId="2B177D98" w:rsidR="00ED2E0B"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 xml:space="preserve">Article 5(1): risk management plan for each installation, self-declaration of conformity, equipment and procedures in Annex I. </w:t>
            </w:r>
            <w:r>
              <w:rPr>
                <w:sz w:val="20"/>
                <w:szCs w:val="20"/>
              </w:rPr>
              <w:t xml:space="preserve"> </w:t>
            </w:r>
            <w:r w:rsidRPr="001E2C00">
              <w:rPr>
                <w:sz w:val="20"/>
                <w:szCs w:val="20"/>
              </w:rPr>
              <w:t xml:space="preserve">Article 5(6): staff training, and five-year records of quantities handled and losses estimated. </w:t>
            </w:r>
            <w:r>
              <w:rPr>
                <w:sz w:val="20"/>
                <w:szCs w:val="20"/>
              </w:rPr>
              <w:t xml:space="preserve"> </w:t>
            </w:r>
            <w:r w:rsidRPr="001E2C00">
              <w:rPr>
                <w:sz w:val="20"/>
                <w:szCs w:val="20"/>
              </w:rPr>
              <w:t>Article 3(2): notify each installation and state whether it is above or below 1,500 tonnes.</w:t>
            </w:r>
          </w:p>
        </w:tc>
      </w:tr>
      <w:tr w:rsidR="00DF796B" w14:paraId="28D05898" w14:textId="77777777" w:rsidTr="00DF796B">
        <w:tc>
          <w:tcPr>
            <w:cnfStyle w:val="001000000000" w:firstRow="0" w:lastRow="0" w:firstColumn="1" w:lastColumn="0" w:oddVBand="0" w:evenVBand="0" w:oddHBand="0" w:evenHBand="0" w:firstRowFirstColumn="0" w:firstRowLastColumn="0" w:lastRowFirstColumn="0" w:lastRowLastColumn="0"/>
            <w:tcW w:w="3005" w:type="dxa"/>
          </w:tcPr>
          <w:p w14:paraId="42C7E4B7" w14:textId="6F0DED43" w:rsidR="00DF796B" w:rsidRDefault="00DF796B" w:rsidP="00D5097E">
            <w:pPr>
              <w:spacing w:before="120" w:after="120" w:line="276" w:lineRule="auto"/>
              <w:rPr>
                <w:sz w:val="20"/>
                <w:szCs w:val="20"/>
              </w:rPr>
            </w:pPr>
            <w:r>
              <w:rPr>
                <w:sz w:val="20"/>
                <w:szCs w:val="20"/>
              </w:rPr>
              <w:t xml:space="preserve">Below 1,500 tonnes </w:t>
            </w:r>
          </w:p>
        </w:tc>
        <w:tc>
          <w:tcPr>
            <w:tcW w:w="2519" w:type="dxa"/>
          </w:tcPr>
          <w:p w14:paraId="099E0797" w14:textId="3F39F574" w:rsidR="00DF796B" w:rsidRPr="00ED2E0B"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Small, medium-sized and large enterprises with installations below the threshold</w:t>
            </w:r>
            <w:r>
              <w:rPr>
                <w:sz w:val="20"/>
                <w:szCs w:val="20"/>
              </w:rPr>
              <w:t xml:space="preserve"> </w:t>
            </w:r>
            <w:r w:rsidRPr="001E2C00">
              <w:rPr>
                <w:sz w:val="20"/>
                <w:szCs w:val="20"/>
              </w:rPr>
              <w:t>and microenterprises at any volume</w:t>
            </w:r>
            <w:r>
              <w:rPr>
                <w:sz w:val="20"/>
                <w:szCs w:val="20"/>
              </w:rPr>
              <w:t xml:space="preserve">.  </w:t>
            </w:r>
          </w:p>
        </w:tc>
        <w:tc>
          <w:tcPr>
            <w:tcW w:w="3492" w:type="dxa"/>
          </w:tcPr>
          <w:p w14:paraId="0E95EDCC" w14:textId="772AC93B" w:rsidR="00DF796B" w:rsidRPr="00DF796B" w:rsidRDefault="009241C7"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Core</w:t>
            </w:r>
            <w:r w:rsidR="00DF796B" w:rsidRPr="00DF796B">
              <w:rPr>
                <w:sz w:val="20"/>
                <w:szCs w:val="20"/>
              </w:rPr>
              <w:t xml:space="preserve"> obligations </w:t>
            </w:r>
            <w:r w:rsidR="001A7C81">
              <w:rPr>
                <w:sz w:val="20"/>
                <w:szCs w:val="20"/>
              </w:rPr>
              <w:t>including</w:t>
            </w:r>
            <w:r w:rsidR="00DF796B" w:rsidRPr="00DF796B">
              <w:rPr>
                <w:sz w:val="20"/>
                <w:szCs w:val="20"/>
              </w:rPr>
              <w:t xml:space="preserve"> </w:t>
            </w:r>
            <w:r w:rsidR="001E2C00" w:rsidRPr="001E2C00">
              <w:rPr>
                <w:sz w:val="20"/>
                <w:szCs w:val="20"/>
              </w:rPr>
              <w:t>Article 5(2): notify an updated risk management plan and renew the self-declaration of conformity every five years. No certification required.</w:t>
            </w:r>
          </w:p>
        </w:tc>
      </w:tr>
      <w:tr w:rsidR="00DF796B" w14:paraId="29919C36" w14:textId="77777777" w:rsidTr="00DF796B">
        <w:tc>
          <w:tcPr>
            <w:cnfStyle w:val="001000000000" w:firstRow="0" w:lastRow="0" w:firstColumn="1" w:lastColumn="0" w:oddVBand="0" w:evenVBand="0" w:oddHBand="0" w:evenHBand="0" w:firstRowFirstColumn="0" w:firstRowLastColumn="0" w:lastRowFirstColumn="0" w:lastRowLastColumn="0"/>
            <w:tcW w:w="3005" w:type="dxa"/>
          </w:tcPr>
          <w:p w14:paraId="12495011" w14:textId="4E127ED1" w:rsidR="00DF796B" w:rsidRDefault="00DF796B" w:rsidP="00D5097E">
            <w:pPr>
              <w:spacing w:before="120" w:after="120" w:line="276" w:lineRule="auto"/>
              <w:rPr>
                <w:sz w:val="20"/>
                <w:szCs w:val="20"/>
              </w:rPr>
            </w:pPr>
            <w:r>
              <w:rPr>
                <w:sz w:val="20"/>
                <w:szCs w:val="20"/>
              </w:rPr>
              <w:t>1,</w:t>
            </w:r>
            <w:r w:rsidRPr="00DF796B">
              <w:rPr>
                <w:sz w:val="20"/>
                <w:szCs w:val="20"/>
              </w:rPr>
              <w:t>500 tonnes or more</w:t>
            </w:r>
          </w:p>
        </w:tc>
        <w:tc>
          <w:tcPr>
            <w:tcW w:w="2519" w:type="dxa"/>
          </w:tcPr>
          <w:p w14:paraId="219145EA" w14:textId="3F76DFC9" w:rsidR="00DF796B" w:rsidRPr="00DF796B"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Small, medium-sized and large enterprises. Microenterprises are outside Article 6 at any volume</w:t>
            </w:r>
          </w:p>
        </w:tc>
        <w:tc>
          <w:tcPr>
            <w:tcW w:w="3492" w:type="dxa"/>
          </w:tcPr>
          <w:p w14:paraId="5D33DC27" w14:textId="69318CEA" w:rsidR="00DF796B" w:rsidRPr="00DF796B"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 xml:space="preserve">Article 6: third-party certification. </w:t>
            </w:r>
            <w:r>
              <w:rPr>
                <w:sz w:val="20"/>
                <w:szCs w:val="20"/>
              </w:rPr>
              <w:t xml:space="preserve"> </w:t>
            </w:r>
            <w:r w:rsidRPr="001E2C00">
              <w:rPr>
                <w:sz w:val="20"/>
                <w:szCs w:val="20"/>
              </w:rPr>
              <w:t xml:space="preserve">Large by 17 December 2027 then every three years. </w:t>
            </w:r>
            <w:r>
              <w:rPr>
                <w:sz w:val="20"/>
                <w:szCs w:val="20"/>
              </w:rPr>
              <w:t xml:space="preserve"> </w:t>
            </w:r>
            <w:r w:rsidRPr="001E2C00">
              <w:rPr>
                <w:sz w:val="20"/>
                <w:szCs w:val="20"/>
              </w:rPr>
              <w:t xml:space="preserve">Medium-sized by 17 December 2028 then every four years. </w:t>
            </w:r>
            <w:r>
              <w:rPr>
                <w:sz w:val="20"/>
                <w:szCs w:val="20"/>
              </w:rPr>
              <w:t xml:space="preserve"> </w:t>
            </w:r>
            <w:r w:rsidRPr="001E2C00">
              <w:rPr>
                <w:sz w:val="20"/>
                <w:szCs w:val="20"/>
              </w:rPr>
              <w:t xml:space="preserve">Small by 17 December 2030 with a five-year certificate, then Article 5(2) self-declaration unless they choose to renew. </w:t>
            </w:r>
            <w:r>
              <w:rPr>
                <w:sz w:val="20"/>
                <w:szCs w:val="20"/>
              </w:rPr>
              <w:t xml:space="preserve"> </w:t>
            </w:r>
            <w:r w:rsidRPr="001E2C00">
              <w:rPr>
                <w:sz w:val="20"/>
                <w:szCs w:val="20"/>
              </w:rPr>
              <w:t>Certifier spot checks under Article 6(4).</w:t>
            </w:r>
          </w:p>
        </w:tc>
      </w:tr>
      <w:tr w:rsidR="001E2C00" w14:paraId="001D9245" w14:textId="77777777" w:rsidTr="00DF796B">
        <w:tc>
          <w:tcPr>
            <w:cnfStyle w:val="001000000000" w:firstRow="0" w:lastRow="0" w:firstColumn="1" w:lastColumn="0" w:oddVBand="0" w:evenVBand="0" w:oddHBand="0" w:evenHBand="0" w:firstRowFirstColumn="0" w:firstRowLastColumn="0" w:lastRowFirstColumn="0" w:lastRowLastColumn="0"/>
            <w:tcW w:w="3005" w:type="dxa"/>
          </w:tcPr>
          <w:p w14:paraId="5B20B6E2" w14:textId="53A83B0B" w:rsidR="001E2C00" w:rsidRDefault="001E2C00" w:rsidP="00D5097E">
            <w:pPr>
              <w:spacing w:before="120" w:after="120" w:line="276" w:lineRule="auto"/>
              <w:rPr>
                <w:sz w:val="20"/>
                <w:szCs w:val="20"/>
              </w:rPr>
            </w:pPr>
            <w:r w:rsidRPr="001E2C00">
              <w:rPr>
                <w:sz w:val="20"/>
                <w:szCs w:val="20"/>
              </w:rPr>
              <w:t>Installation at 1,500 tonnes or more, medium-sized and large enterprises only</w:t>
            </w:r>
          </w:p>
        </w:tc>
        <w:tc>
          <w:tcPr>
            <w:tcW w:w="2519" w:type="dxa"/>
          </w:tcPr>
          <w:p w14:paraId="1114EFDE" w14:textId="2A95AB46" w:rsidR="001E2C00" w:rsidRPr="001E2C00"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Medium-sized and large enterprises</w:t>
            </w:r>
          </w:p>
        </w:tc>
        <w:tc>
          <w:tcPr>
            <w:tcW w:w="3492" w:type="dxa"/>
          </w:tcPr>
          <w:p w14:paraId="6B42E379" w14:textId="237A22CD" w:rsidR="001E2C00" w:rsidRPr="001E2C00"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 xml:space="preserve">Article 5(8) and Annex I paragraph 6: annual internal assessment, formal management review at least once a year, awareness and training programme and procedures for </w:t>
            </w:r>
            <w:r w:rsidRPr="001E2C00">
              <w:rPr>
                <w:sz w:val="20"/>
                <w:szCs w:val="20"/>
              </w:rPr>
              <w:lastRenderedPageBreak/>
              <w:t>informing drivers, suppliers and subcontractors.</w:t>
            </w:r>
          </w:p>
        </w:tc>
      </w:tr>
      <w:tr w:rsidR="001E2C00" w14:paraId="446B90F8" w14:textId="77777777" w:rsidTr="00DF796B">
        <w:tc>
          <w:tcPr>
            <w:cnfStyle w:val="001000000000" w:firstRow="0" w:lastRow="0" w:firstColumn="1" w:lastColumn="0" w:oddVBand="0" w:evenVBand="0" w:oddHBand="0" w:evenHBand="0" w:firstRowFirstColumn="0" w:firstRowLastColumn="0" w:lastRowFirstColumn="0" w:lastRowLastColumn="0"/>
            <w:tcW w:w="3005" w:type="dxa"/>
          </w:tcPr>
          <w:p w14:paraId="1C27BECC" w14:textId="393090BE" w:rsidR="001E2C00" w:rsidRPr="001E2C00" w:rsidRDefault="001E2C00" w:rsidP="00D5097E">
            <w:pPr>
              <w:spacing w:before="120" w:after="120" w:line="276" w:lineRule="auto"/>
              <w:rPr>
                <w:sz w:val="20"/>
                <w:szCs w:val="20"/>
              </w:rPr>
            </w:pPr>
            <w:r w:rsidRPr="001E2C00">
              <w:rPr>
                <w:sz w:val="20"/>
                <w:szCs w:val="20"/>
              </w:rPr>
              <w:lastRenderedPageBreak/>
              <w:t>No tonnage threshold</w:t>
            </w:r>
          </w:p>
        </w:tc>
        <w:tc>
          <w:tcPr>
            <w:tcW w:w="2519" w:type="dxa"/>
          </w:tcPr>
          <w:p w14:paraId="3BCF5DDE" w14:textId="7E9ADBA9" w:rsidR="001E2C00" w:rsidRPr="001E2C00"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EU and non-EU carriers by road, rail or inland waterway</w:t>
            </w:r>
          </w:p>
        </w:tc>
        <w:tc>
          <w:tcPr>
            <w:tcW w:w="3492" w:type="dxa"/>
          </w:tcPr>
          <w:p w14:paraId="1D50EB9C" w14:textId="51BFFB37" w:rsidR="001E2C00" w:rsidRPr="001E2C00"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 xml:space="preserve">Article 5(4) and Annex III: prevention, containment and clean-up actions and on-board equipment. </w:t>
            </w:r>
            <w:r>
              <w:rPr>
                <w:sz w:val="20"/>
                <w:szCs w:val="20"/>
              </w:rPr>
              <w:t xml:space="preserve"> </w:t>
            </w:r>
            <w:r w:rsidRPr="001E2C00">
              <w:rPr>
                <w:sz w:val="20"/>
                <w:szCs w:val="20"/>
              </w:rPr>
              <w:t xml:space="preserve">No risk management plan (recital 27). </w:t>
            </w:r>
            <w:r>
              <w:rPr>
                <w:sz w:val="20"/>
                <w:szCs w:val="20"/>
              </w:rPr>
              <w:t xml:space="preserve"> </w:t>
            </w:r>
            <w:r w:rsidRPr="001E2C00">
              <w:rPr>
                <w:sz w:val="20"/>
                <w:szCs w:val="20"/>
              </w:rPr>
              <w:t xml:space="preserve">Article 5(6) training and loss records, Article 5(7) corrective measures. </w:t>
            </w:r>
            <w:r>
              <w:rPr>
                <w:sz w:val="20"/>
                <w:szCs w:val="20"/>
              </w:rPr>
              <w:t xml:space="preserve"> </w:t>
            </w:r>
            <w:r w:rsidRPr="001E2C00">
              <w:rPr>
                <w:sz w:val="20"/>
                <w:szCs w:val="20"/>
              </w:rPr>
              <w:t xml:space="preserve">Article 3(2) notification before first transport. </w:t>
            </w:r>
            <w:r>
              <w:rPr>
                <w:sz w:val="20"/>
                <w:szCs w:val="20"/>
              </w:rPr>
              <w:t xml:space="preserve"> </w:t>
            </w:r>
            <w:r w:rsidRPr="001E2C00">
              <w:rPr>
                <w:sz w:val="20"/>
                <w:szCs w:val="20"/>
              </w:rPr>
              <w:t>Non-EU carriers appoint an authorised representative under Article 4.</w:t>
            </w:r>
          </w:p>
        </w:tc>
      </w:tr>
      <w:tr w:rsidR="001E2C00" w14:paraId="37100E0B" w14:textId="77777777" w:rsidTr="00DF796B">
        <w:tc>
          <w:tcPr>
            <w:cnfStyle w:val="001000000000" w:firstRow="0" w:lastRow="0" w:firstColumn="1" w:lastColumn="0" w:oddVBand="0" w:evenVBand="0" w:oddHBand="0" w:evenHBand="0" w:firstRowFirstColumn="0" w:firstRowLastColumn="0" w:lastRowFirstColumn="0" w:lastRowLastColumn="0"/>
            <w:tcW w:w="3005" w:type="dxa"/>
          </w:tcPr>
          <w:p w14:paraId="160747C5" w14:textId="34373DC3" w:rsidR="001E2C00" w:rsidRPr="001E2C00" w:rsidRDefault="001E2C00" w:rsidP="00D5097E">
            <w:pPr>
              <w:spacing w:before="120" w:after="120" w:line="276" w:lineRule="auto"/>
              <w:rPr>
                <w:sz w:val="20"/>
                <w:szCs w:val="20"/>
              </w:rPr>
            </w:pPr>
            <w:r w:rsidRPr="001E2C00">
              <w:rPr>
                <w:sz w:val="20"/>
                <w:szCs w:val="20"/>
              </w:rPr>
              <w:t>No tonnage threshold</w:t>
            </w:r>
          </w:p>
        </w:tc>
        <w:tc>
          <w:tcPr>
            <w:tcW w:w="2519" w:type="dxa"/>
          </w:tcPr>
          <w:p w14:paraId="305902FF" w14:textId="3AB18B0C" w:rsidR="001E2C00" w:rsidRPr="001E2C00"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Shippers, operators, agents and masters of seagoing vessels</w:t>
            </w:r>
          </w:p>
        </w:tc>
        <w:tc>
          <w:tcPr>
            <w:tcW w:w="3492" w:type="dxa"/>
          </w:tcPr>
          <w:p w14:paraId="61D4AD7A" w14:textId="68C08B7C" w:rsidR="001E2C00" w:rsidRPr="001E2C00" w:rsidRDefault="001E2C00" w:rsidP="00D5097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E2C00">
              <w:rPr>
                <w:sz w:val="20"/>
                <w:szCs w:val="20"/>
              </w:rPr>
              <w:t>Article 12: good-quality packaging, transport information to the vessel, special stowage request, and stowage under deck or inboard in sheltered areas. Applies from 17 December 2028.</w:t>
            </w:r>
          </w:p>
        </w:tc>
      </w:tr>
    </w:tbl>
    <w:p w14:paraId="191B130F" w14:textId="77777777" w:rsidR="002B5CEF" w:rsidRDefault="002B5CEF" w:rsidP="00D5097E">
      <w:pPr>
        <w:spacing w:before="120" w:after="120" w:line="276" w:lineRule="auto"/>
        <w:rPr>
          <w:sz w:val="20"/>
          <w:szCs w:val="20"/>
        </w:rPr>
      </w:pPr>
    </w:p>
    <w:p w14:paraId="682AA089" w14:textId="4ABE9C4F" w:rsidR="0090777F" w:rsidRDefault="0090777F" w:rsidP="0090777F">
      <w:pPr>
        <w:pStyle w:val="Heading02"/>
      </w:pPr>
      <w:bookmarkStart w:id="11" w:name="_Toc225594979"/>
      <w:r>
        <w:t>Core obligations for economic operators</w:t>
      </w:r>
      <w:bookmarkEnd w:id="11"/>
      <w:r>
        <w:t xml:space="preserve"> </w:t>
      </w:r>
    </w:p>
    <w:p w14:paraId="379B1474" w14:textId="6318CFD7" w:rsidR="008D79DD" w:rsidRDefault="00347E3C" w:rsidP="00D5097E">
      <w:pPr>
        <w:spacing w:before="120" w:after="120" w:line="276" w:lineRule="auto"/>
        <w:rPr>
          <w:sz w:val="20"/>
          <w:szCs w:val="20"/>
        </w:rPr>
      </w:pPr>
      <w:r>
        <w:rPr>
          <w:sz w:val="20"/>
          <w:szCs w:val="20"/>
        </w:rPr>
        <w:t xml:space="preserve">At the heart of the Regulation is the requirement for companies to identify, prevent, contain and clean-up pellet spills and losses.  </w:t>
      </w:r>
    </w:p>
    <w:p w14:paraId="7EA20734" w14:textId="77777777" w:rsidR="00DD0B95" w:rsidRDefault="00DD0B95" w:rsidP="00D5097E">
      <w:pPr>
        <w:spacing w:before="120" w:after="120" w:line="276" w:lineRule="auto"/>
        <w:rPr>
          <w:sz w:val="20"/>
          <w:szCs w:val="20"/>
        </w:rPr>
      </w:pPr>
    </w:p>
    <w:p w14:paraId="4C175491" w14:textId="571C73F9" w:rsidR="00DD0B95" w:rsidRPr="00DD0B95" w:rsidRDefault="00DD0B95" w:rsidP="00DD0B95">
      <w:pPr>
        <w:pStyle w:val="heading03"/>
      </w:pPr>
      <w:bookmarkStart w:id="12" w:name="_Toc225594980"/>
      <w:r w:rsidRPr="00DD0B95">
        <w:t>Risk Management Plans (</w:t>
      </w:r>
      <w:proofErr w:type="spellStart"/>
      <w:r w:rsidRPr="00DD0B95">
        <w:t>RMPs</w:t>
      </w:r>
      <w:proofErr w:type="spellEnd"/>
      <w:r w:rsidRPr="00DD0B95">
        <w:t>)</w:t>
      </w:r>
      <w:bookmarkEnd w:id="12"/>
      <w:r w:rsidRPr="00DD0B95">
        <w:t xml:space="preserve"> </w:t>
      </w:r>
    </w:p>
    <w:p w14:paraId="4AD13649" w14:textId="7322BF4C" w:rsidR="00DD0B95" w:rsidRPr="00DD0B95" w:rsidRDefault="008D79DD" w:rsidP="00DD0B95">
      <w:pPr>
        <w:spacing w:before="120" w:after="120" w:line="276" w:lineRule="auto"/>
        <w:rPr>
          <w:sz w:val="20"/>
          <w:szCs w:val="20"/>
        </w:rPr>
      </w:pPr>
      <w:r>
        <w:rPr>
          <w:sz w:val="20"/>
          <w:szCs w:val="20"/>
        </w:rPr>
        <w:t>Risk Management Plans (</w:t>
      </w:r>
      <w:proofErr w:type="spellStart"/>
      <w:r>
        <w:rPr>
          <w:sz w:val="20"/>
          <w:szCs w:val="20"/>
        </w:rPr>
        <w:t>RMPs</w:t>
      </w:r>
      <w:proofErr w:type="spellEnd"/>
      <w:r>
        <w:rPr>
          <w:sz w:val="20"/>
          <w:szCs w:val="20"/>
        </w:rPr>
        <w:t xml:space="preserve">) form the core operational requirement of Regulation (EU) 2025/2365, ensuring that all installations handling plastic pellets adopt a structured approach to preventing spills and losses.  The Regulation establishes </w:t>
      </w:r>
      <w:proofErr w:type="spellStart"/>
      <w:r>
        <w:rPr>
          <w:sz w:val="20"/>
          <w:szCs w:val="20"/>
        </w:rPr>
        <w:t>RMPs</w:t>
      </w:r>
      <w:proofErr w:type="spellEnd"/>
      <w:r>
        <w:rPr>
          <w:sz w:val="20"/>
          <w:szCs w:val="20"/>
        </w:rPr>
        <w:t xml:space="preserve"> as mandatory, installation-specific documents that identify where spills may occur, assess potential pathways for pellet escape and outline the equipment and procedures needed to prevent, contain and clean-up </w:t>
      </w:r>
      <w:r w:rsidR="00FA1B0E">
        <w:rPr>
          <w:sz w:val="20"/>
          <w:szCs w:val="20"/>
        </w:rPr>
        <w:t>spills and losses</w:t>
      </w:r>
      <w:r>
        <w:rPr>
          <w:sz w:val="20"/>
          <w:szCs w:val="20"/>
        </w:rPr>
        <w:t xml:space="preserve">.  </w:t>
      </w:r>
    </w:p>
    <w:p w14:paraId="23745C5B" w14:textId="24547611" w:rsidR="001E2C00" w:rsidRPr="001E2C00" w:rsidRDefault="008D79DD" w:rsidP="001E2C00">
      <w:pPr>
        <w:spacing w:before="120" w:after="120" w:line="276" w:lineRule="auto"/>
        <w:rPr>
          <w:sz w:val="20"/>
          <w:szCs w:val="20"/>
        </w:rPr>
      </w:pPr>
      <w:r>
        <w:rPr>
          <w:sz w:val="20"/>
          <w:szCs w:val="20"/>
        </w:rPr>
        <w:t>By requiring operators to map risks, maintain appropriate preventative and containment measures and designate staff to oversee spill monitoring and reporting</w:t>
      </w:r>
      <w:r w:rsidR="00205A5E">
        <w:rPr>
          <w:sz w:val="20"/>
          <w:szCs w:val="20"/>
        </w:rPr>
        <w:t>,</w:t>
      </w:r>
      <w:r>
        <w:rPr>
          <w:sz w:val="20"/>
          <w:szCs w:val="20"/>
        </w:rPr>
        <w:t xml:space="preserve"> the </w:t>
      </w:r>
      <w:r w:rsidR="00205A5E">
        <w:rPr>
          <w:sz w:val="20"/>
          <w:szCs w:val="20"/>
        </w:rPr>
        <w:t>R</w:t>
      </w:r>
      <w:r>
        <w:rPr>
          <w:sz w:val="20"/>
          <w:szCs w:val="20"/>
        </w:rPr>
        <w:t xml:space="preserve">egulation embeds proactive and continual risk control into day-to-day operations.  </w:t>
      </w:r>
      <w:r w:rsidR="001E2C00" w:rsidRPr="001E2C00">
        <w:rPr>
          <w:sz w:val="20"/>
          <w:szCs w:val="20"/>
        </w:rPr>
        <w:t xml:space="preserve">Where the operator is a medium-sized or large enterprise and the installation handled 1,500 tonnes or more in the previous calendar year, the risk management plan must also cover an annual management review of losses and of the equipment and procedures in place, an awareness and training programme </w:t>
      </w:r>
      <w:r w:rsidR="001E2C00">
        <w:rPr>
          <w:sz w:val="20"/>
          <w:szCs w:val="20"/>
        </w:rPr>
        <w:t>based on</w:t>
      </w:r>
      <w:r w:rsidR="001E2C00" w:rsidRPr="001E2C00">
        <w:rPr>
          <w:sz w:val="20"/>
          <w:szCs w:val="20"/>
        </w:rPr>
        <w:t xml:space="preserve"> employees' roles</w:t>
      </w:r>
      <w:r w:rsidR="001E2C00">
        <w:rPr>
          <w:sz w:val="20"/>
          <w:szCs w:val="20"/>
        </w:rPr>
        <w:t xml:space="preserve"> </w:t>
      </w:r>
      <w:r w:rsidR="001E2C00" w:rsidRPr="001E2C00">
        <w:rPr>
          <w:sz w:val="20"/>
          <w:szCs w:val="20"/>
        </w:rPr>
        <w:t>and procedures for informing drivers, suppliers and subcontractors (Article 5(8) and Annex I, paragraph 6).</w:t>
      </w:r>
      <w:r w:rsidR="001E2C00">
        <w:rPr>
          <w:sz w:val="20"/>
          <w:szCs w:val="20"/>
        </w:rPr>
        <w:t xml:space="preserve"> </w:t>
      </w:r>
      <w:r w:rsidR="001E2C00" w:rsidRPr="001E2C00">
        <w:rPr>
          <w:sz w:val="20"/>
          <w:szCs w:val="20"/>
        </w:rPr>
        <w:t xml:space="preserve"> Enterprise size and installation throughput are separate conditions, and both have to be met.</w:t>
      </w:r>
      <w:r w:rsidR="001E2C00">
        <w:rPr>
          <w:sz w:val="20"/>
          <w:szCs w:val="20"/>
        </w:rPr>
        <w:t xml:space="preserve">  </w:t>
      </w:r>
    </w:p>
    <w:p w14:paraId="76FB21A4" w14:textId="7DA2CD49" w:rsidR="00DF796B" w:rsidRPr="00DF796B" w:rsidRDefault="00DF796B" w:rsidP="00DF796B">
      <w:pPr>
        <w:spacing w:before="120" w:after="120" w:line="276" w:lineRule="auto"/>
        <w:rPr>
          <w:sz w:val="20"/>
          <w:szCs w:val="20"/>
        </w:rPr>
      </w:pPr>
    </w:p>
    <w:p w14:paraId="7E7E70AF" w14:textId="1B469248" w:rsidR="009B01D7" w:rsidRDefault="009B01D7" w:rsidP="00D5097E">
      <w:pPr>
        <w:spacing w:before="120" w:after="120" w:line="276" w:lineRule="auto"/>
        <w:rPr>
          <w:sz w:val="20"/>
          <w:szCs w:val="20"/>
        </w:rPr>
      </w:pPr>
    </w:p>
    <w:p w14:paraId="79E73085" w14:textId="7C162E8C" w:rsidR="00360886" w:rsidRPr="00DD0B95" w:rsidRDefault="00360886" w:rsidP="00360886">
      <w:pPr>
        <w:pStyle w:val="heading03"/>
      </w:pPr>
      <w:bookmarkStart w:id="13" w:name="_Toc225594981"/>
      <w:r>
        <w:t>Prevention, containment and clean-up requirements</w:t>
      </w:r>
      <w:bookmarkEnd w:id="13"/>
      <w:r>
        <w:t xml:space="preserve"> </w:t>
      </w:r>
    </w:p>
    <w:p w14:paraId="25E4CFB6" w14:textId="4F75FA6E" w:rsidR="00360886" w:rsidRDefault="00360886" w:rsidP="00360886">
      <w:pPr>
        <w:spacing w:before="120" w:after="120" w:line="276" w:lineRule="auto"/>
        <w:rPr>
          <w:sz w:val="20"/>
          <w:szCs w:val="20"/>
        </w:rPr>
      </w:pPr>
      <w:r>
        <w:rPr>
          <w:sz w:val="20"/>
          <w:szCs w:val="20"/>
        </w:rPr>
        <w:t xml:space="preserve">The Regulation places strong emphasis on preventing plastic pellet losses at their source, establishing a clear hierarchy of action: prevention first, containment second and clean-up as a final step.  This structured approach ensures that avoiding spills is prioritised before addressing the consequences of those that occur.  </w:t>
      </w:r>
    </w:p>
    <w:p w14:paraId="4A1C6F5B" w14:textId="54730D5F" w:rsidR="009B01D7" w:rsidRDefault="009B01D7" w:rsidP="00360886">
      <w:pPr>
        <w:spacing w:before="120" w:after="120" w:line="276" w:lineRule="auto"/>
        <w:rPr>
          <w:sz w:val="20"/>
          <w:szCs w:val="20"/>
        </w:rPr>
      </w:pPr>
      <w:r>
        <w:rPr>
          <w:sz w:val="20"/>
          <w:szCs w:val="20"/>
        </w:rPr>
        <w:lastRenderedPageBreak/>
        <w:t>The EU Pellet Regulation requires all economic operators and carriers to maintain suitable equipment and procedures that reflect the nature and scale of their activities.  Preventative measures focus on secure packaging, careful handling and infrastructure that reduces the likelihood of spills.  Containment measures, for example, catchment devices and drain protection, ensure that any releases remain within the installation and do not become environmental losses.  Clean-up requirements ensure that spilled pellets are promptly removed using appropriate tools</w:t>
      </w:r>
      <w:r w:rsidR="006951B1">
        <w:rPr>
          <w:sz w:val="20"/>
          <w:szCs w:val="20"/>
        </w:rPr>
        <w:t>/processes</w:t>
      </w:r>
      <w:r>
        <w:rPr>
          <w:sz w:val="20"/>
          <w:szCs w:val="20"/>
        </w:rPr>
        <w:t xml:space="preserve"> and managed in ways that prevent further </w:t>
      </w:r>
      <w:r w:rsidR="00FA1B0E">
        <w:rPr>
          <w:sz w:val="20"/>
          <w:szCs w:val="20"/>
        </w:rPr>
        <w:t xml:space="preserve">losses to the environment.  </w:t>
      </w:r>
    </w:p>
    <w:p w14:paraId="0C7D16B3" w14:textId="136155A4" w:rsidR="009B01D7" w:rsidRPr="00360886" w:rsidRDefault="009B01D7" w:rsidP="00360886">
      <w:pPr>
        <w:spacing w:before="120" w:after="120" w:line="276" w:lineRule="auto"/>
        <w:rPr>
          <w:sz w:val="20"/>
          <w:szCs w:val="20"/>
        </w:rPr>
      </w:pPr>
      <w:r>
        <w:rPr>
          <w:sz w:val="20"/>
          <w:szCs w:val="20"/>
        </w:rPr>
        <w:t xml:space="preserve">Together these requirements embed a practical, operational framework for minimising pellet pollution.  They make environmental protection a routine part of daily handling activities and ensure that all staff, suppliers and transport partners understand their roles in preventing microplastic leakage.  </w:t>
      </w:r>
    </w:p>
    <w:p w14:paraId="06606DB2" w14:textId="77777777" w:rsidR="00360886" w:rsidRDefault="00360886" w:rsidP="00D5097E">
      <w:pPr>
        <w:spacing w:before="120" w:after="120" w:line="276" w:lineRule="auto"/>
        <w:rPr>
          <w:sz w:val="20"/>
          <w:szCs w:val="20"/>
        </w:rPr>
      </w:pPr>
    </w:p>
    <w:p w14:paraId="499ED95B" w14:textId="69AA5677" w:rsidR="0017152B" w:rsidRPr="00DD0B95" w:rsidRDefault="002E01B4" w:rsidP="0017152B">
      <w:pPr>
        <w:pStyle w:val="heading03"/>
      </w:pPr>
      <w:bookmarkStart w:id="14" w:name="_Toc225594982"/>
      <w:r>
        <w:t>Notification</w:t>
      </w:r>
      <w:r w:rsidR="0017152B">
        <w:t xml:space="preserve">, </w:t>
      </w:r>
      <w:r w:rsidR="006B353B">
        <w:t>traceability and reporting</w:t>
      </w:r>
      <w:bookmarkEnd w:id="14"/>
      <w:r w:rsidR="006B353B">
        <w:t xml:space="preserve"> </w:t>
      </w:r>
    </w:p>
    <w:p w14:paraId="01787C6B" w14:textId="46C3F144" w:rsidR="006B353B" w:rsidRDefault="006B353B" w:rsidP="006B353B">
      <w:pPr>
        <w:spacing w:before="120" w:after="120" w:line="276" w:lineRule="auto"/>
        <w:rPr>
          <w:sz w:val="20"/>
          <w:szCs w:val="20"/>
        </w:rPr>
      </w:pPr>
      <w:r>
        <w:rPr>
          <w:sz w:val="20"/>
          <w:szCs w:val="20"/>
        </w:rPr>
        <w:t xml:space="preserve">To ensure effective oversight and enforcement, Regulation (EU) 2025/2365 introduces comprehensive </w:t>
      </w:r>
      <w:r w:rsidR="00002D85">
        <w:rPr>
          <w:sz w:val="20"/>
          <w:szCs w:val="20"/>
        </w:rPr>
        <w:t>notification</w:t>
      </w:r>
      <w:r>
        <w:rPr>
          <w:sz w:val="20"/>
          <w:szCs w:val="20"/>
        </w:rPr>
        <w:t xml:space="preserve">, traceability and reporting obligations for all actors handling plastic pellets.  These requirements create a consistent information framework that enables authorities to monitor pellet flows, assess compliance and identify where risks of loss are highest.  </w:t>
      </w:r>
    </w:p>
    <w:p w14:paraId="14ACD208" w14:textId="660B95F7" w:rsidR="006B353B" w:rsidRDefault="002E01B4" w:rsidP="006B353B">
      <w:pPr>
        <w:spacing w:before="120" w:after="120" w:line="276" w:lineRule="auto"/>
        <w:rPr>
          <w:sz w:val="20"/>
          <w:szCs w:val="20"/>
        </w:rPr>
      </w:pPr>
      <w:r w:rsidRPr="002E01B4">
        <w:rPr>
          <w:sz w:val="20"/>
          <w:szCs w:val="20"/>
        </w:rPr>
        <w:t>Economic operators must notify the competent authorities of each installation handling pellets (Article 3(2))</w:t>
      </w:r>
      <w:r w:rsidR="006B353B">
        <w:rPr>
          <w:sz w:val="20"/>
          <w:szCs w:val="20"/>
        </w:rPr>
        <w:t xml:space="preserve">, indicating whether the installation falls above or below the 1,500-tonne </w:t>
      </w:r>
      <w:r w:rsidR="00FA1B0E">
        <w:rPr>
          <w:sz w:val="20"/>
          <w:szCs w:val="20"/>
        </w:rPr>
        <w:t xml:space="preserve">annual </w:t>
      </w:r>
      <w:r w:rsidR="006B353B">
        <w:rPr>
          <w:sz w:val="20"/>
          <w:szCs w:val="20"/>
        </w:rPr>
        <w:t xml:space="preserve">threshold while carriers must also notify authorities before transporting pellets within the EU.  </w:t>
      </w:r>
    </w:p>
    <w:p w14:paraId="6A9116B1" w14:textId="49228420" w:rsidR="006B353B" w:rsidRDefault="006B353B" w:rsidP="006B353B">
      <w:pPr>
        <w:spacing w:before="120" w:after="120" w:line="276" w:lineRule="auto"/>
        <w:rPr>
          <w:sz w:val="20"/>
          <w:szCs w:val="20"/>
        </w:rPr>
      </w:pPr>
      <w:r>
        <w:rPr>
          <w:sz w:val="20"/>
          <w:szCs w:val="20"/>
        </w:rPr>
        <w:t xml:space="preserve">Traceability is </w:t>
      </w:r>
      <w:r w:rsidR="00870B34">
        <w:rPr>
          <w:sz w:val="20"/>
          <w:szCs w:val="20"/>
        </w:rPr>
        <w:t>strengthened</w:t>
      </w:r>
      <w:r>
        <w:rPr>
          <w:sz w:val="20"/>
          <w:szCs w:val="20"/>
        </w:rPr>
        <w:t xml:space="preserve"> through mandatory </w:t>
      </w:r>
      <w:r w:rsidR="00870B34">
        <w:rPr>
          <w:sz w:val="20"/>
          <w:szCs w:val="20"/>
        </w:rPr>
        <w:t xml:space="preserve">record-keeping, requiring operators and carriers to document annual quantities of pellets handled and estimated losses, retaining this information for at least five years.  These records support compliance verification and feed into certification processes where required.  In addition, medium- and large enterprises handling higher quantities must conduct annual internal assessments, ensuring continuous monitoring of system performance.  </w:t>
      </w:r>
    </w:p>
    <w:p w14:paraId="714E6A83" w14:textId="658523E2" w:rsidR="00870B34" w:rsidRDefault="009577DA" w:rsidP="006B353B">
      <w:pPr>
        <w:spacing w:before="120" w:after="120" w:line="276" w:lineRule="auto"/>
        <w:rPr>
          <w:sz w:val="20"/>
          <w:szCs w:val="20"/>
        </w:rPr>
      </w:pPr>
      <w:r>
        <w:rPr>
          <w:sz w:val="20"/>
          <w:szCs w:val="20"/>
        </w:rPr>
        <w:t xml:space="preserve">At the system level, Member States must report to the European Commission every three years providing aggregated data on notified installations, registered carriers, risk-management documentation, inspections and incidents.  This structured reporting enables the Commission to evaluate the Regulation’s implementation and its contribution to </w:t>
      </w:r>
      <w:r w:rsidR="002E01B4">
        <w:rPr>
          <w:sz w:val="20"/>
          <w:szCs w:val="20"/>
        </w:rPr>
        <w:t xml:space="preserve">reducing </w:t>
      </w:r>
      <w:r>
        <w:rPr>
          <w:sz w:val="20"/>
          <w:szCs w:val="20"/>
        </w:rPr>
        <w:t xml:space="preserve">pellet losses across the EU.  </w:t>
      </w:r>
    </w:p>
    <w:p w14:paraId="5DB84860" w14:textId="77777777" w:rsidR="006B353B" w:rsidRDefault="006B353B" w:rsidP="00D5097E">
      <w:pPr>
        <w:spacing w:before="120" w:after="120" w:line="276" w:lineRule="auto"/>
        <w:rPr>
          <w:sz w:val="20"/>
          <w:szCs w:val="20"/>
        </w:rPr>
      </w:pPr>
    </w:p>
    <w:p w14:paraId="26F28A77" w14:textId="1077F5CE" w:rsidR="004B21AC" w:rsidRDefault="004B21AC" w:rsidP="004B21AC">
      <w:pPr>
        <w:pStyle w:val="Heading02"/>
      </w:pPr>
      <w:bookmarkStart w:id="15" w:name="_Toc225594983"/>
      <w:r>
        <w:t>Certification and compliance</w:t>
      </w:r>
      <w:bookmarkEnd w:id="15"/>
      <w:r>
        <w:t xml:space="preserve"> </w:t>
      </w:r>
    </w:p>
    <w:p w14:paraId="6EC49A6B" w14:textId="77777777" w:rsidR="004B21AC" w:rsidRDefault="004B21AC" w:rsidP="004B21AC">
      <w:pPr>
        <w:spacing w:before="120" w:after="120" w:line="276" w:lineRule="auto"/>
        <w:rPr>
          <w:sz w:val="20"/>
          <w:szCs w:val="20"/>
        </w:rPr>
      </w:pPr>
      <w:r>
        <w:rPr>
          <w:sz w:val="20"/>
          <w:szCs w:val="20"/>
        </w:rPr>
        <w:t>A central feature of the Regulation is the use of self-declaration of conformity.  Economic operators must:</w:t>
      </w:r>
    </w:p>
    <w:p w14:paraId="0764DEC1" w14:textId="77777777" w:rsidR="004B21AC" w:rsidRDefault="004B21AC" w:rsidP="00FC58CE">
      <w:pPr>
        <w:pStyle w:val="ListParagraph"/>
        <w:numPr>
          <w:ilvl w:val="0"/>
          <w:numId w:val="30"/>
        </w:numPr>
        <w:spacing w:before="120" w:after="120" w:line="276" w:lineRule="auto"/>
        <w:rPr>
          <w:sz w:val="20"/>
          <w:szCs w:val="20"/>
        </w:rPr>
      </w:pPr>
      <w:r>
        <w:rPr>
          <w:sz w:val="20"/>
          <w:szCs w:val="20"/>
        </w:rPr>
        <w:t xml:space="preserve">Submit a self-declaration alongside their risk management plan, confirming that required prevention, containment and clean-up measures have been implemented. </w:t>
      </w:r>
    </w:p>
    <w:p w14:paraId="5EFEC47B" w14:textId="74990193" w:rsidR="004B21AC" w:rsidRPr="004B21AC" w:rsidRDefault="00124A20" w:rsidP="00002D85">
      <w:pPr>
        <w:pStyle w:val="ListParagraph"/>
        <w:numPr>
          <w:ilvl w:val="0"/>
          <w:numId w:val="30"/>
        </w:numPr>
        <w:spacing w:before="120" w:after="120" w:line="276" w:lineRule="auto"/>
        <w:rPr>
          <w:sz w:val="20"/>
          <w:szCs w:val="20"/>
        </w:rPr>
      </w:pPr>
      <w:r w:rsidRPr="00124A20">
        <w:rPr>
          <w:sz w:val="20"/>
          <w:szCs w:val="20"/>
        </w:rPr>
        <w:t xml:space="preserve">Renew the self-declaration every five years and notify an updated risk management plan at the same interval. </w:t>
      </w:r>
      <w:r>
        <w:rPr>
          <w:sz w:val="20"/>
          <w:szCs w:val="20"/>
        </w:rPr>
        <w:t xml:space="preserve"> </w:t>
      </w:r>
      <w:r w:rsidRPr="00124A20">
        <w:rPr>
          <w:sz w:val="20"/>
          <w:szCs w:val="20"/>
        </w:rPr>
        <w:t>This applies to small, medium-sized and large enterprises whose installations handled below 1,500 tonnes in the previous calendar year, and to microenterprises at any volume (Article 5(2)).</w:t>
      </w:r>
      <w:r w:rsidR="004B21AC">
        <w:rPr>
          <w:sz w:val="20"/>
          <w:szCs w:val="20"/>
        </w:rPr>
        <w:t xml:space="preserve">  </w:t>
      </w:r>
    </w:p>
    <w:p w14:paraId="5522D818" w14:textId="15D8DBD3" w:rsidR="006B353B" w:rsidRDefault="002E01B4" w:rsidP="00D5097E">
      <w:pPr>
        <w:spacing w:before="120" w:after="120" w:line="276" w:lineRule="auto"/>
        <w:rPr>
          <w:sz w:val="20"/>
          <w:szCs w:val="20"/>
        </w:rPr>
      </w:pPr>
      <w:r w:rsidRPr="002E01B4">
        <w:rPr>
          <w:sz w:val="20"/>
          <w:szCs w:val="20"/>
        </w:rPr>
        <w:t>Installations handling 1,500 tonnes or more a year must demonstrate compliance through third</w:t>
      </w:r>
      <w:r w:rsidRPr="002E01B4">
        <w:rPr>
          <w:rFonts w:ascii="Cambria Math" w:hAnsi="Cambria Math" w:cs="Cambria Math"/>
          <w:sz w:val="20"/>
          <w:szCs w:val="20"/>
        </w:rPr>
        <w:t>‑</w:t>
      </w:r>
      <w:r w:rsidRPr="002E01B4">
        <w:rPr>
          <w:sz w:val="20"/>
          <w:szCs w:val="20"/>
        </w:rPr>
        <w:t xml:space="preserve">party certification.  Microenterprises are outside Article 6 whatever the volume handled.  </w:t>
      </w:r>
      <w:r w:rsidR="004B21AC" w:rsidRPr="004B21AC">
        <w:rPr>
          <w:sz w:val="20"/>
          <w:szCs w:val="20"/>
        </w:rPr>
        <w:t>Certification cycles are:</w:t>
      </w:r>
    </w:p>
    <w:p w14:paraId="46277845" w14:textId="1C867D4B" w:rsidR="004B21AC" w:rsidRPr="004B21AC" w:rsidRDefault="004B21AC" w:rsidP="00FC58CE">
      <w:pPr>
        <w:pStyle w:val="ListParagraph"/>
        <w:numPr>
          <w:ilvl w:val="0"/>
          <w:numId w:val="29"/>
        </w:numPr>
        <w:spacing w:before="120" w:after="120" w:line="276" w:lineRule="auto"/>
        <w:rPr>
          <w:sz w:val="20"/>
          <w:szCs w:val="20"/>
        </w:rPr>
      </w:pPr>
      <w:r w:rsidRPr="004B21AC">
        <w:rPr>
          <w:sz w:val="20"/>
          <w:szCs w:val="20"/>
        </w:rPr>
        <w:t>Large enterprises</w:t>
      </w:r>
      <w:r>
        <w:rPr>
          <w:sz w:val="20"/>
          <w:szCs w:val="20"/>
        </w:rPr>
        <w:t xml:space="preserve"> - </w:t>
      </w:r>
      <w:r w:rsidRPr="004B21AC">
        <w:rPr>
          <w:sz w:val="20"/>
          <w:szCs w:val="20"/>
        </w:rPr>
        <w:t>every 3 years</w:t>
      </w:r>
    </w:p>
    <w:p w14:paraId="733DC348" w14:textId="7A5C077E" w:rsidR="004B21AC" w:rsidRPr="004B21AC" w:rsidRDefault="004B21AC" w:rsidP="00FC58CE">
      <w:pPr>
        <w:pStyle w:val="ListParagraph"/>
        <w:numPr>
          <w:ilvl w:val="0"/>
          <w:numId w:val="29"/>
        </w:numPr>
        <w:spacing w:before="120" w:after="120" w:line="276" w:lineRule="auto"/>
        <w:rPr>
          <w:sz w:val="20"/>
          <w:szCs w:val="20"/>
        </w:rPr>
      </w:pPr>
      <w:r w:rsidRPr="004B21AC">
        <w:rPr>
          <w:sz w:val="20"/>
          <w:szCs w:val="20"/>
        </w:rPr>
        <w:t>Medium enterprises</w:t>
      </w:r>
      <w:r>
        <w:rPr>
          <w:sz w:val="20"/>
          <w:szCs w:val="20"/>
        </w:rPr>
        <w:t xml:space="preserve"> - </w:t>
      </w:r>
      <w:r w:rsidRPr="004B21AC">
        <w:rPr>
          <w:sz w:val="20"/>
          <w:szCs w:val="20"/>
        </w:rPr>
        <w:t>every 4 years</w:t>
      </w:r>
    </w:p>
    <w:p w14:paraId="70E65309" w14:textId="006A9684" w:rsidR="004B21AC" w:rsidRDefault="004B21AC" w:rsidP="00FC58CE">
      <w:pPr>
        <w:pStyle w:val="ListParagraph"/>
        <w:numPr>
          <w:ilvl w:val="0"/>
          <w:numId w:val="29"/>
        </w:numPr>
        <w:spacing w:before="120" w:after="120" w:line="276" w:lineRule="auto"/>
        <w:rPr>
          <w:sz w:val="20"/>
          <w:szCs w:val="20"/>
        </w:rPr>
      </w:pPr>
      <w:r w:rsidRPr="004B21AC">
        <w:rPr>
          <w:sz w:val="20"/>
          <w:szCs w:val="20"/>
        </w:rPr>
        <w:t>Small enterprises</w:t>
      </w:r>
      <w:r>
        <w:rPr>
          <w:sz w:val="20"/>
          <w:szCs w:val="20"/>
        </w:rPr>
        <w:t xml:space="preserve"> - </w:t>
      </w:r>
      <w:r w:rsidRPr="004B21AC">
        <w:rPr>
          <w:sz w:val="20"/>
          <w:szCs w:val="20"/>
        </w:rPr>
        <w:t xml:space="preserve">one mandatory certification by </w:t>
      </w:r>
      <w:r w:rsidR="002E01B4">
        <w:rPr>
          <w:sz w:val="20"/>
          <w:szCs w:val="20"/>
        </w:rPr>
        <w:t xml:space="preserve">17 December </w:t>
      </w:r>
      <w:r w:rsidRPr="004B21AC">
        <w:rPr>
          <w:sz w:val="20"/>
          <w:szCs w:val="20"/>
        </w:rPr>
        <w:t>2030, then every 5 years or revert to self</w:t>
      </w:r>
      <w:r w:rsidRPr="004B21AC">
        <w:rPr>
          <w:rFonts w:ascii="Cambria Math" w:hAnsi="Cambria Math" w:cs="Cambria Math"/>
          <w:sz w:val="20"/>
          <w:szCs w:val="20"/>
        </w:rPr>
        <w:t>‑</w:t>
      </w:r>
      <w:r w:rsidRPr="004B21AC">
        <w:rPr>
          <w:sz w:val="20"/>
          <w:szCs w:val="20"/>
        </w:rPr>
        <w:t>declaration</w:t>
      </w:r>
    </w:p>
    <w:p w14:paraId="201F48F8" w14:textId="00C089F3" w:rsidR="004B21AC" w:rsidRDefault="00124A20" w:rsidP="004B21AC">
      <w:pPr>
        <w:spacing w:before="120" w:after="120" w:line="276" w:lineRule="auto"/>
        <w:rPr>
          <w:sz w:val="20"/>
          <w:szCs w:val="20"/>
        </w:rPr>
      </w:pPr>
      <w:r w:rsidRPr="00124A20">
        <w:rPr>
          <w:sz w:val="20"/>
          <w:szCs w:val="20"/>
        </w:rPr>
        <w:lastRenderedPageBreak/>
        <w:t xml:space="preserve">Article 6(4) </w:t>
      </w:r>
      <w:r w:rsidR="002E01B4">
        <w:rPr>
          <w:sz w:val="20"/>
          <w:szCs w:val="20"/>
        </w:rPr>
        <w:t>states that</w:t>
      </w:r>
      <w:r w:rsidRPr="00124A20">
        <w:rPr>
          <w:sz w:val="20"/>
          <w:szCs w:val="20"/>
        </w:rPr>
        <w:t xml:space="preserve"> certifiers</w:t>
      </w:r>
      <w:r w:rsidR="002E01B4">
        <w:rPr>
          <w:sz w:val="20"/>
          <w:szCs w:val="20"/>
        </w:rPr>
        <w:t xml:space="preserve"> must carry out </w:t>
      </w:r>
      <w:r w:rsidRPr="00124A20">
        <w:rPr>
          <w:sz w:val="20"/>
          <w:szCs w:val="20"/>
        </w:rPr>
        <w:t>spot checks</w:t>
      </w:r>
      <w:r w:rsidR="002E01B4">
        <w:rPr>
          <w:sz w:val="20"/>
          <w:szCs w:val="20"/>
        </w:rPr>
        <w:t xml:space="preserve"> to ensure the risk management plan is adequate and properly implemented.  </w:t>
      </w:r>
      <w:r w:rsidRPr="00124A20">
        <w:rPr>
          <w:sz w:val="20"/>
          <w:szCs w:val="20"/>
        </w:rPr>
        <w:t xml:space="preserve">The Regulation sets no frequency for these checks and does not say whether they are announced. </w:t>
      </w:r>
      <w:r>
        <w:rPr>
          <w:sz w:val="20"/>
          <w:szCs w:val="20"/>
        </w:rPr>
        <w:t xml:space="preserve"> </w:t>
      </w:r>
      <w:r w:rsidRPr="00124A20">
        <w:rPr>
          <w:sz w:val="20"/>
          <w:szCs w:val="20"/>
        </w:rPr>
        <w:t>Certificates must record the date of each one (Article 6(5)(b) and Annex IV), so in practice their timing will be set by certifier accreditation requirements rather than by the Regulation.</w:t>
      </w:r>
      <w:r>
        <w:rPr>
          <w:sz w:val="20"/>
          <w:szCs w:val="20"/>
        </w:rPr>
        <w:t xml:space="preserve">  </w:t>
      </w:r>
      <w:r w:rsidR="001F746E">
        <w:rPr>
          <w:sz w:val="20"/>
          <w:szCs w:val="20"/>
        </w:rPr>
        <w:t>In addition, c</w:t>
      </w:r>
      <w:r w:rsidR="001F746E" w:rsidRPr="001F746E">
        <w:rPr>
          <w:sz w:val="20"/>
          <w:szCs w:val="20"/>
        </w:rPr>
        <w:t>ertifiers must report every certificate issued, suspended, withdrawn or changed directly to the competent authorities (Article 6(6)).</w:t>
      </w:r>
    </w:p>
    <w:p w14:paraId="36DF5D68" w14:textId="1B8E225B" w:rsidR="004B21AC" w:rsidRDefault="00CD79DF" w:rsidP="004B21AC">
      <w:pPr>
        <w:spacing w:before="120" w:after="120" w:line="276" w:lineRule="auto"/>
        <w:rPr>
          <w:sz w:val="20"/>
          <w:szCs w:val="20"/>
        </w:rPr>
      </w:pPr>
      <w:r>
        <w:rPr>
          <w:sz w:val="20"/>
          <w:szCs w:val="20"/>
        </w:rPr>
        <w:t>The Regulation introduces an alternative compliance route based on environmental permits</w:t>
      </w:r>
      <w:r w:rsidR="004F5F8F">
        <w:rPr>
          <w:sz w:val="20"/>
          <w:szCs w:val="20"/>
        </w:rPr>
        <w:t xml:space="preserve"> (Article 7)</w:t>
      </w:r>
      <w:r>
        <w:rPr>
          <w:sz w:val="20"/>
          <w:szCs w:val="20"/>
        </w:rPr>
        <w:t xml:space="preserve">.  A Member State can choose to exempt an operator from submitting self-declarations and obtaining certification if the installation is already operating under a permit that incorporates all requirements of Annex I (risk management).  This route requires: </w:t>
      </w:r>
    </w:p>
    <w:p w14:paraId="19F8B4AB" w14:textId="2021ECC8" w:rsidR="00CD79DF" w:rsidRDefault="00CD79DF" w:rsidP="00FC58CE">
      <w:pPr>
        <w:pStyle w:val="ListParagraph"/>
        <w:numPr>
          <w:ilvl w:val="0"/>
          <w:numId w:val="31"/>
        </w:numPr>
        <w:spacing w:before="120" w:after="120" w:line="276" w:lineRule="auto"/>
        <w:rPr>
          <w:sz w:val="20"/>
          <w:szCs w:val="20"/>
        </w:rPr>
      </w:pPr>
      <w:r>
        <w:rPr>
          <w:sz w:val="20"/>
          <w:szCs w:val="20"/>
        </w:rPr>
        <w:t xml:space="preserve">The operator to notify the permitting authority of their risk management plan and updates </w:t>
      </w:r>
    </w:p>
    <w:p w14:paraId="28ED328B" w14:textId="112B633B" w:rsidR="00CD79DF" w:rsidRDefault="00CD79DF" w:rsidP="00FC58CE">
      <w:pPr>
        <w:pStyle w:val="ListParagraph"/>
        <w:numPr>
          <w:ilvl w:val="0"/>
          <w:numId w:val="31"/>
        </w:numPr>
        <w:spacing w:before="120" w:after="120" w:line="276" w:lineRule="auto"/>
        <w:rPr>
          <w:sz w:val="20"/>
          <w:szCs w:val="20"/>
        </w:rPr>
      </w:pPr>
      <w:r>
        <w:rPr>
          <w:sz w:val="20"/>
          <w:szCs w:val="20"/>
        </w:rPr>
        <w:t xml:space="preserve">The authority to review and, if needed, revise the permit to ensure alignment with the Regulation </w:t>
      </w:r>
    </w:p>
    <w:p w14:paraId="02E62D7F" w14:textId="24BC02CA" w:rsidR="00CD79DF" w:rsidRDefault="00CD79DF" w:rsidP="00FC58CE">
      <w:pPr>
        <w:pStyle w:val="ListParagraph"/>
        <w:numPr>
          <w:ilvl w:val="0"/>
          <w:numId w:val="31"/>
        </w:numPr>
        <w:spacing w:before="120" w:after="120" w:line="276" w:lineRule="auto"/>
        <w:rPr>
          <w:sz w:val="20"/>
          <w:szCs w:val="20"/>
        </w:rPr>
      </w:pPr>
      <w:r>
        <w:rPr>
          <w:sz w:val="20"/>
          <w:szCs w:val="20"/>
        </w:rPr>
        <w:t xml:space="preserve">Regular inspections equivalent in frequency to the certification timetable </w:t>
      </w:r>
    </w:p>
    <w:p w14:paraId="027CDC60" w14:textId="1D41D85B" w:rsidR="00CD79DF" w:rsidRDefault="00CD79DF" w:rsidP="00CD79DF">
      <w:pPr>
        <w:spacing w:before="120" w:after="120" w:line="276" w:lineRule="auto"/>
        <w:rPr>
          <w:sz w:val="20"/>
          <w:szCs w:val="20"/>
        </w:rPr>
      </w:pPr>
      <w:r>
        <w:rPr>
          <w:sz w:val="20"/>
          <w:szCs w:val="20"/>
        </w:rPr>
        <w:t xml:space="preserve">This allows Member States to integrate pellet-handling obligations into their existing permitting systems, avoiding duplication.  </w:t>
      </w:r>
    </w:p>
    <w:p w14:paraId="6644F3CC" w14:textId="02BBDE7E" w:rsidR="002E01B4" w:rsidRDefault="002E01B4" w:rsidP="00CD79DF">
      <w:pPr>
        <w:spacing w:before="120" w:after="120" w:line="276" w:lineRule="auto"/>
        <w:rPr>
          <w:sz w:val="20"/>
          <w:szCs w:val="20"/>
        </w:rPr>
      </w:pPr>
      <w:r w:rsidRPr="002E01B4">
        <w:rPr>
          <w:sz w:val="20"/>
          <w:szCs w:val="20"/>
        </w:rPr>
        <w:t xml:space="preserve">A third route </w:t>
      </w:r>
      <w:r>
        <w:rPr>
          <w:sz w:val="20"/>
          <w:szCs w:val="20"/>
        </w:rPr>
        <w:t xml:space="preserve">is </w:t>
      </w:r>
      <w:r w:rsidRPr="002E01B4">
        <w:rPr>
          <w:sz w:val="20"/>
          <w:szCs w:val="20"/>
        </w:rPr>
        <w:t>through environmental management systems.  Article 8(1) exempts operators registered under EMAS from Article 5(2) and from certification under Article 6(1), (2) and (3), provided an environmental verifier has confirmed that the Annex I requirements are included in the management system and implemented.  Article 8(2) allows Member States to extend the same treatment to an operator with a verified environmental management system meeting equivalent conditions.  Unlike the permit route, verification i</w:t>
      </w:r>
      <w:r>
        <w:rPr>
          <w:sz w:val="20"/>
          <w:szCs w:val="20"/>
        </w:rPr>
        <w:t>s</w:t>
      </w:r>
      <w:r w:rsidRPr="002E01B4">
        <w:rPr>
          <w:sz w:val="20"/>
          <w:szCs w:val="20"/>
        </w:rPr>
        <w:t xml:space="preserve"> independent.</w:t>
      </w:r>
    </w:p>
    <w:p w14:paraId="491E7BED" w14:textId="77777777" w:rsidR="00CD79DF" w:rsidRDefault="00CD79DF" w:rsidP="00CD79DF">
      <w:pPr>
        <w:spacing w:before="120" w:after="120" w:line="276" w:lineRule="auto"/>
        <w:rPr>
          <w:sz w:val="20"/>
          <w:szCs w:val="20"/>
        </w:rPr>
      </w:pPr>
    </w:p>
    <w:p w14:paraId="46A2DA34" w14:textId="5A1CDAB0" w:rsidR="00CD79DF" w:rsidRDefault="00CD79DF" w:rsidP="00CD79DF">
      <w:pPr>
        <w:pStyle w:val="Heading02"/>
      </w:pPr>
      <w:bookmarkStart w:id="16" w:name="_Toc225594984"/>
      <w:r>
        <w:t>Obligations for carriers and maritime transport</w:t>
      </w:r>
      <w:bookmarkEnd w:id="16"/>
      <w:r>
        <w:t xml:space="preserve"> </w:t>
      </w:r>
    </w:p>
    <w:p w14:paraId="595C58B4" w14:textId="3C5E5096" w:rsidR="00CD79DF" w:rsidRDefault="00CD79DF" w:rsidP="00CD79DF">
      <w:pPr>
        <w:spacing w:before="120" w:after="120" w:line="276" w:lineRule="auto"/>
        <w:rPr>
          <w:sz w:val="20"/>
          <w:szCs w:val="20"/>
        </w:rPr>
      </w:pPr>
      <w:r>
        <w:rPr>
          <w:sz w:val="20"/>
          <w:szCs w:val="20"/>
        </w:rPr>
        <w:t xml:space="preserve">Carriers (road, rail, inland waterway) must follow defined measures to prevent plastic leakage during transport, such as ensuring packaging integrity, cleaning external surfaces, sealing loading areas, repairing damaged bags in transit when possible and carrying basic clean-up tools.  </w:t>
      </w:r>
    </w:p>
    <w:p w14:paraId="6A47DC49" w14:textId="7868FB76" w:rsidR="00CD79DF" w:rsidRDefault="00CD79DF" w:rsidP="00CD79DF">
      <w:pPr>
        <w:spacing w:before="120" w:after="120" w:line="276" w:lineRule="auto"/>
        <w:rPr>
          <w:sz w:val="20"/>
          <w:szCs w:val="20"/>
        </w:rPr>
      </w:pPr>
      <w:r>
        <w:rPr>
          <w:sz w:val="20"/>
          <w:szCs w:val="20"/>
        </w:rPr>
        <w:t>Sea transport</w:t>
      </w:r>
      <w:r w:rsidR="00205A5E">
        <w:rPr>
          <w:sz w:val="20"/>
          <w:szCs w:val="20"/>
        </w:rPr>
        <w:t>ation</w:t>
      </w:r>
      <w:r>
        <w:rPr>
          <w:sz w:val="20"/>
          <w:szCs w:val="20"/>
        </w:rPr>
        <w:t xml:space="preserve"> has stricter requirements.  Shippers must use strong, loss-proof packaging and provide special stowage requests while vessel operators must stow pellet containers under deck or in sheltered deck areas wherever possible.  These requirements go beyond current </w:t>
      </w:r>
      <w:r w:rsidRPr="00CD79DF">
        <w:rPr>
          <w:sz w:val="20"/>
          <w:szCs w:val="20"/>
        </w:rPr>
        <w:t>International Maritime Organization</w:t>
      </w:r>
      <w:r>
        <w:rPr>
          <w:sz w:val="20"/>
          <w:szCs w:val="20"/>
        </w:rPr>
        <w:t xml:space="preserve"> (IMO) guidance, reflecting the EU’s aim to prevent high-impact maritime spills.  </w:t>
      </w:r>
    </w:p>
    <w:p w14:paraId="5FB76F59" w14:textId="77777777" w:rsidR="00CD79DF" w:rsidRDefault="00CD79DF" w:rsidP="00CD79DF">
      <w:pPr>
        <w:spacing w:before="120" w:after="120" w:line="276" w:lineRule="auto"/>
        <w:rPr>
          <w:sz w:val="20"/>
          <w:szCs w:val="20"/>
        </w:rPr>
      </w:pPr>
    </w:p>
    <w:p w14:paraId="1CD65E40" w14:textId="7BB8230C" w:rsidR="00CD79DF" w:rsidRDefault="00CD79DF" w:rsidP="00CD79DF">
      <w:pPr>
        <w:pStyle w:val="Heading02"/>
      </w:pPr>
      <w:bookmarkStart w:id="17" w:name="_Toc225594985"/>
      <w:r>
        <w:t>Transparency and data collection</w:t>
      </w:r>
      <w:bookmarkEnd w:id="17"/>
      <w:r>
        <w:t xml:space="preserve"> </w:t>
      </w:r>
    </w:p>
    <w:p w14:paraId="3BB5C066" w14:textId="2008A738" w:rsidR="00CD79DF" w:rsidRDefault="00CD79DF" w:rsidP="00CD79DF">
      <w:pPr>
        <w:spacing w:before="120" w:after="120" w:line="276" w:lineRule="auto"/>
        <w:rPr>
          <w:sz w:val="20"/>
          <w:szCs w:val="20"/>
        </w:rPr>
      </w:pPr>
      <w:r>
        <w:rPr>
          <w:sz w:val="20"/>
          <w:szCs w:val="20"/>
        </w:rPr>
        <w:t xml:space="preserve">Competent authorities must publicly share: </w:t>
      </w:r>
    </w:p>
    <w:p w14:paraId="509F3F9E" w14:textId="0CFEB74B" w:rsidR="00752F7F" w:rsidRDefault="007875BD" w:rsidP="00FC58CE">
      <w:pPr>
        <w:pStyle w:val="ListParagraph"/>
        <w:numPr>
          <w:ilvl w:val="0"/>
          <w:numId w:val="32"/>
        </w:numPr>
        <w:spacing w:before="120" w:after="120" w:line="276" w:lineRule="auto"/>
        <w:rPr>
          <w:sz w:val="20"/>
          <w:szCs w:val="20"/>
        </w:rPr>
      </w:pPr>
      <w:r>
        <w:rPr>
          <w:sz w:val="20"/>
          <w:szCs w:val="20"/>
        </w:rPr>
        <w:t>i</w:t>
      </w:r>
      <w:r w:rsidRPr="007875BD">
        <w:rPr>
          <w:sz w:val="20"/>
          <w:szCs w:val="20"/>
        </w:rPr>
        <w:t>nformation on operators, installations and transporters (notifications)</w:t>
      </w:r>
    </w:p>
    <w:p w14:paraId="27EC2BCE" w14:textId="73EFC681" w:rsidR="00CD79DF" w:rsidRDefault="00CD79DF" w:rsidP="00FC58CE">
      <w:pPr>
        <w:pStyle w:val="ListParagraph"/>
        <w:numPr>
          <w:ilvl w:val="0"/>
          <w:numId w:val="32"/>
        </w:numPr>
        <w:spacing w:before="120" w:after="120" w:line="276" w:lineRule="auto"/>
        <w:rPr>
          <w:sz w:val="20"/>
          <w:szCs w:val="20"/>
        </w:rPr>
      </w:pPr>
      <w:r>
        <w:rPr>
          <w:sz w:val="20"/>
          <w:szCs w:val="20"/>
        </w:rPr>
        <w:t xml:space="preserve">Risk management plans (minus sensitive details) </w:t>
      </w:r>
    </w:p>
    <w:p w14:paraId="5C205A08" w14:textId="109992D4" w:rsidR="00CD79DF" w:rsidRDefault="00CD79DF" w:rsidP="00FC58CE">
      <w:pPr>
        <w:pStyle w:val="ListParagraph"/>
        <w:numPr>
          <w:ilvl w:val="0"/>
          <w:numId w:val="32"/>
        </w:numPr>
        <w:spacing w:before="120" w:after="120" w:line="276" w:lineRule="auto"/>
        <w:rPr>
          <w:sz w:val="20"/>
          <w:szCs w:val="20"/>
        </w:rPr>
      </w:pPr>
      <w:r>
        <w:rPr>
          <w:sz w:val="20"/>
          <w:szCs w:val="20"/>
        </w:rPr>
        <w:t xml:space="preserve">Self-declarations </w:t>
      </w:r>
    </w:p>
    <w:p w14:paraId="6CF61C1D" w14:textId="004C027B" w:rsidR="00CD79DF" w:rsidRDefault="00CD79DF" w:rsidP="00FC58CE">
      <w:pPr>
        <w:pStyle w:val="ListParagraph"/>
        <w:numPr>
          <w:ilvl w:val="0"/>
          <w:numId w:val="32"/>
        </w:numPr>
        <w:spacing w:before="120" w:after="120" w:line="276" w:lineRule="auto"/>
        <w:rPr>
          <w:sz w:val="20"/>
          <w:szCs w:val="20"/>
        </w:rPr>
      </w:pPr>
      <w:r>
        <w:rPr>
          <w:sz w:val="20"/>
          <w:szCs w:val="20"/>
        </w:rPr>
        <w:t xml:space="preserve">Certificates </w:t>
      </w:r>
    </w:p>
    <w:p w14:paraId="6B7923DC" w14:textId="5C89A3B1" w:rsidR="00CD79DF" w:rsidRDefault="00CD79DF" w:rsidP="00FC58CE">
      <w:pPr>
        <w:pStyle w:val="ListParagraph"/>
        <w:numPr>
          <w:ilvl w:val="0"/>
          <w:numId w:val="32"/>
        </w:numPr>
        <w:spacing w:before="120" w:after="120" w:line="276" w:lineRule="auto"/>
        <w:rPr>
          <w:sz w:val="20"/>
          <w:szCs w:val="20"/>
        </w:rPr>
      </w:pPr>
      <w:r>
        <w:rPr>
          <w:sz w:val="20"/>
          <w:szCs w:val="20"/>
        </w:rPr>
        <w:t xml:space="preserve">Permit decisions </w:t>
      </w:r>
    </w:p>
    <w:p w14:paraId="1B9F1D4B" w14:textId="58085168" w:rsidR="007875BD" w:rsidRDefault="007875BD" w:rsidP="00FC58CE">
      <w:pPr>
        <w:pStyle w:val="ListParagraph"/>
        <w:numPr>
          <w:ilvl w:val="0"/>
          <w:numId w:val="32"/>
        </w:numPr>
        <w:spacing w:before="120" w:after="120" w:line="276" w:lineRule="auto"/>
        <w:rPr>
          <w:sz w:val="20"/>
          <w:szCs w:val="20"/>
        </w:rPr>
      </w:pPr>
      <w:r>
        <w:rPr>
          <w:sz w:val="20"/>
          <w:szCs w:val="20"/>
        </w:rPr>
        <w:t>EMS conformity assessments</w:t>
      </w:r>
    </w:p>
    <w:p w14:paraId="02D05B9E" w14:textId="3DEA7B66" w:rsidR="00704659" w:rsidRDefault="00704659" w:rsidP="00CD79DF">
      <w:pPr>
        <w:spacing w:before="120" w:after="120" w:line="276" w:lineRule="auto"/>
        <w:rPr>
          <w:sz w:val="20"/>
          <w:szCs w:val="20"/>
        </w:rPr>
      </w:pPr>
      <w:r w:rsidRPr="00704659">
        <w:rPr>
          <w:sz w:val="20"/>
          <w:szCs w:val="20"/>
        </w:rPr>
        <w:t>Article 11(2) requires competent authorities not to publish the tonnage handled at an installation (Annex I, paragraph 1(b)) and allows other details to be withheld on safety or confidentiality grounds.  The public record therefore does not show which threshold band an installation falls into.</w:t>
      </w:r>
    </w:p>
    <w:p w14:paraId="3355AE42" w14:textId="5C4F0FF7" w:rsidR="00CD79DF" w:rsidRPr="00CD79DF" w:rsidRDefault="00CD79DF" w:rsidP="00CD79DF">
      <w:pPr>
        <w:spacing w:before="120" w:after="120" w:line="276" w:lineRule="auto"/>
        <w:rPr>
          <w:sz w:val="20"/>
          <w:szCs w:val="20"/>
        </w:rPr>
      </w:pPr>
      <w:r>
        <w:rPr>
          <w:sz w:val="20"/>
          <w:szCs w:val="20"/>
        </w:rPr>
        <w:lastRenderedPageBreak/>
        <w:t xml:space="preserve">Economic operators must maintain five-year records of estimated </w:t>
      </w:r>
      <w:r w:rsidR="00411419">
        <w:rPr>
          <w:sz w:val="20"/>
          <w:szCs w:val="20"/>
        </w:rPr>
        <w:t>quantities</w:t>
      </w:r>
      <w:r>
        <w:rPr>
          <w:sz w:val="20"/>
          <w:szCs w:val="20"/>
        </w:rPr>
        <w:t xml:space="preserve"> lost and handled annually.  </w:t>
      </w:r>
      <w:r w:rsidR="00704659" w:rsidRPr="00704659">
        <w:rPr>
          <w:sz w:val="20"/>
          <w:szCs w:val="20"/>
        </w:rPr>
        <w:t xml:space="preserve">A harmonised EU method for estimating pellet losses is to be developed through European standardisation, with the Commission required to submit the request by 17 December 2026 (Article 18(2)).  No date is set for delivery of the standard, and the duty to use the method applies six months after it is published in the Official Journal or from the date an implementing act under Article 18(3) applies.  </w:t>
      </w:r>
    </w:p>
    <w:p w14:paraId="0C1607C8" w14:textId="77777777" w:rsidR="004B21AC" w:rsidRDefault="004B21AC" w:rsidP="004B21AC">
      <w:pPr>
        <w:spacing w:before="120" w:after="120" w:line="276" w:lineRule="auto"/>
        <w:rPr>
          <w:sz w:val="20"/>
          <w:szCs w:val="20"/>
        </w:rPr>
      </w:pPr>
    </w:p>
    <w:p w14:paraId="2396F44C" w14:textId="3BB129CD" w:rsidR="0023539A" w:rsidRDefault="0023539A" w:rsidP="0023539A">
      <w:pPr>
        <w:pStyle w:val="Heading02"/>
      </w:pPr>
      <w:bookmarkStart w:id="18" w:name="_Toc225594986"/>
      <w:r>
        <w:t>Enforcement, penalties and corrective measures</w:t>
      </w:r>
      <w:bookmarkEnd w:id="18"/>
      <w:r>
        <w:t xml:space="preserve"> </w:t>
      </w:r>
    </w:p>
    <w:p w14:paraId="3CB0511F" w14:textId="1A5ABA08" w:rsidR="0023539A" w:rsidRDefault="0023539A" w:rsidP="004B21AC">
      <w:pPr>
        <w:spacing w:before="120" w:after="120" w:line="276" w:lineRule="auto"/>
        <w:rPr>
          <w:sz w:val="20"/>
          <w:szCs w:val="20"/>
        </w:rPr>
      </w:pPr>
      <w:r>
        <w:rPr>
          <w:sz w:val="20"/>
          <w:szCs w:val="20"/>
        </w:rPr>
        <w:t xml:space="preserve">Authorities can inspect installations (including unannounced visits), require additional measures and suspend operations if there is an immediate risk to the environment or health.  </w:t>
      </w:r>
    </w:p>
    <w:p w14:paraId="224C4E39" w14:textId="16881ADF" w:rsidR="009902E8" w:rsidRDefault="00124A20" w:rsidP="004B21AC">
      <w:pPr>
        <w:spacing w:before="120" w:after="120" w:line="276" w:lineRule="auto"/>
        <w:rPr>
          <w:sz w:val="20"/>
          <w:szCs w:val="20"/>
        </w:rPr>
      </w:pPr>
      <w:r w:rsidRPr="00124A20">
        <w:rPr>
          <w:sz w:val="20"/>
          <w:szCs w:val="20"/>
        </w:rPr>
        <w:t>Penalties must be effective, proportionate and dissuasive.</w:t>
      </w:r>
      <w:r>
        <w:rPr>
          <w:sz w:val="20"/>
          <w:szCs w:val="20"/>
        </w:rPr>
        <w:t xml:space="preserve"> </w:t>
      </w:r>
      <w:r w:rsidRPr="00124A20">
        <w:rPr>
          <w:sz w:val="20"/>
          <w:szCs w:val="20"/>
        </w:rPr>
        <w:t xml:space="preserve"> For the most serious infringements committed by a legal person, Member States must set a maximum administrative financial penalty of at least 3% of annual Union turnover in the preceding financial year (Article 20(3)). </w:t>
      </w:r>
      <w:r>
        <w:rPr>
          <w:sz w:val="20"/>
          <w:szCs w:val="20"/>
        </w:rPr>
        <w:t xml:space="preserve"> </w:t>
      </w:r>
      <w:r w:rsidRPr="00124A20">
        <w:rPr>
          <w:sz w:val="20"/>
          <w:szCs w:val="20"/>
        </w:rPr>
        <w:t>Individuals harmed by non-compliance have a right to compensation under Article 21, and Article 19(1) treats qualifying non-governmental organisations as having sufficient interest to complain, with their wider role in proceedings left to national rules.</w:t>
      </w:r>
      <w:r>
        <w:rPr>
          <w:sz w:val="20"/>
          <w:szCs w:val="20"/>
        </w:rPr>
        <w:t xml:space="preserve">  </w:t>
      </w:r>
    </w:p>
    <w:p w14:paraId="4DA2165A" w14:textId="7111F9E2" w:rsidR="009902E8" w:rsidRDefault="009902E8" w:rsidP="009902E8">
      <w:pPr>
        <w:pStyle w:val="Heading02"/>
      </w:pPr>
      <w:bookmarkStart w:id="19" w:name="_Toc225594987"/>
      <w:r>
        <w:t>Implementation timeline</w:t>
      </w:r>
      <w:bookmarkEnd w:id="19"/>
    </w:p>
    <w:p w14:paraId="12D9EE92" w14:textId="52FA6D6A" w:rsidR="009902E8" w:rsidRPr="004B21AC" w:rsidRDefault="009902E8" w:rsidP="004B21AC">
      <w:pPr>
        <w:spacing w:before="120" w:after="120" w:line="276" w:lineRule="auto"/>
        <w:rPr>
          <w:sz w:val="20"/>
          <w:szCs w:val="20"/>
        </w:rPr>
      </w:pPr>
      <w:r w:rsidRPr="009902E8">
        <w:rPr>
          <w:sz w:val="20"/>
          <w:szCs w:val="20"/>
        </w:rPr>
        <w:t>This timeline follows the Regulation’s staged application dates, showing when each major obligation becomes legally binding.</w:t>
      </w:r>
    </w:p>
    <w:tbl>
      <w:tblPr>
        <w:tblStyle w:val="GridTable1Light-Accent1"/>
        <w:tblW w:w="0" w:type="auto"/>
        <w:tblLook w:val="0480" w:firstRow="0" w:lastRow="0" w:firstColumn="1" w:lastColumn="0" w:noHBand="0" w:noVBand="1"/>
      </w:tblPr>
      <w:tblGrid>
        <w:gridCol w:w="2405"/>
        <w:gridCol w:w="6611"/>
      </w:tblGrid>
      <w:tr w:rsidR="009902E8" w14:paraId="330C187A" w14:textId="77777777" w:rsidTr="009902E8">
        <w:tc>
          <w:tcPr>
            <w:cnfStyle w:val="001000000000" w:firstRow="0" w:lastRow="0" w:firstColumn="1" w:lastColumn="0" w:oddVBand="0" w:evenVBand="0" w:oddHBand="0" w:evenHBand="0" w:firstRowFirstColumn="0" w:firstRowLastColumn="0" w:lastRowFirstColumn="0" w:lastRowLastColumn="0"/>
            <w:tcW w:w="2405" w:type="dxa"/>
          </w:tcPr>
          <w:p w14:paraId="455E5325" w14:textId="6D5415EE" w:rsidR="009902E8" w:rsidRPr="009902E8" w:rsidRDefault="009902E8" w:rsidP="00D05FF3">
            <w:pPr>
              <w:spacing w:before="120" w:after="120" w:line="276" w:lineRule="auto"/>
              <w:rPr>
                <w:b w:val="0"/>
                <w:bCs w:val="0"/>
                <w:sz w:val="20"/>
                <w:szCs w:val="20"/>
              </w:rPr>
            </w:pPr>
            <w:r>
              <w:rPr>
                <w:b w:val="0"/>
                <w:bCs w:val="0"/>
                <w:sz w:val="20"/>
                <w:szCs w:val="20"/>
              </w:rPr>
              <w:t xml:space="preserve">12 November 2025 </w:t>
            </w:r>
          </w:p>
        </w:tc>
        <w:tc>
          <w:tcPr>
            <w:tcW w:w="6611" w:type="dxa"/>
          </w:tcPr>
          <w:p w14:paraId="4EFD48CD" w14:textId="77777777" w:rsidR="009902E8" w:rsidRPr="009902E8" w:rsidRDefault="009902E8"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9902E8">
              <w:rPr>
                <w:b/>
                <w:bCs/>
                <w:sz w:val="20"/>
                <w:szCs w:val="20"/>
              </w:rPr>
              <w:t xml:space="preserve">Regulation adopted </w:t>
            </w:r>
          </w:p>
          <w:p w14:paraId="4EA88BE8" w14:textId="648EA661" w:rsidR="009902E8" w:rsidRDefault="009902E8"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European Parliament and Council formally adopt the regulation </w:t>
            </w:r>
          </w:p>
        </w:tc>
      </w:tr>
      <w:tr w:rsidR="009902E8" w14:paraId="775520A8" w14:textId="77777777" w:rsidTr="009902E8">
        <w:tc>
          <w:tcPr>
            <w:cnfStyle w:val="001000000000" w:firstRow="0" w:lastRow="0" w:firstColumn="1" w:lastColumn="0" w:oddVBand="0" w:evenVBand="0" w:oddHBand="0" w:evenHBand="0" w:firstRowFirstColumn="0" w:firstRowLastColumn="0" w:lastRowFirstColumn="0" w:lastRowLastColumn="0"/>
            <w:tcW w:w="2405" w:type="dxa"/>
          </w:tcPr>
          <w:p w14:paraId="7213C7F3" w14:textId="79FF9A55" w:rsidR="009902E8" w:rsidRPr="00042BA5" w:rsidRDefault="009902E8" w:rsidP="00D05FF3">
            <w:pPr>
              <w:spacing w:before="120" w:after="120" w:line="276" w:lineRule="auto"/>
              <w:rPr>
                <w:b w:val="0"/>
                <w:bCs w:val="0"/>
                <w:sz w:val="20"/>
                <w:szCs w:val="20"/>
              </w:rPr>
            </w:pPr>
            <w:r>
              <w:rPr>
                <w:b w:val="0"/>
                <w:bCs w:val="0"/>
                <w:sz w:val="20"/>
                <w:szCs w:val="20"/>
              </w:rPr>
              <w:t xml:space="preserve">16 December 2025 </w:t>
            </w:r>
          </w:p>
        </w:tc>
        <w:tc>
          <w:tcPr>
            <w:tcW w:w="6611" w:type="dxa"/>
          </w:tcPr>
          <w:p w14:paraId="66C7FB12" w14:textId="77777777" w:rsidR="009902E8" w:rsidRPr="009902E8" w:rsidRDefault="009902E8"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9902E8">
              <w:rPr>
                <w:b/>
                <w:bCs/>
                <w:sz w:val="20"/>
                <w:szCs w:val="20"/>
              </w:rPr>
              <w:t xml:space="preserve">Early provisions start </w:t>
            </w:r>
          </w:p>
          <w:p w14:paraId="253DFFF9" w14:textId="77777777" w:rsidR="009902E8" w:rsidRDefault="009902E8"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 set of foundation obligations begin immediately allowing Member States and industry to prepare.  </w:t>
            </w:r>
          </w:p>
          <w:p w14:paraId="26C1CA86" w14:textId="77777777" w:rsidR="009902E8" w:rsidRDefault="009902E8" w:rsidP="00FC58CE">
            <w:pPr>
              <w:pStyle w:val="ListParagraph"/>
              <w:numPr>
                <w:ilvl w:val="0"/>
                <w:numId w:val="33"/>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3(1): General obligation to avoid pellet losses and immediately contain/clean spills </w:t>
            </w:r>
          </w:p>
          <w:p w14:paraId="5634F4F2" w14:textId="7BAED389" w:rsidR="009902E8" w:rsidRDefault="009902E8" w:rsidP="00FC58CE">
            <w:pPr>
              <w:pStyle w:val="ListParagraph"/>
              <w:numPr>
                <w:ilvl w:val="0"/>
                <w:numId w:val="33"/>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5(6)(second subparagraph): Requirement to use the harmonised methodology for estimating pellet losses (when published) </w:t>
            </w:r>
          </w:p>
          <w:p w14:paraId="058623BC" w14:textId="3402B154" w:rsidR="009902E8" w:rsidRDefault="009902E8" w:rsidP="00FC58CE">
            <w:pPr>
              <w:pStyle w:val="ListParagraph"/>
              <w:numPr>
                <w:ilvl w:val="0"/>
                <w:numId w:val="33"/>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16: Member States must designate competent authorities and grant them inspection/enforcement powers </w:t>
            </w:r>
          </w:p>
          <w:p w14:paraId="3583B84F" w14:textId="1A75FA47" w:rsidR="009902E8" w:rsidRDefault="009902E8" w:rsidP="00FC58CE">
            <w:pPr>
              <w:pStyle w:val="ListParagraph"/>
              <w:numPr>
                <w:ilvl w:val="0"/>
                <w:numId w:val="33"/>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Article 17(1): Commission must publish EU-wide awareness-raising and training material</w:t>
            </w:r>
            <w:r w:rsidR="00704659">
              <w:rPr>
                <w:sz w:val="20"/>
                <w:szCs w:val="20"/>
              </w:rPr>
              <w:t xml:space="preserve"> by 17 December 2026 </w:t>
            </w:r>
          </w:p>
          <w:p w14:paraId="148CC458" w14:textId="695C6F4C" w:rsidR="000844F0" w:rsidRPr="009902E8" w:rsidRDefault="000844F0" w:rsidP="00FC58CE">
            <w:pPr>
              <w:pStyle w:val="ListParagraph"/>
              <w:numPr>
                <w:ilvl w:val="0"/>
                <w:numId w:val="33"/>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Article 18(2) &amp; 18(3): Commission must request the harmonised standard for loss estimation</w:t>
            </w:r>
            <w:r w:rsidR="00704659">
              <w:rPr>
                <w:sz w:val="20"/>
                <w:szCs w:val="20"/>
              </w:rPr>
              <w:t xml:space="preserve"> </w:t>
            </w:r>
            <w:r w:rsidR="00704659" w:rsidRPr="00704659">
              <w:rPr>
                <w:sz w:val="20"/>
                <w:szCs w:val="20"/>
              </w:rPr>
              <w:t>by 17 December 2026, or establish the methodology by implementing act</w:t>
            </w:r>
          </w:p>
        </w:tc>
      </w:tr>
      <w:tr w:rsidR="000844F0" w14:paraId="6508358B" w14:textId="77777777" w:rsidTr="009902E8">
        <w:tc>
          <w:tcPr>
            <w:cnfStyle w:val="001000000000" w:firstRow="0" w:lastRow="0" w:firstColumn="1" w:lastColumn="0" w:oddVBand="0" w:evenVBand="0" w:oddHBand="0" w:evenHBand="0" w:firstRowFirstColumn="0" w:firstRowLastColumn="0" w:lastRowFirstColumn="0" w:lastRowLastColumn="0"/>
            <w:tcW w:w="2405" w:type="dxa"/>
          </w:tcPr>
          <w:p w14:paraId="189A0551" w14:textId="30E46E9F" w:rsidR="000844F0" w:rsidRDefault="000844F0" w:rsidP="00D05FF3">
            <w:pPr>
              <w:spacing w:before="120" w:after="120" w:line="276" w:lineRule="auto"/>
              <w:rPr>
                <w:b w:val="0"/>
                <w:bCs w:val="0"/>
                <w:sz w:val="20"/>
                <w:szCs w:val="20"/>
              </w:rPr>
            </w:pPr>
            <w:r>
              <w:rPr>
                <w:b w:val="0"/>
                <w:bCs w:val="0"/>
                <w:sz w:val="20"/>
                <w:szCs w:val="20"/>
              </w:rPr>
              <w:t xml:space="preserve">17 December 2027 </w:t>
            </w:r>
          </w:p>
        </w:tc>
        <w:tc>
          <w:tcPr>
            <w:tcW w:w="6611" w:type="dxa"/>
          </w:tcPr>
          <w:p w14:paraId="41B4C618" w14:textId="250BC351" w:rsidR="000844F0" w:rsidRDefault="000844F0"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 xml:space="preserve">Full core obligations apply </w:t>
            </w:r>
          </w:p>
          <w:p w14:paraId="27CEFF55" w14:textId="77777777" w:rsidR="000844F0" w:rsidRPr="000844F0" w:rsidRDefault="000844F0" w:rsidP="000844F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0844F0">
              <w:rPr>
                <w:sz w:val="20"/>
                <w:szCs w:val="20"/>
              </w:rPr>
              <w:t>This is the main application date when the majority of legal duties begin.</w:t>
            </w:r>
            <w:r>
              <w:rPr>
                <w:sz w:val="20"/>
                <w:szCs w:val="20"/>
              </w:rPr>
              <w:t xml:space="preserve">  </w:t>
            </w:r>
            <w:r w:rsidRPr="000844F0">
              <w:rPr>
                <w:sz w:val="20"/>
                <w:szCs w:val="20"/>
              </w:rPr>
              <w:t>From this date, the following requirements apply to operators handling ≥5 tonnes/year and carriers:</w:t>
            </w:r>
          </w:p>
          <w:p w14:paraId="10E4CF86" w14:textId="18C59C43" w:rsidR="000844F0" w:rsidRPr="00A728FE" w:rsidRDefault="000844F0" w:rsidP="00FC58CE">
            <w:pPr>
              <w:pStyle w:val="ListParagraph"/>
              <w:numPr>
                <w:ilvl w:val="0"/>
                <w:numId w:val="34"/>
              </w:num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A728FE">
              <w:rPr>
                <w:b/>
                <w:bCs/>
                <w:sz w:val="20"/>
                <w:szCs w:val="20"/>
              </w:rPr>
              <w:t xml:space="preserve">Economic operators </w:t>
            </w:r>
          </w:p>
          <w:p w14:paraId="2E3D557C" w14:textId="584098BA" w:rsidR="000844F0" w:rsidRPr="000844F0" w:rsidRDefault="000844F0" w:rsidP="00FC58CE">
            <w:pPr>
              <w:pStyle w:val="ListParagraph"/>
              <w:numPr>
                <w:ilvl w:val="0"/>
                <w:numId w:val="3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0844F0">
              <w:rPr>
                <w:sz w:val="20"/>
                <w:szCs w:val="20"/>
              </w:rPr>
              <w:t>Full risk management plan obligations (Article 5)</w:t>
            </w:r>
          </w:p>
          <w:p w14:paraId="020531D8" w14:textId="412FF95A" w:rsidR="000844F0" w:rsidRPr="000844F0" w:rsidRDefault="000844F0" w:rsidP="00FC58CE">
            <w:pPr>
              <w:pStyle w:val="ListParagraph"/>
              <w:numPr>
                <w:ilvl w:val="0"/>
                <w:numId w:val="3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0844F0">
              <w:rPr>
                <w:sz w:val="20"/>
                <w:szCs w:val="20"/>
              </w:rPr>
              <w:lastRenderedPageBreak/>
              <w:t>Submission of self</w:t>
            </w:r>
            <w:r w:rsidRPr="000844F0">
              <w:rPr>
                <w:rFonts w:ascii="Cambria Math" w:hAnsi="Cambria Math" w:cs="Cambria Math"/>
                <w:sz w:val="20"/>
                <w:szCs w:val="20"/>
              </w:rPr>
              <w:t>‑</w:t>
            </w:r>
            <w:r w:rsidRPr="000844F0">
              <w:rPr>
                <w:sz w:val="20"/>
                <w:szCs w:val="20"/>
              </w:rPr>
              <w:t>declarations of conformity for applicable operators</w:t>
            </w:r>
          </w:p>
          <w:p w14:paraId="1C55DD00" w14:textId="1AD2D189" w:rsidR="000844F0" w:rsidRPr="000844F0" w:rsidRDefault="000844F0" w:rsidP="00FC58CE">
            <w:pPr>
              <w:pStyle w:val="ListParagraph"/>
              <w:numPr>
                <w:ilvl w:val="0"/>
                <w:numId w:val="3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0844F0">
              <w:rPr>
                <w:sz w:val="20"/>
                <w:szCs w:val="20"/>
              </w:rPr>
              <w:t>Implementation of all prevention, containment</w:t>
            </w:r>
            <w:r>
              <w:rPr>
                <w:sz w:val="20"/>
                <w:szCs w:val="20"/>
              </w:rPr>
              <w:t xml:space="preserve"> </w:t>
            </w:r>
            <w:r w:rsidRPr="000844F0">
              <w:rPr>
                <w:sz w:val="20"/>
                <w:szCs w:val="20"/>
              </w:rPr>
              <w:t>and clean</w:t>
            </w:r>
            <w:r w:rsidRPr="000844F0">
              <w:rPr>
                <w:rFonts w:ascii="Cambria Math" w:hAnsi="Cambria Math" w:cs="Cambria Math"/>
                <w:sz w:val="20"/>
                <w:szCs w:val="20"/>
              </w:rPr>
              <w:t>‑</w:t>
            </w:r>
            <w:r w:rsidRPr="000844F0">
              <w:rPr>
                <w:sz w:val="20"/>
                <w:szCs w:val="20"/>
              </w:rPr>
              <w:t>up procedures</w:t>
            </w:r>
          </w:p>
          <w:p w14:paraId="2A5DFA0A" w14:textId="44BEED81" w:rsidR="000844F0" w:rsidRDefault="000844F0" w:rsidP="00FC58CE">
            <w:pPr>
              <w:pStyle w:val="ListParagraph"/>
              <w:numPr>
                <w:ilvl w:val="0"/>
                <w:numId w:val="3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0844F0">
              <w:rPr>
                <w:sz w:val="20"/>
                <w:szCs w:val="20"/>
              </w:rPr>
              <w:t>Staff training and annual loss</w:t>
            </w:r>
            <w:r w:rsidRPr="000844F0">
              <w:rPr>
                <w:rFonts w:ascii="Cambria Math" w:hAnsi="Cambria Math" w:cs="Cambria Math"/>
                <w:sz w:val="20"/>
                <w:szCs w:val="20"/>
              </w:rPr>
              <w:t>‑</w:t>
            </w:r>
            <w:r w:rsidRPr="000844F0">
              <w:rPr>
                <w:sz w:val="20"/>
                <w:szCs w:val="20"/>
              </w:rPr>
              <w:t>estimation record</w:t>
            </w:r>
            <w:r w:rsidRPr="000844F0">
              <w:rPr>
                <w:rFonts w:ascii="Cambria Math" w:hAnsi="Cambria Math" w:cs="Cambria Math"/>
                <w:sz w:val="20"/>
                <w:szCs w:val="20"/>
              </w:rPr>
              <w:t>‑</w:t>
            </w:r>
            <w:r w:rsidRPr="000844F0">
              <w:rPr>
                <w:sz w:val="20"/>
                <w:szCs w:val="20"/>
              </w:rPr>
              <w:t>keeping</w:t>
            </w:r>
          </w:p>
          <w:p w14:paraId="579D9C65" w14:textId="095730FB" w:rsidR="000844F0" w:rsidRPr="00A728FE" w:rsidRDefault="000844F0" w:rsidP="00FC58CE">
            <w:pPr>
              <w:pStyle w:val="ListParagraph"/>
              <w:numPr>
                <w:ilvl w:val="0"/>
                <w:numId w:val="34"/>
              </w:num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A728FE">
              <w:rPr>
                <w:b/>
                <w:bCs/>
                <w:sz w:val="20"/>
                <w:szCs w:val="20"/>
              </w:rPr>
              <w:t xml:space="preserve">Carriers (road, rail, inland waterways) </w:t>
            </w:r>
          </w:p>
          <w:p w14:paraId="7F42ADE9" w14:textId="65D7C0E9" w:rsidR="00A728FE" w:rsidRDefault="00A728FE" w:rsidP="00FC58CE">
            <w:pPr>
              <w:pStyle w:val="ListParagraph"/>
              <w:numPr>
                <w:ilvl w:val="1"/>
                <w:numId w:val="34"/>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A728FE">
              <w:rPr>
                <w:sz w:val="20"/>
                <w:szCs w:val="20"/>
              </w:rPr>
              <w:t>All Annex III actions (prevention, containmen</w:t>
            </w:r>
            <w:r>
              <w:rPr>
                <w:sz w:val="20"/>
                <w:szCs w:val="20"/>
              </w:rPr>
              <w:t>t</w:t>
            </w:r>
            <w:r w:rsidRPr="00A728FE">
              <w:rPr>
                <w:sz w:val="20"/>
                <w:szCs w:val="20"/>
              </w:rPr>
              <w:t xml:space="preserve"> and on</w:t>
            </w:r>
            <w:r w:rsidRPr="00A728FE">
              <w:rPr>
                <w:rFonts w:ascii="Cambria Math" w:hAnsi="Cambria Math" w:cs="Cambria Math"/>
                <w:sz w:val="20"/>
                <w:szCs w:val="20"/>
              </w:rPr>
              <w:t>‑</w:t>
            </w:r>
            <w:r w:rsidRPr="00A728FE">
              <w:rPr>
                <w:sz w:val="20"/>
                <w:szCs w:val="20"/>
              </w:rPr>
              <w:t>board equipment)</w:t>
            </w:r>
          </w:p>
          <w:p w14:paraId="7865A2BC" w14:textId="3D06149C" w:rsidR="000844F0" w:rsidRPr="00127858" w:rsidRDefault="000844F0" w:rsidP="00FC58CE">
            <w:pPr>
              <w:pStyle w:val="ListParagraph"/>
              <w:numPr>
                <w:ilvl w:val="0"/>
                <w:numId w:val="34"/>
              </w:num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127858">
              <w:rPr>
                <w:b/>
                <w:bCs/>
                <w:sz w:val="20"/>
                <w:szCs w:val="20"/>
              </w:rPr>
              <w:t xml:space="preserve">Certification timelines begin </w:t>
            </w:r>
          </w:p>
          <w:p w14:paraId="42629A24" w14:textId="6273BF9C" w:rsidR="00A728FE" w:rsidRDefault="00127858" w:rsidP="00FC58CE">
            <w:pPr>
              <w:pStyle w:val="ListParagraph"/>
              <w:numPr>
                <w:ilvl w:val="1"/>
                <w:numId w:val="34"/>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Companies begin preparing for the first round of certification deadlines </w:t>
            </w:r>
          </w:p>
          <w:p w14:paraId="1DE86CCD" w14:textId="0A00000A" w:rsidR="00127858" w:rsidRDefault="00127858" w:rsidP="00FC58CE">
            <w:pPr>
              <w:pStyle w:val="ListParagraph"/>
              <w:numPr>
                <w:ilvl w:val="1"/>
                <w:numId w:val="34"/>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Large enterprises: first certificate due by 17 December 2027 and renewed every 3-years </w:t>
            </w:r>
          </w:p>
          <w:p w14:paraId="644A30A9" w14:textId="6A8609C2" w:rsidR="00127858" w:rsidRDefault="00127858" w:rsidP="00FC58CE">
            <w:pPr>
              <w:pStyle w:val="ListParagraph"/>
              <w:numPr>
                <w:ilvl w:val="1"/>
                <w:numId w:val="34"/>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Medium enterprises: first certificate due by 17 December 2028 and renewed every 4-years</w:t>
            </w:r>
          </w:p>
          <w:p w14:paraId="67CAAAD2" w14:textId="13FE177D" w:rsidR="00127858" w:rsidRPr="00127858" w:rsidRDefault="00127858" w:rsidP="00FC58CE">
            <w:pPr>
              <w:pStyle w:val="ListParagraph"/>
              <w:numPr>
                <w:ilvl w:val="1"/>
                <w:numId w:val="34"/>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Small enterprises: first certificate due by 17 December 2030 (5-year validity) </w:t>
            </w:r>
          </w:p>
        </w:tc>
      </w:tr>
      <w:tr w:rsidR="00ED4AE9" w14:paraId="7809F5D0" w14:textId="77777777" w:rsidTr="009902E8">
        <w:tc>
          <w:tcPr>
            <w:cnfStyle w:val="001000000000" w:firstRow="0" w:lastRow="0" w:firstColumn="1" w:lastColumn="0" w:oddVBand="0" w:evenVBand="0" w:oddHBand="0" w:evenHBand="0" w:firstRowFirstColumn="0" w:firstRowLastColumn="0" w:lastRowFirstColumn="0" w:lastRowLastColumn="0"/>
            <w:tcW w:w="2405" w:type="dxa"/>
          </w:tcPr>
          <w:p w14:paraId="613DEE85" w14:textId="7372C9AA" w:rsidR="00ED4AE9" w:rsidRDefault="00ED4AE9" w:rsidP="00D05FF3">
            <w:pPr>
              <w:spacing w:before="120" w:after="120" w:line="276" w:lineRule="auto"/>
              <w:rPr>
                <w:b w:val="0"/>
                <w:bCs w:val="0"/>
                <w:sz w:val="20"/>
                <w:szCs w:val="20"/>
              </w:rPr>
            </w:pPr>
            <w:r>
              <w:rPr>
                <w:b w:val="0"/>
                <w:bCs w:val="0"/>
                <w:sz w:val="20"/>
                <w:szCs w:val="20"/>
              </w:rPr>
              <w:t xml:space="preserve">17 December 2028 </w:t>
            </w:r>
          </w:p>
        </w:tc>
        <w:tc>
          <w:tcPr>
            <w:tcW w:w="6611" w:type="dxa"/>
          </w:tcPr>
          <w:p w14:paraId="6B5EA2FD" w14:textId="0BB2121B" w:rsidR="00ED4AE9" w:rsidRPr="00ED4AE9" w:rsidRDefault="00ED4AE9"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ED4AE9">
              <w:rPr>
                <w:b/>
                <w:bCs/>
                <w:sz w:val="20"/>
                <w:szCs w:val="20"/>
              </w:rPr>
              <w:t xml:space="preserve">Maritime transport rules apply </w:t>
            </w:r>
          </w:p>
          <w:p w14:paraId="032AE9F8" w14:textId="556A37A3" w:rsidR="00ED4AE9" w:rsidRDefault="00ED4AE9"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For shippers and vessels, the following Articles apply: </w:t>
            </w:r>
          </w:p>
          <w:p w14:paraId="02C81469" w14:textId="69466B3D" w:rsidR="00ED4AE9" w:rsidRDefault="00ED4AE9" w:rsidP="00FC58CE">
            <w:pPr>
              <w:pStyle w:val="ListParagraph"/>
              <w:numPr>
                <w:ilvl w:val="0"/>
                <w:numId w:val="3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1(2)(d): Scope formally includes shippers, operators, agents and masters of vessels </w:t>
            </w:r>
          </w:p>
          <w:p w14:paraId="33F24D8A" w14:textId="5AEC6E99" w:rsidR="00ED4AE9" w:rsidRDefault="00ED4AE9" w:rsidP="00FC58CE">
            <w:pPr>
              <w:pStyle w:val="ListParagraph"/>
              <w:numPr>
                <w:ilvl w:val="0"/>
                <w:numId w:val="3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12: Binding rules for sea transport (stowage, packaging, stowage requests, cargo information) </w:t>
            </w:r>
          </w:p>
          <w:p w14:paraId="62FE14D5" w14:textId="78A30B1E" w:rsidR="00ED4AE9" w:rsidRDefault="00ED4AE9" w:rsidP="00FC58CE">
            <w:pPr>
              <w:pStyle w:val="ListParagraph"/>
              <w:numPr>
                <w:ilvl w:val="0"/>
                <w:numId w:val="3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13(1): Compliance verification by authorities covering maritime transport </w:t>
            </w:r>
          </w:p>
          <w:p w14:paraId="5409CCF8" w14:textId="7948E3F5" w:rsidR="00ED4AE9" w:rsidRDefault="00ED4AE9" w:rsidP="00FC58CE">
            <w:pPr>
              <w:pStyle w:val="ListParagraph"/>
              <w:numPr>
                <w:ilvl w:val="0"/>
                <w:numId w:val="3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w:t>
            </w:r>
            <w:r w:rsidR="00704659">
              <w:rPr>
                <w:sz w:val="20"/>
                <w:szCs w:val="20"/>
              </w:rPr>
              <w:t xml:space="preserve">17 </w:t>
            </w:r>
            <w:r>
              <w:rPr>
                <w:sz w:val="20"/>
                <w:szCs w:val="20"/>
              </w:rPr>
              <w:t xml:space="preserve">(2)-(3): Member State assistance and training obligations extended to maritime actors </w:t>
            </w:r>
          </w:p>
          <w:p w14:paraId="12FEEDCC" w14:textId="1A26B551" w:rsidR="00ED4AE9" w:rsidRDefault="00ED4AE9" w:rsidP="00FC58CE">
            <w:pPr>
              <w:pStyle w:val="ListParagraph"/>
              <w:numPr>
                <w:ilvl w:val="0"/>
                <w:numId w:val="3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19: </w:t>
            </w:r>
            <w:r w:rsidR="009310E2">
              <w:rPr>
                <w:sz w:val="20"/>
                <w:szCs w:val="20"/>
              </w:rPr>
              <w:t>Complaint-</w:t>
            </w:r>
            <w:r>
              <w:rPr>
                <w:sz w:val="20"/>
                <w:szCs w:val="20"/>
              </w:rPr>
              <w:t xml:space="preserve">handling and access to justice provisions for maritime transport </w:t>
            </w:r>
          </w:p>
          <w:p w14:paraId="1FF43E62" w14:textId="4376A358" w:rsidR="00ED4AE9" w:rsidRPr="00ED4AE9" w:rsidRDefault="00ED4AE9" w:rsidP="00ED4AE9">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This marks the full integration of maritime activity into the Regulation’s enforcement system.  </w:t>
            </w:r>
          </w:p>
        </w:tc>
      </w:tr>
      <w:tr w:rsidR="00ED4AE9" w14:paraId="31F4F496" w14:textId="77777777" w:rsidTr="009902E8">
        <w:tc>
          <w:tcPr>
            <w:cnfStyle w:val="001000000000" w:firstRow="0" w:lastRow="0" w:firstColumn="1" w:lastColumn="0" w:oddVBand="0" w:evenVBand="0" w:oddHBand="0" w:evenHBand="0" w:firstRowFirstColumn="0" w:firstRowLastColumn="0" w:lastRowFirstColumn="0" w:lastRowLastColumn="0"/>
            <w:tcW w:w="2405" w:type="dxa"/>
          </w:tcPr>
          <w:p w14:paraId="00135332" w14:textId="06C43D0E" w:rsidR="00ED4AE9" w:rsidRDefault="00ED4AE9" w:rsidP="00D05FF3">
            <w:pPr>
              <w:spacing w:before="120" w:after="120" w:line="276" w:lineRule="auto"/>
              <w:rPr>
                <w:b w:val="0"/>
                <w:bCs w:val="0"/>
                <w:sz w:val="20"/>
                <w:szCs w:val="20"/>
              </w:rPr>
            </w:pPr>
            <w:r>
              <w:rPr>
                <w:b w:val="0"/>
                <w:bCs w:val="0"/>
                <w:sz w:val="20"/>
                <w:szCs w:val="20"/>
              </w:rPr>
              <w:t xml:space="preserve">1 January 2030 </w:t>
            </w:r>
          </w:p>
        </w:tc>
        <w:tc>
          <w:tcPr>
            <w:tcW w:w="6611" w:type="dxa"/>
          </w:tcPr>
          <w:p w14:paraId="684A0269" w14:textId="1E094F45" w:rsidR="00ED4AE9" w:rsidRPr="00FE1FF9" w:rsidRDefault="00FE1FF9"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E1FF9">
              <w:rPr>
                <w:b/>
                <w:bCs/>
                <w:sz w:val="20"/>
                <w:szCs w:val="20"/>
              </w:rPr>
              <w:t xml:space="preserve">First member State reports due </w:t>
            </w:r>
          </w:p>
          <w:p w14:paraId="464A8764" w14:textId="4C06E978" w:rsidR="00FE1FF9" w:rsidRDefault="00FE1FF9"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Member States must submit their first 3-year implementation report to the Commission covering the period 2027 – 2029.  Subsequent reports follow every 3-years.  </w:t>
            </w:r>
          </w:p>
          <w:p w14:paraId="006B5DAA" w14:textId="7AC9A962" w:rsidR="00ED4AE9" w:rsidRPr="00FE1FF9" w:rsidRDefault="00FE1FF9" w:rsidP="00FE1FF9">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Commission must publish an EU-wide summary of the reports within 3-months.  </w:t>
            </w:r>
          </w:p>
        </w:tc>
      </w:tr>
      <w:tr w:rsidR="00FE1FF9" w14:paraId="021117C4" w14:textId="77777777" w:rsidTr="009902E8">
        <w:tc>
          <w:tcPr>
            <w:cnfStyle w:val="001000000000" w:firstRow="0" w:lastRow="0" w:firstColumn="1" w:lastColumn="0" w:oddVBand="0" w:evenVBand="0" w:oddHBand="0" w:evenHBand="0" w:firstRowFirstColumn="0" w:firstRowLastColumn="0" w:lastRowFirstColumn="0" w:lastRowLastColumn="0"/>
            <w:tcW w:w="2405" w:type="dxa"/>
          </w:tcPr>
          <w:p w14:paraId="756E483A" w14:textId="25CFCFB3" w:rsidR="00FE1FF9" w:rsidRDefault="00CB2839" w:rsidP="00D05FF3">
            <w:pPr>
              <w:spacing w:before="120" w:after="120" w:line="276" w:lineRule="auto"/>
              <w:rPr>
                <w:b w:val="0"/>
                <w:bCs w:val="0"/>
                <w:sz w:val="20"/>
                <w:szCs w:val="20"/>
              </w:rPr>
            </w:pPr>
            <w:r>
              <w:rPr>
                <w:b w:val="0"/>
                <w:bCs w:val="0"/>
                <w:sz w:val="20"/>
                <w:szCs w:val="20"/>
              </w:rPr>
              <w:t xml:space="preserve">17 December 2030 </w:t>
            </w:r>
          </w:p>
        </w:tc>
        <w:tc>
          <w:tcPr>
            <w:tcW w:w="6611" w:type="dxa"/>
          </w:tcPr>
          <w:p w14:paraId="16DA0814" w14:textId="77777777" w:rsidR="00FE1FF9" w:rsidRDefault="00CB2839"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 xml:space="preserve">First mandatory certification for small enterprises </w:t>
            </w:r>
          </w:p>
          <w:p w14:paraId="6584950D" w14:textId="171BF74F" w:rsidR="00CB2839" w:rsidRPr="00CB2839" w:rsidRDefault="00CB2839" w:rsidP="00CB2839">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CB2839">
              <w:rPr>
                <w:sz w:val="20"/>
                <w:szCs w:val="20"/>
              </w:rPr>
              <w:t>Small operators handling ≥1,500 tonnes/year must obtain certification for the first time</w:t>
            </w:r>
            <w:r>
              <w:rPr>
                <w:sz w:val="20"/>
                <w:szCs w:val="20"/>
              </w:rPr>
              <w:t xml:space="preserve">.  </w:t>
            </w:r>
          </w:p>
          <w:p w14:paraId="22D5E078" w14:textId="0500F691" w:rsidR="00CB2839" w:rsidRPr="00CB2839" w:rsidRDefault="00CB2839" w:rsidP="00CB2839">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CB2839">
              <w:rPr>
                <w:sz w:val="20"/>
                <w:szCs w:val="20"/>
              </w:rPr>
              <w:t>Certification then either continues every 5 years or reverts to self</w:t>
            </w:r>
            <w:r w:rsidRPr="00CB2839">
              <w:rPr>
                <w:sz w:val="20"/>
                <w:szCs w:val="20"/>
              </w:rPr>
              <w:noBreakHyphen/>
              <w:t>declaration (operator’s choice).</w:t>
            </w:r>
          </w:p>
        </w:tc>
      </w:tr>
      <w:tr w:rsidR="00CB2839" w14:paraId="3CA79B63" w14:textId="77777777" w:rsidTr="009902E8">
        <w:tc>
          <w:tcPr>
            <w:cnfStyle w:val="001000000000" w:firstRow="0" w:lastRow="0" w:firstColumn="1" w:lastColumn="0" w:oddVBand="0" w:evenVBand="0" w:oddHBand="0" w:evenHBand="0" w:firstRowFirstColumn="0" w:firstRowLastColumn="0" w:lastRowFirstColumn="0" w:lastRowLastColumn="0"/>
            <w:tcW w:w="2405" w:type="dxa"/>
          </w:tcPr>
          <w:p w14:paraId="42F07DB3" w14:textId="46B962AA" w:rsidR="00CB2839" w:rsidRDefault="00CB2839" w:rsidP="00D05FF3">
            <w:pPr>
              <w:spacing w:before="120" w:after="120" w:line="276" w:lineRule="auto"/>
              <w:rPr>
                <w:b w:val="0"/>
                <w:bCs w:val="0"/>
                <w:sz w:val="20"/>
                <w:szCs w:val="20"/>
              </w:rPr>
            </w:pPr>
            <w:r>
              <w:rPr>
                <w:b w:val="0"/>
                <w:bCs w:val="0"/>
                <w:sz w:val="20"/>
                <w:szCs w:val="20"/>
              </w:rPr>
              <w:lastRenderedPageBreak/>
              <w:t xml:space="preserve">17 December 2033 </w:t>
            </w:r>
          </w:p>
        </w:tc>
        <w:tc>
          <w:tcPr>
            <w:tcW w:w="6611" w:type="dxa"/>
          </w:tcPr>
          <w:p w14:paraId="55902D42" w14:textId="77777777" w:rsidR="00CB2839" w:rsidRDefault="00CB2839"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 xml:space="preserve">Full EU evaluation </w:t>
            </w:r>
          </w:p>
          <w:p w14:paraId="4207B5F4" w14:textId="77777777" w:rsidR="00CB2839" w:rsidRDefault="00CB2839" w:rsidP="00D05FF3">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CB2839">
              <w:rPr>
                <w:sz w:val="20"/>
                <w:szCs w:val="20"/>
              </w:rPr>
              <w:t>The Commission must complete a comprehensive review of the Regulation covering:</w:t>
            </w:r>
          </w:p>
          <w:p w14:paraId="0E85A4E0" w14:textId="77777777" w:rsidR="00CB2839" w:rsidRDefault="00CB2839" w:rsidP="00FC58CE">
            <w:pPr>
              <w:pStyle w:val="ListParagraph"/>
              <w:numPr>
                <w:ilvl w:val="0"/>
                <w:numId w:val="3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Overall effectiveness </w:t>
            </w:r>
          </w:p>
          <w:p w14:paraId="60F4CA76" w14:textId="77777777" w:rsidR="00CB2839" w:rsidRDefault="00CB2839" w:rsidP="00FC58CE">
            <w:pPr>
              <w:pStyle w:val="ListParagraph"/>
              <w:numPr>
                <w:ilvl w:val="0"/>
                <w:numId w:val="3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Whether additional sources of microplastic pollution should be regulated </w:t>
            </w:r>
          </w:p>
          <w:p w14:paraId="546FEC5A" w14:textId="77777777" w:rsidR="00CB2839" w:rsidRDefault="00CB2839" w:rsidP="00FC58CE">
            <w:pPr>
              <w:pStyle w:val="ListParagraph"/>
              <w:numPr>
                <w:ilvl w:val="0"/>
                <w:numId w:val="3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Loss-estimation data </w:t>
            </w:r>
          </w:p>
          <w:p w14:paraId="766919FE" w14:textId="77777777" w:rsidR="00D63A6A" w:rsidRPr="00D63A6A" w:rsidRDefault="00D63A6A" w:rsidP="00D63A6A">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sz w:val="20"/>
                <w:szCs w:val="20"/>
              </w:rPr>
            </w:pPr>
            <w:r w:rsidRPr="00D63A6A">
              <w:rPr>
                <w:sz w:val="20"/>
                <w:szCs w:val="20"/>
              </w:rPr>
              <w:t>Effect of the exemptions granted under Article 7 (Article 25(1)(j))</w:t>
            </w:r>
          </w:p>
          <w:p w14:paraId="1C54C1FD" w14:textId="77777777" w:rsidR="00CB2839" w:rsidRDefault="00CB2839" w:rsidP="00FC58CE">
            <w:pPr>
              <w:pStyle w:val="ListParagraph"/>
              <w:numPr>
                <w:ilvl w:val="0"/>
                <w:numId w:val="3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Impact of thresholds </w:t>
            </w:r>
          </w:p>
          <w:p w14:paraId="0A9A46DF" w14:textId="77777777" w:rsidR="00CB2839" w:rsidRDefault="00CB2839" w:rsidP="00FC58CE">
            <w:pPr>
              <w:pStyle w:val="ListParagraph"/>
              <w:numPr>
                <w:ilvl w:val="0"/>
                <w:numId w:val="3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Enforcement outcomes </w:t>
            </w:r>
          </w:p>
          <w:p w14:paraId="1F13260E" w14:textId="4AEC6B21" w:rsidR="00CB2839" w:rsidRPr="00CB2839" w:rsidRDefault="00CB2839" w:rsidP="00FC58CE">
            <w:pPr>
              <w:pStyle w:val="ListParagraph"/>
              <w:numPr>
                <w:ilvl w:val="0"/>
                <w:numId w:val="3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Interaction with international (e.g. IMO) developments</w:t>
            </w:r>
            <w:r w:rsidR="00D63A6A">
              <w:rPr>
                <w:sz w:val="20"/>
                <w:szCs w:val="20"/>
              </w:rPr>
              <w:t xml:space="preserve">, </w:t>
            </w:r>
            <w:r w:rsidR="00D63A6A" w:rsidRPr="00D63A6A">
              <w:rPr>
                <w:sz w:val="20"/>
                <w:szCs w:val="20"/>
              </w:rPr>
              <w:t>in particular maritime transport (Article 25(1)(h)), the contribution to the target of reducing microplastic pollution by 30% by 2030 (Article 25(1)(d)), and chemical traceability of pellets including the relevance of a unique chemical signature (Article 25(1)(g))</w:t>
            </w:r>
          </w:p>
        </w:tc>
      </w:tr>
    </w:tbl>
    <w:p w14:paraId="4909D146" w14:textId="77777777" w:rsidR="00620C40" w:rsidRDefault="00620C40" w:rsidP="00D5097E">
      <w:pPr>
        <w:spacing w:before="120" w:after="120" w:line="276" w:lineRule="auto"/>
        <w:rPr>
          <w:sz w:val="20"/>
          <w:szCs w:val="20"/>
        </w:rPr>
      </w:pPr>
    </w:p>
    <w:p w14:paraId="3256CA65" w14:textId="09D08C0D" w:rsidR="00C51F8D" w:rsidRDefault="00C51F8D" w:rsidP="00C51F8D">
      <w:pPr>
        <w:pStyle w:val="Heading02"/>
      </w:pPr>
      <w:bookmarkStart w:id="20" w:name="_Toc225594988"/>
      <w:r>
        <w:t>Summary</w:t>
      </w:r>
      <w:bookmarkEnd w:id="20"/>
      <w:r>
        <w:t xml:space="preserve"> </w:t>
      </w:r>
    </w:p>
    <w:p w14:paraId="7F3C75DD" w14:textId="04D5123C" w:rsidR="00C51F8D" w:rsidRDefault="7BD5A232" w:rsidP="00CB2839">
      <w:pPr>
        <w:spacing w:before="120" w:after="120" w:line="276" w:lineRule="auto"/>
        <w:rPr>
          <w:sz w:val="20"/>
          <w:szCs w:val="20"/>
        </w:rPr>
      </w:pPr>
      <w:r w:rsidRPr="7BD5A232">
        <w:rPr>
          <w:sz w:val="20"/>
          <w:szCs w:val="20"/>
        </w:rPr>
        <w:t xml:space="preserve">Regulation (EU) 2025/2365 introduces the EU’s first comprehensive, legally binding framework to eliminate plastic pellet losses across the entire supply chain.  </w:t>
      </w:r>
      <w:r w:rsidR="00D63A6A" w:rsidRPr="00D63A6A">
        <w:rPr>
          <w:sz w:val="20"/>
          <w:szCs w:val="20"/>
        </w:rPr>
        <w:t>It requires economic operators handling five tonnes or more a year, and carriers and maritime actors at any volume, to adopt prevention, containment and clean-up measures</w:t>
      </w:r>
      <w:r w:rsidRPr="7BD5A232">
        <w:rPr>
          <w:sz w:val="20"/>
          <w:szCs w:val="20"/>
        </w:rPr>
        <w:t xml:space="preserve">, supported by mandatory risk management plans, </w:t>
      </w:r>
      <w:r w:rsidR="00F51835" w:rsidRPr="7BD5A232">
        <w:rPr>
          <w:sz w:val="20"/>
          <w:szCs w:val="20"/>
        </w:rPr>
        <w:t>self-declarations</w:t>
      </w:r>
      <w:r w:rsidRPr="7BD5A232">
        <w:rPr>
          <w:sz w:val="20"/>
          <w:szCs w:val="20"/>
        </w:rPr>
        <w:t xml:space="preserve">, certification for higher volume handlers and, in some cases, permit based compliance.  </w:t>
      </w:r>
    </w:p>
    <w:p w14:paraId="360BFE81" w14:textId="7D292C6F" w:rsidR="00CB2839" w:rsidRPr="00CB2839" w:rsidRDefault="7BD5A232" w:rsidP="00CB2839">
      <w:pPr>
        <w:spacing w:before="120" w:after="120" w:line="276" w:lineRule="auto"/>
        <w:rPr>
          <w:sz w:val="20"/>
          <w:szCs w:val="20"/>
        </w:rPr>
      </w:pPr>
      <w:r w:rsidRPr="7BD5A232">
        <w:rPr>
          <w:sz w:val="20"/>
          <w:szCs w:val="20"/>
        </w:rPr>
        <w:t xml:space="preserve">By extending obligations to land based handlers and maritime transport alike and by strengthening transparency, training and enforcement mechanisms, the Regulation aims to drive consistent, </w:t>
      </w:r>
      <w:r w:rsidR="00F51835" w:rsidRPr="7BD5A232">
        <w:rPr>
          <w:sz w:val="20"/>
          <w:szCs w:val="20"/>
        </w:rPr>
        <w:t>high-quality</w:t>
      </w:r>
      <w:r w:rsidRPr="7BD5A232">
        <w:rPr>
          <w:sz w:val="20"/>
          <w:szCs w:val="20"/>
        </w:rPr>
        <w:t xml:space="preserve"> pellet management practices across Europe.  Ultimately, it forms a central part of the EU’s wider strategy to reduce microplastic pollution and protect both the environment and human health.</w:t>
      </w:r>
    </w:p>
    <w:p w14:paraId="7115B211" w14:textId="77777777" w:rsidR="00CB2839" w:rsidRDefault="00CB2839" w:rsidP="00CB2839">
      <w:pPr>
        <w:spacing w:before="120" w:after="120" w:line="276" w:lineRule="auto"/>
        <w:rPr>
          <w:sz w:val="20"/>
          <w:szCs w:val="20"/>
        </w:rPr>
      </w:pPr>
    </w:p>
    <w:p w14:paraId="57A63F78" w14:textId="77777777" w:rsidR="00CB2839" w:rsidRDefault="00CB2839" w:rsidP="00CB2839">
      <w:pPr>
        <w:spacing w:before="120" w:after="120" w:line="276" w:lineRule="auto"/>
        <w:rPr>
          <w:sz w:val="20"/>
          <w:szCs w:val="20"/>
        </w:rPr>
      </w:pPr>
    </w:p>
    <w:p w14:paraId="3897876D" w14:textId="77777777" w:rsidR="009902E8" w:rsidRDefault="009902E8" w:rsidP="00D5097E">
      <w:pPr>
        <w:spacing w:before="120" w:after="120" w:line="276" w:lineRule="auto"/>
        <w:rPr>
          <w:sz w:val="20"/>
          <w:szCs w:val="20"/>
        </w:rPr>
      </w:pPr>
    </w:p>
    <w:p w14:paraId="51050478" w14:textId="77777777" w:rsidR="009902E8" w:rsidRDefault="009902E8" w:rsidP="00D5097E">
      <w:pPr>
        <w:spacing w:before="120" w:after="120" w:line="276" w:lineRule="auto"/>
        <w:rPr>
          <w:sz w:val="20"/>
          <w:szCs w:val="20"/>
        </w:rPr>
      </w:pPr>
    </w:p>
    <w:p w14:paraId="580229D6" w14:textId="1C91D52E" w:rsidR="00784FB2" w:rsidRDefault="00784FB2">
      <w:pPr>
        <w:rPr>
          <w:sz w:val="20"/>
          <w:szCs w:val="20"/>
        </w:rPr>
      </w:pPr>
      <w:r>
        <w:rPr>
          <w:sz w:val="20"/>
          <w:szCs w:val="20"/>
        </w:rPr>
        <w:br w:type="page"/>
      </w:r>
    </w:p>
    <w:p w14:paraId="21AC0122" w14:textId="1CD4E8CA" w:rsidR="00784FB2" w:rsidRPr="00784FB2" w:rsidRDefault="00784FB2" w:rsidP="00FC58CE">
      <w:pPr>
        <w:pStyle w:val="Heading01"/>
        <w:numPr>
          <w:ilvl w:val="0"/>
          <w:numId w:val="1"/>
        </w:numPr>
      </w:pPr>
      <w:bookmarkStart w:id="21" w:name="_Toc225594989"/>
      <w:r w:rsidRPr="00784FB2">
        <w:lastRenderedPageBreak/>
        <w:t>Detailed analysis of the Regulation’s alignment with or divergence from the OSPAR Recommendation requirements</w:t>
      </w:r>
      <w:bookmarkEnd w:id="21"/>
    </w:p>
    <w:p w14:paraId="7DBFFB40" w14:textId="77777777" w:rsidR="00C4214E" w:rsidRDefault="00C4214E" w:rsidP="00D5097E">
      <w:pPr>
        <w:spacing w:before="120" w:after="120" w:line="276" w:lineRule="auto"/>
        <w:rPr>
          <w:sz w:val="20"/>
          <w:szCs w:val="20"/>
        </w:rPr>
      </w:pPr>
      <w:r w:rsidRPr="00C4214E">
        <w:rPr>
          <w:sz w:val="20"/>
          <w:szCs w:val="20"/>
        </w:rPr>
        <w:t xml:space="preserve">This section provides a detailed assessment of how Regulation (EU) 2025/2365 aligns with, or diverges from, the requirements set out in the OSPAR Recommendation and its accompanying Guidelines. </w:t>
      </w:r>
    </w:p>
    <w:p w14:paraId="290C6E9F" w14:textId="0BA21D6B" w:rsidR="00C4214E" w:rsidRDefault="00C4214E" w:rsidP="00D5097E">
      <w:pPr>
        <w:spacing w:before="120" w:after="120" w:line="276" w:lineRule="auto"/>
        <w:rPr>
          <w:sz w:val="20"/>
          <w:szCs w:val="20"/>
        </w:rPr>
      </w:pPr>
      <w:r w:rsidRPr="00C4214E">
        <w:rPr>
          <w:sz w:val="20"/>
          <w:szCs w:val="20"/>
        </w:rPr>
        <w:t>The analysis examines each element of the Recommendation</w:t>
      </w:r>
      <w:r>
        <w:rPr>
          <w:sz w:val="20"/>
          <w:szCs w:val="20"/>
        </w:rPr>
        <w:t xml:space="preserve">, </w:t>
      </w:r>
      <w:r w:rsidRPr="00C4214E">
        <w:rPr>
          <w:sz w:val="20"/>
          <w:szCs w:val="20"/>
        </w:rPr>
        <w:t>including scope, principles, operational requirements and certification scheme design</w:t>
      </w:r>
      <w:r>
        <w:rPr>
          <w:sz w:val="20"/>
          <w:szCs w:val="20"/>
        </w:rPr>
        <w:t xml:space="preserve">, </w:t>
      </w:r>
      <w:r w:rsidR="00E0350B">
        <w:rPr>
          <w:sz w:val="20"/>
          <w:szCs w:val="20"/>
        </w:rPr>
        <w:t xml:space="preserve">comparing them </w:t>
      </w:r>
      <w:r w:rsidRPr="00C4214E">
        <w:rPr>
          <w:sz w:val="20"/>
          <w:szCs w:val="20"/>
        </w:rPr>
        <w:t xml:space="preserve">against the specific provisions of the Regulation. </w:t>
      </w:r>
    </w:p>
    <w:p w14:paraId="5F826621" w14:textId="654F5335" w:rsidR="00C4214E" w:rsidRDefault="00C4214E" w:rsidP="00D5097E">
      <w:pPr>
        <w:spacing w:before="120" w:after="120" w:line="276" w:lineRule="auto"/>
        <w:rPr>
          <w:sz w:val="20"/>
          <w:szCs w:val="20"/>
        </w:rPr>
      </w:pPr>
      <w:r w:rsidRPr="00C4214E">
        <w:rPr>
          <w:sz w:val="20"/>
          <w:szCs w:val="20"/>
        </w:rPr>
        <w:t xml:space="preserve">By reviewing the extent to which the Regulation fulfils, partially meets, or falls short of </w:t>
      </w:r>
      <w:proofErr w:type="spellStart"/>
      <w:r w:rsidRPr="00C4214E">
        <w:rPr>
          <w:sz w:val="20"/>
          <w:szCs w:val="20"/>
        </w:rPr>
        <w:t>OSPAR’s</w:t>
      </w:r>
      <w:proofErr w:type="spellEnd"/>
      <w:r w:rsidRPr="00C4214E">
        <w:rPr>
          <w:sz w:val="20"/>
          <w:szCs w:val="20"/>
        </w:rPr>
        <w:t xml:space="preserve"> expectations, this section identifies areas of strong alignment, highlights gaps where the Regulation does not fully meet the recommended standards and clarifies where important differences in approach remain. </w:t>
      </w:r>
    </w:p>
    <w:p w14:paraId="6EE32F13" w14:textId="2F9A97B6" w:rsidR="00784FB2" w:rsidRDefault="00C4214E" w:rsidP="00D5097E">
      <w:pPr>
        <w:spacing w:before="120" w:after="120" w:line="276" w:lineRule="auto"/>
        <w:rPr>
          <w:sz w:val="20"/>
          <w:szCs w:val="20"/>
        </w:rPr>
      </w:pPr>
      <w:r w:rsidRPr="00C4214E">
        <w:rPr>
          <w:sz w:val="20"/>
          <w:szCs w:val="20"/>
        </w:rPr>
        <w:t>The findings offer a clear, evidence</w:t>
      </w:r>
      <w:r w:rsidRPr="00C4214E">
        <w:rPr>
          <w:rFonts w:ascii="Cambria Math" w:hAnsi="Cambria Math" w:cs="Cambria Math"/>
          <w:sz w:val="20"/>
          <w:szCs w:val="20"/>
        </w:rPr>
        <w:t>‑</w:t>
      </w:r>
      <w:r w:rsidRPr="00C4214E">
        <w:rPr>
          <w:sz w:val="20"/>
          <w:szCs w:val="20"/>
        </w:rPr>
        <w:t xml:space="preserve">based understanding of how effectively the Regulation supports </w:t>
      </w:r>
      <w:proofErr w:type="spellStart"/>
      <w:r w:rsidRPr="00C4214E">
        <w:rPr>
          <w:sz w:val="20"/>
          <w:szCs w:val="20"/>
        </w:rPr>
        <w:t>OSPAR</w:t>
      </w:r>
      <w:r w:rsidRPr="00C4214E">
        <w:rPr>
          <w:rFonts w:ascii="Calibri" w:hAnsi="Calibri" w:cs="Calibri"/>
          <w:sz w:val="20"/>
          <w:szCs w:val="20"/>
        </w:rPr>
        <w:t>’</w:t>
      </w:r>
      <w:r w:rsidRPr="00C4214E">
        <w:rPr>
          <w:sz w:val="20"/>
          <w:szCs w:val="20"/>
        </w:rPr>
        <w:t>s</w:t>
      </w:r>
      <w:proofErr w:type="spellEnd"/>
      <w:r w:rsidRPr="00C4214E">
        <w:rPr>
          <w:sz w:val="20"/>
          <w:szCs w:val="20"/>
        </w:rPr>
        <w:t xml:space="preserve"> objective of achieving consistent, </w:t>
      </w:r>
      <w:r w:rsidR="001B54F6" w:rsidRPr="001B54F6">
        <w:rPr>
          <w:sz w:val="20"/>
          <w:szCs w:val="20"/>
        </w:rPr>
        <w:t xml:space="preserve">independently verified </w:t>
      </w:r>
      <w:r w:rsidRPr="00C4214E">
        <w:rPr>
          <w:sz w:val="20"/>
          <w:szCs w:val="20"/>
        </w:rPr>
        <w:t>pellet</w:t>
      </w:r>
      <w:r w:rsidRPr="00C4214E">
        <w:rPr>
          <w:rFonts w:ascii="Cambria Math" w:hAnsi="Cambria Math" w:cs="Cambria Math"/>
          <w:sz w:val="20"/>
          <w:szCs w:val="20"/>
        </w:rPr>
        <w:t>‑</w:t>
      </w:r>
      <w:r w:rsidRPr="00C4214E">
        <w:rPr>
          <w:sz w:val="20"/>
          <w:szCs w:val="20"/>
        </w:rPr>
        <w:t>loss prevention across the entire plastics supply chain.</w:t>
      </w:r>
    </w:p>
    <w:p w14:paraId="6C10DE17" w14:textId="77777777" w:rsidR="00E0350B" w:rsidRDefault="00E0350B" w:rsidP="00D5097E">
      <w:pPr>
        <w:spacing w:before="120" w:after="120" w:line="276" w:lineRule="auto"/>
        <w:rPr>
          <w:sz w:val="20"/>
          <w:szCs w:val="20"/>
        </w:rPr>
      </w:pPr>
    </w:p>
    <w:p w14:paraId="058149BE" w14:textId="60689591" w:rsidR="00E0350B" w:rsidRDefault="00B67484" w:rsidP="00E0350B">
      <w:pPr>
        <w:pStyle w:val="Heading02"/>
      </w:pPr>
      <w:bookmarkStart w:id="22" w:name="_Toc225594990"/>
      <w:r>
        <w:t>Self-declaration and permits</w:t>
      </w:r>
      <w:bookmarkEnd w:id="22"/>
      <w:r>
        <w:t xml:space="preserve"> </w:t>
      </w:r>
    </w:p>
    <w:p w14:paraId="4BAB4BA1" w14:textId="6C8EEFB0" w:rsidR="00E0350B" w:rsidRDefault="00B67484" w:rsidP="00E0350B">
      <w:pPr>
        <w:spacing w:before="120" w:after="120" w:line="276" w:lineRule="auto"/>
        <w:rPr>
          <w:sz w:val="20"/>
          <w:szCs w:val="20"/>
        </w:rPr>
      </w:pPr>
      <w:r>
        <w:rPr>
          <w:sz w:val="20"/>
          <w:szCs w:val="20"/>
        </w:rPr>
        <w:t>The Regulation’s compliance pathways, specifically self-declaration and permits, differ from the approach envisaged in OSPAR Recommendation 2021/06.  While OSPAR calls for a</w:t>
      </w:r>
      <w:r w:rsidR="001F746E">
        <w:rPr>
          <w:sz w:val="20"/>
          <w:szCs w:val="20"/>
        </w:rPr>
        <w:t>n</w:t>
      </w:r>
      <w:r>
        <w:rPr>
          <w:sz w:val="20"/>
          <w:szCs w:val="20"/>
        </w:rPr>
        <w:t xml:space="preserve"> independently audited certification scheme across the entire plastic pellet supply chain, the Regulation introduces more flexible mechanisms allowing operators to meet their obligations either by self-declaring compliance or by operating under national environmental permits that incorporate the Regulation’s requirements.  </w:t>
      </w:r>
    </w:p>
    <w:p w14:paraId="25D9730C" w14:textId="11A9C119" w:rsidR="00E0350B" w:rsidRDefault="00B67484" w:rsidP="00250BC5">
      <w:pPr>
        <w:spacing w:before="120" w:after="120" w:line="276" w:lineRule="auto"/>
        <w:rPr>
          <w:sz w:val="20"/>
          <w:szCs w:val="20"/>
        </w:rPr>
      </w:pPr>
      <w:r>
        <w:rPr>
          <w:sz w:val="20"/>
          <w:szCs w:val="20"/>
        </w:rPr>
        <w:t xml:space="preserve">These alternative routes reflect a different regulatory philosophy, one that </w:t>
      </w:r>
      <w:r w:rsidR="00250BC5">
        <w:rPr>
          <w:sz w:val="20"/>
          <w:szCs w:val="20"/>
        </w:rPr>
        <w:t xml:space="preserve">focuses on proportionality and integration with existing national systems rather than </w:t>
      </w:r>
      <w:proofErr w:type="spellStart"/>
      <w:r w:rsidR="00250BC5">
        <w:rPr>
          <w:sz w:val="20"/>
          <w:szCs w:val="20"/>
        </w:rPr>
        <w:t>OSPAR’s</w:t>
      </w:r>
      <w:proofErr w:type="spellEnd"/>
      <w:r w:rsidR="00250BC5">
        <w:rPr>
          <w:sz w:val="20"/>
          <w:szCs w:val="20"/>
        </w:rPr>
        <w:t xml:space="preserve"> model of universal third-party verification.  The following section outlines how these mechanisms function in practice and highlights the key differences between the two frameworks.  </w:t>
      </w:r>
    </w:p>
    <w:p w14:paraId="11D5D23C" w14:textId="77777777" w:rsidR="00250BC5" w:rsidRDefault="00250BC5" w:rsidP="00250BC5">
      <w:pPr>
        <w:spacing w:before="120" w:after="120" w:line="276" w:lineRule="auto"/>
        <w:rPr>
          <w:sz w:val="20"/>
          <w:szCs w:val="20"/>
        </w:rPr>
      </w:pPr>
    </w:p>
    <w:p w14:paraId="221F5BAB" w14:textId="77777777" w:rsidR="00E0350B" w:rsidRDefault="00E0350B" w:rsidP="00E0350B">
      <w:pPr>
        <w:pStyle w:val="Heading02"/>
      </w:pPr>
      <w:bookmarkStart w:id="23" w:name="_Toc225594991"/>
      <w:r>
        <w:t>Self-Declaration</w:t>
      </w:r>
      <w:bookmarkEnd w:id="23"/>
      <w:r>
        <w:t xml:space="preserve"> </w:t>
      </w:r>
    </w:p>
    <w:p w14:paraId="521718ED" w14:textId="77777777" w:rsidR="001B54F6" w:rsidRDefault="001B54F6" w:rsidP="00E0350B">
      <w:pPr>
        <w:rPr>
          <w:sz w:val="20"/>
          <w:szCs w:val="20"/>
        </w:rPr>
      </w:pPr>
      <w:r w:rsidRPr="001B54F6">
        <w:rPr>
          <w:sz w:val="20"/>
          <w:szCs w:val="20"/>
        </w:rPr>
        <w:t xml:space="preserve">The Regulation takes a proportionate approach, blending self-declaration with mandatory third-party certification.  The route an operator follows is set by two things: </w:t>
      </w:r>
    </w:p>
    <w:p w14:paraId="6CBB1708" w14:textId="77777777" w:rsidR="001B54F6" w:rsidRDefault="001B54F6" w:rsidP="001B54F6">
      <w:pPr>
        <w:pStyle w:val="ListParagraph"/>
        <w:numPr>
          <w:ilvl w:val="0"/>
          <w:numId w:val="56"/>
        </w:numPr>
        <w:rPr>
          <w:sz w:val="20"/>
          <w:szCs w:val="20"/>
        </w:rPr>
      </w:pPr>
      <w:r w:rsidRPr="00885B9A">
        <w:rPr>
          <w:sz w:val="20"/>
          <w:szCs w:val="20"/>
        </w:rPr>
        <w:t xml:space="preserve">the tonnage handled at the installation in the previous calendar year, and </w:t>
      </w:r>
    </w:p>
    <w:p w14:paraId="6412721D" w14:textId="77777777" w:rsidR="001B54F6" w:rsidRDefault="001B54F6" w:rsidP="001B54F6">
      <w:pPr>
        <w:pStyle w:val="ListParagraph"/>
        <w:numPr>
          <w:ilvl w:val="0"/>
          <w:numId w:val="56"/>
        </w:numPr>
        <w:rPr>
          <w:sz w:val="20"/>
          <w:szCs w:val="20"/>
        </w:rPr>
      </w:pPr>
      <w:r w:rsidRPr="00885B9A">
        <w:rPr>
          <w:sz w:val="20"/>
          <w:szCs w:val="20"/>
        </w:rPr>
        <w:t xml:space="preserve">the size of the enterprise.  </w:t>
      </w:r>
    </w:p>
    <w:p w14:paraId="7FD02680" w14:textId="2C785F7B" w:rsidR="00E0350B" w:rsidRDefault="001B54F6" w:rsidP="00E0350B">
      <w:pPr>
        <w:rPr>
          <w:sz w:val="20"/>
          <w:szCs w:val="20"/>
        </w:rPr>
      </w:pPr>
      <w:r w:rsidRPr="00885B9A">
        <w:rPr>
          <w:sz w:val="20"/>
          <w:szCs w:val="20"/>
        </w:rPr>
        <w:t>Risk is not itself an operative trigger, though it is the stated rationale.  Recital 32 treats installations at or above 1,500 tonnes a year as capable of higher risk of loss, and recital 21 says obligations for micro, small and medium-sized enterprises should be adjusted to mitigate the burden on them.  OSPAR asks instead for certification across all actors, applying to organisations of all sizes with no exemptions (Recommendation 3.2(m)).</w:t>
      </w:r>
      <w:r w:rsidR="00812975">
        <w:rPr>
          <w:sz w:val="20"/>
          <w:szCs w:val="20"/>
        </w:rPr>
        <w:t xml:space="preserve">  </w:t>
      </w:r>
      <w:r w:rsidR="00E0350B">
        <w:rPr>
          <w:sz w:val="20"/>
          <w:szCs w:val="20"/>
        </w:rPr>
        <w:t xml:space="preserve">Under the Regulation: </w:t>
      </w:r>
    </w:p>
    <w:p w14:paraId="30F71BCF" w14:textId="4C90DBF2" w:rsidR="001B54F6" w:rsidRPr="001B54F6" w:rsidRDefault="001B54F6" w:rsidP="001B54F6">
      <w:pPr>
        <w:pStyle w:val="ListParagraph"/>
        <w:numPr>
          <w:ilvl w:val="0"/>
          <w:numId w:val="22"/>
        </w:numPr>
        <w:rPr>
          <w:b/>
          <w:bCs/>
          <w:sz w:val="20"/>
          <w:szCs w:val="20"/>
        </w:rPr>
      </w:pPr>
      <w:r w:rsidRPr="001B54F6">
        <w:rPr>
          <w:b/>
          <w:bCs/>
          <w:sz w:val="20"/>
          <w:szCs w:val="20"/>
        </w:rPr>
        <w:t xml:space="preserve">All economic operators with installations below 1,500 tonnes, and all microenterprises </w:t>
      </w:r>
      <w:r w:rsidRPr="00885B9A">
        <w:rPr>
          <w:sz w:val="20"/>
          <w:szCs w:val="20"/>
        </w:rPr>
        <w:t>whatever the volume handled, must submit a self-declaration of conformity and notify an updated risk management plan every five years (Article 5(2)</w:t>
      </w:r>
      <w:r>
        <w:rPr>
          <w:sz w:val="20"/>
          <w:szCs w:val="20"/>
        </w:rPr>
        <w:t xml:space="preserve">) </w:t>
      </w:r>
    </w:p>
    <w:p w14:paraId="19C71E24" w14:textId="77777777" w:rsidR="00E0350B" w:rsidRDefault="00E0350B" w:rsidP="00FC58CE">
      <w:pPr>
        <w:pStyle w:val="ListParagraph"/>
        <w:numPr>
          <w:ilvl w:val="0"/>
          <w:numId w:val="22"/>
        </w:numPr>
        <w:rPr>
          <w:sz w:val="20"/>
          <w:szCs w:val="20"/>
        </w:rPr>
      </w:pPr>
      <w:r w:rsidRPr="00532927">
        <w:rPr>
          <w:b/>
          <w:bCs/>
          <w:sz w:val="20"/>
          <w:szCs w:val="20"/>
        </w:rPr>
        <w:t xml:space="preserve">Small enterprises </w:t>
      </w:r>
      <w:r>
        <w:rPr>
          <w:b/>
          <w:bCs/>
          <w:sz w:val="20"/>
          <w:szCs w:val="20"/>
        </w:rPr>
        <w:t xml:space="preserve">handling </w:t>
      </w:r>
      <w:r w:rsidRPr="00532927">
        <w:rPr>
          <w:rFonts w:cstheme="minorHAnsi"/>
          <w:b/>
          <w:bCs/>
          <w:sz w:val="20"/>
          <w:szCs w:val="20"/>
        </w:rPr>
        <w:t>≥</w:t>
      </w:r>
      <w:r w:rsidRPr="00532927">
        <w:rPr>
          <w:b/>
          <w:bCs/>
          <w:sz w:val="20"/>
          <w:szCs w:val="20"/>
        </w:rPr>
        <w:t xml:space="preserve"> 1,500 tonnes</w:t>
      </w:r>
      <w:r>
        <w:rPr>
          <w:sz w:val="20"/>
          <w:szCs w:val="20"/>
        </w:rPr>
        <w:t xml:space="preserve"> a year must obtain certification initially, but after the 5-year certificate expires, they can choose to self-declare, unless they choose to recertify </w:t>
      </w:r>
    </w:p>
    <w:p w14:paraId="44B531BC" w14:textId="47B8F0BA" w:rsidR="00E0350B" w:rsidRDefault="001B54F6" w:rsidP="00E0350B">
      <w:pPr>
        <w:rPr>
          <w:sz w:val="20"/>
          <w:szCs w:val="20"/>
        </w:rPr>
      </w:pPr>
      <w:r w:rsidRPr="001B54F6">
        <w:rPr>
          <w:sz w:val="20"/>
          <w:szCs w:val="20"/>
        </w:rPr>
        <w:lastRenderedPageBreak/>
        <w:t>This reflects the recognition that micro, small and medium-sized enterprises face proportionally higher costs in meeting these obligations, which is why Member States must make assistance available to them, including financial support for the purposes of certification for small enterprises (recital 42 and Article 17(2)(a)).</w:t>
      </w:r>
      <w:r>
        <w:rPr>
          <w:sz w:val="20"/>
          <w:szCs w:val="20"/>
        </w:rPr>
        <w:t xml:space="preserve">  </w:t>
      </w:r>
      <w:r w:rsidR="00E0350B">
        <w:rPr>
          <w:sz w:val="20"/>
          <w:szCs w:val="20"/>
        </w:rPr>
        <w:t xml:space="preserve">Self-declaration does not mean </w:t>
      </w:r>
      <w:r w:rsidR="00A92289">
        <w:rPr>
          <w:sz w:val="20"/>
          <w:szCs w:val="20"/>
        </w:rPr>
        <w:t>lack of</w:t>
      </w:r>
      <w:r w:rsidR="00E0350B">
        <w:rPr>
          <w:sz w:val="20"/>
          <w:szCs w:val="20"/>
        </w:rPr>
        <w:t xml:space="preserve"> oversight.  There are a number of mechanisms in place to compensate for this.  </w:t>
      </w:r>
    </w:p>
    <w:p w14:paraId="7641D9E0" w14:textId="77777777" w:rsidR="00E0350B" w:rsidRDefault="00E0350B" w:rsidP="00FC58CE">
      <w:pPr>
        <w:pStyle w:val="ListParagraph"/>
        <w:numPr>
          <w:ilvl w:val="0"/>
          <w:numId w:val="23"/>
        </w:numPr>
        <w:rPr>
          <w:sz w:val="20"/>
          <w:szCs w:val="20"/>
        </w:rPr>
      </w:pPr>
      <w:r w:rsidRPr="00872DC1">
        <w:rPr>
          <w:b/>
          <w:bCs/>
          <w:sz w:val="20"/>
          <w:szCs w:val="20"/>
        </w:rPr>
        <w:t>Mandatory risk management plan</w:t>
      </w:r>
      <w:r>
        <w:rPr>
          <w:sz w:val="20"/>
          <w:szCs w:val="20"/>
        </w:rPr>
        <w:t xml:space="preserve">: Economic operators must maintain a detailed risk management plan setting out spill risk locations, mitigation equipment, procedures for prevention, containment and clean-up, annual loss estimates and staff responsibilities.  Failure to maintain or implement the plan is a compliance breach.  </w:t>
      </w:r>
    </w:p>
    <w:p w14:paraId="57506BBF" w14:textId="1CF7F985" w:rsidR="00E0350B" w:rsidRDefault="00E0350B" w:rsidP="00FC58CE">
      <w:pPr>
        <w:pStyle w:val="ListParagraph"/>
        <w:numPr>
          <w:ilvl w:val="0"/>
          <w:numId w:val="23"/>
        </w:numPr>
        <w:rPr>
          <w:sz w:val="20"/>
          <w:szCs w:val="20"/>
        </w:rPr>
      </w:pPr>
      <w:r w:rsidRPr="00872DC1">
        <w:rPr>
          <w:b/>
          <w:bCs/>
          <w:sz w:val="20"/>
          <w:szCs w:val="20"/>
        </w:rPr>
        <w:t>Public disclosure</w:t>
      </w:r>
      <w:r>
        <w:rPr>
          <w:sz w:val="20"/>
          <w:szCs w:val="20"/>
        </w:rPr>
        <w:t>: Risk management plans and self-declaration must be made publicly available by competent authorities</w:t>
      </w:r>
      <w:r w:rsidR="002D4FDF">
        <w:rPr>
          <w:sz w:val="20"/>
          <w:szCs w:val="20"/>
        </w:rPr>
        <w:t xml:space="preserve"> </w:t>
      </w:r>
      <w:r w:rsidR="002D4FDF" w:rsidRPr="002D4FDF">
        <w:rPr>
          <w:sz w:val="20"/>
          <w:szCs w:val="20"/>
        </w:rPr>
        <w:t xml:space="preserve">(Article 11(1)), though Article 11(2) requires the tonnage handled at an installation to be withheld and allows other details to be omitted on safety or confidentiality grounds.  </w:t>
      </w:r>
      <w:r>
        <w:rPr>
          <w:sz w:val="20"/>
          <w:szCs w:val="20"/>
        </w:rPr>
        <w:t>This transparency acts as a reputational incentive for compliance, an entry point for NGOs and stakeholders to raise concerns</w:t>
      </w:r>
      <w:r w:rsidR="00A92289">
        <w:rPr>
          <w:sz w:val="20"/>
          <w:szCs w:val="20"/>
        </w:rPr>
        <w:t>,</w:t>
      </w:r>
      <w:r>
        <w:rPr>
          <w:sz w:val="20"/>
          <w:szCs w:val="20"/>
        </w:rPr>
        <w:t xml:space="preserve"> and a tool for buyers and customers to vet suppliers.  </w:t>
      </w:r>
    </w:p>
    <w:p w14:paraId="43426484" w14:textId="77777777" w:rsidR="00E0350B" w:rsidRDefault="00E0350B" w:rsidP="00FC58CE">
      <w:pPr>
        <w:pStyle w:val="ListParagraph"/>
        <w:numPr>
          <w:ilvl w:val="0"/>
          <w:numId w:val="23"/>
        </w:numPr>
        <w:rPr>
          <w:sz w:val="20"/>
          <w:szCs w:val="20"/>
        </w:rPr>
      </w:pPr>
      <w:r>
        <w:rPr>
          <w:b/>
          <w:bCs/>
          <w:sz w:val="20"/>
          <w:szCs w:val="20"/>
        </w:rPr>
        <w:t>Competent authority verification</w:t>
      </w:r>
      <w:r w:rsidRPr="00872DC1">
        <w:rPr>
          <w:sz w:val="20"/>
          <w:szCs w:val="20"/>
        </w:rPr>
        <w:t>:</w:t>
      </w:r>
      <w:r>
        <w:rPr>
          <w:sz w:val="20"/>
          <w:szCs w:val="20"/>
        </w:rPr>
        <w:t xml:space="preserve"> Authorities can require amendments to the risk management plan, demand additional measures or equipment, conduct risk-based inspections or suspend installation operations in case of serious noncompliance.  </w:t>
      </w:r>
    </w:p>
    <w:p w14:paraId="6516E588" w14:textId="77777777" w:rsidR="00E0350B" w:rsidRDefault="00E0350B" w:rsidP="00FC58CE">
      <w:pPr>
        <w:pStyle w:val="ListParagraph"/>
        <w:numPr>
          <w:ilvl w:val="0"/>
          <w:numId w:val="23"/>
        </w:numPr>
        <w:rPr>
          <w:sz w:val="20"/>
          <w:szCs w:val="20"/>
        </w:rPr>
      </w:pPr>
      <w:r w:rsidRPr="00872DC1">
        <w:rPr>
          <w:b/>
          <w:bCs/>
          <w:sz w:val="20"/>
          <w:szCs w:val="20"/>
        </w:rPr>
        <w:t>Record-keeping obligations</w:t>
      </w:r>
      <w:r>
        <w:rPr>
          <w:sz w:val="20"/>
          <w:szCs w:val="20"/>
        </w:rPr>
        <w:t xml:space="preserve">: Economic operators must keep 5-year records of estimated loss quantities, handled volumes and measures taken.  Inspectors and certifiers can access these records.  </w:t>
      </w:r>
    </w:p>
    <w:p w14:paraId="3A707A7B" w14:textId="5A8B37F7" w:rsidR="00E0350B" w:rsidRDefault="00E0350B" w:rsidP="00FC58CE">
      <w:pPr>
        <w:pStyle w:val="ListParagraph"/>
        <w:numPr>
          <w:ilvl w:val="0"/>
          <w:numId w:val="23"/>
        </w:numPr>
        <w:rPr>
          <w:sz w:val="20"/>
          <w:szCs w:val="20"/>
        </w:rPr>
      </w:pPr>
      <w:r w:rsidRPr="00565509">
        <w:rPr>
          <w:b/>
          <w:bCs/>
          <w:sz w:val="20"/>
          <w:szCs w:val="20"/>
        </w:rPr>
        <w:t>Incident reporting</w:t>
      </w:r>
      <w:r>
        <w:rPr>
          <w:sz w:val="20"/>
          <w:szCs w:val="20"/>
        </w:rPr>
        <w:t xml:space="preserve">: Any </w:t>
      </w:r>
      <w:r w:rsidR="002D4FDF">
        <w:rPr>
          <w:sz w:val="20"/>
          <w:szCs w:val="20"/>
        </w:rPr>
        <w:t xml:space="preserve">incident or accident causing a loss that </w:t>
      </w:r>
      <w:r>
        <w:rPr>
          <w:sz w:val="20"/>
          <w:szCs w:val="20"/>
        </w:rPr>
        <w:t xml:space="preserve"> affects human health and/or the environment must be reported </w:t>
      </w:r>
      <w:r w:rsidR="002D4FDF">
        <w:rPr>
          <w:sz w:val="20"/>
          <w:szCs w:val="20"/>
        </w:rPr>
        <w:t xml:space="preserve">to the competent authorities within 30 days, with an estimate of the quantity lost, the causes and the measures taken.  </w:t>
      </w:r>
      <w:r w:rsidR="00D70348" w:rsidRPr="00D70348">
        <w:rPr>
          <w:sz w:val="20"/>
          <w:szCs w:val="20"/>
        </w:rPr>
        <w:t>The Regulation distinguishes a spill, which stays within the installation or vehicle, from a loss, which reaches the environment (Article 2(2) and (3)).</w:t>
      </w:r>
      <w:r w:rsidR="00D70348">
        <w:rPr>
          <w:sz w:val="20"/>
          <w:szCs w:val="20"/>
        </w:rPr>
        <w:t xml:space="preserve">  </w:t>
      </w:r>
      <w:r>
        <w:rPr>
          <w:sz w:val="20"/>
          <w:szCs w:val="20"/>
        </w:rPr>
        <w:t xml:space="preserve">This creates traceability and immediate oversight.  </w:t>
      </w:r>
    </w:p>
    <w:p w14:paraId="0817A5FE" w14:textId="77777777" w:rsidR="00E0350B" w:rsidRDefault="00E0350B" w:rsidP="00E0350B">
      <w:pPr>
        <w:rPr>
          <w:sz w:val="20"/>
          <w:szCs w:val="20"/>
        </w:rPr>
      </w:pPr>
    </w:p>
    <w:p w14:paraId="0E47A491" w14:textId="77777777" w:rsidR="00E0350B" w:rsidRPr="00872DC1" w:rsidRDefault="00E0350B" w:rsidP="00E0350B">
      <w:pPr>
        <w:pStyle w:val="heading03"/>
      </w:pPr>
      <w:bookmarkStart w:id="24" w:name="_Toc225594992"/>
      <w:r>
        <w:t>Self-declaration as a regulatory instrument</w:t>
      </w:r>
      <w:bookmarkEnd w:id="24"/>
      <w:r>
        <w:t xml:space="preserve"> </w:t>
      </w:r>
    </w:p>
    <w:p w14:paraId="6D81175B" w14:textId="77777777" w:rsidR="00E0350B" w:rsidRPr="00872DC1" w:rsidRDefault="00E0350B" w:rsidP="00E0350B">
      <w:pPr>
        <w:rPr>
          <w:sz w:val="20"/>
          <w:szCs w:val="20"/>
        </w:rPr>
      </w:pPr>
      <w:r>
        <w:rPr>
          <w:sz w:val="20"/>
          <w:szCs w:val="20"/>
        </w:rPr>
        <w:t xml:space="preserve">Self-declaration is widely embedded in UK and EU regulations.  Regulations use self-declaration primarily to streamline market access, reduce administrative burdens, lower costs for businesses, increase manufacturer accountability and accelerate the time-to-market for products.  It allows businesses, particularly for lower-risk products to efficiently place goods on the market while placing direct accountability on manufacturers to ensure that their products comply with essential health, safety and environmental requirements without requiring third-party testing or certification.    </w:t>
      </w:r>
    </w:p>
    <w:p w14:paraId="0C69DF3E" w14:textId="77777777" w:rsidR="00E0350B" w:rsidRDefault="00E0350B" w:rsidP="00E0350B">
      <w:pPr>
        <w:tabs>
          <w:tab w:val="left" w:pos="1048"/>
        </w:tabs>
        <w:rPr>
          <w:sz w:val="20"/>
          <w:szCs w:val="20"/>
        </w:rPr>
      </w:pPr>
      <w:r>
        <w:rPr>
          <w:sz w:val="20"/>
          <w:szCs w:val="20"/>
        </w:rPr>
        <w:t xml:space="preserve">Self-declaration is not a ‘lighter’ option, but a different enforcement model.  The operator formally declares full responsibility for compliance, accuracy of the risk assessment and implementation of all the measures in place.  This creates potential administrative, civil and criminal liability for false declarations.  </w:t>
      </w:r>
    </w:p>
    <w:p w14:paraId="54A617A0" w14:textId="29EEEE9A" w:rsidR="00E0350B" w:rsidRDefault="00E0350B" w:rsidP="00E0350B">
      <w:pPr>
        <w:rPr>
          <w:sz w:val="20"/>
          <w:szCs w:val="20"/>
        </w:rPr>
      </w:pPr>
      <w:r>
        <w:rPr>
          <w:sz w:val="20"/>
          <w:szCs w:val="20"/>
        </w:rPr>
        <w:t xml:space="preserve">Self-declaration still gives regulators a clear basis to act.  If a spill occurs, inspectors can </w:t>
      </w:r>
      <w:r w:rsidR="00857FBA">
        <w:rPr>
          <w:sz w:val="20"/>
          <w:szCs w:val="20"/>
        </w:rPr>
        <w:t>verify</w:t>
      </w:r>
      <w:r>
        <w:rPr>
          <w:sz w:val="20"/>
          <w:szCs w:val="20"/>
        </w:rPr>
        <w:t xml:space="preserve"> whether the operator actually put the measures in their risk management plan into practice.  If they didn’t, the operator can be required to rectify the issue, </w:t>
      </w:r>
      <w:r w:rsidR="007B6604" w:rsidRPr="007B6604">
        <w:rPr>
          <w:sz w:val="20"/>
          <w:szCs w:val="20"/>
        </w:rPr>
        <w:t>face administrative financial penalties, for which Member States must set a maximum of at least 3% of annual Union turnover for the most serious infringements committed by a legal person (Article 20(3)).  Where the infringement poses an immediate danger to human health, threatens an immediate significant adverse effect on the environment, or leads to a significant loss, the competent authority may also suspend operation of the installation until compliance is restored (Article 15(2)).</w:t>
      </w:r>
      <w:r w:rsidR="007B6604">
        <w:rPr>
          <w:sz w:val="20"/>
          <w:szCs w:val="20"/>
        </w:rPr>
        <w:t xml:space="preserve">  </w:t>
      </w:r>
    </w:p>
    <w:p w14:paraId="02E5479F" w14:textId="77777777" w:rsidR="00E0350B" w:rsidRDefault="00E0350B" w:rsidP="00E0350B">
      <w:pPr>
        <w:rPr>
          <w:sz w:val="20"/>
          <w:szCs w:val="20"/>
        </w:rPr>
      </w:pPr>
      <w:r>
        <w:rPr>
          <w:sz w:val="20"/>
          <w:szCs w:val="20"/>
        </w:rPr>
        <w:t xml:space="preserve">Whilst the OSPAR Recommendation favours universal certification, self-declaration under the Regulation achieves: </w:t>
      </w:r>
    </w:p>
    <w:p w14:paraId="30F940DB" w14:textId="77777777" w:rsidR="00E0350B" w:rsidRDefault="00E0350B" w:rsidP="00FC58CE">
      <w:pPr>
        <w:pStyle w:val="ListParagraph"/>
        <w:numPr>
          <w:ilvl w:val="0"/>
          <w:numId w:val="24"/>
        </w:numPr>
        <w:rPr>
          <w:sz w:val="20"/>
          <w:szCs w:val="20"/>
        </w:rPr>
      </w:pPr>
      <w:r>
        <w:rPr>
          <w:sz w:val="20"/>
          <w:szCs w:val="20"/>
        </w:rPr>
        <w:t xml:space="preserve">Broad coverage </w:t>
      </w:r>
    </w:p>
    <w:p w14:paraId="6539DDD6" w14:textId="77777777" w:rsidR="00E0350B" w:rsidRDefault="00E0350B" w:rsidP="00FC58CE">
      <w:pPr>
        <w:pStyle w:val="ListParagraph"/>
        <w:numPr>
          <w:ilvl w:val="0"/>
          <w:numId w:val="24"/>
        </w:numPr>
        <w:rPr>
          <w:sz w:val="20"/>
          <w:szCs w:val="20"/>
        </w:rPr>
      </w:pPr>
      <w:r>
        <w:rPr>
          <w:sz w:val="20"/>
          <w:szCs w:val="20"/>
        </w:rPr>
        <w:t xml:space="preserve">Legal enforceability </w:t>
      </w:r>
    </w:p>
    <w:p w14:paraId="78004822" w14:textId="77777777" w:rsidR="00E0350B" w:rsidRDefault="00E0350B" w:rsidP="00FC58CE">
      <w:pPr>
        <w:pStyle w:val="ListParagraph"/>
        <w:numPr>
          <w:ilvl w:val="0"/>
          <w:numId w:val="24"/>
        </w:numPr>
        <w:rPr>
          <w:sz w:val="20"/>
          <w:szCs w:val="20"/>
        </w:rPr>
      </w:pPr>
      <w:r>
        <w:rPr>
          <w:sz w:val="20"/>
          <w:szCs w:val="20"/>
        </w:rPr>
        <w:lastRenderedPageBreak/>
        <w:t xml:space="preserve">Consistency with UK and EU regulation principles (i.e. proportionality and risk-based burden) </w:t>
      </w:r>
    </w:p>
    <w:p w14:paraId="3DDC480C" w14:textId="77777777" w:rsidR="00E0350B" w:rsidRPr="00565509" w:rsidRDefault="00E0350B" w:rsidP="00E0350B">
      <w:pPr>
        <w:rPr>
          <w:sz w:val="20"/>
          <w:szCs w:val="20"/>
        </w:rPr>
      </w:pPr>
    </w:p>
    <w:p w14:paraId="46C4CC66" w14:textId="6A07D073" w:rsidR="00E0350B" w:rsidRPr="00872DC1" w:rsidRDefault="00E0350B" w:rsidP="00E0350B">
      <w:pPr>
        <w:pStyle w:val="heading03"/>
      </w:pPr>
      <w:bookmarkStart w:id="25" w:name="_Toc225594993"/>
      <w:r>
        <w:t>Regulations that allow self-declaration</w:t>
      </w:r>
      <w:bookmarkEnd w:id="25"/>
      <w:r>
        <w:t xml:space="preserve"> </w:t>
      </w:r>
    </w:p>
    <w:p w14:paraId="06E24F4F" w14:textId="7017BF83" w:rsidR="00E0350B" w:rsidRDefault="00E0350B" w:rsidP="00E0350B">
      <w:pPr>
        <w:rPr>
          <w:sz w:val="20"/>
          <w:szCs w:val="20"/>
        </w:rPr>
      </w:pPr>
      <w:r>
        <w:rPr>
          <w:sz w:val="20"/>
          <w:szCs w:val="20"/>
        </w:rPr>
        <w:t>Self-declaration is used widely in regulations, especially where there are a large number of small operators involved</w:t>
      </w:r>
      <w:r w:rsidR="00857FBA">
        <w:rPr>
          <w:sz w:val="20"/>
          <w:szCs w:val="20"/>
        </w:rPr>
        <w:t>.  R</w:t>
      </w:r>
      <w:r>
        <w:rPr>
          <w:sz w:val="20"/>
          <w:szCs w:val="20"/>
        </w:rPr>
        <w:t xml:space="preserve">isks can be managed through oversight rather than universal certification and documentation and transparency create enforceability. </w:t>
      </w:r>
    </w:p>
    <w:tbl>
      <w:tblPr>
        <w:tblStyle w:val="GridTable1Light-Accent1"/>
        <w:tblW w:w="0" w:type="auto"/>
        <w:tblLook w:val="04A0" w:firstRow="1" w:lastRow="0" w:firstColumn="1" w:lastColumn="0" w:noHBand="0" w:noVBand="1"/>
      </w:tblPr>
      <w:tblGrid>
        <w:gridCol w:w="2547"/>
        <w:gridCol w:w="3234"/>
        <w:gridCol w:w="3235"/>
      </w:tblGrid>
      <w:tr w:rsidR="00E0350B" w14:paraId="39100878" w14:textId="77777777" w:rsidTr="0009435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47" w:type="dxa"/>
          </w:tcPr>
          <w:p w14:paraId="33092C8B" w14:textId="77777777" w:rsidR="00E0350B" w:rsidRDefault="00E0350B" w:rsidP="0009435A">
            <w:pPr>
              <w:spacing w:before="120" w:after="120" w:line="276" w:lineRule="auto"/>
              <w:rPr>
                <w:sz w:val="20"/>
                <w:szCs w:val="20"/>
              </w:rPr>
            </w:pPr>
            <w:r>
              <w:rPr>
                <w:sz w:val="20"/>
                <w:szCs w:val="20"/>
              </w:rPr>
              <w:t xml:space="preserve">Regulation </w:t>
            </w:r>
          </w:p>
        </w:tc>
        <w:tc>
          <w:tcPr>
            <w:tcW w:w="3234" w:type="dxa"/>
          </w:tcPr>
          <w:p w14:paraId="01FE95BC" w14:textId="77777777" w:rsidR="00E0350B" w:rsidRDefault="00E0350B" w:rsidP="0009435A">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How it works </w:t>
            </w:r>
          </w:p>
        </w:tc>
        <w:tc>
          <w:tcPr>
            <w:tcW w:w="3235" w:type="dxa"/>
          </w:tcPr>
          <w:p w14:paraId="1EC2FA7B" w14:textId="77777777" w:rsidR="00E0350B" w:rsidRDefault="00E0350B" w:rsidP="0009435A">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Similarity </w:t>
            </w:r>
          </w:p>
        </w:tc>
      </w:tr>
      <w:tr w:rsidR="00E0350B" w14:paraId="57A9D662" w14:textId="77777777" w:rsidTr="0009435A">
        <w:tc>
          <w:tcPr>
            <w:cnfStyle w:val="001000000000" w:firstRow="0" w:lastRow="0" w:firstColumn="1" w:lastColumn="0" w:oddVBand="0" w:evenVBand="0" w:oddHBand="0" w:evenHBand="0" w:firstRowFirstColumn="0" w:firstRowLastColumn="0" w:lastRowFirstColumn="0" w:lastRowLastColumn="0"/>
            <w:tcW w:w="2547" w:type="dxa"/>
          </w:tcPr>
          <w:p w14:paraId="3721AE86" w14:textId="77777777" w:rsidR="00E0350B" w:rsidRDefault="00E0350B" w:rsidP="0009435A">
            <w:pPr>
              <w:spacing w:before="120" w:after="120" w:line="276" w:lineRule="auto"/>
              <w:rPr>
                <w:sz w:val="20"/>
                <w:szCs w:val="20"/>
              </w:rPr>
            </w:pPr>
            <w:r w:rsidRPr="000D29E0">
              <w:rPr>
                <w:sz w:val="20"/>
                <w:szCs w:val="20"/>
              </w:rPr>
              <w:t>REACH (Regulation (EC) 1907/2006) – Registrations &amp; Safety Data Sheets</w:t>
            </w:r>
          </w:p>
        </w:tc>
        <w:tc>
          <w:tcPr>
            <w:tcW w:w="3234" w:type="dxa"/>
          </w:tcPr>
          <w:p w14:paraId="223116BC" w14:textId="77777777" w:rsidR="00E0350B" w:rsidRDefault="00E0350B"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Manufacturers and importers self-declare hazard data, exposure assessments and safety data sheets.  Regulatory authorities verify data during inspections.</w:t>
            </w:r>
          </w:p>
        </w:tc>
        <w:tc>
          <w:tcPr>
            <w:tcW w:w="3235" w:type="dxa"/>
          </w:tcPr>
          <w:p w14:paraId="5041EBC9" w14:textId="77777777" w:rsidR="00E0350B" w:rsidRDefault="00E0350B" w:rsidP="00FC58CE">
            <w:pPr>
              <w:pStyle w:val="ListParagraph"/>
              <w:numPr>
                <w:ilvl w:val="0"/>
                <w:numId w:val="2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0D29E0">
              <w:rPr>
                <w:sz w:val="20"/>
                <w:szCs w:val="20"/>
              </w:rPr>
              <w:t>Self-declaration</w:t>
            </w:r>
          </w:p>
          <w:p w14:paraId="0BFF4E6C" w14:textId="77777777" w:rsidR="00E0350B" w:rsidRDefault="00E0350B" w:rsidP="00FC58CE">
            <w:pPr>
              <w:pStyle w:val="ListParagraph"/>
              <w:numPr>
                <w:ilvl w:val="0"/>
                <w:numId w:val="2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w:t>
            </w:r>
            <w:r w:rsidRPr="000D29E0">
              <w:rPr>
                <w:sz w:val="20"/>
                <w:szCs w:val="20"/>
              </w:rPr>
              <w:t xml:space="preserve">eavy penalties for </w:t>
            </w:r>
            <w:r>
              <w:rPr>
                <w:sz w:val="20"/>
                <w:szCs w:val="20"/>
              </w:rPr>
              <w:t xml:space="preserve">incorrect decisions </w:t>
            </w:r>
          </w:p>
          <w:p w14:paraId="5C7034E3" w14:textId="77777777" w:rsidR="00E0350B" w:rsidRPr="000D29E0" w:rsidRDefault="00E0350B" w:rsidP="00FC58CE">
            <w:pPr>
              <w:pStyle w:val="ListParagraph"/>
              <w:numPr>
                <w:ilvl w:val="0"/>
                <w:numId w:val="2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Market actors must generate and maintain detailed documentation </w:t>
            </w:r>
          </w:p>
        </w:tc>
      </w:tr>
      <w:tr w:rsidR="00E0350B" w14:paraId="49F56B8A" w14:textId="77777777" w:rsidTr="0009435A">
        <w:tc>
          <w:tcPr>
            <w:cnfStyle w:val="001000000000" w:firstRow="0" w:lastRow="0" w:firstColumn="1" w:lastColumn="0" w:oddVBand="0" w:evenVBand="0" w:oddHBand="0" w:evenHBand="0" w:firstRowFirstColumn="0" w:firstRowLastColumn="0" w:lastRowFirstColumn="0" w:lastRowLastColumn="0"/>
            <w:tcW w:w="2547" w:type="dxa"/>
          </w:tcPr>
          <w:p w14:paraId="2992595A" w14:textId="77777777" w:rsidR="00E0350B" w:rsidRDefault="00E0350B" w:rsidP="0009435A">
            <w:pPr>
              <w:spacing w:before="120" w:after="120" w:line="276" w:lineRule="auto"/>
              <w:rPr>
                <w:b w:val="0"/>
                <w:bCs w:val="0"/>
                <w:sz w:val="20"/>
                <w:szCs w:val="20"/>
              </w:rPr>
            </w:pPr>
            <w:r w:rsidRPr="000D29E0">
              <w:rPr>
                <w:sz w:val="20"/>
                <w:szCs w:val="20"/>
              </w:rPr>
              <w:t>Medical Device Regulation (EU) 2017/745</w:t>
            </w:r>
          </w:p>
          <w:p w14:paraId="6E7A8CD0" w14:textId="77777777" w:rsidR="00E0350B" w:rsidRPr="000D29E0" w:rsidRDefault="00E0350B" w:rsidP="0009435A">
            <w:pPr>
              <w:spacing w:before="120" w:after="120" w:line="276" w:lineRule="auto"/>
              <w:rPr>
                <w:sz w:val="20"/>
                <w:szCs w:val="20"/>
              </w:rPr>
            </w:pPr>
            <w:r w:rsidRPr="00527F64">
              <w:rPr>
                <w:sz w:val="20"/>
                <w:szCs w:val="20"/>
              </w:rPr>
              <w:t xml:space="preserve">UK Medical Devices Regulations (UK </w:t>
            </w:r>
            <w:proofErr w:type="spellStart"/>
            <w:r w:rsidRPr="00527F64">
              <w:rPr>
                <w:sz w:val="20"/>
                <w:szCs w:val="20"/>
              </w:rPr>
              <w:t>MDR</w:t>
            </w:r>
            <w:proofErr w:type="spellEnd"/>
            <w:r w:rsidRPr="00527F64">
              <w:rPr>
                <w:sz w:val="20"/>
                <w:szCs w:val="20"/>
              </w:rPr>
              <w:t xml:space="preserve"> 2002)</w:t>
            </w:r>
          </w:p>
        </w:tc>
        <w:tc>
          <w:tcPr>
            <w:tcW w:w="3234" w:type="dxa"/>
          </w:tcPr>
          <w:p w14:paraId="6E78ED76" w14:textId="7601AAF1" w:rsidR="00E0350B" w:rsidRDefault="00E0350B"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Uses a </w:t>
            </w:r>
            <w:r w:rsidR="00857FBA">
              <w:rPr>
                <w:sz w:val="20"/>
                <w:szCs w:val="20"/>
              </w:rPr>
              <w:t>tiered</w:t>
            </w:r>
            <w:r>
              <w:rPr>
                <w:sz w:val="20"/>
                <w:szCs w:val="20"/>
              </w:rPr>
              <w:t xml:space="preserve"> approach where the level of oversight is dependent on the risk posed by the device.  </w:t>
            </w:r>
          </w:p>
          <w:p w14:paraId="303AC945" w14:textId="77777777" w:rsidR="00E0350B" w:rsidRDefault="00E0350B"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Low risk devices (Class I) can be placed on the market through manufacturer self-declaration of conformity.  Higher risk devices (Classes IIa, IIb and III) require an independent conformity assessment by a Notified Body.  </w:t>
            </w:r>
          </w:p>
        </w:tc>
        <w:tc>
          <w:tcPr>
            <w:tcW w:w="3235" w:type="dxa"/>
          </w:tcPr>
          <w:p w14:paraId="5A482A37" w14:textId="77777777" w:rsidR="00E0350B" w:rsidRDefault="00E0350B" w:rsidP="00FC58CE">
            <w:pPr>
              <w:pStyle w:val="ListParagraph"/>
              <w:numPr>
                <w:ilvl w:val="0"/>
                <w:numId w:val="2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Backed by strict documentation requirements </w:t>
            </w:r>
          </w:p>
          <w:p w14:paraId="1D886B21" w14:textId="77777777" w:rsidR="00E0350B" w:rsidRDefault="00E0350B" w:rsidP="00FC58CE">
            <w:pPr>
              <w:pStyle w:val="ListParagraph"/>
              <w:numPr>
                <w:ilvl w:val="0"/>
                <w:numId w:val="2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Post-market surveillance </w:t>
            </w:r>
          </w:p>
          <w:p w14:paraId="1582A117" w14:textId="77777777" w:rsidR="00E0350B" w:rsidRDefault="00E0350B" w:rsidP="00FC58CE">
            <w:pPr>
              <w:pStyle w:val="ListParagraph"/>
              <w:numPr>
                <w:ilvl w:val="0"/>
                <w:numId w:val="2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Inspections </w:t>
            </w:r>
          </w:p>
          <w:p w14:paraId="4F6AA980" w14:textId="77777777" w:rsidR="00E0350B" w:rsidRPr="00527F64" w:rsidRDefault="00E0350B" w:rsidP="00FC58CE">
            <w:pPr>
              <w:pStyle w:val="ListParagraph"/>
              <w:numPr>
                <w:ilvl w:val="0"/>
                <w:numId w:val="2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Severe penalties for false declarations </w:t>
            </w:r>
          </w:p>
        </w:tc>
      </w:tr>
      <w:tr w:rsidR="00E0350B" w14:paraId="492F64FE" w14:textId="77777777" w:rsidTr="0009435A">
        <w:tc>
          <w:tcPr>
            <w:cnfStyle w:val="001000000000" w:firstRow="0" w:lastRow="0" w:firstColumn="1" w:lastColumn="0" w:oddVBand="0" w:evenVBand="0" w:oddHBand="0" w:evenHBand="0" w:firstRowFirstColumn="0" w:firstRowLastColumn="0" w:lastRowFirstColumn="0" w:lastRowLastColumn="0"/>
            <w:tcW w:w="2547" w:type="dxa"/>
          </w:tcPr>
          <w:p w14:paraId="6393B537" w14:textId="1D6D3261" w:rsidR="00F51835" w:rsidRDefault="007B6604" w:rsidP="0009435A">
            <w:pPr>
              <w:spacing w:before="120" w:after="120" w:line="276" w:lineRule="auto"/>
              <w:rPr>
                <w:b w:val="0"/>
                <w:bCs w:val="0"/>
                <w:sz w:val="20"/>
                <w:szCs w:val="20"/>
              </w:rPr>
            </w:pPr>
            <w:r w:rsidRPr="007B6604">
              <w:rPr>
                <w:sz w:val="20"/>
                <w:szCs w:val="20"/>
              </w:rPr>
              <w:t>Machinery Directive (2006/42/EC), replaced by Machinery Regulation (EU) 2023/1230 from 20 January</w:t>
            </w:r>
            <w:r w:rsidR="00F51835">
              <w:rPr>
                <w:sz w:val="20"/>
                <w:szCs w:val="20"/>
              </w:rPr>
              <w:t xml:space="preserve"> </w:t>
            </w:r>
            <w:r w:rsidRPr="007B6604">
              <w:rPr>
                <w:sz w:val="20"/>
                <w:szCs w:val="20"/>
              </w:rPr>
              <w:t>2027</w:t>
            </w:r>
          </w:p>
          <w:p w14:paraId="098FB3CF" w14:textId="2C2DE1D3" w:rsidR="00E0350B" w:rsidRPr="000D29E0" w:rsidRDefault="00E0350B" w:rsidP="0009435A">
            <w:pPr>
              <w:spacing w:before="120" w:after="120" w:line="276" w:lineRule="auto"/>
              <w:rPr>
                <w:sz w:val="20"/>
                <w:szCs w:val="20"/>
              </w:rPr>
            </w:pPr>
            <w:r w:rsidRPr="00527F64">
              <w:rPr>
                <w:sz w:val="20"/>
                <w:szCs w:val="20"/>
              </w:rPr>
              <w:t>The Supply of Machinery (Safety) Regulations 2008</w:t>
            </w:r>
          </w:p>
        </w:tc>
        <w:tc>
          <w:tcPr>
            <w:tcW w:w="3234" w:type="dxa"/>
          </w:tcPr>
          <w:p w14:paraId="68F1D16E" w14:textId="77777777" w:rsidR="00E0350B" w:rsidRDefault="00E0350B"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w:t>
            </w:r>
            <w:r w:rsidRPr="00527F64">
              <w:rPr>
                <w:sz w:val="20"/>
                <w:szCs w:val="20"/>
              </w:rPr>
              <w:t>ost categories of machinery can be placed on the market through self</w:t>
            </w:r>
            <w:r w:rsidRPr="00527F64">
              <w:rPr>
                <w:rFonts w:ascii="Cambria Math" w:hAnsi="Cambria Math" w:cs="Cambria Math"/>
                <w:sz w:val="20"/>
                <w:szCs w:val="20"/>
              </w:rPr>
              <w:t>‑</w:t>
            </w:r>
            <w:r w:rsidRPr="00527F64">
              <w:rPr>
                <w:sz w:val="20"/>
                <w:szCs w:val="20"/>
              </w:rPr>
              <w:t>declaration, provided they meet essential health and safety requirements.</w:t>
            </w:r>
          </w:p>
          <w:p w14:paraId="1FFC62DF" w14:textId="58452877" w:rsidR="00E0350B" w:rsidRDefault="00E0350B"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Only the high-risk categories require </w:t>
            </w:r>
            <w:r w:rsidR="00A92289">
              <w:rPr>
                <w:sz w:val="20"/>
                <w:szCs w:val="20"/>
              </w:rPr>
              <w:t>Notified</w:t>
            </w:r>
            <w:r>
              <w:rPr>
                <w:sz w:val="20"/>
                <w:szCs w:val="20"/>
              </w:rPr>
              <w:t xml:space="preserve"> Body involvement.  </w:t>
            </w:r>
          </w:p>
          <w:p w14:paraId="3069CCCB" w14:textId="013282AB" w:rsidR="00E0350B" w:rsidRDefault="00E0350B"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manufacturers must keep a technical file and sign an EU Declaration of Conformity which carrie</w:t>
            </w:r>
            <w:r w:rsidR="007B6604">
              <w:rPr>
                <w:sz w:val="20"/>
                <w:szCs w:val="20"/>
              </w:rPr>
              <w:t>s</w:t>
            </w:r>
            <w:r>
              <w:rPr>
                <w:sz w:val="20"/>
                <w:szCs w:val="20"/>
              </w:rPr>
              <w:t xml:space="preserve"> legal liability.  </w:t>
            </w:r>
          </w:p>
        </w:tc>
        <w:tc>
          <w:tcPr>
            <w:tcW w:w="3235" w:type="dxa"/>
          </w:tcPr>
          <w:p w14:paraId="65E26208" w14:textId="77777777" w:rsidR="00E0350B" w:rsidRDefault="00E0350B" w:rsidP="00FC58CE">
            <w:pPr>
              <w:pStyle w:val="ListParagraph"/>
              <w:numPr>
                <w:ilvl w:val="0"/>
                <w:numId w:val="2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Third-party assessment when risks are significant </w:t>
            </w:r>
          </w:p>
          <w:p w14:paraId="38D7C864" w14:textId="77777777" w:rsidR="00E0350B" w:rsidRDefault="00E0350B" w:rsidP="00FC58CE">
            <w:pPr>
              <w:pStyle w:val="ListParagraph"/>
              <w:numPr>
                <w:ilvl w:val="0"/>
                <w:numId w:val="2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Supported by enforcement through inspections, liability and possibility of product withdrawal </w:t>
            </w:r>
          </w:p>
        </w:tc>
      </w:tr>
      <w:tr w:rsidR="00E0350B" w14:paraId="76B1D5C4" w14:textId="77777777" w:rsidTr="0009435A">
        <w:tc>
          <w:tcPr>
            <w:cnfStyle w:val="001000000000" w:firstRow="0" w:lastRow="0" w:firstColumn="1" w:lastColumn="0" w:oddVBand="0" w:evenVBand="0" w:oddHBand="0" w:evenHBand="0" w:firstRowFirstColumn="0" w:firstRowLastColumn="0" w:lastRowFirstColumn="0" w:lastRowLastColumn="0"/>
            <w:tcW w:w="2547" w:type="dxa"/>
          </w:tcPr>
          <w:p w14:paraId="4D725124" w14:textId="6640D3EB" w:rsidR="009310E2" w:rsidRDefault="007B6604" w:rsidP="0009435A">
            <w:pPr>
              <w:spacing w:before="120" w:after="120" w:line="276" w:lineRule="auto"/>
              <w:rPr>
                <w:b w:val="0"/>
                <w:bCs w:val="0"/>
                <w:sz w:val="20"/>
                <w:szCs w:val="20"/>
              </w:rPr>
            </w:pPr>
            <w:r w:rsidRPr="007B6604">
              <w:rPr>
                <w:sz w:val="20"/>
                <w:szCs w:val="20"/>
              </w:rPr>
              <w:t>The General Product Safety Regulations 2005, and in the EU Regulation (EU) 2023/988</w:t>
            </w:r>
            <w:r>
              <w:rPr>
                <w:sz w:val="20"/>
                <w:szCs w:val="20"/>
              </w:rPr>
              <w:t xml:space="preserve"> </w:t>
            </w:r>
          </w:p>
          <w:p w14:paraId="18EE6060" w14:textId="77777777" w:rsidR="00E0350B" w:rsidRPr="00527F64" w:rsidRDefault="00E0350B" w:rsidP="0009435A">
            <w:pPr>
              <w:spacing w:before="120" w:after="120" w:line="276" w:lineRule="auto"/>
              <w:rPr>
                <w:sz w:val="20"/>
                <w:szCs w:val="20"/>
              </w:rPr>
            </w:pPr>
            <w:r>
              <w:rPr>
                <w:sz w:val="20"/>
                <w:szCs w:val="20"/>
              </w:rPr>
              <w:t xml:space="preserve">CE Marking and the EU </w:t>
            </w:r>
            <w:r w:rsidRPr="00B1350C">
              <w:rPr>
                <w:sz w:val="20"/>
                <w:szCs w:val="20"/>
              </w:rPr>
              <w:t>New legislative framework</w:t>
            </w:r>
          </w:p>
        </w:tc>
        <w:tc>
          <w:tcPr>
            <w:tcW w:w="3234" w:type="dxa"/>
          </w:tcPr>
          <w:p w14:paraId="0BF40650" w14:textId="77777777" w:rsidR="00E0350B" w:rsidRDefault="00E0350B"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Under many directives (Low Voltage Directive, EMC Directive, Toy Safety Directive) companies can self-declare conformity with essential requirements, maintain technical files and affix CE/</w:t>
            </w:r>
            <w:proofErr w:type="spellStart"/>
            <w:r>
              <w:rPr>
                <w:sz w:val="20"/>
                <w:szCs w:val="20"/>
              </w:rPr>
              <w:t>UKCA</w:t>
            </w:r>
            <w:proofErr w:type="spellEnd"/>
            <w:r>
              <w:rPr>
                <w:sz w:val="20"/>
                <w:szCs w:val="20"/>
              </w:rPr>
              <w:t xml:space="preserve"> marking.  </w:t>
            </w:r>
          </w:p>
          <w:p w14:paraId="2BA2F0D3" w14:textId="77777777" w:rsidR="00E0350B" w:rsidRDefault="00E0350B"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Third-party certification is required only for high-risk products.  </w:t>
            </w:r>
          </w:p>
        </w:tc>
        <w:tc>
          <w:tcPr>
            <w:tcW w:w="3235" w:type="dxa"/>
          </w:tcPr>
          <w:p w14:paraId="24FD8640" w14:textId="77777777" w:rsidR="00E0350B" w:rsidRDefault="00E0350B" w:rsidP="00FC58CE">
            <w:pPr>
              <w:pStyle w:val="ListParagraph"/>
              <w:numPr>
                <w:ilvl w:val="0"/>
                <w:numId w:val="2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B1350C">
              <w:rPr>
                <w:sz w:val="20"/>
                <w:szCs w:val="20"/>
              </w:rPr>
              <w:lastRenderedPageBreak/>
              <w:t>Self</w:t>
            </w:r>
            <w:r w:rsidRPr="00B1350C">
              <w:rPr>
                <w:rFonts w:ascii="Cambria Math" w:hAnsi="Cambria Math" w:cs="Cambria Math"/>
                <w:sz w:val="20"/>
                <w:szCs w:val="20"/>
              </w:rPr>
              <w:t>‑</w:t>
            </w:r>
            <w:r w:rsidRPr="00B1350C">
              <w:rPr>
                <w:sz w:val="20"/>
                <w:szCs w:val="20"/>
              </w:rPr>
              <w:t>declaration for low/medium</w:t>
            </w:r>
            <w:r w:rsidRPr="00B1350C">
              <w:rPr>
                <w:rFonts w:ascii="Cambria Math" w:hAnsi="Cambria Math" w:cs="Cambria Math"/>
                <w:sz w:val="20"/>
                <w:szCs w:val="20"/>
              </w:rPr>
              <w:t>‑</w:t>
            </w:r>
            <w:r w:rsidRPr="00B1350C">
              <w:rPr>
                <w:sz w:val="20"/>
                <w:szCs w:val="20"/>
              </w:rPr>
              <w:t>risk</w:t>
            </w:r>
            <w:r>
              <w:rPr>
                <w:sz w:val="20"/>
                <w:szCs w:val="20"/>
              </w:rPr>
              <w:t xml:space="preserve"> </w:t>
            </w:r>
          </w:p>
          <w:p w14:paraId="2D14168C" w14:textId="382BBD67" w:rsidR="00E0350B" w:rsidRDefault="00E0350B" w:rsidP="00FC58CE">
            <w:pPr>
              <w:pStyle w:val="ListParagraph"/>
              <w:numPr>
                <w:ilvl w:val="0"/>
                <w:numId w:val="2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B1350C">
              <w:rPr>
                <w:sz w:val="20"/>
                <w:szCs w:val="20"/>
              </w:rPr>
              <w:t xml:space="preserve">Notified </w:t>
            </w:r>
            <w:r w:rsidR="00A92289">
              <w:rPr>
                <w:sz w:val="20"/>
                <w:szCs w:val="20"/>
              </w:rPr>
              <w:t>B</w:t>
            </w:r>
            <w:r w:rsidRPr="00B1350C">
              <w:rPr>
                <w:sz w:val="20"/>
                <w:szCs w:val="20"/>
              </w:rPr>
              <w:t>ody certification only for high</w:t>
            </w:r>
            <w:r w:rsidRPr="00B1350C">
              <w:rPr>
                <w:rFonts w:ascii="Cambria Math" w:hAnsi="Cambria Math" w:cs="Cambria Math"/>
                <w:sz w:val="20"/>
                <w:szCs w:val="20"/>
              </w:rPr>
              <w:t>‑</w:t>
            </w:r>
            <w:r w:rsidRPr="00B1350C">
              <w:rPr>
                <w:sz w:val="20"/>
                <w:szCs w:val="20"/>
              </w:rPr>
              <w:t>risk sectors</w:t>
            </w:r>
          </w:p>
        </w:tc>
      </w:tr>
      <w:tr w:rsidR="00E0350B" w14:paraId="09303FDC" w14:textId="77777777" w:rsidTr="0009435A">
        <w:tc>
          <w:tcPr>
            <w:cnfStyle w:val="001000000000" w:firstRow="0" w:lastRow="0" w:firstColumn="1" w:lastColumn="0" w:oddVBand="0" w:evenVBand="0" w:oddHBand="0" w:evenHBand="0" w:firstRowFirstColumn="0" w:firstRowLastColumn="0" w:lastRowFirstColumn="0" w:lastRowLastColumn="0"/>
            <w:tcW w:w="2547" w:type="dxa"/>
          </w:tcPr>
          <w:p w14:paraId="1F62C966" w14:textId="77777777" w:rsidR="00E0350B" w:rsidRPr="00B1350C" w:rsidRDefault="00E0350B" w:rsidP="0009435A">
            <w:pPr>
              <w:spacing w:before="120" w:after="120" w:line="276" w:lineRule="auto"/>
              <w:rPr>
                <w:sz w:val="20"/>
                <w:szCs w:val="20"/>
              </w:rPr>
            </w:pPr>
            <w:r>
              <w:rPr>
                <w:sz w:val="20"/>
                <w:szCs w:val="20"/>
              </w:rPr>
              <w:t xml:space="preserve">EMAS (Eco-Management and Audit Scheme) and ISO 14001 </w:t>
            </w:r>
          </w:p>
        </w:tc>
        <w:tc>
          <w:tcPr>
            <w:tcW w:w="3234" w:type="dxa"/>
          </w:tcPr>
          <w:p w14:paraId="2BD51803" w14:textId="600EDAAD" w:rsidR="00E0350B" w:rsidRDefault="007B6604"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7B6604">
              <w:rPr>
                <w:sz w:val="20"/>
                <w:szCs w:val="20"/>
              </w:rPr>
              <w:t xml:space="preserve">EMAS requires verification by an accredited environmental verifier, so it is a third-party route rather than a self-declaration.  Other environmental management systems rely more on internal audits, self-reporting and documentation checks by authorities or certification bodies.  </w:t>
            </w:r>
          </w:p>
        </w:tc>
        <w:tc>
          <w:tcPr>
            <w:tcW w:w="3235" w:type="dxa"/>
          </w:tcPr>
          <w:p w14:paraId="2906E948" w14:textId="34E805CD" w:rsidR="00E0350B" w:rsidRPr="005A3E69" w:rsidRDefault="007B6604" w:rsidP="0009435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7B6604">
              <w:rPr>
                <w:sz w:val="20"/>
                <w:szCs w:val="20"/>
              </w:rPr>
              <w:t xml:space="preserve">Article 8(1) exempts EMAS-registered operators from Article 5(2) and from certification under Article 6(1), (2) and (3), provided an environmental verifier has confirmed that the Annex I requirements are in the management system and implemented.  Of the three alternative routes </w:t>
            </w:r>
            <w:r>
              <w:rPr>
                <w:sz w:val="20"/>
                <w:szCs w:val="20"/>
              </w:rPr>
              <w:t xml:space="preserve">this </w:t>
            </w:r>
            <w:r w:rsidRPr="007B6604">
              <w:rPr>
                <w:sz w:val="20"/>
                <w:szCs w:val="20"/>
              </w:rPr>
              <w:t xml:space="preserve">one keeps verification independent.  </w:t>
            </w:r>
          </w:p>
        </w:tc>
      </w:tr>
    </w:tbl>
    <w:p w14:paraId="1B0E8017" w14:textId="77777777" w:rsidR="00E0350B" w:rsidRDefault="00E0350B" w:rsidP="00E0350B">
      <w:pPr>
        <w:rPr>
          <w:sz w:val="20"/>
          <w:szCs w:val="20"/>
        </w:rPr>
      </w:pPr>
    </w:p>
    <w:p w14:paraId="1654A96E" w14:textId="77777777" w:rsidR="00E0350B" w:rsidRDefault="00E0350B" w:rsidP="00E0350B">
      <w:pPr>
        <w:rPr>
          <w:sz w:val="20"/>
          <w:szCs w:val="20"/>
        </w:rPr>
      </w:pPr>
      <w:r w:rsidRPr="00CD527F">
        <w:rPr>
          <w:sz w:val="20"/>
          <w:szCs w:val="20"/>
        </w:rPr>
        <w:t>A wider look across EU and UK regulatory frameworks that rely on manufacturer self</w:t>
      </w:r>
      <w:r w:rsidRPr="00CD527F">
        <w:rPr>
          <w:rFonts w:ascii="Cambria Math" w:hAnsi="Cambria Math" w:cs="Cambria Math"/>
          <w:sz w:val="20"/>
          <w:szCs w:val="20"/>
        </w:rPr>
        <w:t>‑</w:t>
      </w:r>
      <w:r w:rsidRPr="00CD527F">
        <w:rPr>
          <w:sz w:val="20"/>
          <w:szCs w:val="20"/>
        </w:rPr>
        <w:t>declaration</w:t>
      </w:r>
      <w:r>
        <w:rPr>
          <w:sz w:val="20"/>
          <w:szCs w:val="20"/>
        </w:rPr>
        <w:t xml:space="preserve">, including </w:t>
      </w:r>
      <w:r w:rsidRPr="00CD527F">
        <w:rPr>
          <w:sz w:val="20"/>
          <w:szCs w:val="20"/>
        </w:rPr>
        <w:t>sectors such as medical devices, machinery, chemical management, product safety and environmental compliance</w:t>
      </w:r>
      <w:r>
        <w:rPr>
          <w:sz w:val="20"/>
          <w:szCs w:val="20"/>
        </w:rPr>
        <w:t xml:space="preserve">, </w:t>
      </w:r>
      <w:r w:rsidRPr="00CD527F">
        <w:rPr>
          <w:sz w:val="20"/>
          <w:szCs w:val="20"/>
        </w:rPr>
        <w:t>highlights an important point:</w:t>
      </w:r>
      <w:r>
        <w:rPr>
          <w:sz w:val="20"/>
          <w:szCs w:val="20"/>
        </w:rPr>
        <w:t xml:space="preserve"> self-declaration is not a weak or lesser form of regulatory compliance. </w:t>
      </w:r>
    </w:p>
    <w:p w14:paraId="48F4A7D8" w14:textId="77777777" w:rsidR="00E0350B" w:rsidRDefault="00E0350B" w:rsidP="00E0350B">
      <w:pPr>
        <w:rPr>
          <w:sz w:val="20"/>
          <w:szCs w:val="20"/>
        </w:rPr>
      </w:pPr>
      <w:r>
        <w:rPr>
          <w:sz w:val="20"/>
          <w:szCs w:val="20"/>
        </w:rPr>
        <w:t xml:space="preserve">Across EU and UK Regulations it is a well-established and trusted mechanism, used in highly complex and stringent sectors such as medical devices and chemicals.  Its effectiveness stems from a number of features: </w:t>
      </w:r>
    </w:p>
    <w:p w14:paraId="6CD7DCDD" w14:textId="7CD80F9A" w:rsidR="00E0350B" w:rsidRDefault="00E0350B" w:rsidP="00FC58CE">
      <w:pPr>
        <w:pStyle w:val="ListParagraph"/>
        <w:numPr>
          <w:ilvl w:val="0"/>
          <w:numId w:val="27"/>
        </w:numPr>
        <w:rPr>
          <w:sz w:val="20"/>
          <w:szCs w:val="20"/>
        </w:rPr>
      </w:pPr>
      <w:r>
        <w:rPr>
          <w:sz w:val="20"/>
          <w:szCs w:val="20"/>
        </w:rPr>
        <w:t xml:space="preserve">Operators remain </w:t>
      </w:r>
      <w:r w:rsidRPr="00CD527F">
        <w:rPr>
          <w:b/>
          <w:bCs/>
          <w:sz w:val="20"/>
          <w:szCs w:val="20"/>
        </w:rPr>
        <w:t>legally responsible</w:t>
      </w:r>
      <w:r>
        <w:rPr>
          <w:sz w:val="20"/>
          <w:szCs w:val="20"/>
        </w:rPr>
        <w:t xml:space="preserve"> for the accuracy and completeness of their declarations.  A self-declaration is a formal, enforceable statement that carrie</w:t>
      </w:r>
      <w:r w:rsidR="00857FBA">
        <w:rPr>
          <w:sz w:val="20"/>
          <w:szCs w:val="20"/>
        </w:rPr>
        <w:t>s</w:t>
      </w:r>
      <w:r>
        <w:rPr>
          <w:sz w:val="20"/>
          <w:szCs w:val="20"/>
        </w:rPr>
        <w:t xml:space="preserve"> legal liability if found to be misleading or false.  </w:t>
      </w:r>
    </w:p>
    <w:p w14:paraId="0C605C92" w14:textId="49C5F4C0" w:rsidR="00730B4D" w:rsidRDefault="00730B4D" w:rsidP="00FC58CE">
      <w:pPr>
        <w:pStyle w:val="ListParagraph"/>
        <w:numPr>
          <w:ilvl w:val="0"/>
          <w:numId w:val="27"/>
        </w:numPr>
        <w:rPr>
          <w:sz w:val="20"/>
          <w:szCs w:val="20"/>
        </w:rPr>
      </w:pPr>
      <w:r>
        <w:rPr>
          <w:sz w:val="20"/>
          <w:szCs w:val="20"/>
        </w:rPr>
        <w:t xml:space="preserve">Competent authorities </w:t>
      </w:r>
      <w:r w:rsidRPr="00730B4D">
        <w:rPr>
          <w:b/>
          <w:bCs/>
          <w:sz w:val="20"/>
          <w:szCs w:val="20"/>
        </w:rPr>
        <w:t xml:space="preserve">retain powers </w:t>
      </w:r>
      <w:r>
        <w:rPr>
          <w:sz w:val="20"/>
          <w:szCs w:val="20"/>
        </w:rPr>
        <w:t xml:space="preserve">to inspect facilities, request documentation, conduct market surveillance and impose sanctions where non-compliance is identified.  These powers ensure that self-declaration operates within a wider system of active regulatory oversight.  </w:t>
      </w:r>
    </w:p>
    <w:p w14:paraId="43D75041" w14:textId="733F0E6E" w:rsidR="00730B4D" w:rsidRDefault="00D3579C" w:rsidP="00FC58CE">
      <w:pPr>
        <w:pStyle w:val="ListParagraph"/>
        <w:numPr>
          <w:ilvl w:val="0"/>
          <w:numId w:val="27"/>
        </w:numPr>
        <w:rPr>
          <w:sz w:val="20"/>
          <w:szCs w:val="20"/>
        </w:rPr>
      </w:pPr>
      <w:r>
        <w:rPr>
          <w:sz w:val="20"/>
          <w:szCs w:val="20"/>
        </w:rPr>
        <w:t xml:space="preserve">Third-party certification is reserved for </w:t>
      </w:r>
      <w:r w:rsidRPr="00D3579C">
        <w:rPr>
          <w:b/>
          <w:bCs/>
          <w:sz w:val="20"/>
          <w:szCs w:val="20"/>
        </w:rPr>
        <w:t>high-risk categories</w:t>
      </w:r>
      <w:r>
        <w:rPr>
          <w:sz w:val="20"/>
          <w:szCs w:val="20"/>
        </w:rPr>
        <w:t xml:space="preserve"> ensuring that regulatory burdens are proportionate to the level of risk.  This tiered approach is central to EU product regulation and allows authorities to focus external audit requirements where they add the greatest value.  </w:t>
      </w:r>
    </w:p>
    <w:p w14:paraId="4DE72B03" w14:textId="02AD34CE" w:rsidR="00D3579C" w:rsidRDefault="0086568E" w:rsidP="00FC58CE">
      <w:pPr>
        <w:pStyle w:val="ListParagraph"/>
        <w:numPr>
          <w:ilvl w:val="0"/>
          <w:numId w:val="27"/>
        </w:numPr>
        <w:rPr>
          <w:sz w:val="20"/>
          <w:szCs w:val="20"/>
        </w:rPr>
      </w:pPr>
      <w:r>
        <w:rPr>
          <w:sz w:val="20"/>
          <w:szCs w:val="20"/>
        </w:rPr>
        <w:t xml:space="preserve">The requirement to maintain structured documentation, such as technical files (or in the case of the Regulation, risk management plans) creates a clear evidence trail.  This documentation enables enforcement bodies to verify whether the measures declared on paper are implemented in practice.  </w:t>
      </w:r>
    </w:p>
    <w:p w14:paraId="25E40795" w14:textId="3F94CB05" w:rsidR="00C30FCF" w:rsidRDefault="00250BC5" w:rsidP="00C30FCF">
      <w:pPr>
        <w:rPr>
          <w:sz w:val="20"/>
          <w:szCs w:val="20"/>
        </w:rPr>
      </w:pPr>
      <w:r>
        <w:rPr>
          <w:sz w:val="20"/>
          <w:szCs w:val="20"/>
        </w:rPr>
        <w:t xml:space="preserve">The Regulation on preventing plastic pellet loss adopts the same logic.  It enables self-declaration for lower risk or smaller operators, while mandating independent third-party certification for larger operators handling larger volumes of pellets.  This mirrors established EU regulatory practice: a proportionate framework that combines self-declaration, documented responsibilities and strong enforcement powers to achieve high standards of environmental protection.  </w:t>
      </w:r>
    </w:p>
    <w:p w14:paraId="3040EA7F" w14:textId="443352FA" w:rsidR="00E0350B" w:rsidRDefault="00C30FCF" w:rsidP="00E0350B">
      <w:pPr>
        <w:rPr>
          <w:sz w:val="20"/>
          <w:szCs w:val="20"/>
        </w:rPr>
      </w:pPr>
      <w:r>
        <w:rPr>
          <w:sz w:val="20"/>
          <w:szCs w:val="20"/>
        </w:rPr>
        <w:t xml:space="preserve">OSPAR recommends universal third-party certification, whereas the Regulation introduces a hybrid system combining self-declaration for lower risk and smaller operators and </w:t>
      </w:r>
      <w:r w:rsidR="00A335B9" w:rsidRPr="00A335B9">
        <w:rPr>
          <w:sz w:val="20"/>
          <w:szCs w:val="20"/>
        </w:rPr>
        <w:t xml:space="preserve">mandatory certification for installations handling 1,500 tonnes or more a year.  </w:t>
      </w:r>
    </w:p>
    <w:p w14:paraId="0FBF8151" w14:textId="77777777" w:rsidR="00C30FCF" w:rsidRDefault="00C30FCF" w:rsidP="00E0350B">
      <w:pPr>
        <w:rPr>
          <w:sz w:val="20"/>
          <w:szCs w:val="20"/>
        </w:rPr>
      </w:pPr>
    </w:p>
    <w:p w14:paraId="246CE692" w14:textId="77777777" w:rsidR="00224238" w:rsidRDefault="00224238" w:rsidP="00E0350B">
      <w:pPr>
        <w:rPr>
          <w:sz w:val="20"/>
          <w:szCs w:val="20"/>
        </w:rPr>
      </w:pPr>
    </w:p>
    <w:p w14:paraId="6EEDC39E" w14:textId="47956DBC" w:rsidR="00C30FCF" w:rsidRDefault="00C30FCF" w:rsidP="00C30FCF">
      <w:pPr>
        <w:pStyle w:val="Heading02"/>
      </w:pPr>
      <w:bookmarkStart w:id="26" w:name="_Toc225594994"/>
      <w:r>
        <w:lastRenderedPageBreak/>
        <w:t>Permits</w:t>
      </w:r>
      <w:bookmarkEnd w:id="26"/>
      <w:r>
        <w:t xml:space="preserve"> </w:t>
      </w:r>
    </w:p>
    <w:p w14:paraId="4570C64E" w14:textId="732D7FDB" w:rsidR="00E0350B" w:rsidRDefault="00E7774F" w:rsidP="00C30FCF">
      <w:pPr>
        <w:rPr>
          <w:sz w:val="20"/>
          <w:szCs w:val="20"/>
        </w:rPr>
      </w:pPr>
      <w:r>
        <w:rPr>
          <w:sz w:val="20"/>
          <w:szCs w:val="20"/>
        </w:rPr>
        <w:t xml:space="preserve">The Regulation allows member States to use environmental permits as an alternative route to demonstrate compliance, (Article 7).  Under this approach economic operators can be exempt from certification and some self-declaration requirements if the installation is operated under an environmental permit that already includes all the controls needed to ensure compliance with Annex I of the Regulation.  </w:t>
      </w:r>
    </w:p>
    <w:p w14:paraId="360A6005" w14:textId="50D05FEA" w:rsidR="00A335B9" w:rsidRDefault="00A335B9" w:rsidP="00C30FCF">
      <w:pPr>
        <w:rPr>
          <w:sz w:val="20"/>
          <w:szCs w:val="20"/>
        </w:rPr>
      </w:pPr>
      <w:r w:rsidRPr="00A335B9">
        <w:rPr>
          <w:sz w:val="20"/>
          <w:szCs w:val="20"/>
        </w:rPr>
        <w:t>To qualify for the exemption, a permit must be granted or updated only after the competent authority has verified that the installation complies with all applicable Annex I requirements, including prevention measures, containment systems, clean-up procedures and risk assessments. The operator must also notify the permitting authority of its risk management plan, and any updates, every three years for large enterprises, four years for medium-sized enterprises and five years for micro and small enterprises (Article 7(1)(b)).</w:t>
      </w:r>
      <w:r>
        <w:rPr>
          <w:sz w:val="20"/>
          <w:szCs w:val="20"/>
        </w:rPr>
        <w:t xml:space="preserve"> </w:t>
      </w:r>
      <w:r w:rsidRPr="00A335B9">
        <w:rPr>
          <w:sz w:val="20"/>
          <w:szCs w:val="20"/>
        </w:rPr>
        <w:t xml:space="preserve"> In addition, the installation must be subject to regular inspections, including site visits, at intervals equivalent to those required under Articles 5(2) and 6(1) to (3) (Article 7(1)(d)).</w:t>
      </w:r>
    </w:p>
    <w:p w14:paraId="0944599E" w14:textId="1EE191F6" w:rsidR="00E7774F" w:rsidRDefault="00E7774F" w:rsidP="00C30FCF">
      <w:pPr>
        <w:rPr>
          <w:sz w:val="20"/>
          <w:szCs w:val="20"/>
        </w:rPr>
      </w:pPr>
      <w:r>
        <w:rPr>
          <w:sz w:val="20"/>
          <w:szCs w:val="20"/>
        </w:rPr>
        <w:t xml:space="preserve">It is important to note that even when a permit replaces certification, the economic operator remains subject to regular site </w:t>
      </w:r>
      <w:r w:rsidR="00FD4A3C">
        <w:rPr>
          <w:sz w:val="20"/>
          <w:szCs w:val="20"/>
        </w:rPr>
        <w:t>inspections</w:t>
      </w:r>
      <w:r>
        <w:rPr>
          <w:sz w:val="20"/>
          <w:szCs w:val="20"/>
        </w:rPr>
        <w:t xml:space="preserve">, environmental compliance checks and verification of risk management plans.  </w:t>
      </w:r>
    </w:p>
    <w:p w14:paraId="0C7C6915" w14:textId="23EA7656" w:rsidR="00FD4A3C" w:rsidRDefault="001465F9" w:rsidP="00C30FCF">
      <w:pPr>
        <w:rPr>
          <w:sz w:val="20"/>
          <w:szCs w:val="20"/>
        </w:rPr>
      </w:pPr>
      <w:r w:rsidRPr="001465F9">
        <w:rPr>
          <w:sz w:val="20"/>
          <w:szCs w:val="20"/>
        </w:rPr>
        <w:t xml:space="preserve">Suspension of part or all of the installation is available only where the infringement poses an immediate danger to human health, threatens an immediate significant adverse effect on the environment, or leads to a significant loss (Article 15(2)), using the powers conferred by Article 16.  </w:t>
      </w:r>
      <w:r w:rsidR="00FD4A3C">
        <w:rPr>
          <w:sz w:val="20"/>
          <w:szCs w:val="20"/>
        </w:rPr>
        <w:t xml:space="preserve">This use of permits shifts the compliance assurance from independent certifiers to public environmental authorities.  </w:t>
      </w:r>
    </w:p>
    <w:p w14:paraId="6F8B32C7" w14:textId="77777777" w:rsidR="002B5CEF" w:rsidRDefault="002B5CEF" w:rsidP="00C30FCF">
      <w:pPr>
        <w:rPr>
          <w:sz w:val="20"/>
          <w:szCs w:val="20"/>
        </w:rPr>
      </w:pPr>
    </w:p>
    <w:p w14:paraId="7E6987E7" w14:textId="02E9BD16" w:rsidR="00FD4A3C" w:rsidRPr="00872DC1" w:rsidRDefault="00FD4A3C" w:rsidP="00FD4A3C">
      <w:pPr>
        <w:pStyle w:val="heading03"/>
      </w:pPr>
      <w:bookmarkStart w:id="27" w:name="_Toc225594995"/>
      <w:r>
        <w:t>OSPAR Recommendation and permits</w:t>
      </w:r>
      <w:bookmarkEnd w:id="27"/>
      <w:r>
        <w:t xml:space="preserve"> </w:t>
      </w:r>
    </w:p>
    <w:p w14:paraId="5D38139D" w14:textId="77777777" w:rsidR="00BA59DD" w:rsidRDefault="00FD4A3C" w:rsidP="00C30FCF">
      <w:pPr>
        <w:rPr>
          <w:sz w:val="20"/>
          <w:szCs w:val="20"/>
        </w:rPr>
      </w:pPr>
      <w:r>
        <w:rPr>
          <w:sz w:val="20"/>
          <w:szCs w:val="20"/>
        </w:rPr>
        <w:t xml:space="preserve">The use of permits diverges significantly from </w:t>
      </w:r>
      <w:proofErr w:type="spellStart"/>
      <w:r w:rsidR="000E7FAC">
        <w:rPr>
          <w:sz w:val="20"/>
          <w:szCs w:val="20"/>
        </w:rPr>
        <w:t>OSPAR’s</w:t>
      </w:r>
      <w:proofErr w:type="spellEnd"/>
      <w:r>
        <w:rPr>
          <w:sz w:val="20"/>
          <w:szCs w:val="20"/>
        </w:rPr>
        <w:t xml:space="preserve"> recommended governance model.  OSPAR Recommendation 2021/06 specifies a certification scheme for all companies in the supply chain, the use of independent accredited auditors, publicly available certificates and a public register.  </w:t>
      </w:r>
    </w:p>
    <w:p w14:paraId="1455BD58" w14:textId="6BD01679" w:rsidR="00E7774F" w:rsidRDefault="00BA59DD" w:rsidP="00C30FCF">
      <w:pPr>
        <w:rPr>
          <w:sz w:val="20"/>
          <w:szCs w:val="20"/>
        </w:rPr>
      </w:pPr>
      <w:r w:rsidRPr="00BA59DD">
        <w:rPr>
          <w:sz w:val="20"/>
          <w:szCs w:val="20"/>
        </w:rPr>
        <w:t xml:space="preserve">OSPAR does </w:t>
      </w:r>
      <w:r>
        <w:rPr>
          <w:sz w:val="20"/>
          <w:szCs w:val="20"/>
        </w:rPr>
        <w:t>consider</w:t>
      </w:r>
      <w:r w:rsidRPr="00BA59DD">
        <w:rPr>
          <w:sz w:val="20"/>
          <w:szCs w:val="20"/>
        </w:rPr>
        <w:t xml:space="preserve"> verification by public authorities. </w:t>
      </w:r>
      <w:r>
        <w:rPr>
          <w:sz w:val="20"/>
          <w:szCs w:val="20"/>
        </w:rPr>
        <w:t xml:space="preserve"> </w:t>
      </w:r>
      <w:r w:rsidRPr="00BA59DD">
        <w:rPr>
          <w:sz w:val="20"/>
          <w:szCs w:val="20"/>
        </w:rPr>
        <w:t xml:space="preserve">Recommendation 3.2(h) asks for </w:t>
      </w:r>
      <w:r w:rsidRPr="00885B9A">
        <w:rPr>
          <w:i/>
          <w:iCs/>
          <w:sz w:val="20"/>
          <w:szCs w:val="20"/>
        </w:rPr>
        <w:t>'regular auditing of procedures and performance by independent and accredited external bodies or equivalent control by public authorities'</w:t>
      </w:r>
      <w:r w:rsidRPr="00BA59DD">
        <w:rPr>
          <w:sz w:val="20"/>
          <w:szCs w:val="20"/>
        </w:rPr>
        <w:t xml:space="preserve">. </w:t>
      </w:r>
      <w:r>
        <w:rPr>
          <w:sz w:val="20"/>
          <w:szCs w:val="20"/>
        </w:rPr>
        <w:t xml:space="preserve"> </w:t>
      </w:r>
      <w:r w:rsidRPr="00BA59DD">
        <w:rPr>
          <w:sz w:val="20"/>
          <w:szCs w:val="20"/>
        </w:rPr>
        <w:t xml:space="preserve">What it does not </w:t>
      </w:r>
      <w:r>
        <w:rPr>
          <w:sz w:val="20"/>
          <w:szCs w:val="20"/>
        </w:rPr>
        <w:t>consider</w:t>
      </w:r>
      <w:r w:rsidRPr="00BA59DD">
        <w:rPr>
          <w:sz w:val="20"/>
          <w:szCs w:val="20"/>
        </w:rPr>
        <w:t xml:space="preserve"> is verification sitting outside a certification scheme, with accreditation by a recognised public accreditation body (3.2(g)), certificates made publicly available (3.2(i)) and a public compliance register of certified companies (3.2(j)). </w:t>
      </w:r>
      <w:r>
        <w:rPr>
          <w:sz w:val="20"/>
          <w:szCs w:val="20"/>
        </w:rPr>
        <w:t xml:space="preserve"> </w:t>
      </w:r>
      <w:r w:rsidRPr="00BA59DD">
        <w:rPr>
          <w:sz w:val="20"/>
          <w:szCs w:val="20"/>
        </w:rPr>
        <w:t>The permit route delivers the verification without th</w:t>
      </w:r>
      <w:r>
        <w:rPr>
          <w:sz w:val="20"/>
          <w:szCs w:val="20"/>
        </w:rPr>
        <w:t xml:space="preserve">e additional requirements.  </w:t>
      </w:r>
    </w:p>
    <w:p w14:paraId="4E7FAC10" w14:textId="28FB10BA" w:rsidR="00B00EE1" w:rsidRDefault="00B00EE1" w:rsidP="00C30FCF">
      <w:pPr>
        <w:rPr>
          <w:sz w:val="20"/>
          <w:szCs w:val="20"/>
        </w:rPr>
      </w:pPr>
      <w:r>
        <w:rPr>
          <w:sz w:val="20"/>
          <w:szCs w:val="20"/>
        </w:rPr>
        <w:t xml:space="preserve">The OSPAR Recommendation separates regulatory oversight from certification.  </w:t>
      </w:r>
      <w:r w:rsidR="001465F9" w:rsidRPr="001465F9">
        <w:rPr>
          <w:sz w:val="20"/>
          <w:szCs w:val="20"/>
        </w:rPr>
        <w:t>The Guidelines envisage a scheme run by an independent Scheme Manager with a multi-stakeholder Governance Board, separate from the regulator (Guidelines 3.2.1(b)), with certification bodies verifying compliance</w:t>
      </w:r>
      <w:r w:rsidR="00BA59DD">
        <w:rPr>
          <w:sz w:val="20"/>
          <w:szCs w:val="20"/>
        </w:rPr>
        <w:t xml:space="preserve">. </w:t>
      </w:r>
      <w:r w:rsidR="001465F9" w:rsidRPr="001465F9">
        <w:rPr>
          <w:sz w:val="20"/>
          <w:szCs w:val="20"/>
        </w:rPr>
        <w:t xml:space="preserve"> </w:t>
      </w:r>
      <w:r>
        <w:rPr>
          <w:sz w:val="20"/>
          <w:szCs w:val="20"/>
        </w:rPr>
        <w:t xml:space="preserve">In contrast in the Regulation, regulators verify compliance under the permit route.  </w:t>
      </w:r>
      <w:r w:rsidR="00D67BA4" w:rsidRPr="00D67BA4">
        <w:rPr>
          <w:sz w:val="20"/>
          <w:szCs w:val="20"/>
        </w:rPr>
        <w:t xml:space="preserve">It is also relevant to acknowledge that the Regulation’s approach </w:t>
      </w:r>
      <w:r w:rsidR="00BC1DBD">
        <w:rPr>
          <w:sz w:val="20"/>
          <w:szCs w:val="20"/>
        </w:rPr>
        <w:t>may place</w:t>
      </w:r>
      <w:r w:rsidR="00D67BA4" w:rsidRPr="00D67BA4">
        <w:rPr>
          <w:sz w:val="20"/>
          <w:szCs w:val="20"/>
        </w:rPr>
        <w:t xml:space="preserve"> additional financial and administrative burdens on public authorities, </w:t>
      </w:r>
      <w:r w:rsidR="00BC1DBD">
        <w:rPr>
          <w:sz w:val="20"/>
          <w:szCs w:val="20"/>
        </w:rPr>
        <w:t>as</w:t>
      </w:r>
      <w:r w:rsidR="00D67BA4" w:rsidRPr="00D67BA4">
        <w:rPr>
          <w:sz w:val="20"/>
          <w:szCs w:val="20"/>
        </w:rPr>
        <w:t xml:space="preserve"> competent regulators are required to verify compliance directly, particularly under the permit</w:t>
      </w:r>
      <w:r w:rsidR="00D67BA4" w:rsidRPr="00D67BA4">
        <w:rPr>
          <w:rFonts w:ascii="Cambria Math" w:hAnsi="Cambria Math" w:cs="Cambria Math"/>
          <w:sz w:val="20"/>
          <w:szCs w:val="20"/>
        </w:rPr>
        <w:t>‑</w:t>
      </w:r>
      <w:r w:rsidR="00D67BA4" w:rsidRPr="00D67BA4">
        <w:rPr>
          <w:sz w:val="20"/>
          <w:szCs w:val="20"/>
        </w:rPr>
        <w:t>based compliance route.</w:t>
      </w:r>
    </w:p>
    <w:p w14:paraId="0976D560" w14:textId="79BFA220" w:rsidR="001465F9" w:rsidRDefault="001465F9" w:rsidP="00C30FCF">
      <w:pPr>
        <w:rPr>
          <w:sz w:val="20"/>
          <w:szCs w:val="20"/>
        </w:rPr>
      </w:pPr>
      <w:r w:rsidRPr="001465F9">
        <w:rPr>
          <w:sz w:val="20"/>
          <w:szCs w:val="20"/>
        </w:rPr>
        <w:t>Under Regulation (EU) 2025/2365, competent authorities are required to carry out inspections, review risk management plans, verify implementation and determine any necessary corrective actions. This moves a significant element of compliance assurance away from independent certification and into the regulatory system, increasing the demands placed on public authorities. Under the OSPAR model, verification costs are borne by operators through certification fees. Under the permit route, those costs are effectively absorbed by public authorities, which must also deliver the wider inspection programme required by Article 13(1). The result is a redistribution of cost rather than a reduction in it.</w:t>
      </w:r>
      <w:r>
        <w:rPr>
          <w:sz w:val="20"/>
          <w:szCs w:val="20"/>
        </w:rPr>
        <w:t xml:space="preserve"> </w:t>
      </w:r>
      <w:r w:rsidRPr="001465F9">
        <w:rPr>
          <w:sz w:val="20"/>
          <w:szCs w:val="20"/>
        </w:rPr>
        <w:t xml:space="preserve">The permit route also has advantages for operators.  An installation already subject to environmental permitting can meet its pellet obligations inside a framework it already operates, without running a parallel certification process or paying certifier fees.  In some </w:t>
      </w:r>
      <w:r w:rsidRPr="001465F9">
        <w:rPr>
          <w:sz w:val="20"/>
          <w:szCs w:val="20"/>
        </w:rPr>
        <w:lastRenderedPageBreak/>
        <w:t>Member States such installations also hold a certified environmental management system, in which case Article 8 offers a further route and the practical value of the permit exemption is smaller.  Article 25(1)(j) requires the Commission to assess the effect of the Article 7 exemptions by 17 December 2033.</w:t>
      </w:r>
    </w:p>
    <w:p w14:paraId="5F9CF3FB" w14:textId="043C233C" w:rsidR="00E7774F" w:rsidRDefault="00B00EE1" w:rsidP="00C30FCF">
      <w:pPr>
        <w:rPr>
          <w:sz w:val="20"/>
          <w:szCs w:val="20"/>
        </w:rPr>
      </w:pPr>
      <w:r>
        <w:rPr>
          <w:sz w:val="20"/>
          <w:szCs w:val="20"/>
        </w:rPr>
        <w:t xml:space="preserve">Furthermore, OSPAR emphasises supply-chain transparency as it includes a chain of </w:t>
      </w:r>
      <w:r w:rsidR="00114AF7">
        <w:rPr>
          <w:sz w:val="20"/>
          <w:szCs w:val="20"/>
        </w:rPr>
        <w:t>custody</w:t>
      </w:r>
      <w:r>
        <w:rPr>
          <w:sz w:val="20"/>
          <w:szCs w:val="20"/>
        </w:rPr>
        <w:t xml:space="preserve"> system, a public register and </w:t>
      </w:r>
      <w:r w:rsidR="00114AF7">
        <w:rPr>
          <w:sz w:val="20"/>
          <w:szCs w:val="20"/>
        </w:rPr>
        <w:t>third-party</w:t>
      </w:r>
      <w:r>
        <w:rPr>
          <w:sz w:val="20"/>
          <w:szCs w:val="20"/>
        </w:rPr>
        <w:t xml:space="preserve"> audits to ensure </w:t>
      </w:r>
      <w:r w:rsidR="00114AF7">
        <w:rPr>
          <w:sz w:val="20"/>
          <w:szCs w:val="20"/>
        </w:rPr>
        <w:t xml:space="preserve">traceability across the supply chain.  </w:t>
      </w:r>
    </w:p>
    <w:p w14:paraId="36D29EE6" w14:textId="77777777" w:rsidR="006F086C" w:rsidRDefault="006F086C" w:rsidP="00C30FCF">
      <w:pPr>
        <w:rPr>
          <w:sz w:val="20"/>
          <w:szCs w:val="20"/>
        </w:rPr>
      </w:pPr>
    </w:p>
    <w:p w14:paraId="1B06DA6C" w14:textId="3D53A4F3" w:rsidR="006F086C" w:rsidRPr="00872DC1" w:rsidRDefault="006F086C" w:rsidP="006F086C">
      <w:pPr>
        <w:pStyle w:val="heading03"/>
      </w:pPr>
      <w:bookmarkStart w:id="28" w:name="_Toc225594996"/>
      <w:r>
        <w:t>Why the Regulation includes a permit option</w:t>
      </w:r>
      <w:bookmarkEnd w:id="28"/>
    </w:p>
    <w:p w14:paraId="682DBDB0" w14:textId="356657EA" w:rsidR="006F086C" w:rsidRDefault="006F086C" w:rsidP="00C30FCF">
      <w:pPr>
        <w:rPr>
          <w:sz w:val="20"/>
          <w:szCs w:val="20"/>
        </w:rPr>
      </w:pPr>
      <w:r>
        <w:rPr>
          <w:sz w:val="20"/>
          <w:szCs w:val="20"/>
        </w:rPr>
        <w:t>The Regulation aims to recognise exi</w:t>
      </w:r>
      <w:r w:rsidR="00BA59DD">
        <w:rPr>
          <w:sz w:val="20"/>
          <w:szCs w:val="20"/>
        </w:rPr>
        <w:t>s</w:t>
      </w:r>
      <w:r>
        <w:rPr>
          <w:sz w:val="20"/>
          <w:szCs w:val="20"/>
        </w:rPr>
        <w:t>ting national environmental permitting systems, reduce administrative burden, allow flexibility across diverse Member State regulatory framework</w:t>
      </w:r>
      <w:r w:rsidR="001465F9">
        <w:rPr>
          <w:sz w:val="20"/>
          <w:szCs w:val="20"/>
        </w:rPr>
        <w:t>s</w:t>
      </w:r>
      <w:r>
        <w:rPr>
          <w:sz w:val="20"/>
          <w:szCs w:val="20"/>
        </w:rPr>
        <w:t xml:space="preserve"> and ensure proportionality (a core EU legal requirement).  </w:t>
      </w:r>
    </w:p>
    <w:p w14:paraId="6A797057" w14:textId="47BB9CB0" w:rsidR="006F086C" w:rsidRDefault="006F086C" w:rsidP="00C30FCF">
      <w:pPr>
        <w:rPr>
          <w:sz w:val="20"/>
          <w:szCs w:val="20"/>
        </w:rPr>
      </w:pPr>
      <w:r>
        <w:rPr>
          <w:sz w:val="20"/>
          <w:szCs w:val="20"/>
        </w:rPr>
        <w:t xml:space="preserve">In contrast, OSPAR </w:t>
      </w:r>
      <w:r w:rsidR="00BC1DBD">
        <w:rPr>
          <w:sz w:val="20"/>
          <w:szCs w:val="20"/>
        </w:rPr>
        <w:t xml:space="preserve">identified a failure in existing systems to prevent pellet pollution so has promoted </w:t>
      </w:r>
      <w:r>
        <w:rPr>
          <w:sz w:val="20"/>
          <w:szCs w:val="20"/>
        </w:rPr>
        <w:t>a new, harmonised regional framework, drive industry-wide certification adoption and provide clear</w:t>
      </w:r>
      <w:r w:rsidR="001465F9">
        <w:rPr>
          <w:sz w:val="20"/>
          <w:szCs w:val="20"/>
        </w:rPr>
        <w:t xml:space="preserve"> </w:t>
      </w:r>
      <w:r>
        <w:rPr>
          <w:sz w:val="20"/>
          <w:szCs w:val="20"/>
        </w:rPr>
        <w:t xml:space="preserve">supply chain consistency across Contracting Parties.    </w:t>
      </w:r>
    </w:p>
    <w:p w14:paraId="0D75E418" w14:textId="1959CFC3" w:rsidR="006F086C" w:rsidRDefault="006F086C" w:rsidP="00C30FCF">
      <w:pPr>
        <w:rPr>
          <w:sz w:val="20"/>
          <w:szCs w:val="20"/>
        </w:rPr>
      </w:pPr>
      <w:r>
        <w:rPr>
          <w:sz w:val="20"/>
          <w:szCs w:val="20"/>
        </w:rPr>
        <w:t xml:space="preserve">The permit system under the Regulation provides a flexible, regulator-led way of ensuring compliance with pellet-handling requirements.  It is a pragmatic tool that leverages existing environmental permitting structures, but it does not replicate </w:t>
      </w:r>
      <w:proofErr w:type="spellStart"/>
      <w:r>
        <w:rPr>
          <w:sz w:val="20"/>
          <w:szCs w:val="20"/>
        </w:rPr>
        <w:t>OSPAR’s</w:t>
      </w:r>
      <w:proofErr w:type="spellEnd"/>
      <w:r>
        <w:rPr>
          <w:sz w:val="20"/>
          <w:szCs w:val="20"/>
        </w:rPr>
        <w:t xml:space="preserve"> vision of </w:t>
      </w:r>
      <w:r w:rsidR="00BC1DBD">
        <w:rPr>
          <w:sz w:val="20"/>
          <w:szCs w:val="20"/>
        </w:rPr>
        <w:t>an</w:t>
      </w:r>
      <w:r>
        <w:rPr>
          <w:sz w:val="20"/>
          <w:szCs w:val="20"/>
        </w:rPr>
        <w:t xml:space="preserve"> independently audited, supply chain wide certification.  </w:t>
      </w:r>
    </w:p>
    <w:p w14:paraId="36B2EAB2" w14:textId="0376D78B" w:rsidR="00E0350B" w:rsidRDefault="006F086C" w:rsidP="00E0350B">
      <w:pPr>
        <w:rPr>
          <w:sz w:val="20"/>
          <w:szCs w:val="20"/>
        </w:rPr>
      </w:pPr>
      <w:r>
        <w:rPr>
          <w:sz w:val="20"/>
          <w:szCs w:val="20"/>
        </w:rPr>
        <w:t xml:space="preserve">While both systems aim to achieve zero pellet loss, the Regulation’s permit route represents a different governance model prioritising flexibility and </w:t>
      </w:r>
      <w:r w:rsidR="002E49BD">
        <w:rPr>
          <w:sz w:val="20"/>
          <w:szCs w:val="20"/>
        </w:rPr>
        <w:t xml:space="preserve">proportionality </w:t>
      </w:r>
      <w:r>
        <w:rPr>
          <w:sz w:val="20"/>
          <w:szCs w:val="20"/>
        </w:rPr>
        <w:t xml:space="preserve">over the third-party certification approach envisaged by OSPAR.  </w:t>
      </w:r>
    </w:p>
    <w:p w14:paraId="212BBC09" w14:textId="77777777" w:rsidR="00E0350B" w:rsidRDefault="00E0350B" w:rsidP="00D5097E">
      <w:pPr>
        <w:spacing w:before="120" w:after="120" w:line="276" w:lineRule="auto"/>
        <w:rPr>
          <w:sz w:val="20"/>
          <w:szCs w:val="20"/>
        </w:rPr>
      </w:pPr>
    </w:p>
    <w:p w14:paraId="1CF788DA" w14:textId="77777777" w:rsidR="0054543D" w:rsidRDefault="0054543D" w:rsidP="00D5097E">
      <w:pPr>
        <w:spacing w:before="120" w:after="120" w:line="276" w:lineRule="auto"/>
        <w:rPr>
          <w:sz w:val="20"/>
          <w:szCs w:val="20"/>
        </w:rPr>
      </w:pPr>
    </w:p>
    <w:p w14:paraId="759676C6" w14:textId="77777777" w:rsidR="00784FB2" w:rsidRDefault="00784FB2" w:rsidP="00D5097E">
      <w:pPr>
        <w:spacing w:before="120" w:after="120" w:line="276" w:lineRule="auto"/>
        <w:rPr>
          <w:sz w:val="20"/>
          <w:szCs w:val="20"/>
        </w:rPr>
      </w:pPr>
    </w:p>
    <w:p w14:paraId="5AC6DD29" w14:textId="77777777" w:rsidR="00784FB2" w:rsidRDefault="00784FB2" w:rsidP="00D5097E">
      <w:pPr>
        <w:spacing w:before="120" w:after="120" w:line="276" w:lineRule="auto"/>
        <w:rPr>
          <w:sz w:val="20"/>
          <w:szCs w:val="20"/>
        </w:rPr>
        <w:sectPr w:rsidR="00784FB2" w:rsidSect="00C31FFE">
          <w:headerReference w:type="default" r:id="rId15"/>
          <w:footerReference w:type="default" r:id="rId16"/>
          <w:headerReference w:type="first" r:id="rId17"/>
          <w:pgSz w:w="11906" w:h="16838"/>
          <w:pgMar w:top="1440" w:right="1440" w:bottom="1440" w:left="1440" w:header="708" w:footer="708" w:gutter="0"/>
          <w:cols w:space="708"/>
          <w:titlePg/>
          <w:docGrid w:linePitch="360"/>
        </w:sectPr>
      </w:pPr>
    </w:p>
    <w:p w14:paraId="42693FF1" w14:textId="5B937AFD" w:rsidR="00784FB2" w:rsidRDefault="006B016A" w:rsidP="006B016A">
      <w:pPr>
        <w:pStyle w:val="Heading02"/>
      </w:pPr>
      <w:bookmarkStart w:id="29" w:name="_Toc225594997"/>
      <w:r>
        <w:lastRenderedPageBreak/>
        <w:t>Assessment against the OSPAR Recommendation</w:t>
      </w:r>
      <w:bookmarkEnd w:id="29"/>
      <w:r>
        <w:t xml:space="preserve"> </w:t>
      </w:r>
    </w:p>
    <w:p w14:paraId="3FFB2758" w14:textId="796E6825" w:rsidR="00784FB2" w:rsidRDefault="00DB0EA0" w:rsidP="00D5097E">
      <w:pPr>
        <w:spacing w:before="120" w:after="120" w:line="276" w:lineRule="auto"/>
        <w:rPr>
          <w:sz w:val="20"/>
          <w:szCs w:val="20"/>
        </w:rPr>
      </w:pPr>
      <w:r>
        <w:rPr>
          <w:sz w:val="20"/>
          <w:szCs w:val="20"/>
        </w:rPr>
        <w:t xml:space="preserve">Key: </w:t>
      </w:r>
      <w:r>
        <w:rPr>
          <w:sz w:val="20"/>
          <w:szCs w:val="20"/>
        </w:rPr>
        <w:tab/>
      </w:r>
      <w:r>
        <w:rPr>
          <w:sz w:val="20"/>
          <w:szCs w:val="20"/>
        </w:rPr>
        <w:tab/>
      </w:r>
      <w:r w:rsidRPr="00DB0EA0">
        <w:rPr>
          <w:b/>
          <w:bCs/>
          <w:color w:val="EE0000"/>
          <w:sz w:val="20"/>
          <w:szCs w:val="20"/>
        </w:rPr>
        <w:t>RED</w:t>
      </w:r>
      <w:r>
        <w:rPr>
          <w:sz w:val="20"/>
          <w:szCs w:val="20"/>
        </w:rPr>
        <w:t xml:space="preserve">: Does not meet Recommendation </w:t>
      </w:r>
      <w:r>
        <w:rPr>
          <w:sz w:val="20"/>
          <w:szCs w:val="20"/>
        </w:rPr>
        <w:tab/>
      </w:r>
      <w:r>
        <w:rPr>
          <w:sz w:val="20"/>
          <w:szCs w:val="20"/>
        </w:rPr>
        <w:tab/>
      </w:r>
      <w:r>
        <w:rPr>
          <w:sz w:val="20"/>
          <w:szCs w:val="20"/>
        </w:rPr>
        <w:tab/>
      </w:r>
      <w:r w:rsidRPr="00DB0EA0">
        <w:rPr>
          <w:b/>
          <w:bCs/>
          <w:color w:val="FFC000"/>
          <w:sz w:val="20"/>
          <w:szCs w:val="20"/>
        </w:rPr>
        <w:t>Orange</w:t>
      </w:r>
      <w:r>
        <w:rPr>
          <w:sz w:val="20"/>
          <w:szCs w:val="20"/>
        </w:rPr>
        <w:t xml:space="preserve">: Fulfils some of the Recommendation </w:t>
      </w:r>
      <w:r>
        <w:rPr>
          <w:sz w:val="20"/>
          <w:szCs w:val="20"/>
        </w:rPr>
        <w:tab/>
      </w:r>
      <w:r>
        <w:rPr>
          <w:sz w:val="20"/>
          <w:szCs w:val="20"/>
        </w:rPr>
        <w:tab/>
      </w:r>
      <w:r>
        <w:rPr>
          <w:sz w:val="20"/>
          <w:szCs w:val="20"/>
        </w:rPr>
        <w:tab/>
      </w:r>
      <w:r w:rsidRPr="00DB0EA0">
        <w:rPr>
          <w:b/>
          <w:bCs/>
          <w:color w:val="00B050"/>
          <w:sz w:val="20"/>
          <w:szCs w:val="20"/>
        </w:rPr>
        <w:t>Green</w:t>
      </w:r>
      <w:r>
        <w:rPr>
          <w:sz w:val="20"/>
          <w:szCs w:val="20"/>
        </w:rPr>
        <w:t xml:space="preserve">: Fulfils Recommendation </w:t>
      </w:r>
    </w:p>
    <w:p w14:paraId="1249F6FF" w14:textId="77777777" w:rsidR="00784FB2" w:rsidRDefault="00784FB2" w:rsidP="00D5097E">
      <w:pPr>
        <w:spacing w:before="120" w:after="120" w:line="276" w:lineRule="auto"/>
        <w:rPr>
          <w:sz w:val="20"/>
          <w:szCs w:val="20"/>
        </w:rPr>
      </w:pPr>
    </w:p>
    <w:tbl>
      <w:tblPr>
        <w:tblStyle w:val="GridTable1Light-Accent1"/>
        <w:tblW w:w="0" w:type="auto"/>
        <w:tblLook w:val="04A0" w:firstRow="1" w:lastRow="0" w:firstColumn="1" w:lastColumn="0" w:noHBand="0" w:noVBand="1"/>
      </w:tblPr>
      <w:tblGrid>
        <w:gridCol w:w="2356"/>
        <w:gridCol w:w="4234"/>
        <w:gridCol w:w="1694"/>
        <w:gridCol w:w="7104"/>
      </w:tblGrid>
      <w:tr w:rsidR="00DB0EA0" w:rsidRPr="00136623" w14:paraId="48397C9F" w14:textId="77777777" w:rsidTr="007713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56" w:type="dxa"/>
            <w:vAlign w:val="center"/>
          </w:tcPr>
          <w:p w14:paraId="0197D26C" w14:textId="77777777" w:rsidR="00DB0EA0" w:rsidRPr="00136623" w:rsidRDefault="00DB0EA0" w:rsidP="00DE35B0">
            <w:pPr>
              <w:spacing w:before="120" w:after="120" w:line="276" w:lineRule="auto"/>
              <w:rPr>
                <w:sz w:val="20"/>
                <w:szCs w:val="20"/>
              </w:rPr>
            </w:pPr>
            <w:r w:rsidRPr="00136623">
              <w:rPr>
                <w:sz w:val="20"/>
                <w:szCs w:val="20"/>
              </w:rPr>
              <w:t xml:space="preserve">OSPAR </w:t>
            </w:r>
            <w:r>
              <w:rPr>
                <w:sz w:val="20"/>
                <w:szCs w:val="20"/>
              </w:rPr>
              <w:t>R</w:t>
            </w:r>
            <w:r w:rsidRPr="00136623">
              <w:rPr>
                <w:sz w:val="20"/>
                <w:szCs w:val="20"/>
              </w:rPr>
              <w:t xml:space="preserve">ecommendation </w:t>
            </w:r>
          </w:p>
        </w:tc>
        <w:tc>
          <w:tcPr>
            <w:tcW w:w="4234" w:type="dxa"/>
            <w:vAlign w:val="center"/>
          </w:tcPr>
          <w:p w14:paraId="387028BD" w14:textId="77777777" w:rsidR="00DB0EA0" w:rsidRPr="00136623" w:rsidRDefault="00DB0EA0" w:rsidP="00DE35B0">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OSPAR guidelines </w:t>
            </w:r>
          </w:p>
        </w:tc>
        <w:tc>
          <w:tcPr>
            <w:tcW w:w="1694" w:type="dxa"/>
            <w:vAlign w:val="center"/>
          </w:tcPr>
          <w:p w14:paraId="41D7BAA5" w14:textId="48FC33F1" w:rsidR="00DB0EA0" w:rsidRPr="00136623" w:rsidRDefault="00DB0EA0" w:rsidP="00DE35B0">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Meets </w:t>
            </w:r>
            <w:r w:rsidR="00F52A50">
              <w:rPr>
                <w:sz w:val="20"/>
                <w:szCs w:val="20"/>
              </w:rPr>
              <w:t>R</w:t>
            </w:r>
            <w:r>
              <w:rPr>
                <w:sz w:val="20"/>
                <w:szCs w:val="20"/>
              </w:rPr>
              <w:t>ecommendation</w:t>
            </w:r>
          </w:p>
        </w:tc>
        <w:tc>
          <w:tcPr>
            <w:tcW w:w="7104" w:type="dxa"/>
            <w:vAlign w:val="center"/>
          </w:tcPr>
          <w:p w14:paraId="0C202509" w14:textId="7E86FA07" w:rsidR="00DB0EA0" w:rsidRPr="00136623" w:rsidRDefault="00DB0EA0" w:rsidP="00DE35B0">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Comments </w:t>
            </w:r>
          </w:p>
        </w:tc>
      </w:tr>
      <w:tr w:rsidR="00204743" w14:paraId="59AC48C2" w14:textId="77777777" w:rsidTr="00DE35B0">
        <w:tc>
          <w:tcPr>
            <w:cnfStyle w:val="001000000000" w:firstRow="0" w:lastRow="0" w:firstColumn="1" w:lastColumn="0" w:oddVBand="0" w:evenVBand="0" w:oddHBand="0" w:evenHBand="0" w:firstRowFirstColumn="0" w:firstRowLastColumn="0" w:lastRowFirstColumn="0" w:lastRowLastColumn="0"/>
            <w:tcW w:w="15388" w:type="dxa"/>
            <w:gridSpan w:val="4"/>
            <w:shd w:val="clear" w:color="auto" w:fill="DEEAF6" w:themeFill="accent5" w:themeFillTint="33"/>
          </w:tcPr>
          <w:p w14:paraId="62F12F31" w14:textId="7FDF8AF8" w:rsidR="00204743" w:rsidRPr="007A557D" w:rsidRDefault="00EE5102" w:rsidP="009F1A48">
            <w:pPr>
              <w:spacing w:before="120" w:after="120" w:line="276" w:lineRule="auto"/>
              <w:rPr>
                <w:sz w:val="20"/>
                <w:szCs w:val="20"/>
              </w:rPr>
            </w:pPr>
            <w:r>
              <w:rPr>
                <w:sz w:val="20"/>
                <w:szCs w:val="20"/>
              </w:rPr>
              <w:t xml:space="preserve">Scope and purpose </w:t>
            </w:r>
          </w:p>
        </w:tc>
      </w:tr>
      <w:tr w:rsidR="00DE35B0" w14:paraId="05D3809D"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140E3171" w14:textId="369A6AE9" w:rsidR="00EE5102" w:rsidRDefault="00EE5102" w:rsidP="0042524C">
            <w:pPr>
              <w:spacing w:before="120" w:after="120" w:line="276" w:lineRule="auto"/>
              <w:rPr>
                <w:b w:val="0"/>
                <w:bCs w:val="0"/>
                <w:sz w:val="20"/>
                <w:szCs w:val="20"/>
              </w:rPr>
            </w:pPr>
            <w:r>
              <w:rPr>
                <w:b w:val="0"/>
                <w:bCs w:val="0"/>
                <w:sz w:val="20"/>
                <w:szCs w:val="20"/>
              </w:rPr>
              <w:t xml:space="preserve">Reduce marine litter </w:t>
            </w:r>
          </w:p>
        </w:tc>
        <w:tc>
          <w:tcPr>
            <w:tcW w:w="4234" w:type="dxa"/>
          </w:tcPr>
          <w:p w14:paraId="7F8B7B36" w14:textId="7670277F" w:rsidR="00EE5102" w:rsidRPr="00504834" w:rsidRDefault="00EE5102" w:rsidP="00EE5102">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w:t>
            </w:r>
            <w:r w:rsidRPr="00EE5102">
              <w:rPr>
                <w:sz w:val="20"/>
                <w:szCs w:val="20"/>
              </w:rPr>
              <w:t>educe marine litter (in particular, to prevent where</w:t>
            </w:r>
            <w:r>
              <w:rPr>
                <w:sz w:val="20"/>
                <w:szCs w:val="20"/>
              </w:rPr>
              <w:t xml:space="preserve"> </w:t>
            </w:r>
            <w:r w:rsidRPr="00EE5102">
              <w:rPr>
                <w:sz w:val="20"/>
                <w:szCs w:val="20"/>
              </w:rPr>
              <w:t>possible or to significantly reduce the loss of pellets into the marine environment) by promoting the timely</w:t>
            </w:r>
            <w:r>
              <w:rPr>
                <w:sz w:val="20"/>
                <w:szCs w:val="20"/>
              </w:rPr>
              <w:t xml:space="preserve"> </w:t>
            </w:r>
            <w:r w:rsidRPr="00EE5102">
              <w:rPr>
                <w:sz w:val="20"/>
                <w:szCs w:val="20"/>
              </w:rPr>
              <w:t>development and implementation of effective and consistent pellet loss prevention standards, developed</w:t>
            </w:r>
            <w:r>
              <w:rPr>
                <w:sz w:val="20"/>
                <w:szCs w:val="20"/>
              </w:rPr>
              <w:t xml:space="preserve"> </w:t>
            </w:r>
            <w:r w:rsidRPr="00EE5102">
              <w:rPr>
                <w:sz w:val="20"/>
                <w:szCs w:val="20"/>
              </w:rPr>
              <w:t>by standards bodies or equivalent, and certification schemes for the entire supply chain.</w:t>
            </w:r>
          </w:p>
        </w:tc>
        <w:tc>
          <w:tcPr>
            <w:tcW w:w="1694" w:type="dxa"/>
            <w:shd w:val="clear" w:color="auto" w:fill="00B050"/>
          </w:tcPr>
          <w:p w14:paraId="2502CB8B" w14:textId="77777777" w:rsidR="00EE5102" w:rsidRPr="00136623" w:rsidRDefault="00EE5102"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7DE65203" w14:textId="73AA9054" w:rsidR="00EE5102" w:rsidRDefault="00921FC7"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EU Regulation 2025/2365 lays down obligations for the handling of plastic pellets to prevent losses at all stages of the plastic pellet supply chain, with the </w:t>
            </w:r>
            <w:r w:rsidRPr="00921FC7">
              <w:rPr>
                <w:b/>
                <w:bCs/>
                <w:sz w:val="20"/>
                <w:szCs w:val="20"/>
              </w:rPr>
              <w:t>aim of achieving zero plastic pellet losses</w:t>
            </w:r>
            <w:r>
              <w:rPr>
                <w:sz w:val="20"/>
                <w:szCs w:val="20"/>
              </w:rPr>
              <w:t xml:space="preserve">, (Article 1(1): Subject matter and scope).  </w:t>
            </w:r>
          </w:p>
          <w:p w14:paraId="6FD202CC" w14:textId="24C42F6D" w:rsidR="00921FC7" w:rsidRDefault="00921FC7"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w:t>
            </w:r>
            <w:r w:rsidR="00732CEA">
              <w:rPr>
                <w:sz w:val="20"/>
                <w:szCs w:val="20"/>
              </w:rPr>
              <w:t>R</w:t>
            </w:r>
            <w:r>
              <w:rPr>
                <w:sz w:val="20"/>
                <w:szCs w:val="20"/>
              </w:rPr>
              <w:t>egulation adopts a full supply chain approach covering p</w:t>
            </w:r>
            <w:r w:rsidRPr="00921FC7">
              <w:rPr>
                <w:sz w:val="20"/>
                <w:szCs w:val="20"/>
              </w:rPr>
              <w:t>roduction</w:t>
            </w:r>
            <w:r>
              <w:rPr>
                <w:sz w:val="20"/>
                <w:szCs w:val="20"/>
              </w:rPr>
              <w:t>, r</w:t>
            </w:r>
            <w:r w:rsidRPr="00921FC7">
              <w:rPr>
                <w:sz w:val="20"/>
                <w:szCs w:val="20"/>
              </w:rPr>
              <w:t>ecycling</w:t>
            </w:r>
            <w:r>
              <w:rPr>
                <w:sz w:val="20"/>
                <w:szCs w:val="20"/>
              </w:rPr>
              <w:t>, c</w:t>
            </w:r>
            <w:r w:rsidRPr="00921FC7">
              <w:rPr>
                <w:sz w:val="20"/>
                <w:szCs w:val="20"/>
              </w:rPr>
              <w:t>ompounding</w:t>
            </w:r>
            <w:r>
              <w:rPr>
                <w:sz w:val="20"/>
                <w:szCs w:val="20"/>
              </w:rPr>
              <w:t>, c</w:t>
            </w:r>
            <w:r w:rsidRPr="00921FC7">
              <w:rPr>
                <w:sz w:val="20"/>
                <w:szCs w:val="20"/>
              </w:rPr>
              <w:t>onversion and processing</w:t>
            </w:r>
            <w:r>
              <w:rPr>
                <w:sz w:val="20"/>
                <w:szCs w:val="20"/>
              </w:rPr>
              <w:t>, s</w:t>
            </w:r>
            <w:r w:rsidRPr="00921FC7">
              <w:rPr>
                <w:sz w:val="20"/>
                <w:szCs w:val="20"/>
              </w:rPr>
              <w:t>torage</w:t>
            </w:r>
            <w:r>
              <w:rPr>
                <w:sz w:val="20"/>
                <w:szCs w:val="20"/>
              </w:rPr>
              <w:t>, p</w:t>
            </w:r>
            <w:r w:rsidRPr="00921FC7">
              <w:rPr>
                <w:sz w:val="20"/>
                <w:szCs w:val="20"/>
              </w:rPr>
              <w:t>ackaging</w:t>
            </w:r>
            <w:r>
              <w:rPr>
                <w:sz w:val="20"/>
                <w:szCs w:val="20"/>
              </w:rPr>
              <w:t>, l</w:t>
            </w:r>
            <w:r w:rsidRPr="00921FC7">
              <w:rPr>
                <w:sz w:val="20"/>
                <w:szCs w:val="20"/>
              </w:rPr>
              <w:t>oading/unloading</w:t>
            </w:r>
            <w:r>
              <w:rPr>
                <w:sz w:val="20"/>
                <w:szCs w:val="20"/>
              </w:rPr>
              <w:t>, r</w:t>
            </w:r>
            <w:r w:rsidRPr="00921FC7">
              <w:rPr>
                <w:sz w:val="20"/>
                <w:szCs w:val="20"/>
              </w:rPr>
              <w:t>oad, rail, inland waterway and sea transport</w:t>
            </w:r>
            <w:r w:rsidR="00DE35B0">
              <w:rPr>
                <w:sz w:val="20"/>
                <w:szCs w:val="20"/>
              </w:rPr>
              <w:t>.  It also states that ‘</w:t>
            </w:r>
            <w:r w:rsidR="00DE35B0" w:rsidRPr="00DE35B0">
              <w:rPr>
                <w:i/>
                <w:iCs/>
                <w:sz w:val="20"/>
                <w:szCs w:val="20"/>
              </w:rPr>
              <w:t>a supply chain approach is essential’</w:t>
            </w:r>
            <w:r w:rsidR="00DE35B0">
              <w:rPr>
                <w:sz w:val="20"/>
                <w:szCs w:val="20"/>
              </w:rPr>
              <w:t xml:space="preserve">, (Recital (5)).   </w:t>
            </w:r>
          </w:p>
          <w:p w14:paraId="5F2ED94C" w14:textId="77777777" w:rsidR="00DE35B0" w:rsidRDefault="00DE35B0"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OSPAR calls for standards developed by standards bodies or equivalent.  The Regulation meets this by:</w:t>
            </w:r>
          </w:p>
          <w:p w14:paraId="206D1ABD" w14:textId="5A7A3CEF" w:rsidR="00DE35B0" w:rsidRDefault="00DE35B0" w:rsidP="00FC58CE">
            <w:pPr>
              <w:pStyle w:val="ListParagraph"/>
              <w:numPr>
                <w:ilvl w:val="0"/>
                <w:numId w:val="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Article 18(1) mandates development of a standardised methodology in harmonised European standards (via Regulation 1025/2012</w:t>
            </w:r>
            <w:r w:rsidR="00732CEA">
              <w:rPr>
                <w:rStyle w:val="FootnoteReference"/>
                <w:sz w:val="20"/>
                <w:szCs w:val="20"/>
              </w:rPr>
              <w:footnoteReference w:id="4"/>
            </w:r>
            <w:r>
              <w:rPr>
                <w:sz w:val="20"/>
                <w:szCs w:val="20"/>
              </w:rPr>
              <w:t xml:space="preserve">) </w:t>
            </w:r>
          </w:p>
          <w:p w14:paraId="25384B4A" w14:textId="3C5D7147" w:rsidR="00DE35B0" w:rsidRDefault="00DE35B0" w:rsidP="00FC58CE">
            <w:pPr>
              <w:pStyle w:val="ListParagraph"/>
              <w:numPr>
                <w:ilvl w:val="0"/>
                <w:numId w:val="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Commission must request these standards by 17 December 2026 (Article 18(2))</w:t>
            </w:r>
          </w:p>
          <w:p w14:paraId="5D5B79D4" w14:textId="77777777" w:rsidR="00DE35B0" w:rsidRDefault="00DE35B0" w:rsidP="00FC58CE">
            <w:pPr>
              <w:pStyle w:val="ListParagraph"/>
              <w:numPr>
                <w:ilvl w:val="0"/>
                <w:numId w:val="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E35B0">
              <w:rPr>
                <w:sz w:val="20"/>
                <w:szCs w:val="20"/>
              </w:rPr>
              <w:t>If standards bodies do not deliver, the Commission must impose an EU-wide methodology directly (Art. 18(3))</w:t>
            </w:r>
          </w:p>
          <w:p w14:paraId="75B22350" w14:textId="77777777" w:rsidR="00DE35B0" w:rsidRDefault="00DE35B0" w:rsidP="00DE35B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Additionally, Annex I and Annex III provide detailed, prescriptive, consistent handling requirements.  </w:t>
            </w:r>
          </w:p>
          <w:p w14:paraId="45929736" w14:textId="4A0E5872" w:rsidR="00436D29" w:rsidRDefault="004C0578" w:rsidP="00DE35B0">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4C0578">
              <w:rPr>
                <w:sz w:val="20"/>
                <w:szCs w:val="20"/>
              </w:rPr>
              <w:t>OSPAR expects certification schemes, not voluntary programmes.  The Regulation supports this by requiring certification wherever an installation handled 1,500 tonnes or more in the previous calendar year.  Enterprise size then sets the deadline and the renewal cycle:</w:t>
            </w:r>
            <w:r>
              <w:rPr>
                <w:sz w:val="20"/>
                <w:szCs w:val="20"/>
              </w:rPr>
              <w:t xml:space="preserve"> </w:t>
            </w:r>
          </w:p>
          <w:p w14:paraId="09769FF5" w14:textId="77777777" w:rsidR="004C0578" w:rsidRPr="004C0578" w:rsidRDefault="004C0578" w:rsidP="004C0578">
            <w:pPr>
              <w:pStyle w:val="ListParagraph"/>
              <w:numPr>
                <w:ilvl w:val="0"/>
                <w:numId w:val="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4C0578">
              <w:rPr>
                <w:sz w:val="20"/>
                <w:szCs w:val="20"/>
              </w:rPr>
              <w:t>Large enterprises: by 17 December 2027, then every 3 years (Article 6(1))</w:t>
            </w:r>
          </w:p>
          <w:p w14:paraId="26E3241E" w14:textId="77777777" w:rsidR="004C0578" w:rsidRPr="004C0578" w:rsidRDefault="004C0578" w:rsidP="004C0578">
            <w:pPr>
              <w:pStyle w:val="ListParagraph"/>
              <w:numPr>
                <w:ilvl w:val="0"/>
                <w:numId w:val="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4C0578">
              <w:rPr>
                <w:sz w:val="20"/>
                <w:szCs w:val="20"/>
              </w:rPr>
              <w:t>Medium-sized enterprises: by 17 December 2028, then every 4 years (Article 6(2))</w:t>
            </w:r>
          </w:p>
          <w:p w14:paraId="72ED4985" w14:textId="77777777" w:rsidR="004C0578" w:rsidRPr="004C0578" w:rsidRDefault="004C0578" w:rsidP="004C0578">
            <w:pPr>
              <w:pStyle w:val="ListParagraph"/>
              <w:numPr>
                <w:ilvl w:val="0"/>
                <w:numId w:val="7"/>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4C0578">
              <w:rPr>
                <w:sz w:val="20"/>
                <w:szCs w:val="20"/>
              </w:rPr>
              <w:t>Small enterprises: first certificate by 17 December 2030, valid five years, after which they may revert to self-declaration under Article 5(2) unless they choose to renew (Article 6(3))</w:t>
            </w:r>
          </w:p>
          <w:p w14:paraId="3962AE7C" w14:textId="77777777" w:rsidR="00E84648" w:rsidRDefault="00E84648" w:rsidP="00E846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It also requires certifiers to be accredited third-party bodies (Article 9), carry out spot checks and notify competent authorities of certificates issued, withdrawn, suspended or changed.  </w:t>
            </w:r>
          </w:p>
          <w:p w14:paraId="77474FF6" w14:textId="70B931E4" w:rsidR="00E84648" w:rsidRPr="00E84648" w:rsidRDefault="00E84648" w:rsidP="00E846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84648">
              <w:rPr>
                <w:sz w:val="20"/>
                <w:szCs w:val="20"/>
              </w:rPr>
              <w:t>These certification requirements</w:t>
            </w:r>
            <w:r w:rsidR="00DE64B9">
              <w:rPr>
                <w:sz w:val="20"/>
                <w:szCs w:val="20"/>
              </w:rPr>
              <w:t xml:space="preserve"> and alternative compliance routes</w:t>
            </w:r>
            <w:r w:rsidRPr="00E84648">
              <w:rPr>
                <w:sz w:val="20"/>
                <w:szCs w:val="20"/>
              </w:rPr>
              <w:t xml:space="preserve"> apply across installations handling ≥1,500 tonnes/year, </w:t>
            </w:r>
            <w:r w:rsidR="004C0578" w:rsidRPr="004C0578">
              <w:rPr>
                <w:sz w:val="20"/>
                <w:szCs w:val="20"/>
              </w:rPr>
              <w:t>with lighter obligations below it.  Microenterprises are outside Article 6 whatever the volume handled.</w:t>
            </w:r>
            <w:r w:rsidR="004C0578">
              <w:rPr>
                <w:sz w:val="20"/>
                <w:szCs w:val="20"/>
              </w:rPr>
              <w:t xml:space="preserve"> </w:t>
            </w:r>
          </w:p>
        </w:tc>
      </w:tr>
      <w:tr w:rsidR="00EE5102" w14:paraId="230FDC99"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631575BC" w14:textId="61CF9753" w:rsidR="00EE5102" w:rsidRDefault="00EE5102" w:rsidP="0042524C">
            <w:pPr>
              <w:spacing w:before="120" w:after="120" w:line="276" w:lineRule="auto"/>
              <w:rPr>
                <w:b w:val="0"/>
                <w:bCs w:val="0"/>
                <w:sz w:val="20"/>
                <w:szCs w:val="20"/>
              </w:rPr>
            </w:pPr>
            <w:r>
              <w:rPr>
                <w:b w:val="0"/>
                <w:bCs w:val="0"/>
                <w:sz w:val="20"/>
                <w:szCs w:val="20"/>
              </w:rPr>
              <w:lastRenderedPageBreak/>
              <w:t xml:space="preserve">Chain of custody system </w:t>
            </w:r>
          </w:p>
        </w:tc>
        <w:tc>
          <w:tcPr>
            <w:tcW w:w="4234" w:type="dxa"/>
          </w:tcPr>
          <w:p w14:paraId="495294EC" w14:textId="3CB1A26A" w:rsidR="00EE5102" w:rsidRDefault="00EE5102" w:rsidP="00EE5102">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Certification schemes should facilitate a chain of custody system </w:t>
            </w:r>
            <w:r w:rsidRPr="00EE5102">
              <w:rPr>
                <w:sz w:val="20"/>
                <w:szCs w:val="20"/>
              </w:rPr>
              <w:t xml:space="preserve">to ensure effective communication of compliance with standardised best practice to provide a mechanism by which suppliers and buyers of pellets as well as plastic products (e.g. retailers or brand-owners) could </w:t>
            </w:r>
            <w:r w:rsidRPr="00EE5102">
              <w:rPr>
                <w:sz w:val="20"/>
                <w:szCs w:val="20"/>
              </w:rPr>
              <w:lastRenderedPageBreak/>
              <w:t>be assured that their supply chain is handling plastic pellets responsibly and effectively preventing their loss into the environment.</w:t>
            </w:r>
          </w:p>
        </w:tc>
        <w:tc>
          <w:tcPr>
            <w:tcW w:w="1694" w:type="dxa"/>
            <w:shd w:val="clear" w:color="auto" w:fill="FFC000"/>
          </w:tcPr>
          <w:p w14:paraId="00280398" w14:textId="77777777" w:rsidR="00EE5102" w:rsidRPr="00136623" w:rsidRDefault="00EE5102"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53E36264" w14:textId="77777777" w:rsidR="00E8696F" w:rsidRDefault="00E8696F"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8696F">
              <w:rPr>
                <w:sz w:val="20"/>
                <w:szCs w:val="20"/>
              </w:rPr>
              <w:t>The regulation clearly establishes mandatory certification for installations handling ≥1,500 tonnes/year</w:t>
            </w:r>
            <w:r>
              <w:rPr>
                <w:sz w:val="20"/>
                <w:szCs w:val="20"/>
              </w:rPr>
              <w:t xml:space="preserve">.  </w:t>
            </w:r>
          </w:p>
          <w:p w14:paraId="5FCD3149" w14:textId="77777777" w:rsidR="00EE5102" w:rsidRDefault="00E8696F"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8696F">
              <w:rPr>
                <w:sz w:val="20"/>
                <w:szCs w:val="20"/>
              </w:rPr>
              <w:t>Certification must be conducted by independent, accredited certifiers and is subject to spot checks and notification to authorities</w:t>
            </w:r>
            <w:r>
              <w:rPr>
                <w:sz w:val="20"/>
                <w:szCs w:val="20"/>
              </w:rPr>
              <w:t xml:space="preserve">, (Articles 6 and 9).  </w:t>
            </w:r>
          </w:p>
          <w:p w14:paraId="273820EE" w14:textId="77777777" w:rsidR="00E8696F" w:rsidRDefault="00E8696F"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 chain-of-custody system typically requires: </w:t>
            </w:r>
          </w:p>
          <w:p w14:paraId="619BF079" w14:textId="77777777" w:rsidR="00E8696F" w:rsidRDefault="00E8696F" w:rsidP="00FC58CE">
            <w:pPr>
              <w:pStyle w:val="ListParagraph"/>
              <w:numPr>
                <w:ilvl w:val="0"/>
                <w:numId w:val="8"/>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Traceability of materials across each transfer point </w:t>
            </w:r>
          </w:p>
          <w:p w14:paraId="7A4DCDAE" w14:textId="77777777" w:rsidR="00E8696F" w:rsidRDefault="00E8696F" w:rsidP="00FC58CE">
            <w:pPr>
              <w:pStyle w:val="ListParagraph"/>
              <w:numPr>
                <w:ilvl w:val="0"/>
                <w:numId w:val="8"/>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 mechanism for down-stream actors (e.g. buyers of pellets, converters, retailers etc.) to verify upstream compliance </w:t>
            </w:r>
          </w:p>
          <w:p w14:paraId="6C4B1561" w14:textId="77777777" w:rsidR="00E8696F" w:rsidRDefault="00E8696F" w:rsidP="00FC58CE">
            <w:pPr>
              <w:pStyle w:val="ListParagraph"/>
              <w:numPr>
                <w:ilvl w:val="0"/>
                <w:numId w:val="8"/>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Certification that is linked to the material as it moves through the supply chain</w:t>
            </w:r>
          </w:p>
          <w:p w14:paraId="29B5955F" w14:textId="77777777" w:rsidR="00E8696F" w:rsidRDefault="00E8696F" w:rsidP="00E8696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does include: </w:t>
            </w:r>
          </w:p>
          <w:p w14:paraId="3BD38BDE" w14:textId="77777777" w:rsidR="00120AED" w:rsidRDefault="00120AED" w:rsidP="00FC58CE">
            <w:pPr>
              <w:pStyle w:val="ListParagraph"/>
              <w:numPr>
                <w:ilvl w:val="0"/>
                <w:numId w:val="9"/>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20AED">
              <w:rPr>
                <w:b/>
                <w:bCs/>
                <w:sz w:val="20"/>
                <w:szCs w:val="20"/>
              </w:rPr>
              <w:t>Supply chain notifications and registrations</w:t>
            </w:r>
            <w:r>
              <w:rPr>
                <w:sz w:val="20"/>
                <w:szCs w:val="20"/>
              </w:rPr>
              <w:t xml:space="preserve">: economic operators must notify competent authorities of each installation, including tonnage thresholds (Article 3(2)) and carriers must register before transporting pellets (Article 3(2) and Article 4).  This provides a regulatory traceability layer but only for regulators, not for buyers or retailers.  </w:t>
            </w:r>
          </w:p>
          <w:p w14:paraId="56299348" w14:textId="14106140" w:rsidR="00120AED" w:rsidRDefault="00120AED" w:rsidP="00FC58CE">
            <w:pPr>
              <w:pStyle w:val="ListParagraph"/>
              <w:numPr>
                <w:ilvl w:val="0"/>
                <w:numId w:val="9"/>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20AED">
              <w:rPr>
                <w:b/>
                <w:bCs/>
                <w:sz w:val="20"/>
                <w:szCs w:val="20"/>
              </w:rPr>
              <w:t>Public access to compliance information</w:t>
            </w:r>
            <w:r>
              <w:rPr>
                <w:sz w:val="20"/>
                <w:szCs w:val="20"/>
              </w:rPr>
              <w:t xml:space="preserve">: Article 11 requires competent authorities to publish risk management plans, self-declarations of conformity, certificates and permits on a public, free-to-access website.  </w:t>
            </w:r>
            <w:r w:rsidRPr="00120AED">
              <w:rPr>
                <w:sz w:val="20"/>
                <w:szCs w:val="20"/>
              </w:rPr>
              <w:t>This enables some visibility for downstream actors to check whether a supplier has certified installations</w:t>
            </w:r>
            <w:r>
              <w:rPr>
                <w:sz w:val="20"/>
                <w:szCs w:val="20"/>
              </w:rPr>
              <w:t xml:space="preserve">.  </w:t>
            </w:r>
          </w:p>
          <w:p w14:paraId="794A2DCC" w14:textId="77777777" w:rsidR="00120AED" w:rsidRDefault="00120AED" w:rsidP="00120AED">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However, the Regulation does not create: </w:t>
            </w:r>
          </w:p>
          <w:p w14:paraId="7D76DBFB" w14:textId="77777777" w:rsidR="00120AED" w:rsidRDefault="00120AED" w:rsidP="00FC58CE">
            <w:pPr>
              <w:pStyle w:val="ListParagraph"/>
              <w:numPr>
                <w:ilvl w:val="0"/>
                <w:numId w:val="10"/>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 pellet-level chain-of-custody system (e.g. tagging, transfer documentation, chain-of-custody certificates) </w:t>
            </w:r>
          </w:p>
          <w:p w14:paraId="77098E08" w14:textId="43B0A6CA" w:rsidR="004C0578" w:rsidRPr="004C0578" w:rsidRDefault="004C0578" w:rsidP="004C0578">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r w:rsidRPr="004C0578">
              <w:rPr>
                <w:sz w:val="20"/>
                <w:szCs w:val="20"/>
              </w:rPr>
              <w:t>A formal mechanism for buyers, retailers, brand owners or plastic product manufacturers to verify compliance as part of procurement.  Article 11 gives indirect visibility of a named supplier but not of a chain: each competent authority publishes to its own national website, the Commission publishes only the list of those websites (Article 11(3)), the tonnage handled is withheld from publication (Article 11(2)), and no common data format or search function is required</w:t>
            </w:r>
          </w:p>
          <w:p w14:paraId="20C01187" w14:textId="23481C0F" w:rsidR="00120AED" w:rsidRDefault="00120AED" w:rsidP="00FC58CE">
            <w:pPr>
              <w:pStyle w:val="ListParagraph"/>
              <w:numPr>
                <w:ilvl w:val="0"/>
                <w:numId w:val="10"/>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A requirement for certified </w:t>
            </w:r>
            <w:r w:rsidR="00E06D9E">
              <w:rPr>
                <w:sz w:val="20"/>
                <w:szCs w:val="20"/>
              </w:rPr>
              <w:t>organisations</w:t>
            </w:r>
            <w:r>
              <w:rPr>
                <w:sz w:val="20"/>
                <w:szCs w:val="20"/>
              </w:rPr>
              <w:t xml:space="preserve"> to communicate certification to customers </w:t>
            </w:r>
          </w:p>
          <w:p w14:paraId="0B87CF6D" w14:textId="77777777" w:rsidR="00120AED" w:rsidRDefault="00120AED" w:rsidP="00FC58CE">
            <w:pPr>
              <w:pStyle w:val="ListParagraph"/>
              <w:numPr>
                <w:ilvl w:val="0"/>
                <w:numId w:val="10"/>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Certification that travels with the product (it applies to installations, not to shipments or batches of pellets) </w:t>
            </w:r>
          </w:p>
          <w:p w14:paraId="5614463E" w14:textId="77777777" w:rsidR="00120AED" w:rsidRDefault="00120AED" w:rsidP="00120AED">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creates transparency and regulatory oversight but does not establish a true chain of custody scheme as OSPAR intended.  </w:t>
            </w:r>
          </w:p>
          <w:p w14:paraId="69E2B247" w14:textId="77777777" w:rsidR="00A12378" w:rsidRDefault="00CD6A60" w:rsidP="00120AED">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EU Regulation provides indirect assurance through publicly accessible information (Article 11) rather than a system where retailers or brand owners can be assured that their supply chain is handling pellets responsibly.</w:t>
            </w:r>
            <w:r w:rsidR="00A12378">
              <w:rPr>
                <w:sz w:val="20"/>
                <w:szCs w:val="20"/>
              </w:rPr>
              <w:t xml:space="preserve">  </w:t>
            </w:r>
          </w:p>
          <w:p w14:paraId="5C4C7E7C" w14:textId="31ADA872" w:rsidR="00A12378" w:rsidRDefault="00A12378" w:rsidP="00FC58CE">
            <w:pPr>
              <w:pStyle w:val="ListParagraph"/>
              <w:numPr>
                <w:ilvl w:val="0"/>
                <w:numId w:val="11"/>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A12378">
              <w:rPr>
                <w:sz w:val="20"/>
                <w:szCs w:val="20"/>
              </w:rPr>
              <w:t>There is no mechanism requiring suppliers to communicate compliance to their customers</w:t>
            </w:r>
          </w:p>
          <w:p w14:paraId="612D641B" w14:textId="228B06BE" w:rsidR="00CD6A60" w:rsidRDefault="00A12378" w:rsidP="00FC58CE">
            <w:pPr>
              <w:pStyle w:val="ListParagraph"/>
              <w:numPr>
                <w:ilvl w:val="0"/>
                <w:numId w:val="11"/>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There is </w:t>
            </w:r>
            <w:r w:rsidRPr="00A12378">
              <w:rPr>
                <w:sz w:val="20"/>
                <w:szCs w:val="20"/>
              </w:rPr>
              <w:t>no certification mark, label or supply chain declaration that buyers could rely on</w:t>
            </w:r>
          </w:p>
          <w:p w14:paraId="35734EBF" w14:textId="7B0A4E74" w:rsidR="00A12378" w:rsidRDefault="00A12378" w:rsidP="00FC58CE">
            <w:pPr>
              <w:pStyle w:val="ListParagraph"/>
              <w:numPr>
                <w:ilvl w:val="0"/>
                <w:numId w:val="11"/>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Compliance is installation-based, not product-based</w:t>
            </w:r>
          </w:p>
          <w:p w14:paraId="33328963" w14:textId="77777777" w:rsidR="00A12378" w:rsidRDefault="00A12378" w:rsidP="00A1237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 retailer could check a supplier’s installation certificate online, but this is not a structured chain-of-custody assurance system.  </w:t>
            </w:r>
          </w:p>
          <w:p w14:paraId="7E342343" w14:textId="77777777" w:rsidR="00A12378" w:rsidRDefault="00F93F88" w:rsidP="00A1237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sets: </w:t>
            </w:r>
          </w:p>
          <w:p w14:paraId="36948014" w14:textId="73F55937" w:rsidR="00F93F88" w:rsidRDefault="00F93F88" w:rsidP="00FC58CE">
            <w:pPr>
              <w:pStyle w:val="ListParagraph"/>
              <w:numPr>
                <w:ilvl w:val="0"/>
                <w:numId w:val="12"/>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Standardised prevention, containment and clean-up practices in Annex I and Annex III </w:t>
            </w:r>
          </w:p>
          <w:p w14:paraId="6B64D6D5" w14:textId="0DBB99B0" w:rsidR="00F93F88" w:rsidRDefault="00F93F88" w:rsidP="00FC58CE">
            <w:pPr>
              <w:pStyle w:val="ListParagraph"/>
              <w:numPr>
                <w:ilvl w:val="0"/>
                <w:numId w:val="12"/>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Harmonised methodologies for loss estimation (Article 18) </w:t>
            </w:r>
          </w:p>
          <w:p w14:paraId="3E9A701D" w14:textId="00FC4353" w:rsidR="00F93F88" w:rsidRDefault="00F93F88" w:rsidP="00FC58CE">
            <w:pPr>
              <w:pStyle w:val="ListParagraph"/>
              <w:numPr>
                <w:ilvl w:val="0"/>
                <w:numId w:val="12"/>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Certification verifying conformity (Article 6) </w:t>
            </w:r>
          </w:p>
          <w:p w14:paraId="1A1E9A3D" w14:textId="586C11F7" w:rsidR="00F93F88" w:rsidRPr="00F93F88" w:rsidRDefault="00F93F88" w:rsidP="00F93F8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However, there is no obligation for forward communication of compliance and no requirement for supply chain documentation to accompany pellets.  </w:t>
            </w:r>
          </w:p>
        </w:tc>
      </w:tr>
      <w:tr w:rsidR="00EE5102" w14:paraId="3E657040"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3FB3D94B" w14:textId="4A23D697" w:rsidR="00EE5102" w:rsidRDefault="00EE5102" w:rsidP="0042524C">
            <w:pPr>
              <w:spacing w:before="120" w:after="120" w:line="276" w:lineRule="auto"/>
              <w:rPr>
                <w:b w:val="0"/>
                <w:bCs w:val="0"/>
                <w:sz w:val="20"/>
                <w:szCs w:val="20"/>
              </w:rPr>
            </w:pPr>
            <w:r>
              <w:rPr>
                <w:b w:val="0"/>
                <w:bCs w:val="0"/>
                <w:sz w:val="20"/>
                <w:szCs w:val="20"/>
              </w:rPr>
              <w:lastRenderedPageBreak/>
              <w:t xml:space="preserve">Apply to all involved in the supply chain </w:t>
            </w:r>
          </w:p>
        </w:tc>
        <w:tc>
          <w:tcPr>
            <w:tcW w:w="4234" w:type="dxa"/>
          </w:tcPr>
          <w:p w14:paraId="71A3E364" w14:textId="1EDDCA6C" w:rsidR="00EE5102" w:rsidRDefault="00EE5102" w:rsidP="00EE5102">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E5102">
              <w:rPr>
                <w:sz w:val="20"/>
                <w:szCs w:val="20"/>
              </w:rPr>
              <w:t xml:space="preserve">In order to achieve the overall purpose, pellet loss prevention processes should apply to all involved in the supply </w:t>
            </w:r>
            <w:r w:rsidR="00A51A77" w:rsidRPr="00EE5102">
              <w:rPr>
                <w:sz w:val="20"/>
                <w:szCs w:val="20"/>
              </w:rPr>
              <w:t>chain and</w:t>
            </w:r>
            <w:r w:rsidRPr="00EE5102">
              <w:rPr>
                <w:sz w:val="20"/>
                <w:szCs w:val="20"/>
              </w:rPr>
              <w:t xml:space="preserve"> should be certified according to the certification scheme.</w:t>
            </w:r>
            <w:r w:rsidR="00A51A77">
              <w:rPr>
                <w:sz w:val="20"/>
                <w:szCs w:val="20"/>
              </w:rPr>
              <w:t xml:space="preserve"> </w:t>
            </w:r>
            <w:r w:rsidRPr="00EE5102">
              <w:rPr>
                <w:sz w:val="20"/>
                <w:szCs w:val="20"/>
              </w:rPr>
              <w:t xml:space="preserve"> These processes should be accompanied by measures to encourage participation in the certification scheme.</w:t>
            </w:r>
            <w:r>
              <w:rPr>
                <w:sz w:val="20"/>
                <w:szCs w:val="20"/>
              </w:rPr>
              <w:t xml:space="preserve"> </w:t>
            </w:r>
          </w:p>
        </w:tc>
        <w:tc>
          <w:tcPr>
            <w:tcW w:w="1694" w:type="dxa"/>
            <w:shd w:val="clear" w:color="auto" w:fill="FFC000"/>
          </w:tcPr>
          <w:p w14:paraId="375768AB" w14:textId="77777777" w:rsidR="00EE5102" w:rsidRPr="00136623" w:rsidRDefault="00EE5102"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2373C336" w14:textId="77777777" w:rsidR="00EE5102" w:rsidRDefault="00121009"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21009">
              <w:rPr>
                <w:sz w:val="20"/>
                <w:szCs w:val="20"/>
              </w:rPr>
              <w:t>Based on the requirements in OSPAR Recommendation 2021/06, which state</w:t>
            </w:r>
            <w:r>
              <w:rPr>
                <w:sz w:val="20"/>
                <w:szCs w:val="20"/>
              </w:rPr>
              <w:t>s</w:t>
            </w:r>
            <w:r w:rsidRPr="00121009">
              <w:rPr>
                <w:sz w:val="20"/>
                <w:szCs w:val="20"/>
              </w:rPr>
              <w:t xml:space="preserve"> that pellet loss prevention processes should apply to all actors in the supply chain and should be certified according to a certification scheme, accompanied by measures to encourage participation, the Regulation (EU) 2025/2365 only partially meets this expectation.</w:t>
            </w:r>
          </w:p>
          <w:p w14:paraId="304D59A6" w14:textId="5F1E7C91" w:rsidR="00121009" w:rsidRDefault="00121009"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Regulation does apply pellet-loss prevention obligations across the entire supply chain</w:t>
            </w:r>
            <w:r w:rsidR="0060494B">
              <w:rPr>
                <w:sz w:val="20"/>
                <w:szCs w:val="20"/>
              </w:rPr>
              <w:t xml:space="preserve"> </w:t>
            </w:r>
            <w:r w:rsidR="007242E3">
              <w:rPr>
                <w:sz w:val="20"/>
                <w:szCs w:val="20"/>
              </w:rPr>
              <w:t xml:space="preserve">in the EU, </w:t>
            </w:r>
            <w:r w:rsidR="0060494B">
              <w:rPr>
                <w:sz w:val="20"/>
                <w:szCs w:val="20"/>
              </w:rPr>
              <w:t>handling over 5 tonnes per year</w:t>
            </w:r>
            <w:r>
              <w:rPr>
                <w:sz w:val="20"/>
                <w:szCs w:val="20"/>
              </w:rPr>
              <w:t xml:space="preserve">, from production and conversion to transport and storage, through comprehensive handling, prevention, containment and clean-up requirements (Article 1(1) and Recital 5), and establishes mandatory certification for installations </w:t>
            </w:r>
            <w:r w:rsidRPr="00121009">
              <w:rPr>
                <w:sz w:val="20"/>
                <w:szCs w:val="20"/>
              </w:rPr>
              <w:t>≥1,500 tonnes per year</w:t>
            </w:r>
            <w:r>
              <w:rPr>
                <w:sz w:val="20"/>
                <w:szCs w:val="20"/>
              </w:rPr>
              <w:t xml:space="preserve"> through an accredited, independent scheme (Article 6).  It also includes measures that indirectly encourage participation, such as public disclosure of certificates and risk management plans (Article 11) and support measures for micro- and small enterprises, including training, technical assistance and potential financial support (Article 17(2)).  </w:t>
            </w:r>
          </w:p>
          <w:p w14:paraId="5090B432" w14:textId="65E1724B" w:rsidR="00121009" w:rsidRDefault="00121009"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However, unlike </w:t>
            </w:r>
            <w:proofErr w:type="spellStart"/>
            <w:r>
              <w:rPr>
                <w:sz w:val="20"/>
                <w:szCs w:val="20"/>
              </w:rPr>
              <w:t>OSPAR’s</w:t>
            </w:r>
            <w:proofErr w:type="spellEnd"/>
            <w:r>
              <w:rPr>
                <w:sz w:val="20"/>
                <w:szCs w:val="20"/>
              </w:rPr>
              <w:t xml:space="preserve"> vision, certification is not required for all actors in the supply chain</w:t>
            </w:r>
            <w:r w:rsidR="004C0578">
              <w:rPr>
                <w:sz w:val="20"/>
                <w:szCs w:val="20"/>
              </w:rPr>
              <w:t xml:space="preserve">.  </w:t>
            </w:r>
            <w:r w:rsidR="004C0578" w:rsidRPr="004C0578">
              <w:rPr>
                <w:sz w:val="20"/>
                <w:szCs w:val="20"/>
              </w:rPr>
              <w:t xml:space="preserve">It is triggered by the installation rather than the company: any installation that handled 1,500 tonnes or more in the previous calendar year must be certified, whether it is operated by a small, medium-sized or large enterprise.  Every enterprise whose installations fall below that figure, of any size including large, relies on self-declaration under Article 5(2), and microenterprises remain on self-declaration whatever the volume handled.  </w:t>
            </w:r>
            <w:r>
              <w:rPr>
                <w:sz w:val="20"/>
                <w:szCs w:val="20"/>
              </w:rPr>
              <w:t xml:space="preserve">  </w:t>
            </w:r>
          </w:p>
          <w:p w14:paraId="2DB21C69" w14:textId="39D7286F" w:rsidR="00121009" w:rsidRDefault="0033593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Additionally, although the Regulation provides support to promote compliance, it does not establish a dedicated incentive scheme specifically designed to encourage voluntary uptake of certification across all supply-chain participants.  </w:t>
            </w:r>
          </w:p>
          <w:p w14:paraId="2F572CFB" w14:textId="7F6C0AF0" w:rsidR="0033593A" w:rsidRPr="00D042AF" w:rsidRDefault="0033593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Therefore, while the Regulation reflects the spirit of the OSPAR Recommendation, it does not fully fulfil the requirement that all supply-chain actors be certified nor does it explicitly introduce proactive encouragement measures beyond compliance support.  </w:t>
            </w:r>
          </w:p>
        </w:tc>
      </w:tr>
      <w:tr w:rsidR="0099066A" w14:paraId="4DE78586" w14:textId="77777777" w:rsidTr="00DE35B0">
        <w:tc>
          <w:tcPr>
            <w:cnfStyle w:val="001000000000" w:firstRow="0" w:lastRow="0" w:firstColumn="1" w:lastColumn="0" w:oddVBand="0" w:evenVBand="0" w:oddHBand="0" w:evenHBand="0" w:firstRowFirstColumn="0" w:firstRowLastColumn="0" w:lastRowFirstColumn="0" w:lastRowLastColumn="0"/>
            <w:tcW w:w="15388" w:type="dxa"/>
            <w:gridSpan w:val="4"/>
            <w:shd w:val="clear" w:color="auto" w:fill="DEEAF6" w:themeFill="accent5" w:themeFillTint="33"/>
          </w:tcPr>
          <w:p w14:paraId="2CB24400" w14:textId="63FF5539" w:rsidR="0099066A" w:rsidRPr="007A557D" w:rsidRDefault="0099066A" w:rsidP="0042524C">
            <w:pPr>
              <w:spacing w:before="120" w:after="120" w:line="276" w:lineRule="auto"/>
              <w:rPr>
                <w:sz w:val="20"/>
                <w:szCs w:val="20"/>
              </w:rPr>
            </w:pPr>
            <w:r>
              <w:rPr>
                <w:sz w:val="20"/>
                <w:szCs w:val="20"/>
              </w:rPr>
              <w:lastRenderedPageBreak/>
              <w:t xml:space="preserve">Key principles </w:t>
            </w:r>
          </w:p>
        </w:tc>
      </w:tr>
      <w:tr w:rsidR="00EE5102" w14:paraId="4C350FA0"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5F0C2E2B" w14:textId="7F32BDCA" w:rsidR="00EE5102" w:rsidRDefault="00A51A77" w:rsidP="00A51A77">
            <w:pPr>
              <w:spacing w:before="120" w:after="120" w:line="276" w:lineRule="auto"/>
              <w:rPr>
                <w:b w:val="0"/>
                <w:bCs w:val="0"/>
                <w:sz w:val="20"/>
                <w:szCs w:val="20"/>
              </w:rPr>
            </w:pPr>
            <w:r>
              <w:rPr>
                <w:b w:val="0"/>
                <w:bCs w:val="0"/>
                <w:sz w:val="20"/>
                <w:szCs w:val="20"/>
              </w:rPr>
              <w:t>A</w:t>
            </w:r>
            <w:r w:rsidRPr="00A51A77">
              <w:rPr>
                <w:b w:val="0"/>
                <w:bCs w:val="0"/>
                <w:sz w:val="20"/>
                <w:szCs w:val="20"/>
              </w:rPr>
              <w:t>chieve zero pellet loss across the plastic supply chain</w:t>
            </w:r>
          </w:p>
        </w:tc>
        <w:tc>
          <w:tcPr>
            <w:tcW w:w="4234" w:type="dxa"/>
          </w:tcPr>
          <w:p w14:paraId="71541DDB" w14:textId="787FEC72" w:rsidR="00EE5102" w:rsidRDefault="0033593A"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33593A">
              <w:rPr>
                <w:sz w:val="20"/>
                <w:szCs w:val="20"/>
              </w:rPr>
              <w:t>The overarching objective of the OSPAR Recommendation is to achieve zero pellet loss across the plastic supply chain</w:t>
            </w:r>
          </w:p>
        </w:tc>
        <w:tc>
          <w:tcPr>
            <w:tcW w:w="1694" w:type="dxa"/>
            <w:shd w:val="clear" w:color="auto" w:fill="00B050"/>
          </w:tcPr>
          <w:p w14:paraId="430A4C86" w14:textId="77777777" w:rsidR="00EE5102" w:rsidRPr="00136623" w:rsidRDefault="00EE5102"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7D269528" w14:textId="3AC4A413" w:rsidR="00EE5102" w:rsidRPr="00D042AF" w:rsidRDefault="0033593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33593A">
              <w:rPr>
                <w:sz w:val="20"/>
                <w:szCs w:val="20"/>
              </w:rPr>
              <w:t xml:space="preserve">The regulation explicitly sets the objective of achieving zero plastic pellet losses, matching the overarching aim of the OSPAR Recommendation. </w:t>
            </w:r>
            <w:r>
              <w:rPr>
                <w:sz w:val="20"/>
                <w:szCs w:val="20"/>
              </w:rPr>
              <w:t xml:space="preserve"> </w:t>
            </w:r>
            <w:r w:rsidRPr="0033593A">
              <w:rPr>
                <w:sz w:val="20"/>
                <w:szCs w:val="20"/>
              </w:rPr>
              <w:t xml:space="preserve">Article 1(1) states that the regulation’s purpose is to </w:t>
            </w:r>
            <w:r>
              <w:rPr>
                <w:sz w:val="20"/>
                <w:szCs w:val="20"/>
              </w:rPr>
              <w:t>‘</w:t>
            </w:r>
            <w:r w:rsidRPr="0033593A">
              <w:rPr>
                <w:i/>
                <w:iCs/>
                <w:sz w:val="20"/>
                <w:szCs w:val="20"/>
              </w:rPr>
              <w:t>prevent losses … with the aim of achieving zero plastic pellet losses’</w:t>
            </w:r>
            <w:r w:rsidRPr="0033593A">
              <w:rPr>
                <w:sz w:val="20"/>
                <w:szCs w:val="20"/>
              </w:rPr>
              <w:t xml:space="preserve">, meaning it fully aligns with </w:t>
            </w:r>
            <w:proofErr w:type="spellStart"/>
            <w:r w:rsidRPr="0033593A">
              <w:rPr>
                <w:sz w:val="20"/>
                <w:szCs w:val="20"/>
              </w:rPr>
              <w:t>OSPAR’s</w:t>
            </w:r>
            <w:proofErr w:type="spellEnd"/>
            <w:r w:rsidRPr="0033593A">
              <w:rPr>
                <w:sz w:val="20"/>
                <w:szCs w:val="20"/>
              </w:rPr>
              <w:t xml:space="preserve"> zero</w:t>
            </w:r>
            <w:r w:rsidRPr="0033593A">
              <w:rPr>
                <w:rFonts w:ascii="Cambria Math" w:hAnsi="Cambria Math" w:cs="Cambria Math"/>
                <w:sz w:val="20"/>
                <w:szCs w:val="20"/>
              </w:rPr>
              <w:t>‑</w:t>
            </w:r>
            <w:r w:rsidRPr="0033593A">
              <w:rPr>
                <w:sz w:val="20"/>
                <w:szCs w:val="20"/>
              </w:rPr>
              <w:t>loss objective</w:t>
            </w:r>
            <w:r>
              <w:rPr>
                <w:sz w:val="20"/>
                <w:szCs w:val="20"/>
              </w:rPr>
              <w:t xml:space="preserve">.  </w:t>
            </w:r>
          </w:p>
        </w:tc>
      </w:tr>
      <w:tr w:rsidR="0099066A" w14:paraId="0D301687"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6F93949E" w14:textId="7EC044A3" w:rsidR="0099066A" w:rsidRDefault="00A51A77" w:rsidP="0042524C">
            <w:pPr>
              <w:spacing w:before="120" w:after="120" w:line="276" w:lineRule="auto"/>
              <w:rPr>
                <w:b w:val="0"/>
                <w:bCs w:val="0"/>
                <w:sz w:val="20"/>
                <w:szCs w:val="20"/>
              </w:rPr>
            </w:pPr>
            <w:r>
              <w:rPr>
                <w:b w:val="0"/>
                <w:bCs w:val="0"/>
                <w:sz w:val="20"/>
                <w:szCs w:val="20"/>
              </w:rPr>
              <w:t xml:space="preserve">Priority given to preventative measures </w:t>
            </w:r>
          </w:p>
        </w:tc>
        <w:tc>
          <w:tcPr>
            <w:tcW w:w="4234" w:type="dxa"/>
          </w:tcPr>
          <w:p w14:paraId="0BB95F8C" w14:textId="3C8A9365" w:rsidR="0099066A" w:rsidRDefault="00A51A77" w:rsidP="00A51A77">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A51A77">
              <w:rPr>
                <w:sz w:val="20"/>
                <w:szCs w:val="20"/>
              </w:rPr>
              <w:t xml:space="preserve">riority should be given to preventive measures to </w:t>
            </w:r>
            <w:r w:rsidR="000E0D83">
              <w:rPr>
                <w:sz w:val="20"/>
                <w:szCs w:val="20"/>
              </w:rPr>
              <w:t>contain</w:t>
            </w:r>
            <w:r w:rsidRPr="00A51A77">
              <w:rPr>
                <w:sz w:val="20"/>
                <w:szCs w:val="20"/>
              </w:rPr>
              <w:t xml:space="preserve"> pellet loss over remedial measures to mitigate and clean-up pellet spillage</w:t>
            </w:r>
          </w:p>
        </w:tc>
        <w:tc>
          <w:tcPr>
            <w:tcW w:w="1694" w:type="dxa"/>
            <w:shd w:val="clear" w:color="auto" w:fill="00B050"/>
          </w:tcPr>
          <w:p w14:paraId="619331EF" w14:textId="77777777" w:rsidR="0099066A" w:rsidRPr="00136623" w:rsidRDefault="0099066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3449B60E" w14:textId="77777777" w:rsidR="0099066A" w:rsidRDefault="0033593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clearly reflects this OSPAR principle as it does more than simply acknowledge the importance of prevention, it formally embeds it as a legal priority.  </w:t>
            </w:r>
          </w:p>
          <w:p w14:paraId="167A6CF0" w14:textId="5570A23D" w:rsidR="0033593A" w:rsidRDefault="0033593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5(5) requires that all economic operators and carriers follow a strict hierarchy in their actions: first preventing spills, then containing any spills that do occur and only as a last step cleaning up losses.  </w:t>
            </w:r>
          </w:p>
          <w:p w14:paraId="66EF80E1" w14:textId="40B4B96D" w:rsidR="0033593A" w:rsidRPr="00D042AF" w:rsidRDefault="0033593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By legally obliging all actors in the supply chain to prioritise preventative measures above remedial ones, the Regulation fully aligns with </w:t>
            </w:r>
            <w:proofErr w:type="spellStart"/>
            <w:r>
              <w:rPr>
                <w:sz w:val="20"/>
                <w:szCs w:val="20"/>
              </w:rPr>
              <w:t>OSPAR’s</w:t>
            </w:r>
            <w:proofErr w:type="spellEnd"/>
            <w:r>
              <w:rPr>
                <w:sz w:val="20"/>
                <w:szCs w:val="20"/>
              </w:rPr>
              <w:t xml:space="preserve"> expectation that avoiding pellet loss should take precedence over later mitigation or clean-up efforts.  </w:t>
            </w:r>
          </w:p>
        </w:tc>
      </w:tr>
      <w:tr w:rsidR="0099066A" w14:paraId="52AE58B0"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10BA2AEC" w14:textId="494E2E4F" w:rsidR="0099066A" w:rsidRDefault="00A51A77" w:rsidP="0042524C">
            <w:pPr>
              <w:spacing w:before="120" w:after="120" w:line="276" w:lineRule="auto"/>
              <w:rPr>
                <w:b w:val="0"/>
                <w:bCs w:val="0"/>
                <w:sz w:val="20"/>
                <w:szCs w:val="20"/>
              </w:rPr>
            </w:pPr>
            <w:r>
              <w:rPr>
                <w:b w:val="0"/>
                <w:bCs w:val="0"/>
                <w:sz w:val="20"/>
                <w:szCs w:val="20"/>
              </w:rPr>
              <w:t xml:space="preserve">Policy measures </w:t>
            </w:r>
          </w:p>
        </w:tc>
        <w:tc>
          <w:tcPr>
            <w:tcW w:w="4234" w:type="dxa"/>
          </w:tcPr>
          <w:p w14:paraId="510D69C3" w14:textId="0CC94A10" w:rsidR="0099066A" w:rsidRDefault="00A51A77" w:rsidP="00EE5102">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w:t>
            </w:r>
            <w:r w:rsidRPr="00A51A77">
              <w:rPr>
                <w:sz w:val="20"/>
                <w:szCs w:val="20"/>
              </w:rPr>
              <w:t>ocus on prevention of spills at source</w:t>
            </w:r>
          </w:p>
        </w:tc>
        <w:tc>
          <w:tcPr>
            <w:tcW w:w="1694" w:type="dxa"/>
            <w:shd w:val="clear" w:color="auto" w:fill="00B050"/>
          </w:tcPr>
          <w:p w14:paraId="0A9F495E" w14:textId="77777777" w:rsidR="0099066A" w:rsidRPr="00136623" w:rsidRDefault="0099066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1BCE415D" w14:textId="0B26C66A" w:rsidR="0099066A" w:rsidRPr="00D042AF" w:rsidRDefault="00BE20D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BE20DA">
              <w:rPr>
                <w:sz w:val="20"/>
                <w:szCs w:val="20"/>
              </w:rPr>
              <w:t xml:space="preserve">The </w:t>
            </w:r>
            <w:r>
              <w:rPr>
                <w:sz w:val="20"/>
                <w:szCs w:val="20"/>
              </w:rPr>
              <w:t>R</w:t>
            </w:r>
            <w:r w:rsidRPr="00BE20DA">
              <w:rPr>
                <w:sz w:val="20"/>
                <w:szCs w:val="20"/>
              </w:rPr>
              <w:t xml:space="preserve">egulation supports </w:t>
            </w:r>
            <w:proofErr w:type="spellStart"/>
            <w:r w:rsidRPr="00BE20DA">
              <w:rPr>
                <w:sz w:val="20"/>
                <w:szCs w:val="20"/>
              </w:rPr>
              <w:t>OSPAR’s</w:t>
            </w:r>
            <w:proofErr w:type="spellEnd"/>
            <w:r w:rsidRPr="00BE20DA">
              <w:rPr>
                <w:sz w:val="20"/>
                <w:szCs w:val="20"/>
              </w:rPr>
              <w:t xml:space="preserve"> focus on preventing spills at source by requiring </w:t>
            </w:r>
            <w:r w:rsidR="00732CEA">
              <w:rPr>
                <w:sz w:val="20"/>
                <w:szCs w:val="20"/>
              </w:rPr>
              <w:t xml:space="preserve">economic </w:t>
            </w:r>
            <w:r w:rsidRPr="00BE20DA">
              <w:rPr>
                <w:sz w:val="20"/>
                <w:szCs w:val="20"/>
              </w:rPr>
              <w:t xml:space="preserve">operators to prioritise spill prevention as the first and most important action. </w:t>
            </w:r>
            <w:r>
              <w:rPr>
                <w:sz w:val="20"/>
                <w:szCs w:val="20"/>
              </w:rPr>
              <w:t xml:space="preserve"> </w:t>
            </w:r>
            <w:r w:rsidRPr="00BE20DA">
              <w:rPr>
                <w:sz w:val="20"/>
                <w:szCs w:val="20"/>
              </w:rPr>
              <w:t>Article 5(5) legally mandates that prevention must come before containment and clean</w:t>
            </w:r>
            <w:r w:rsidRPr="00BE20DA">
              <w:rPr>
                <w:rFonts w:ascii="Cambria Math" w:hAnsi="Cambria Math" w:cs="Cambria Math"/>
                <w:sz w:val="20"/>
                <w:szCs w:val="20"/>
              </w:rPr>
              <w:t>‑</w:t>
            </w:r>
            <w:r w:rsidRPr="00BE20DA">
              <w:rPr>
                <w:sz w:val="20"/>
                <w:szCs w:val="20"/>
              </w:rPr>
              <w:t xml:space="preserve">up, ensuring that efforts are directed at stopping pellet </w:t>
            </w:r>
            <w:r w:rsidRPr="00BE20DA">
              <w:rPr>
                <w:sz w:val="20"/>
                <w:szCs w:val="20"/>
              </w:rPr>
              <w:lastRenderedPageBreak/>
              <w:t>losses from occurring in the first place rather than relying on downstream mitigation.</w:t>
            </w:r>
          </w:p>
        </w:tc>
      </w:tr>
      <w:tr w:rsidR="0099066A" w14:paraId="0D62E061"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42A1DA88" w14:textId="39D11BCA" w:rsidR="0099066A" w:rsidRDefault="00A51A77" w:rsidP="0042524C">
            <w:pPr>
              <w:spacing w:before="120" w:after="120" w:line="276" w:lineRule="auto"/>
              <w:rPr>
                <w:b w:val="0"/>
                <w:bCs w:val="0"/>
                <w:sz w:val="20"/>
                <w:szCs w:val="20"/>
              </w:rPr>
            </w:pPr>
            <w:r w:rsidRPr="00A51A77">
              <w:rPr>
                <w:b w:val="0"/>
                <w:bCs w:val="0"/>
                <w:sz w:val="20"/>
                <w:szCs w:val="20"/>
              </w:rPr>
              <w:lastRenderedPageBreak/>
              <w:t>Priority orders of action for industry-wide best practice pellet handling</w:t>
            </w:r>
          </w:p>
        </w:tc>
        <w:tc>
          <w:tcPr>
            <w:tcW w:w="4234" w:type="dxa"/>
          </w:tcPr>
          <w:p w14:paraId="56497124" w14:textId="7D1C4C57" w:rsidR="0099066A" w:rsidRDefault="00A51A77" w:rsidP="00EE5102">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Prevention, containment and mitigations and clean-ups </w:t>
            </w:r>
          </w:p>
        </w:tc>
        <w:tc>
          <w:tcPr>
            <w:tcW w:w="1694" w:type="dxa"/>
            <w:shd w:val="clear" w:color="auto" w:fill="00B050"/>
          </w:tcPr>
          <w:p w14:paraId="5A8654D5" w14:textId="77777777" w:rsidR="0099066A" w:rsidRPr="00136623" w:rsidRDefault="0099066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3F40C974" w14:textId="14EAA79A" w:rsidR="0099066A" w:rsidRDefault="00BE20D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w:t>
            </w:r>
            <w:r w:rsidR="00224238">
              <w:rPr>
                <w:sz w:val="20"/>
                <w:szCs w:val="20"/>
              </w:rPr>
              <w:t>R</w:t>
            </w:r>
            <w:r>
              <w:rPr>
                <w:sz w:val="20"/>
                <w:szCs w:val="20"/>
              </w:rPr>
              <w:t xml:space="preserve">egulation strongly aligns with the Recommendation that industry-wide best practice for pellet handling must follow a clear priority order of actions, placing prevention at the top.  Article 5(5) of the Regulation establishes a mandatory hierarchy requiring all economic operators and carriers to first implement actions to prevent spills, then (only if prevention fails), carry out actions to contain spills and finally undertake clean-up actions as the last resort.  </w:t>
            </w:r>
          </w:p>
          <w:p w14:paraId="5B9B80CB" w14:textId="77777777" w:rsidR="00BE20DA" w:rsidRDefault="00BE20D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This legally enforced sequence mirrors </w:t>
            </w:r>
            <w:proofErr w:type="spellStart"/>
            <w:r>
              <w:rPr>
                <w:sz w:val="20"/>
                <w:szCs w:val="20"/>
              </w:rPr>
              <w:t>OSPAR’s</w:t>
            </w:r>
            <w:proofErr w:type="spellEnd"/>
            <w:r>
              <w:rPr>
                <w:sz w:val="20"/>
                <w:szCs w:val="20"/>
              </w:rPr>
              <w:t xml:space="preserve"> call for industry-wide best practice built around prioritising preventative measures, ensuring that efforts and resources focus on avoiding pellet loss at its source rather than depending on remedial interventions.  </w:t>
            </w:r>
          </w:p>
          <w:p w14:paraId="6E7158A7" w14:textId="4D55FB6F" w:rsidR="0055120A" w:rsidRPr="00D042AF" w:rsidRDefault="0055120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By embedding this priority order across the entire supply chain, the Regulation promotes consistent, proactive and early-stage risk management, driving more effective and harmonised pellet-handling practices throughout industry.   </w:t>
            </w:r>
          </w:p>
        </w:tc>
      </w:tr>
      <w:tr w:rsidR="0099066A" w14:paraId="3E2C1A12"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352B4E89" w14:textId="17250A12" w:rsidR="0099066A" w:rsidRDefault="00A51A77" w:rsidP="0042524C">
            <w:pPr>
              <w:spacing w:before="120" w:after="120" w:line="276" w:lineRule="auto"/>
              <w:rPr>
                <w:b w:val="0"/>
                <w:bCs w:val="0"/>
                <w:sz w:val="20"/>
                <w:szCs w:val="20"/>
              </w:rPr>
            </w:pPr>
            <w:r>
              <w:rPr>
                <w:b w:val="0"/>
                <w:bCs w:val="0"/>
                <w:sz w:val="20"/>
                <w:szCs w:val="20"/>
              </w:rPr>
              <w:t xml:space="preserve">Reporting and transparency </w:t>
            </w:r>
          </w:p>
        </w:tc>
        <w:tc>
          <w:tcPr>
            <w:tcW w:w="4234" w:type="dxa"/>
          </w:tcPr>
          <w:p w14:paraId="59709D28" w14:textId="3F1037DF" w:rsidR="0099066A" w:rsidRDefault="0055120A" w:rsidP="00EE5102">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55120A">
              <w:rPr>
                <w:sz w:val="20"/>
                <w:szCs w:val="20"/>
              </w:rPr>
              <w:t>The reporting of any losses, and the reporting of upgraded handling practices, drives industry-wide improvement on the issue of pellet loss and allows for external tracking of progress.</w:t>
            </w:r>
          </w:p>
        </w:tc>
        <w:tc>
          <w:tcPr>
            <w:tcW w:w="1694" w:type="dxa"/>
            <w:shd w:val="clear" w:color="auto" w:fill="00B050"/>
          </w:tcPr>
          <w:p w14:paraId="5049FAFF" w14:textId="77777777" w:rsidR="0099066A" w:rsidRPr="00136623" w:rsidRDefault="0099066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77086EDB" w14:textId="06EEA982" w:rsidR="0099066A" w:rsidRDefault="00133B09"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does reflect this OSPAR principle as it introduces mandatory reporting requirements that support industry-wide learning and external monitoring of progress on pellet loss.  </w:t>
            </w:r>
          </w:p>
          <w:p w14:paraId="24CDFAD5" w14:textId="77777777" w:rsidR="00133B09" w:rsidRDefault="00133B09"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5(6)(b) requires all economic operators and carriers to keep records of annually estimated pellet losses, including quantities lost, causes and corrective actions taken.  </w:t>
            </w:r>
          </w:p>
          <w:p w14:paraId="4C5C04E6" w14:textId="5FF45FC1" w:rsidR="00133B09" w:rsidRDefault="00133B09"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Article 11 </w:t>
            </w:r>
            <w:r w:rsidR="00215A22">
              <w:rPr>
                <w:sz w:val="20"/>
                <w:szCs w:val="20"/>
              </w:rPr>
              <w:t>requires</w:t>
            </w:r>
            <w:r>
              <w:rPr>
                <w:sz w:val="20"/>
                <w:szCs w:val="20"/>
              </w:rPr>
              <w:t xml:space="preserve"> competent authorities to publish key compliance documents, such as risk management plans, self-declarations and certificates, providing external </w:t>
            </w:r>
            <w:r w:rsidR="00215A22">
              <w:rPr>
                <w:sz w:val="20"/>
                <w:szCs w:val="20"/>
              </w:rPr>
              <w:lastRenderedPageBreak/>
              <w:t>visibility</w:t>
            </w:r>
            <w:r>
              <w:rPr>
                <w:sz w:val="20"/>
                <w:szCs w:val="20"/>
              </w:rPr>
              <w:t xml:space="preserve"> into improved handling practices</w:t>
            </w:r>
            <w:r w:rsidR="00215A22">
              <w:rPr>
                <w:sz w:val="20"/>
                <w:szCs w:val="20"/>
              </w:rPr>
              <w:t xml:space="preserve"> and allowing transparent tracking of progress over time.  </w:t>
            </w:r>
          </w:p>
          <w:p w14:paraId="412EDEF4" w14:textId="2B4565EE" w:rsidR="00215A22" w:rsidRPr="00D042AF" w:rsidRDefault="00363A1F"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While the Regulation does not include an industry-wide public reporting dashboard these mandatory reporting duties and transparency provisions do promote continuous improvement and make it possible for regulators, stakeholders and the public to monitor how pellet handling practices evolve, therefore broadly supporting the OSPAR principle.  </w:t>
            </w:r>
          </w:p>
        </w:tc>
      </w:tr>
      <w:tr w:rsidR="0099066A" w14:paraId="1C7B7CF5" w14:textId="77777777" w:rsidTr="00CA7AA0">
        <w:tc>
          <w:tcPr>
            <w:cnfStyle w:val="001000000000" w:firstRow="0" w:lastRow="0" w:firstColumn="1" w:lastColumn="0" w:oddVBand="0" w:evenVBand="0" w:oddHBand="0" w:evenHBand="0" w:firstRowFirstColumn="0" w:firstRowLastColumn="0" w:lastRowFirstColumn="0" w:lastRowLastColumn="0"/>
            <w:tcW w:w="2356" w:type="dxa"/>
          </w:tcPr>
          <w:p w14:paraId="69FCFEF9" w14:textId="6FE99954" w:rsidR="0099066A" w:rsidRDefault="00A51A77" w:rsidP="0042524C">
            <w:pPr>
              <w:spacing w:before="120" w:after="120" w:line="276" w:lineRule="auto"/>
              <w:rPr>
                <w:b w:val="0"/>
                <w:bCs w:val="0"/>
                <w:sz w:val="20"/>
                <w:szCs w:val="20"/>
              </w:rPr>
            </w:pPr>
            <w:r>
              <w:rPr>
                <w:b w:val="0"/>
                <w:bCs w:val="0"/>
                <w:sz w:val="20"/>
                <w:szCs w:val="20"/>
              </w:rPr>
              <w:lastRenderedPageBreak/>
              <w:t xml:space="preserve">Adoption </w:t>
            </w:r>
          </w:p>
        </w:tc>
        <w:tc>
          <w:tcPr>
            <w:tcW w:w="4234" w:type="dxa"/>
          </w:tcPr>
          <w:p w14:paraId="29CE87E6" w14:textId="6366F589" w:rsidR="0099066A" w:rsidRDefault="00363A1F" w:rsidP="00363A1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363A1F">
              <w:rPr>
                <w:sz w:val="20"/>
                <w:szCs w:val="20"/>
              </w:rPr>
              <w:t>To stop pellet loss to the environment the above best practice must be implemented by the full plastics supply chain and instigate an industry-wide culture shift.</w:t>
            </w:r>
          </w:p>
        </w:tc>
        <w:tc>
          <w:tcPr>
            <w:tcW w:w="1694" w:type="dxa"/>
            <w:shd w:val="clear" w:color="auto" w:fill="FFC000"/>
          </w:tcPr>
          <w:p w14:paraId="73405C8A" w14:textId="77777777" w:rsidR="0099066A" w:rsidRPr="00136623" w:rsidRDefault="0099066A"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225F778C" w14:textId="092C7832" w:rsidR="0099066A" w:rsidRDefault="007A77A7"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regulation aligns with this OSPAR principle as it recognises that voluntary initiatives and awareness raising alone are insufficient to achieve the industry-wide culture shift needed to stop pellet loss, an issue highlighted by OSPAR in reference to the limited uptake of Operation Clean Sweep®.  The Regulation therefore imposes binding, enforceable obligations across the entire plastics supply chain</w:t>
            </w:r>
            <w:r w:rsidR="00D468F1">
              <w:rPr>
                <w:sz w:val="20"/>
                <w:szCs w:val="20"/>
              </w:rPr>
              <w:t xml:space="preserve"> handling over 5 tonnes annually</w:t>
            </w:r>
            <w:r>
              <w:rPr>
                <w:sz w:val="20"/>
                <w:szCs w:val="20"/>
              </w:rPr>
              <w:t>, covering production, processing, storage</w:t>
            </w:r>
            <w:r w:rsidR="00E0467F">
              <w:rPr>
                <w:sz w:val="20"/>
                <w:szCs w:val="20"/>
              </w:rPr>
              <w:t>,</w:t>
            </w:r>
            <w:r>
              <w:rPr>
                <w:sz w:val="20"/>
                <w:szCs w:val="20"/>
              </w:rPr>
              <w:t xml:space="preserve"> distribution and all modes of transport (Article 1, Recital 5) and requires all actors to implement mandatory prevention, containment and clean-up measures to fundamentally </w:t>
            </w:r>
            <w:r w:rsidR="009066DE">
              <w:rPr>
                <w:sz w:val="20"/>
                <w:szCs w:val="20"/>
              </w:rPr>
              <w:t xml:space="preserve">change </w:t>
            </w:r>
            <w:r>
              <w:rPr>
                <w:sz w:val="20"/>
                <w:szCs w:val="20"/>
              </w:rPr>
              <w:t xml:space="preserve">operational behaviour (Article 5, Annex I and Annex III).  </w:t>
            </w:r>
          </w:p>
          <w:p w14:paraId="0C1EF2CC" w14:textId="3D7352B5" w:rsidR="007A77A7" w:rsidRDefault="007A77A7"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It also introduces certification requirements </w:t>
            </w:r>
            <w:r w:rsidR="009066DE">
              <w:rPr>
                <w:sz w:val="20"/>
                <w:szCs w:val="20"/>
              </w:rPr>
              <w:t>wherever an installation handled 1,</w:t>
            </w:r>
            <w:r w:rsidR="002E49BD">
              <w:rPr>
                <w:sz w:val="20"/>
                <w:szCs w:val="20"/>
              </w:rPr>
              <w:t>5</w:t>
            </w:r>
            <w:r w:rsidR="009066DE">
              <w:rPr>
                <w:sz w:val="20"/>
                <w:szCs w:val="20"/>
              </w:rPr>
              <w:t xml:space="preserve">00 tonnes or more in the previous calendar year, whatever the size of the enterprise operating it (Article 6) </w:t>
            </w:r>
            <w:r>
              <w:rPr>
                <w:sz w:val="20"/>
                <w:szCs w:val="20"/>
              </w:rPr>
              <w:t xml:space="preserve"> and transparency obligation</w:t>
            </w:r>
            <w:r w:rsidR="00DA477E">
              <w:rPr>
                <w:sz w:val="20"/>
                <w:szCs w:val="20"/>
              </w:rPr>
              <w:t>s</w:t>
            </w:r>
            <w:r>
              <w:rPr>
                <w:sz w:val="20"/>
                <w:szCs w:val="20"/>
              </w:rPr>
              <w:t xml:space="preserve"> that make compliance publicly visible (Article 11).  These mechanisms go beyond awareness-raising and are designed to drive cultural and operational change at scale.  </w:t>
            </w:r>
          </w:p>
          <w:p w14:paraId="14A99B61" w14:textId="77777777" w:rsidR="00B7526D" w:rsidRDefault="00B7526D"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mandates that Member States provide assistance, training and potential financial support, especially for SMEs (Article 17(2)), which helps encourage uptake and support the transition toward best practice pellet handling.  </w:t>
            </w:r>
          </w:p>
          <w:p w14:paraId="072B201C" w14:textId="0C38AE77" w:rsidR="00B7526D" w:rsidRPr="00D042AF" w:rsidRDefault="00B7526D" w:rsidP="004252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While it does not </w:t>
            </w:r>
            <w:r w:rsidR="00844F07">
              <w:rPr>
                <w:sz w:val="20"/>
                <w:szCs w:val="20"/>
              </w:rPr>
              <w:t xml:space="preserve">explicitly use sustainable procurement to stimulate certification uptake, the regulation’s binding nature and supply-chain wide obligations are fully consistent with </w:t>
            </w:r>
            <w:proofErr w:type="spellStart"/>
            <w:r w:rsidR="00844F07">
              <w:rPr>
                <w:sz w:val="20"/>
                <w:szCs w:val="20"/>
              </w:rPr>
              <w:t>OSPAR’s</w:t>
            </w:r>
            <w:proofErr w:type="spellEnd"/>
            <w:r w:rsidR="00844F07">
              <w:rPr>
                <w:sz w:val="20"/>
                <w:szCs w:val="20"/>
              </w:rPr>
              <w:t xml:space="preserve"> view that mandatory measures, not voluntary efforts alone, are necessary to trigger an industry-wide cultural shift toward zero pellet loss.  </w:t>
            </w:r>
          </w:p>
        </w:tc>
      </w:tr>
      <w:tr w:rsidR="00DB0EA0" w14:paraId="132F167B" w14:textId="77777777" w:rsidTr="00DE35B0">
        <w:tc>
          <w:tcPr>
            <w:cnfStyle w:val="001000000000" w:firstRow="0" w:lastRow="0" w:firstColumn="1" w:lastColumn="0" w:oddVBand="0" w:evenVBand="0" w:oddHBand="0" w:evenHBand="0" w:firstRowFirstColumn="0" w:firstRowLastColumn="0" w:lastRowFirstColumn="0" w:lastRowLastColumn="0"/>
            <w:tcW w:w="15388" w:type="dxa"/>
            <w:gridSpan w:val="4"/>
            <w:shd w:val="clear" w:color="auto" w:fill="DEEAF6" w:themeFill="accent5" w:themeFillTint="33"/>
          </w:tcPr>
          <w:p w14:paraId="606EBBFF" w14:textId="77777777" w:rsidR="00DB0EA0" w:rsidRPr="007A557D" w:rsidRDefault="00DB0EA0" w:rsidP="009F1A48">
            <w:pPr>
              <w:spacing w:before="120" w:after="120" w:line="276" w:lineRule="auto"/>
              <w:rPr>
                <w:sz w:val="20"/>
                <w:szCs w:val="20"/>
              </w:rPr>
            </w:pPr>
            <w:r w:rsidRPr="007A557D">
              <w:rPr>
                <w:sz w:val="20"/>
                <w:szCs w:val="20"/>
              </w:rPr>
              <w:lastRenderedPageBreak/>
              <w:t>Minimum requirements for pellet handling standards</w:t>
            </w:r>
          </w:p>
        </w:tc>
      </w:tr>
      <w:tr w:rsidR="00ED7E23" w14:paraId="6ED05241"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107E354B" w14:textId="77777777" w:rsidR="00DB0EA0" w:rsidRPr="007A557D" w:rsidRDefault="00DB0EA0" w:rsidP="009F1A48">
            <w:pPr>
              <w:spacing w:before="120" w:after="120" w:line="276" w:lineRule="auto"/>
              <w:rPr>
                <w:b w:val="0"/>
                <w:bCs w:val="0"/>
                <w:sz w:val="20"/>
                <w:szCs w:val="20"/>
              </w:rPr>
            </w:pPr>
            <w:r>
              <w:rPr>
                <w:b w:val="0"/>
                <w:bCs w:val="0"/>
                <w:sz w:val="20"/>
                <w:szCs w:val="20"/>
              </w:rPr>
              <w:t xml:space="preserve">Pellet handling standards </w:t>
            </w:r>
          </w:p>
        </w:tc>
        <w:tc>
          <w:tcPr>
            <w:tcW w:w="4234" w:type="dxa"/>
          </w:tcPr>
          <w:p w14:paraId="54CF3218"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504834">
              <w:rPr>
                <w:sz w:val="20"/>
                <w:szCs w:val="20"/>
              </w:rPr>
              <w:t>Developed by standards bodies, or by equivalent transparent and multi-stakeholder governance structures</w:t>
            </w:r>
            <w:r>
              <w:rPr>
                <w:sz w:val="20"/>
                <w:szCs w:val="20"/>
              </w:rPr>
              <w:t xml:space="preserve"> </w:t>
            </w:r>
            <w:r w:rsidRPr="00504834">
              <w:rPr>
                <w:sz w:val="20"/>
                <w:szCs w:val="20"/>
              </w:rPr>
              <w:t>to ensure that the content has been developed using consensus of all relevant parties, in a fair and transparent manner.</w:t>
            </w:r>
          </w:p>
        </w:tc>
        <w:tc>
          <w:tcPr>
            <w:tcW w:w="1694" w:type="dxa"/>
            <w:shd w:val="clear" w:color="auto" w:fill="00B050"/>
          </w:tcPr>
          <w:p w14:paraId="2BC1B73C" w14:textId="77777777" w:rsidR="00DB0EA0" w:rsidRDefault="00DB0EA0" w:rsidP="009F1A48">
            <w:pPr>
              <w:cnfStyle w:val="000000000000" w:firstRow="0" w:lastRow="0" w:firstColumn="0" w:lastColumn="0" w:oddVBand="0" w:evenVBand="0" w:oddHBand="0" w:evenHBand="0" w:firstRowFirstColumn="0" w:firstRowLastColumn="0" w:lastRowFirstColumn="0" w:lastRowLastColumn="0"/>
              <w:rPr>
                <w:sz w:val="20"/>
                <w:szCs w:val="20"/>
              </w:rPr>
            </w:pPr>
          </w:p>
          <w:p w14:paraId="419F3D95" w14:textId="77777777" w:rsidR="00DB0EA0" w:rsidRPr="009D2C8C" w:rsidRDefault="00DB0EA0" w:rsidP="009F1A48">
            <w:pPr>
              <w:ind w:firstLine="720"/>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2D8A653F" w14:textId="5BF0AB3E" w:rsidR="00A87D65" w:rsidRDefault="00A87D65"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requires that the key technical elements, such as methodology for estimating pellet losses, are developed through formal European standardisation processes, which are transparent, consensus-based and involve multi-stakeholder governance.  </w:t>
            </w:r>
          </w:p>
          <w:p w14:paraId="31D7F43F" w14:textId="5001DDA0" w:rsidR="00A87D65" w:rsidRDefault="00A87D65"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Article 18 mandates that harmonised standards are created in accordance with Regulation (EU) 1025/2012</w:t>
            </w:r>
            <w:r>
              <w:rPr>
                <w:rStyle w:val="FootnoteReference"/>
                <w:sz w:val="20"/>
                <w:szCs w:val="20"/>
              </w:rPr>
              <w:footnoteReference w:id="5"/>
            </w:r>
            <w:r>
              <w:rPr>
                <w:sz w:val="20"/>
                <w:szCs w:val="20"/>
              </w:rPr>
              <w:t>., meaning they must be developed by recognised European standardisation organisation</w:t>
            </w:r>
            <w:r w:rsidR="00BB7787">
              <w:rPr>
                <w:sz w:val="20"/>
                <w:szCs w:val="20"/>
              </w:rPr>
              <w:t>s</w:t>
            </w:r>
            <w:r>
              <w:rPr>
                <w:sz w:val="20"/>
                <w:szCs w:val="20"/>
              </w:rPr>
              <w:t xml:space="preserve"> through inclusive procedures involving industry, NGOs, national authorities, experts and other stakeholders ensuring fairness and consensus.  </w:t>
            </w:r>
          </w:p>
          <w:p w14:paraId="063022A0" w14:textId="34D9646C" w:rsidR="00BB7787" w:rsidRDefault="00BB7787"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request for the development of harmonised standards to one or more European standardisation organisation</w:t>
            </w:r>
            <w:r w:rsidR="00DA477E">
              <w:rPr>
                <w:sz w:val="20"/>
                <w:szCs w:val="20"/>
              </w:rPr>
              <w:t>s</w:t>
            </w:r>
            <w:r>
              <w:rPr>
                <w:sz w:val="20"/>
                <w:szCs w:val="20"/>
              </w:rPr>
              <w:t xml:space="preserve"> must be submitted by The Commission no later than </w:t>
            </w:r>
            <w:r w:rsidRPr="00FD3B79">
              <w:rPr>
                <w:b/>
                <w:bCs/>
                <w:sz w:val="20"/>
                <w:szCs w:val="20"/>
              </w:rPr>
              <w:t>17</w:t>
            </w:r>
            <w:r w:rsidRPr="00FD3B79">
              <w:rPr>
                <w:b/>
                <w:bCs/>
                <w:sz w:val="20"/>
                <w:szCs w:val="20"/>
                <w:vertAlign w:val="superscript"/>
              </w:rPr>
              <w:t>th</w:t>
            </w:r>
            <w:r w:rsidRPr="00FD3B79">
              <w:rPr>
                <w:b/>
                <w:bCs/>
                <w:sz w:val="20"/>
                <w:szCs w:val="20"/>
              </w:rPr>
              <w:t xml:space="preserve"> December 2026</w:t>
            </w:r>
            <w:r>
              <w:rPr>
                <w:sz w:val="20"/>
                <w:szCs w:val="20"/>
              </w:rPr>
              <w:t xml:space="preserve">.  </w:t>
            </w:r>
          </w:p>
          <w:p w14:paraId="67800CE7" w14:textId="12EE4373" w:rsidR="00A87D65" w:rsidRDefault="00A87D65"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If standards bodies do not deliver</w:t>
            </w:r>
            <w:r w:rsidR="00DA477E">
              <w:rPr>
                <w:sz w:val="20"/>
                <w:szCs w:val="20"/>
              </w:rPr>
              <w:t>,</w:t>
            </w:r>
            <w:r>
              <w:rPr>
                <w:sz w:val="20"/>
                <w:szCs w:val="20"/>
              </w:rPr>
              <w:t xml:space="preserve"> the European Commission must step in to establish the methodology through an implementing act (Article 18(3)), which itself </w:t>
            </w:r>
            <w:r>
              <w:rPr>
                <w:sz w:val="20"/>
                <w:szCs w:val="20"/>
              </w:rPr>
              <w:lastRenderedPageBreak/>
              <w:t xml:space="preserve">requires consultation with Member States experts under transparent procedures, ensuring continued multi-stakeholder input.  </w:t>
            </w:r>
          </w:p>
          <w:p w14:paraId="7C4F06E1" w14:textId="0C9B8F53" w:rsidR="008B3380" w:rsidRDefault="00BB7787"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w:t>
            </w:r>
            <w:r w:rsidRPr="00BB7787">
              <w:rPr>
                <w:sz w:val="20"/>
                <w:szCs w:val="20"/>
              </w:rPr>
              <w:t xml:space="preserve">he </w:t>
            </w:r>
            <w:r>
              <w:rPr>
                <w:sz w:val="20"/>
                <w:szCs w:val="20"/>
              </w:rPr>
              <w:t>R</w:t>
            </w:r>
            <w:r w:rsidRPr="00BB7787">
              <w:rPr>
                <w:sz w:val="20"/>
                <w:szCs w:val="20"/>
              </w:rPr>
              <w:t xml:space="preserve">egulation aligns well with </w:t>
            </w:r>
            <w:proofErr w:type="spellStart"/>
            <w:r w:rsidRPr="00BB7787">
              <w:rPr>
                <w:sz w:val="20"/>
                <w:szCs w:val="20"/>
              </w:rPr>
              <w:t>OSP</w:t>
            </w:r>
            <w:r>
              <w:rPr>
                <w:sz w:val="20"/>
                <w:szCs w:val="20"/>
              </w:rPr>
              <w:t>AR’s</w:t>
            </w:r>
            <w:proofErr w:type="spellEnd"/>
            <w:r>
              <w:rPr>
                <w:sz w:val="20"/>
                <w:szCs w:val="20"/>
              </w:rPr>
              <w:t xml:space="preserve"> Recommendation</w:t>
            </w:r>
            <w:r w:rsidRPr="00BB7787">
              <w:rPr>
                <w:sz w:val="20"/>
                <w:szCs w:val="20"/>
              </w:rPr>
              <w:t xml:space="preserve"> that</w:t>
            </w:r>
            <w:r>
              <w:rPr>
                <w:sz w:val="20"/>
                <w:szCs w:val="20"/>
              </w:rPr>
              <w:t xml:space="preserve"> standards are</w:t>
            </w:r>
            <w:r w:rsidRPr="00BB7787">
              <w:rPr>
                <w:sz w:val="20"/>
                <w:szCs w:val="20"/>
              </w:rPr>
              <w:t xml:space="preserve"> developed through transparent, multi</w:t>
            </w:r>
            <w:r w:rsidRPr="00BB7787">
              <w:rPr>
                <w:rFonts w:ascii="Cambria Math" w:hAnsi="Cambria Math" w:cs="Cambria Math"/>
                <w:sz w:val="20"/>
                <w:szCs w:val="20"/>
              </w:rPr>
              <w:t>‑</w:t>
            </w:r>
            <w:r w:rsidRPr="00BB7787">
              <w:rPr>
                <w:sz w:val="20"/>
                <w:szCs w:val="20"/>
              </w:rPr>
              <w:t>party, consensus</w:t>
            </w:r>
            <w:r w:rsidRPr="00BB7787">
              <w:rPr>
                <w:rFonts w:ascii="Cambria Math" w:hAnsi="Cambria Math" w:cs="Cambria Math"/>
                <w:sz w:val="20"/>
                <w:szCs w:val="20"/>
              </w:rPr>
              <w:t>‑</w:t>
            </w:r>
            <w:r w:rsidRPr="00BB7787">
              <w:rPr>
                <w:sz w:val="20"/>
                <w:szCs w:val="20"/>
              </w:rPr>
              <w:t>driven governance structures.</w:t>
            </w:r>
          </w:p>
          <w:p w14:paraId="0B7453D9" w14:textId="4BABB663" w:rsidR="003C3C2B" w:rsidRDefault="003C3C2B"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3C3C2B">
              <w:rPr>
                <w:b/>
                <w:bCs/>
                <w:sz w:val="20"/>
                <w:szCs w:val="20"/>
              </w:rPr>
              <w:t>Regulation (EU) 1025</w:t>
            </w:r>
            <w:r w:rsidR="008B3380">
              <w:rPr>
                <w:b/>
                <w:bCs/>
                <w:sz w:val="20"/>
                <w:szCs w:val="20"/>
              </w:rPr>
              <w:t>/</w:t>
            </w:r>
            <w:r w:rsidRPr="003C3C2B">
              <w:rPr>
                <w:b/>
                <w:bCs/>
                <w:sz w:val="20"/>
                <w:szCs w:val="20"/>
              </w:rPr>
              <w:t>2012</w:t>
            </w:r>
            <w:r w:rsidR="00BB7787">
              <w:rPr>
                <w:b/>
                <w:bCs/>
                <w:sz w:val="20"/>
                <w:szCs w:val="20"/>
              </w:rPr>
              <w:t xml:space="preserve">: </w:t>
            </w:r>
            <w:r w:rsidRPr="003C3C2B">
              <w:rPr>
                <w:sz w:val="20"/>
                <w:szCs w:val="20"/>
              </w:rPr>
              <w:t>Regulation (EU) No 1025/2012 establishes the EU’s framework for developing European standards that support the Single Market by removing technical barriers to trade and ensuring consistent product and service quality across Member States.  It sets out how European and national standardisation bodies, EU countries and the European Commission cooperate to create voluntary standards for products, services and processes, including identifying ICT technical specifications that can be referenced in EU legislation.</w:t>
            </w:r>
          </w:p>
          <w:p w14:paraId="406E9ED6" w14:textId="610C4D12" w:rsidR="004F72EB" w:rsidRPr="00D042AF" w:rsidRDefault="003C3C2B"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3C3C2B">
              <w:rPr>
                <w:sz w:val="20"/>
                <w:szCs w:val="20"/>
              </w:rPr>
              <w:t>It emphas</w:t>
            </w:r>
            <w:r>
              <w:rPr>
                <w:sz w:val="20"/>
                <w:szCs w:val="20"/>
              </w:rPr>
              <w:t>is</w:t>
            </w:r>
            <w:r w:rsidRPr="003C3C2B">
              <w:rPr>
                <w:sz w:val="20"/>
                <w:szCs w:val="20"/>
              </w:rPr>
              <w:t>es inclusive participation from stakeholders</w:t>
            </w:r>
            <w:r>
              <w:rPr>
                <w:sz w:val="20"/>
                <w:szCs w:val="20"/>
              </w:rPr>
              <w:t>, (</w:t>
            </w:r>
            <w:r w:rsidRPr="003C3C2B">
              <w:rPr>
                <w:sz w:val="20"/>
                <w:szCs w:val="20"/>
              </w:rPr>
              <w:t>industry, SMEs, consumers, and public authorities</w:t>
            </w:r>
            <w:r>
              <w:rPr>
                <w:sz w:val="20"/>
                <w:szCs w:val="20"/>
              </w:rPr>
              <w:t xml:space="preserve">), </w:t>
            </w:r>
            <w:r w:rsidRPr="003C3C2B">
              <w:rPr>
                <w:sz w:val="20"/>
                <w:szCs w:val="20"/>
              </w:rPr>
              <w:t>to ensure standards reflect broad needs</w:t>
            </w:r>
          </w:p>
        </w:tc>
      </w:tr>
      <w:tr w:rsidR="00DB0EA0" w14:paraId="22099F78"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48F071A3" w14:textId="77777777" w:rsidR="00DB0EA0" w:rsidRPr="00B82E54" w:rsidRDefault="00DB0EA0" w:rsidP="009F1A48">
            <w:pPr>
              <w:spacing w:before="120" w:after="120" w:line="276" w:lineRule="auto"/>
              <w:rPr>
                <w:b w:val="0"/>
                <w:bCs w:val="0"/>
                <w:sz w:val="20"/>
                <w:szCs w:val="20"/>
              </w:rPr>
            </w:pPr>
            <w:r>
              <w:rPr>
                <w:b w:val="0"/>
                <w:bCs w:val="0"/>
                <w:sz w:val="20"/>
                <w:szCs w:val="20"/>
              </w:rPr>
              <w:lastRenderedPageBreak/>
              <w:t xml:space="preserve">Accreditation </w:t>
            </w:r>
          </w:p>
        </w:tc>
        <w:tc>
          <w:tcPr>
            <w:tcW w:w="4234" w:type="dxa"/>
          </w:tcPr>
          <w:p w14:paraId="4B4454F4"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Be accredited by a recognised public accreditation body or an independent accreditation body assigned the responsibility by the competent or designated authority </w:t>
            </w:r>
          </w:p>
        </w:tc>
        <w:tc>
          <w:tcPr>
            <w:tcW w:w="1694" w:type="dxa"/>
            <w:shd w:val="clear" w:color="auto" w:fill="00B050"/>
          </w:tcPr>
          <w:p w14:paraId="177BED35"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6A3815C5" w14:textId="71234F96" w:rsidR="00DB0EA0" w:rsidRDefault="00ED7E23"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w:t>
            </w:r>
            <w:r w:rsidR="003D06DB">
              <w:rPr>
                <w:sz w:val="20"/>
                <w:szCs w:val="20"/>
              </w:rPr>
              <w:t>R</w:t>
            </w:r>
            <w:r>
              <w:rPr>
                <w:sz w:val="20"/>
                <w:szCs w:val="20"/>
              </w:rPr>
              <w:t xml:space="preserve">egulation requires certification to be carried out only by accredited bodies (‘certifier’).  A certifier must either be: </w:t>
            </w:r>
          </w:p>
          <w:p w14:paraId="57AEDB97" w14:textId="11A6B1C0" w:rsidR="00ED7E23" w:rsidRDefault="00ED7E23" w:rsidP="00FC58CE">
            <w:pPr>
              <w:pStyle w:val="ListParagraph"/>
              <w:numPr>
                <w:ilvl w:val="0"/>
                <w:numId w:val="13"/>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 conformity assessment body within the meaning of Regulation (EC) No 765/2008</w:t>
            </w:r>
            <w:r>
              <w:rPr>
                <w:rStyle w:val="FootnoteReference"/>
                <w:sz w:val="20"/>
                <w:szCs w:val="20"/>
              </w:rPr>
              <w:footnoteReference w:id="6"/>
            </w:r>
            <w:r>
              <w:rPr>
                <w:sz w:val="20"/>
                <w:szCs w:val="20"/>
              </w:rPr>
              <w:t xml:space="preserve"> (i.e. accredited by a recognised national accreditation body), or </w:t>
            </w:r>
          </w:p>
          <w:p w14:paraId="4CDF0447" w14:textId="210A7177" w:rsidR="00ED7E23" w:rsidRDefault="00ED7E23" w:rsidP="00FC58CE">
            <w:pPr>
              <w:pStyle w:val="ListParagraph"/>
              <w:numPr>
                <w:ilvl w:val="0"/>
                <w:numId w:val="13"/>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 environmental verifier licensed under EMAS (Regulation (EC) No 1221/2009</w:t>
            </w:r>
            <w:r w:rsidR="00275C7B">
              <w:rPr>
                <w:rStyle w:val="FootnoteReference"/>
                <w:sz w:val="20"/>
                <w:szCs w:val="20"/>
              </w:rPr>
              <w:footnoteReference w:id="7"/>
            </w:r>
            <w:r>
              <w:rPr>
                <w:sz w:val="20"/>
                <w:szCs w:val="20"/>
              </w:rPr>
              <w:t>) (Article 2(15))</w:t>
            </w:r>
          </w:p>
          <w:p w14:paraId="4DA730D8" w14:textId="0149A08F" w:rsidR="00ED7E23" w:rsidRPr="00ED7E23" w:rsidRDefault="00275C7B" w:rsidP="00ED7E23">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It also lays down independence, competence and integrity requirements that apply to those accredited certifiers (Article 9) and explains this approach in Recital 33, thereby aligning with </w:t>
            </w:r>
            <w:proofErr w:type="spellStart"/>
            <w:r>
              <w:rPr>
                <w:sz w:val="20"/>
                <w:szCs w:val="20"/>
              </w:rPr>
              <w:t>OSPAR’s</w:t>
            </w:r>
            <w:proofErr w:type="spellEnd"/>
            <w:r>
              <w:rPr>
                <w:sz w:val="20"/>
                <w:szCs w:val="20"/>
              </w:rPr>
              <w:t xml:space="preserve"> call for accreditation by recognised public or designated bodies.  </w:t>
            </w:r>
          </w:p>
        </w:tc>
      </w:tr>
      <w:tr w:rsidR="00DB0EA0" w14:paraId="0D7BB300"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66377FA1" w14:textId="77777777" w:rsidR="00DB0EA0" w:rsidRDefault="00DB0EA0" w:rsidP="009F1A48">
            <w:pPr>
              <w:spacing w:before="120" w:after="120" w:line="276" w:lineRule="auto"/>
              <w:rPr>
                <w:b w:val="0"/>
                <w:bCs w:val="0"/>
                <w:sz w:val="20"/>
                <w:szCs w:val="20"/>
              </w:rPr>
            </w:pPr>
            <w:r>
              <w:rPr>
                <w:b w:val="0"/>
                <w:bCs w:val="0"/>
                <w:sz w:val="20"/>
                <w:szCs w:val="20"/>
              </w:rPr>
              <w:lastRenderedPageBreak/>
              <w:t xml:space="preserve">Implemented at site-level </w:t>
            </w:r>
          </w:p>
        </w:tc>
        <w:tc>
          <w:tcPr>
            <w:tcW w:w="4234" w:type="dxa"/>
          </w:tcPr>
          <w:p w14:paraId="7A2836CD"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Implemented at a site-level (not company-level), wherever pellets are handled or managed. </w:t>
            </w:r>
          </w:p>
        </w:tc>
        <w:tc>
          <w:tcPr>
            <w:tcW w:w="1694" w:type="dxa"/>
            <w:shd w:val="clear" w:color="auto" w:fill="00B050"/>
          </w:tcPr>
          <w:p w14:paraId="73CB4537"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5CA6F9F3" w14:textId="77777777" w:rsidR="00DB0EA0" w:rsidRDefault="003D06DB"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Regulation (EU) 2025/2365 requires pellet handling obligations and compliance assessments to be applied at the level of each individual installation rather than at company level.  </w:t>
            </w:r>
          </w:p>
          <w:p w14:paraId="2AD6D0A8" w14:textId="77777777" w:rsidR="003D06DB" w:rsidRDefault="003D06DB"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Article 5(1) requires economic operators to establish a risk management plan ‘</w:t>
            </w:r>
            <w:r w:rsidRPr="003D06DB">
              <w:rPr>
                <w:i/>
                <w:iCs/>
                <w:sz w:val="20"/>
                <w:szCs w:val="20"/>
              </w:rPr>
              <w:t>for each installation</w:t>
            </w:r>
            <w:r>
              <w:rPr>
                <w:sz w:val="20"/>
                <w:szCs w:val="20"/>
              </w:rPr>
              <w:t xml:space="preserve">’ where pellets are handled and to install equipment and implement procedures specific to that site.  </w:t>
            </w:r>
          </w:p>
          <w:p w14:paraId="5CE3DB81" w14:textId="706F7E6C" w:rsidR="003D06DB" w:rsidRDefault="003D06DB"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Certification under Article 6 is also carried out per installation, with certifiers assessing and verifying compliance at the specific site where pellet handling occurs, not across a company’s operations as a whole.  </w:t>
            </w:r>
          </w:p>
          <w:p w14:paraId="582B3ACD" w14:textId="79289DCC" w:rsidR="003D06DB" w:rsidRPr="00D042AF" w:rsidRDefault="00F53C01"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This site-specific approach aligns directly with </w:t>
            </w:r>
            <w:proofErr w:type="spellStart"/>
            <w:r>
              <w:rPr>
                <w:sz w:val="20"/>
                <w:szCs w:val="20"/>
              </w:rPr>
              <w:t>OSPAR’s</w:t>
            </w:r>
            <w:proofErr w:type="spellEnd"/>
            <w:r>
              <w:rPr>
                <w:sz w:val="20"/>
                <w:szCs w:val="20"/>
              </w:rPr>
              <w:t xml:space="preserve"> requirement that best practice measures be implemented wherever pellets are handled, ensuring operational controls are tailored to real, location specific risks rather than general corporate policies.  </w:t>
            </w:r>
          </w:p>
        </w:tc>
      </w:tr>
      <w:tr w:rsidR="00DB0EA0" w14:paraId="12921257"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5D8EC963" w14:textId="77777777" w:rsidR="00DB0EA0" w:rsidRPr="00D744CE" w:rsidRDefault="00DB0EA0" w:rsidP="009F1A48">
            <w:pPr>
              <w:spacing w:before="120" w:after="120" w:line="276" w:lineRule="auto"/>
              <w:rPr>
                <w:b w:val="0"/>
                <w:bCs w:val="0"/>
                <w:sz w:val="20"/>
                <w:szCs w:val="20"/>
              </w:rPr>
            </w:pPr>
            <w:r w:rsidRPr="00D744CE">
              <w:rPr>
                <w:b w:val="0"/>
                <w:bCs w:val="0"/>
                <w:sz w:val="20"/>
                <w:szCs w:val="20"/>
              </w:rPr>
              <w:t xml:space="preserve">Documentation of an </w:t>
            </w:r>
            <w:r>
              <w:rPr>
                <w:b w:val="0"/>
                <w:bCs w:val="0"/>
                <w:sz w:val="20"/>
                <w:szCs w:val="20"/>
              </w:rPr>
              <w:t>o</w:t>
            </w:r>
            <w:r w:rsidRPr="00D744CE">
              <w:rPr>
                <w:b w:val="0"/>
                <w:bCs w:val="0"/>
                <w:sz w:val="20"/>
                <w:szCs w:val="20"/>
              </w:rPr>
              <w:t xml:space="preserve">rganisation’s </w:t>
            </w:r>
            <w:r>
              <w:rPr>
                <w:b w:val="0"/>
                <w:bCs w:val="0"/>
                <w:sz w:val="20"/>
                <w:szCs w:val="20"/>
              </w:rPr>
              <w:t>r</w:t>
            </w:r>
            <w:r w:rsidRPr="00D744CE">
              <w:rPr>
                <w:b w:val="0"/>
                <w:bCs w:val="0"/>
                <w:sz w:val="20"/>
                <w:szCs w:val="20"/>
              </w:rPr>
              <w:t>esponsibilities</w:t>
            </w:r>
          </w:p>
        </w:tc>
        <w:tc>
          <w:tcPr>
            <w:tcW w:w="4234" w:type="dxa"/>
          </w:tcPr>
          <w:p w14:paraId="49D0B242"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Operational activities are assessed, defined and compliance activities identified.  </w:t>
            </w:r>
          </w:p>
          <w:p w14:paraId="665358E7"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Define operations which can and cannot be controlled. </w:t>
            </w:r>
          </w:p>
        </w:tc>
        <w:tc>
          <w:tcPr>
            <w:tcW w:w="1694" w:type="dxa"/>
            <w:shd w:val="clear" w:color="auto" w:fill="00B050"/>
          </w:tcPr>
          <w:p w14:paraId="26868856"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23494F10" w14:textId="74C6E68C" w:rsidR="00DB0EA0" w:rsidRDefault="00DF561B"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 structured, site-level assessment of operational activities, definition of risks and the identification of compliance actions is required by the Regulation.  Each installation must have a risk management plan that:</w:t>
            </w:r>
          </w:p>
          <w:p w14:paraId="50FDA0A8" w14:textId="77777777" w:rsidR="00DF561B" w:rsidRDefault="00DF561B" w:rsidP="00FC58CE">
            <w:pPr>
              <w:pStyle w:val="ListParagraph"/>
              <w:numPr>
                <w:ilvl w:val="0"/>
                <w:numId w:val="14"/>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maps the site </w:t>
            </w:r>
          </w:p>
          <w:p w14:paraId="5BC7DEBA" w14:textId="77777777" w:rsidR="00DF561B" w:rsidRDefault="00DF561B" w:rsidP="00FC58CE">
            <w:pPr>
              <w:pStyle w:val="ListParagraph"/>
              <w:numPr>
                <w:ilvl w:val="0"/>
                <w:numId w:val="14"/>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identifies where spills/losses could occur</w:t>
            </w:r>
          </w:p>
          <w:p w14:paraId="41492118" w14:textId="77777777" w:rsidR="00DF561B" w:rsidRDefault="00DF561B" w:rsidP="00FC58CE">
            <w:pPr>
              <w:pStyle w:val="ListParagraph"/>
              <w:numPr>
                <w:ilvl w:val="0"/>
                <w:numId w:val="14"/>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lists the handling operations during which they could occur </w:t>
            </w:r>
          </w:p>
          <w:p w14:paraId="4B7ABF0A" w14:textId="7589D45C" w:rsidR="00DF561B" w:rsidRDefault="00DF561B" w:rsidP="00FC58CE">
            <w:pPr>
              <w:pStyle w:val="ListParagraph"/>
              <w:numPr>
                <w:ilvl w:val="0"/>
                <w:numId w:val="14"/>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explicitly lists the activities over which the installation can exercise control, including those involving suppliers, subcontractors and offsite storage (thereby distinguishing what can versus cannot be controlled</w:t>
            </w:r>
            <w:r w:rsidR="00E0467F">
              <w:rPr>
                <w:sz w:val="20"/>
                <w:szCs w:val="20"/>
              </w:rPr>
              <w:t xml:space="preserve">).  </w:t>
            </w:r>
          </w:p>
          <w:p w14:paraId="53839DA7" w14:textId="77777777" w:rsidR="00DF561B" w:rsidRDefault="00DF561B" w:rsidP="00DF561B">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(Annex I, points 1(c) – (g), (i) – (j)) </w:t>
            </w:r>
          </w:p>
          <w:p w14:paraId="3AFC7EBD" w14:textId="77777777" w:rsidR="00DF561B" w:rsidRDefault="00DF561B" w:rsidP="00DF561B">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plan must also describe the equipment and procedures to prevent, contain and clean-up losses (Annex I, points 1(i) – (j), 2 – 5).  </w:t>
            </w:r>
          </w:p>
          <w:p w14:paraId="265B2B1F" w14:textId="64E089BD" w:rsidR="00DF561B" w:rsidRPr="00DF561B" w:rsidRDefault="00DF561B" w:rsidP="00DF561B">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Article 5(6)-(8) adds training, record-keeping of annual loss estimates and for larger installations, an annual internal compliance assessment, all of which ensure that operations are periodically assessed, defined and aligned with the identified compliance activities.</w:t>
            </w:r>
          </w:p>
        </w:tc>
      </w:tr>
      <w:tr w:rsidR="00DB0EA0" w14:paraId="78BD1F9E"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08D6516D" w14:textId="77777777" w:rsidR="00DB0EA0" w:rsidRPr="00D744CE" w:rsidRDefault="00DB0EA0" w:rsidP="009F1A48">
            <w:pPr>
              <w:spacing w:before="120" w:after="120" w:line="276" w:lineRule="auto"/>
              <w:rPr>
                <w:b w:val="0"/>
                <w:bCs w:val="0"/>
                <w:sz w:val="20"/>
                <w:szCs w:val="20"/>
              </w:rPr>
            </w:pPr>
            <w:r w:rsidRPr="00D744CE">
              <w:rPr>
                <w:b w:val="0"/>
                <w:bCs w:val="0"/>
                <w:sz w:val="20"/>
                <w:szCs w:val="20"/>
              </w:rPr>
              <w:lastRenderedPageBreak/>
              <w:t>Management</w:t>
            </w:r>
          </w:p>
        </w:tc>
        <w:tc>
          <w:tcPr>
            <w:tcW w:w="4234" w:type="dxa"/>
          </w:tcPr>
          <w:p w14:paraId="20FE7075"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Publicly available pellet-loss prevention policy with clear objectives and implementation plan defining equipment, training and communication.</w:t>
            </w:r>
          </w:p>
          <w:p w14:paraId="5C2CF246"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Performance monitored, documented and analysed</w:t>
            </w:r>
          </w:p>
          <w:p w14:paraId="435742FE"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Assign clear roles and responsibilities to staff for prevention, containment, clean-up and performance monitoring.</w:t>
            </w:r>
          </w:p>
        </w:tc>
        <w:tc>
          <w:tcPr>
            <w:tcW w:w="1694" w:type="dxa"/>
            <w:shd w:val="clear" w:color="auto" w:fill="00B050"/>
          </w:tcPr>
          <w:p w14:paraId="05B1E2C5"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39B1EB4C" w14:textId="063CCC1E" w:rsidR="005916F0" w:rsidRDefault="005830E7"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Each installation is required to prepare a detailed risk management plan that defines clear objectives </w:t>
            </w:r>
            <w:r w:rsidR="005916F0">
              <w:rPr>
                <w:sz w:val="20"/>
                <w:szCs w:val="20"/>
              </w:rPr>
              <w:t>and implementation measures, including equipment, procedures, training and communication for pellet-loss prevention, containment and clean-up (Annex I, points 1(i)</w:t>
            </w:r>
            <w:r w:rsidR="004031EE">
              <w:rPr>
                <w:sz w:val="20"/>
                <w:szCs w:val="20"/>
              </w:rPr>
              <w:t>-</w:t>
            </w:r>
            <w:r w:rsidR="005916F0">
              <w:rPr>
                <w:sz w:val="20"/>
                <w:szCs w:val="20"/>
              </w:rPr>
              <w:t xml:space="preserve">(j), </w:t>
            </w:r>
            <w:r w:rsidR="004031EE">
              <w:rPr>
                <w:sz w:val="20"/>
                <w:szCs w:val="20"/>
              </w:rPr>
              <w:t>2</w:t>
            </w:r>
            <w:r w:rsidR="005916F0">
              <w:rPr>
                <w:sz w:val="20"/>
                <w:szCs w:val="20"/>
              </w:rPr>
              <w:t xml:space="preserve">–5).  These documents, along with self-declarations and certificates, must be publicly available by </w:t>
            </w:r>
            <w:r w:rsidR="00E06D9E">
              <w:rPr>
                <w:sz w:val="20"/>
                <w:szCs w:val="20"/>
              </w:rPr>
              <w:t>competent</w:t>
            </w:r>
            <w:r w:rsidR="005916F0">
              <w:rPr>
                <w:sz w:val="20"/>
                <w:szCs w:val="20"/>
              </w:rPr>
              <w:t xml:space="preserve"> authorities on a free and accessible website (Article 11(1))</w:t>
            </w:r>
            <w:r w:rsidR="00E06D9E">
              <w:rPr>
                <w:sz w:val="20"/>
                <w:szCs w:val="20"/>
              </w:rPr>
              <w:t xml:space="preserve">.  </w:t>
            </w:r>
            <w:r w:rsidR="005916F0">
              <w:rPr>
                <w:sz w:val="20"/>
                <w:szCs w:val="20"/>
              </w:rPr>
              <w:t xml:space="preserve">  </w:t>
            </w:r>
          </w:p>
          <w:p w14:paraId="32C198F6" w14:textId="77777777" w:rsidR="00DB0EA0" w:rsidRDefault="005916F0"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At the same time, the Regulation includes specific safety and confidentiality protections.  Competent authorities must redact or withhold </w:t>
            </w:r>
            <w:r w:rsidR="00D779CB">
              <w:rPr>
                <w:sz w:val="20"/>
                <w:szCs w:val="20"/>
              </w:rPr>
              <w:t xml:space="preserve">information if publication would endanger the installation, local population or protected public interests such as public security, commercial confidentiality or environmental protection (Article 11(2)).  </w:t>
            </w:r>
          </w:p>
          <w:p w14:paraId="6057D7B8" w14:textId="3D9F8BFC" w:rsidR="00D779CB" w:rsidRDefault="00D779CB"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ensures that performance is monitored, documented and analysed as </w:t>
            </w:r>
            <w:r w:rsidR="00732CEA">
              <w:rPr>
                <w:sz w:val="20"/>
                <w:szCs w:val="20"/>
              </w:rPr>
              <w:t xml:space="preserve">economic </w:t>
            </w:r>
            <w:r>
              <w:rPr>
                <w:sz w:val="20"/>
                <w:szCs w:val="20"/>
              </w:rPr>
              <w:t xml:space="preserve">operators </w:t>
            </w:r>
            <w:r w:rsidR="00732CEA">
              <w:rPr>
                <w:sz w:val="20"/>
                <w:szCs w:val="20"/>
              </w:rPr>
              <w:t xml:space="preserve">and carriers </w:t>
            </w:r>
            <w:r>
              <w:rPr>
                <w:sz w:val="20"/>
                <w:szCs w:val="20"/>
              </w:rPr>
              <w:t xml:space="preserve">must record annual pellet-loss estimates and total </w:t>
            </w:r>
            <w:r>
              <w:rPr>
                <w:sz w:val="20"/>
                <w:szCs w:val="20"/>
              </w:rPr>
              <w:lastRenderedPageBreak/>
              <w:t xml:space="preserve">quantities (Article 5(6)(b)) and medium and large enterprises must conduct annual internal compliance assessments (Article 5(8)).  Finally, it assigns clear roles and responsibilities by requiring each installation to designate a staff member responsible for recording, investigating and following up on spills and losses (Annex I, point 1(h)) and by mandating staff training so that employees understand their roles in prevention, containment, clean-up and monitoring (Article 5(6)(a)). </w:t>
            </w:r>
          </w:p>
          <w:p w14:paraId="67F68E47" w14:textId="407249BF" w:rsidR="00D779CB" w:rsidRPr="00D042AF" w:rsidRDefault="00D779CB"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779CB">
              <w:rPr>
                <w:sz w:val="20"/>
                <w:szCs w:val="20"/>
              </w:rPr>
              <w:t>Overall, the regulation not only aligns with the OSPAR recommendation but also adds important safeguards to ensure that publicly available information is shared responsibly and securely.</w:t>
            </w:r>
          </w:p>
        </w:tc>
      </w:tr>
      <w:tr w:rsidR="00DB0EA0" w14:paraId="12792FCA"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0A72EAD6" w14:textId="77777777" w:rsidR="00DB0EA0" w:rsidRPr="00D744CE" w:rsidRDefault="00DB0EA0" w:rsidP="009F1A48">
            <w:pPr>
              <w:spacing w:before="120" w:after="120" w:line="276" w:lineRule="auto"/>
              <w:rPr>
                <w:b w:val="0"/>
                <w:bCs w:val="0"/>
                <w:sz w:val="20"/>
                <w:szCs w:val="20"/>
              </w:rPr>
            </w:pPr>
            <w:r w:rsidRPr="00D744CE">
              <w:rPr>
                <w:b w:val="0"/>
                <w:bCs w:val="0"/>
                <w:sz w:val="20"/>
                <w:szCs w:val="20"/>
              </w:rPr>
              <w:lastRenderedPageBreak/>
              <w:t xml:space="preserve">Competence, training and awareness </w:t>
            </w:r>
          </w:p>
        </w:tc>
        <w:tc>
          <w:tcPr>
            <w:tcW w:w="4234" w:type="dxa"/>
          </w:tcPr>
          <w:p w14:paraId="75A7BFB9"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Competence for prevention, containment and clean-up clearly documented </w:t>
            </w:r>
          </w:p>
          <w:p w14:paraId="3F730DF3"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Training provided: prevention, containment and clean-up </w:t>
            </w:r>
          </w:p>
          <w:p w14:paraId="3BEAF2ED"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Policies and environmental issues communicated to all staff </w:t>
            </w:r>
          </w:p>
        </w:tc>
        <w:tc>
          <w:tcPr>
            <w:tcW w:w="1694" w:type="dxa"/>
            <w:shd w:val="clear" w:color="auto" w:fill="00B050"/>
          </w:tcPr>
          <w:p w14:paraId="3F764B29"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228B0D6B" w14:textId="64083C05" w:rsidR="00DB0EA0" w:rsidRDefault="00DE5DD3"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Regulation requires that competence for prevention, containment and clean-up is clearly document</w:t>
            </w:r>
            <w:r w:rsidR="00DA477E">
              <w:rPr>
                <w:sz w:val="20"/>
                <w:szCs w:val="20"/>
              </w:rPr>
              <w:t>ed</w:t>
            </w:r>
            <w:r>
              <w:rPr>
                <w:sz w:val="20"/>
                <w:szCs w:val="20"/>
              </w:rPr>
              <w:t xml:space="preserve"> as each installation</w:t>
            </w:r>
            <w:r w:rsidR="00E0467F">
              <w:rPr>
                <w:sz w:val="20"/>
                <w:szCs w:val="20"/>
              </w:rPr>
              <w:t>’</w:t>
            </w:r>
            <w:r>
              <w:rPr>
                <w:sz w:val="20"/>
                <w:szCs w:val="20"/>
              </w:rPr>
              <w:t xml:space="preserve">s risk management plan must include a specific staff role for responsible recording, investigating and following up on spills and losses, ensuring that responsibilities for operational control and incident management are formally assigned (Annex I, point 1(h)).  </w:t>
            </w:r>
          </w:p>
          <w:p w14:paraId="25FC1F58" w14:textId="43A4B20D" w:rsidR="00DE5DD3" w:rsidRDefault="00DE5DD3"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It also mandates that all staff are trained according to their roles so they can correctly use equipment and carry out procedures related to spill prevention, containment and clean-up (Article 5(</w:t>
            </w:r>
            <w:r w:rsidR="00B41C56">
              <w:rPr>
                <w:sz w:val="20"/>
                <w:szCs w:val="20"/>
              </w:rPr>
              <w:t>6</w:t>
            </w:r>
            <w:r>
              <w:rPr>
                <w:sz w:val="20"/>
                <w:szCs w:val="20"/>
              </w:rPr>
              <w:t>)(a)), with medium</w:t>
            </w:r>
            <w:r w:rsidR="00F915F8">
              <w:rPr>
                <w:sz w:val="20"/>
                <w:szCs w:val="20"/>
              </w:rPr>
              <w:t xml:space="preserve">- and large-sized installations additionally required to implement a formal awareness and training programme (Annex I, point 6(b)).  </w:t>
            </w:r>
          </w:p>
          <w:p w14:paraId="44FF5553" w14:textId="6B14E1B8" w:rsidR="00F915F8" w:rsidRPr="00AC405E" w:rsidRDefault="00CC6493"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ensures that policies and environmental responsibilities are communicated to all staff, as </w:t>
            </w:r>
            <w:r w:rsidR="00436AF2">
              <w:rPr>
                <w:sz w:val="20"/>
                <w:szCs w:val="20"/>
              </w:rPr>
              <w:t xml:space="preserve">economic </w:t>
            </w:r>
            <w:r>
              <w:rPr>
                <w:sz w:val="20"/>
                <w:szCs w:val="20"/>
              </w:rPr>
              <w:t xml:space="preserve">operators must make staff aware of the procedures and equipment in place and inform third parties accessing the site about relevant environmental and operational requirements (Annex I, point 3(a)).  Together these provisions ensure that competence, training, environmental </w:t>
            </w:r>
            <w:r>
              <w:rPr>
                <w:sz w:val="20"/>
                <w:szCs w:val="20"/>
              </w:rPr>
              <w:lastRenderedPageBreak/>
              <w:t xml:space="preserve">responsibility and communication practices are all firmly embedded in site-level operations, in line with the OSPAR Recommendation.  </w:t>
            </w:r>
          </w:p>
        </w:tc>
      </w:tr>
      <w:tr w:rsidR="003A4643" w14:paraId="519720FF"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4E2B1BAB" w14:textId="77777777" w:rsidR="00DB0EA0" w:rsidRPr="00D744CE" w:rsidRDefault="00DB0EA0" w:rsidP="009F1A48">
            <w:pPr>
              <w:spacing w:before="120" w:after="120" w:line="276" w:lineRule="auto"/>
              <w:rPr>
                <w:b w:val="0"/>
                <w:bCs w:val="0"/>
                <w:sz w:val="20"/>
                <w:szCs w:val="20"/>
              </w:rPr>
            </w:pPr>
            <w:r w:rsidRPr="00D744CE">
              <w:rPr>
                <w:b w:val="0"/>
                <w:bCs w:val="0"/>
                <w:sz w:val="20"/>
                <w:szCs w:val="20"/>
              </w:rPr>
              <w:lastRenderedPageBreak/>
              <w:t xml:space="preserve">Risk assessment of pellet loss </w:t>
            </w:r>
          </w:p>
        </w:tc>
        <w:tc>
          <w:tcPr>
            <w:tcW w:w="4234" w:type="dxa"/>
          </w:tcPr>
          <w:p w14:paraId="66D14D4E"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Documented risk assessment of pellet handling activities  </w:t>
            </w:r>
          </w:p>
          <w:p w14:paraId="068F8F8B"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Include: </w:t>
            </w:r>
            <w:r w:rsidRPr="00C27DA9">
              <w:rPr>
                <w:sz w:val="20"/>
                <w:szCs w:val="20"/>
              </w:rPr>
              <w:t>mitigation measures, equipment and procedures for prevention, containment and clean-up, high risk areas, handling procedures and pathways to the external environment. In addition</w:t>
            </w:r>
            <w:r>
              <w:rPr>
                <w:sz w:val="20"/>
                <w:szCs w:val="20"/>
              </w:rPr>
              <w:t>,</w:t>
            </w:r>
            <w:r w:rsidRPr="00C27DA9">
              <w:rPr>
                <w:sz w:val="20"/>
                <w:szCs w:val="20"/>
              </w:rPr>
              <w:t xml:space="preserve"> the assessment should also include health and safety policies as standard</w:t>
            </w:r>
          </w:p>
        </w:tc>
        <w:tc>
          <w:tcPr>
            <w:tcW w:w="1694" w:type="dxa"/>
            <w:shd w:val="clear" w:color="auto" w:fill="00B050"/>
          </w:tcPr>
          <w:p w14:paraId="4C8271AE"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605A2636" w14:textId="77777777" w:rsidR="00DB0EA0" w:rsidRDefault="00943E2F"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requires a documented site-specific risk assessment of all pellet handling activities through the mandatory risk management plan (Article 5(1), Annex I, point 1).  This plan must include all core elements specified in the OSPAR guidelines including: </w:t>
            </w:r>
          </w:p>
          <w:p w14:paraId="009F502A" w14:textId="06EDBC50" w:rsidR="00943E2F" w:rsidRDefault="00943E2F" w:rsidP="00FC58CE">
            <w:pPr>
              <w:pStyle w:val="ListParagraph"/>
              <w:numPr>
                <w:ilvl w:val="0"/>
                <w:numId w:val="1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Mitigation measures, equipment and procedures for prevention, containment and clean-up (Annex I, points 1(i)–(j), 2–5) </w:t>
            </w:r>
          </w:p>
          <w:p w14:paraId="3CC60E7C" w14:textId="77777777" w:rsidR="00943E2F" w:rsidRDefault="00943E2F" w:rsidP="00FC58CE">
            <w:pPr>
              <w:pStyle w:val="ListParagraph"/>
              <w:numPr>
                <w:ilvl w:val="0"/>
                <w:numId w:val="1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Identification of high-risk areas, including locations within the installation where spills or losses could occur and pathways to the external environment (Annex I, Points 1(c)-(f))</w:t>
            </w:r>
          </w:p>
          <w:p w14:paraId="56335CEB" w14:textId="77777777" w:rsidR="00943E2F" w:rsidRDefault="00943E2F" w:rsidP="00FC58CE">
            <w:pPr>
              <w:pStyle w:val="ListParagraph"/>
              <w:numPr>
                <w:ilvl w:val="0"/>
                <w:numId w:val="15"/>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Defined handling operations where pellet losses could occur, including activities involving suppliers, subcontractors and off-site storage (Annex I, point 1(g))</w:t>
            </w:r>
          </w:p>
          <w:p w14:paraId="2F76E46B" w14:textId="77777777" w:rsidR="00943E2F" w:rsidRDefault="003A4643" w:rsidP="00943E2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Although the Regulation does not explicitly state ‘health and safety policies’ as part of the environmental risk assessment, it incorporates health and safety considerations indirectly, especially through requirements relating to: </w:t>
            </w:r>
          </w:p>
          <w:p w14:paraId="4A94E152" w14:textId="77777777" w:rsidR="003A4643" w:rsidRDefault="003A4643" w:rsidP="00FC58CE">
            <w:pPr>
              <w:pStyle w:val="ListParagraph"/>
              <w:numPr>
                <w:ilvl w:val="0"/>
                <w:numId w:val="1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Appropriate and safe packaging and equipment standards (Annex I, point 2(a)) </w:t>
            </w:r>
          </w:p>
          <w:p w14:paraId="54831945" w14:textId="77777777" w:rsidR="003A4643" w:rsidRDefault="003A4643" w:rsidP="00FC58CE">
            <w:pPr>
              <w:pStyle w:val="ListParagraph"/>
              <w:numPr>
                <w:ilvl w:val="0"/>
                <w:numId w:val="1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Staff training to ensure safe handling, implementation or procedures and correct use of equipment (Article 5(6)(a)) </w:t>
            </w:r>
          </w:p>
          <w:p w14:paraId="5D022611" w14:textId="45FD2537" w:rsidR="003A4643" w:rsidRDefault="003A4643" w:rsidP="00FC58CE">
            <w:pPr>
              <w:pStyle w:val="ListParagraph"/>
              <w:numPr>
                <w:ilvl w:val="0"/>
                <w:numId w:val="16"/>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Measures to prevent harm from pellet spills, including those that protect both workers and the environment (Recitals 1 and 4) </w:t>
            </w:r>
          </w:p>
          <w:p w14:paraId="1EDAF935" w14:textId="683262A6" w:rsidR="003A4643" w:rsidRPr="003A4643" w:rsidRDefault="00826DC3" w:rsidP="003A4643">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Together these requirements create a comprehensive documented assessment framework that aligns closely with </w:t>
            </w:r>
            <w:proofErr w:type="spellStart"/>
            <w:r>
              <w:rPr>
                <w:sz w:val="20"/>
                <w:szCs w:val="20"/>
              </w:rPr>
              <w:t>OSPAR’s</w:t>
            </w:r>
            <w:proofErr w:type="spellEnd"/>
            <w:r>
              <w:rPr>
                <w:sz w:val="20"/>
                <w:szCs w:val="20"/>
              </w:rPr>
              <w:t xml:space="preserve"> Recommendation, ensuring that all risks, </w:t>
            </w:r>
            <w:r>
              <w:rPr>
                <w:sz w:val="20"/>
                <w:szCs w:val="20"/>
              </w:rPr>
              <w:lastRenderedPageBreak/>
              <w:t xml:space="preserve">pathways, procedures, mitigation measures and equipment are systematically identified and addressed at the site-level.  </w:t>
            </w:r>
          </w:p>
        </w:tc>
      </w:tr>
      <w:tr w:rsidR="00DB0EA0" w14:paraId="6D90FFF2"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2DD9C010" w14:textId="77777777" w:rsidR="00DB0EA0" w:rsidRPr="00D744CE" w:rsidRDefault="00DB0EA0" w:rsidP="009F1A48">
            <w:pPr>
              <w:spacing w:before="120" w:after="120" w:line="276" w:lineRule="auto"/>
              <w:rPr>
                <w:b w:val="0"/>
                <w:bCs w:val="0"/>
                <w:sz w:val="20"/>
                <w:szCs w:val="20"/>
              </w:rPr>
            </w:pPr>
            <w:r w:rsidRPr="00D744CE">
              <w:rPr>
                <w:b w:val="0"/>
                <w:bCs w:val="0"/>
                <w:sz w:val="20"/>
                <w:szCs w:val="20"/>
              </w:rPr>
              <w:lastRenderedPageBreak/>
              <w:t xml:space="preserve">Operational controls </w:t>
            </w:r>
          </w:p>
        </w:tc>
        <w:tc>
          <w:tcPr>
            <w:tcW w:w="4234" w:type="dxa"/>
          </w:tcPr>
          <w:p w14:paraId="15A9EF18"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Documented procedures – monitored and reported </w:t>
            </w:r>
          </w:p>
          <w:p w14:paraId="334637EC"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Hierarchy of priorities: prevention, containment and clean-up </w:t>
            </w:r>
          </w:p>
          <w:p w14:paraId="27DC2829"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Avoid unnecessary handling </w:t>
            </w:r>
          </w:p>
          <w:p w14:paraId="43FD750D"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Choose low-risk storage areas</w:t>
            </w:r>
          </w:p>
          <w:p w14:paraId="6D804A7D"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Recognise remedial clean-up off-site and in the environment is more challenging and requires specialist equipment </w:t>
            </w:r>
          </w:p>
        </w:tc>
        <w:tc>
          <w:tcPr>
            <w:tcW w:w="1694" w:type="dxa"/>
            <w:shd w:val="clear" w:color="auto" w:fill="FFC000"/>
          </w:tcPr>
          <w:p w14:paraId="6DB68449"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0779EA04" w14:textId="725C60C7" w:rsidR="00DB0EA0" w:rsidRDefault="006D3C98"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aligns well with most aspects of this OSPAR Recommendation, though some elements are met more directly than others.  </w:t>
            </w:r>
          </w:p>
          <w:p w14:paraId="7C12555F" w14:textId="101EDC22" w:rsidR="006D3C98" w:rsidRDefault="006D3C98"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Documented procedures are required that are monitored and reported, as each installation must maintain a detailed</w:t>
            </w:r>
            <w:r w:rsidR="008B4D69">
              <w:rPr>
                <w:sz w:val="20"/>
                <w:szCs w:val="20"/>
              </w:rPr>
              <w:t xml:space="preserve"> risk management plan setting out procedures for prevention, containment and clean-up (Annex I, points 1(i)-(j)) and must keep annual records of annual losses (Article 5(6)(b)). </w:t>
            </w:r>
          </w:p>
          <w:p w14:paraId="3652FE5D" w14:textId="4DAEB197" w:rsidR="008B4D69" w:rsidRDefault="008B4D69"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It fully incorporates the hierarchy of priorities, with Article 5(5) legally obliging </w:t>
            </w:r>
            <w:r w:rsidR="00436AF2">
              <w:rPr>
                <w:sz w:val="20"/>
                <w:szCs w:val="20"/>
              </w:rPr>
              <w:t xml:space="preserve">economic </w:t>
            </w:r>
            <w:r>
              <w:rPr>
                <w:sz w:val="20"/>
                <w:szCs w:val="20"/>
              </w:rPr>
              <w:t xml:space="preserve">operators to act first to prevent spills, then to contain and lastly clean up losses.  </w:t>
            </w:r>
          </w:p>
          <w:p w14:paraId="3791A686" w14:textId="467597FC" w:rsidR="008B4D69" w:rsidRDefault="00E0467F" w:rsidP="00E0467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0467F">
              <w:rPr>
                <w:sz w:val="20"/>
                <w:szCs w:val="20"/>
              </w:rPr>
              <w:t xml:space="preserve">Avoiding unnecessary handling is treated differently. </w:t>
            </w:r>
            <w:r>
              <w:rPr>
                <w:sz w:val="20"/>
                <w:szCs w:val="20"/>
              </w:rPr>
              <w:t xml:space="preserve"> </w:t>
            </w:r>
            <w:r w:rsidRPr="00E0467F">
              <w:rPr>
                <w:sz w:val="20"/>
                <w:szCs w:val="20"/>
              </w:rPr>
              <w:t xml:space="preserve">Recital 20 names it as the first step, including </w:t>
            </w:r>
            <w:r w:rsidRPr="00885B9A">
              <w:rPr>
                <w:i/>
                <w:iCs/>
                <w:sz w:val="20"/>
                <w:szCs w:val="20"/>
              </w:rPr>
              <w:t>'by reducing the transfer points'</w:t>
            </w:r>
            <w:r w:rsidRPr="00E0467F">
              <w:rPr>
                <w:sz w:val="20"/>
                <w:szCs w:val="20"/>
              </w:rPr>
              <w:t xml:space="preserve">, but no article or annex requires the number of transfer points to be reduced. </w:t>
            </w:r>
            <w:r>
              <w:rPr>
                <w:sz w:val="20"/>
                <w:szCs w:val="20"/>
              </w:rPr>
              <w:t xml:space="preserve"> </w:t>
            </w:r>
            <w:r w:rsidRPr="00E0467F">
              <w:rPr>
                <w:sz w:val="20"/>
                <w:szCs w:val="20"/>
              </w:rPr>
              <w:t>The operative provisions address the consequences of handling</w:t>
            </w:r>
            <w:r w:rsidR="009066DE" w:rsidRPr="009066DE">
              <w:rPr>
                <w:sz w:val="20"/>
                <w:szCs w:val="20"/>
              </w:rPr>
              <w:t>: spill trays under transfer points and during loading and unloading, clear protocols for opening, loading, closing and sealing containers and physical testing of the effectiveness of prevention procedures (Annex I, point 5(a)), together with secure connection points and loading systems that can be completely emptied (Annex I, point 4(a)).</w:t>
            </w:r>
          </w:p>
          <w:p w14:paraId="164EF16F" w14:textId="7910DAB6" w:rsidR="008B4D69" w:rsidRPr="00D042AF" w:rsidRDefault="008B4D69"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Requirements to choose low-risk storage areas are reflected in Annex I, which mandates secondary containment, secure storage, proper drainage protection and the identification of high- and low-risk locations within the installation (Annex I, points 1(c)-(d), 2(b</w:t>
            </w:r>
            <w:r w:rsidR="009066DE">
              <w:rPr>
                <w:sz w:val="20"/>
                <w:szCs w:val="20"/>
              </w:rPr>
              <w:t>)</w:t>
            </w:r>
            <w:r>
              <w:rPr>
                <w:sz w:val="20"/>
                <w:szCs w:val="20"/>
              </w:rPr>
              <w:t xml:space="preserve">, 4(b)).  Finally, the regulation recognises that off-site or environmental clean-up is more challenging, requiring </w:t>
            </w:r>
            <w:r w:rsidR="00436AF2">
              <w:rPr>
                <w:sz w:val="20"/>
                <w:szCs w:val="20"/>
              </w:rPr>
              <w:t xml:space="preserve">economic </w:t>
            </w:r>
            <w:r>
              <w:rPr>
                <w:sz w:val="20"/>
                <w:szCs w:val="20"/>
              </w:rPr>
              <w:t>operators</w:t>
            </w:r>
            <w:r w:rsidR="00436AF2">
              <w:rPr>
                <w:sz w:val="20"/>
                <w:szCs w:val="20"/>
              </w:rPr>
              <w:t xml:space="preserve"> and </w:t>
            </w:r>
            <w:r w:rsidR="00436AF2">
              <w:rPr>
                <w:sz w:val="20"/>
                <w:szCs w:val="20"/>
              </w:rPr>
              <w:lastRenderedPageBreak/>
              <w:t>carriers</w:t>
            </w:r>
            <w:r>
              <w:rPr>
                <w:sz w:val="20"/>
                <w:szCs w:val="20"/>
              </w:rPr>
              <w:t xml:space="preserve"> to prioritise prevention as clean-up measures</w:t>
            </w:r>
            <w:r w:rsidR="00DA477E">
              <w:rPr>
                <w:sz w:val="20"/>
                <w:szCs w:val="20"/>
              </w:rPr>
              <w:t>.  They</w:t>
            </w:r>
            <w:r>
              <w:rPr>
                <w:sz w:val="20"/>
                <w:szCs w:val="20"/>
              </w:rPr>
              <w:t xml:space="preserve"> must be carried out in a way that minimises environmental damage, particularly in sensitive habitats (Recital 20) and to report incidents promptly along with remedial actions (Article 14).  </w:t>
            </w:r>
          </w:p>
        </w:tc>
      </w:tr>
      <w:tr w:rsidR="00DB0EA0" w14:paraId="7537ECC8"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6EB7D1D6" w14:textId="77777777" w:rsidR="00DB0EA0" w:rsidRPr="00D744CE" w:rsidRDefault="00DB0EA0" w:rsidP="009F1A48">
            <w:pPr>
              <w:spacing w:before="120" w:after="120" w:line="276" w:lineRule="auto"/>
              <w:rPr>
                <w:b w:val="0"/>
                <w:bCs w:val="0"/>
                <w:sz w:val="20"/>
                <w:szCs w:val="20"/>
              </w:rPr>
            </w:pPr>
            <w:r w:rsidRPr="00D744CE">
              <w:rPr>
                <w:b w:val="0"/>
                <w:bCs w:val="0"/>
                <w:sz w:val="20"/>
                <w:szCs w:val="20"/>
              </w:rPr>
              <w:lastRenderedPageBreak/>
              <w:t xml:space="preserve">Procurement </w:t>
            </w:r>
          </w:p>
        </w:tc>
        <w:tc>
          <w:tcPr>
            <w:tcW w:w="4234" w:type="dxa"/>
          </w:tcPr>
          <w:p w14:paraId="1CF9E060"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Procurement policy </w:t>
            </w:r>
          </w:p>
          <w:p w14:paraId="3921906D" w14:textId="28546D60"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One method for driving adoption across the supply chain is  that the request for standards and certification are passed on from customer to supplier via procurement requirements to implement a formal chain of custody across a full supply chain.  </w:t>
            </w:r>
          </w:p>
        </w:tc>
        <w:tc>
          <w:tcPr>
            <w:tcW w:w="1694" w:type="dxa"/>
            <w:shd w:val="clear" w:color="auto" w:fill="FFC000"/>
          </w:tcPr>
          <w:p w14:paraId="57AE7F5C"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4C05C7DE" w14:textId="621B01EF" w:rsidR="00DB0EA0" w:rsidRDefault="008945ED"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OSPAR highlights procurement as a key mechanism for driving uptake of standards and certification across the supply chain, by having customers require certified pellet-handling practices from the suppliers.  This is essentially creating a formal chain of custody driven by market demand.  </w:t>
            </w:r>
          </w:p>
          <w:p w14:paraId="18750B1F" w14:textId="1568625F" w:rsidR="008945ED" w:rsidRDefault="008945ED"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regulation (EU) 2025/2365 does not establish, mandate or incentivise such procurement-based mechanisms.</w:t>
            </w:r>
            <w:r w:rsidR="008122C3">
              <w:rPr>
                <w:sz w:val="20"/>
                <w:szCs w:val="20"/>
              </w:rPr>
              <w:t xml:space="preserve">  There is no requirement for purchasers of pellets, converters, brand-owners, retailers or downstream users to request certification from upstream suppliers.  Furthermore, there is no requirement for certified </w:t>
            </w:r>
            <w:r w:rsidR="00436AF2">
              <w:rPr>
                <w:sz w:val="20"/>
                <w:szCs w:val="20"/>
              </w:rPr>
              <w:t xml:space="preserve">economic </w:t>
            </w:r>
            <w:r w:rsidR="008122C3">
              <w:rPr>
                <w:sz w:val="20"/>
                <w:szCs w:val="20"/>
              </w:rPr>
              <w:t>operators</w:t>
            </w:r>
            <w:r w:rsidR="00436AF2">
              <w:rPr>
                <w:sz w:val="20"/>
                <w:szCs w:val="20"/>
              </w:rPr>
              <w:t xml:space="preserve"> or carriers</w:t>
            </w:r>
            <w:r w:rsidR="008122C3">
              <w:rPr>
                <w:sz w:val="20"/>
                <w:szCs w:val="20"/>
              </w:rPr>
              <w:t xml:space="preserve"> </w:t>
            </w:r>
            <w:r w:rsidR="00DA477E">
              <w:rPr>
                <w:sz w:val="20"/>
                <w:szCs w:val="20"/>
              </w:rPr>
              <w:t xml:space="preserve">to </w:t>
            </w:r>
            <w:r w:rsidR="008122C3">
              <w:rPr>
                <w:sz w:val="20"/>
                <w:szCs w:val="20"/>
              </w:rPr>
              <w:t xml:space="preserve">communicate compliance to customers.  </w:t>
            </w:r>
          </w:p>
          <w:p w14:paraId="0A6F91C5" w14:textId="05B95D65" w:rsidR="008122C3" w:rsidRPr="00452ABC" w:rsidRDefault="009A5354"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However,</w:t>
            </w:r>
            <w:r w:rsidR="008122C3">
              <w:rPr>
                <w:sz w:val="20"/>
                <w:szCs w:val="20"/>
              </w:rPr>
              <w:t xml:space="preserve"> the Regulation does create indirect enabling conditions: certification and risk management information is publicly accessible (</w:t>
            </w:r>
            <w:r w:rsidR="00436AF2">
              <w:rPr>
                <w:sz w:val="20"/>
                <w:szCs w:val="20"/>
              </w:rPr>
              <w:t>A</w:t>
            </w:r>
            <w:r w:rsidR="008122C3">
              <w:rPr>
                <w:sz w:val="20"/>
                <w:szCs w:val="20"/>
              </w:rPr>
              <w:t>rticle 11), meaning procurement teams could choose to use this information voluntar</w:t>
            </w:r>
            <w:r w:rsidR="00E0467F">
              <w:rPr>
                <w:sz w:val="20"/>
                <w:szCs w:val="20"/>
              </w:rPr>
              <w:t>il</w:t>
            </w:r>
            <w:r w:rsidR="008122C3">
              <w:rPr>
                <w:sz w:val="20"/>
                <w:szCs w:val="20"/>
              </w:rPr>
              <w:t xml:space="preserve">y.  But without any formal requirement, incentive or reference to sustainable procurement the Regulation does not actively use procurement as a driver for </w:t>
            </w:r>
            <w:r>
              <w:rPr>
                <w:sz w:val="20"/>
                <w:szCs w:val="20"/>
              </w:rPr>
              <w:t>certification</w:t>
            </w:r>
            <w:r w:rsidR="008122C3">
              <w:rPr>
                <w:sz w:val="20"/>
                <w:szCs w:val="20"/>
              </w:rPr>
              <w:t xml:space="preserve"> uptake. </w:t>
            </w:r>
            <w:r w:rsidR="009066DE">
              <w:rPr>
                <w:sz w:val="20"/>
                <w:szCs w:val="20"/>
              </w:rPr>
              <w:t xml:space="preserve"> </w:t>
            </w:r>
            <w:r w:rsidR="009066DE" w:rsidRPr="009066DE">
              <w:rPr>
                <w:sz w:val="20"/>
                <w:szCs w:val="20"/>
              </w:rPr>
              <w:t xml:space="preserve">While mandatory certification reduces the burden on procurement to drive compliance within the EU, it does not remove the need for it. </w:t>
            </w:r>
            <w:r w:rsidR="009066DE">
              <w:rPr>
                <w:sz w:val="20"/>
                <w:szCs w:val="20"/>
              </w:rPr>
              <w:t xml:space="preserve"> </w:t>
            </w:r>
            <w:r w:rsidR="009066DE" w:rsidRPr="009066DE">
              <w:rPr>
                <w:sz w:val="20"/>
                <w:szCs w:val="20"/>
              </w:rPr>
              <w:t>The Regulation's geographic scope is limited to EU Member States, leaving procurement as the main tool for influencing suppliers outside the Union, including the four OSPAR Contracting Parties that fall beyond EU jurisdiction.</w:t>
            </w:r>
            <w:r w:rsidR="009066DE">
              <w:rPr>
                <w:sz w:val="20"/>
                <w:szCs w:val="20"/>
              </w:rPr>
              <w:t xml:space="preserve"> </w:t>
            </w:r>
          </w:p>
        </w:tc>
      </w:tr>
      <w:tr w:rsidR="00DB0EA0" w14:paraId="00A68D16"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7D83BA06" w14:textId="77777777" w:rsidR="00DB0EA0" w:rsidRPr="00D744CE" w:rsidRDefault="00DB0EA0" w:rsidP="009F1A48">
            <w:pPr>
              <w:spacing w:before="120" w:after="120" w:line="276" w:lineRule="auto"/>
              <w:rPr>
                <w:b w:val="0"/>
                <w:bCs w:val="0"/>
                <w:sz w:val="20"/>
                <w:szCs w:val="20"/>
              </w:rPr>
            </w:pPr>
            <w:r w:rsidRPr="00D744CE">
              <w:rPr>
                <w:b w:val="0"/>
                <w:bCs w:val="0"/>
                <w:sz w:val="20"/>
                <w:szCs w:val="20"/>
              </w:rPr>
              <w:lastRenderedPageBreak/>
              <w:t xml:space="preserve">Communication </w:t>
            </w:r>
          </w:p>
        </w:tc>
        <w:tc>
          <w:tcPr>
            <w:tcW w:w="4234" w:type="dxa"/>
          </w:tcPr>
          <w:p w14:paraId="418484AC"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Internal and external communication of policies, implemented measures and expectations </w:t>
            </w:r>
          </w:p>
        </w:tc>
        <w:tc>
          <w:tcPr>
            <w:tcW w:w="1694" w:type="dxa"/>
            <w:shd w:val="clear" w:color="auto" w:fill="00B050"/>
          </w:tcPr>
          <w:p w14:paraId="13E28424"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06B49A8F" w14:textId="49F4B2A6" w:rsidR="00DB0EA0" w:rsidRDefault="00E5646D"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w:t>
            </w:r>
            <w:r w:rsidR="00675E42">
              <w:rPr>
                <w:sz w:val="20"/>
                <w:szCs w:val="20"/>
              </w:rPr>
              <w:t>R</w:t>
            </w:r>
            <w:r>
              <w:rPr>
                <w:sz w:val="20"/>
                <w:szCs w:val="20"/>
              </w:rPr>
              <w:t>egulation requires strong internal communication, including training and ensuring staff understand all procedures and responsibilities for prevention, containment and clean-up (Article 5(</w:t>
            </w:r>
            <w:r w:rsidR="00E0467F">
              <w:rPr>
                <w:sz w:val="20"/>
                <w:szCs w:val="20"/>
              </w:rPr>
              <w:t>6</w:t>
            </w:r>
            <w:r>
              <w:rPr>
                <w:sz w:val="20"/>
                <w:szCs w:val="20"/>
              </w:rPr>
              <w:t xml:space="preserve">)(a), Annex I, point 3(a)).  It also ensures external communication through mandatory public disclosure of risk management plans, certificates and compliance documents on a publicly accessible website (Article 11(1)), while protecting sensitive information (Article 11(2)).  </w:t>
            </w:r>
          </w:p>
          <w:p w14:paraId="66770FD0" w14:textId="60928CD5" w:rsidR="00E5646D" w:rsidRPr="00D042AF" w:rsidRDefault="00E5646D"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Although it does not require broader communication to customers or the wider supply chain</w:t>
            </w:r>
            <w:r w:rsidR="00DA477E">
              <w:rPr>
                <w:sz w:val="20"/>
                <w:szCs w:val="20"/>
              </w:rPr>
              <w:t>,</w:t>
            </w:r>
            <w:r>
              <w:rPr>
                <w:sz w:val="20"/>
                <w:szCs w:val="20"/>
              </w:rPr>
              <w:t xml:space="preserve"> it still largely meets </w:t>
            </w:r>
            <w:proofErr w:type="spellStart"/>
            <w:r>
              <w:rPr>
                <w:sz w:val="20"/>
                <w:szCs w:val="20"/>
              </w:rPr>
              <w:t>OSPAR’s</w:t>
            </w:r>
            <w:proofErr w:type="spellEnd"/>
            <w:r>
              <w:rPr>
                <w:sz w:val="20"/>
                <w:szCs w:val="20"/>
              </w:rPr>
              <w:t xml:space="preserve"> expectations for clear internal and external communication of policies and implemented measures.</w:t>
            </w:r>
          </w:p>
        </w:tc>
      </w:tr>
      <w:tr w:rsidR="00DB0EA0" w14:paraId="470D4408"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107F3566" w14:textId="77777777" w:rsidR="00DB0EA0" w:rsidRPr="00D744CE" w:rsidRDefault="00DB0EA0" w:rsidP="009F1A48">
            <w:pPr>
              <w:spacing w:before="120" w:after="120" w:line="276" w:lineRule="auto"/>
              <w:rPr>
                <w:b w:val="0"/>
                <w:bCs w:val="0"/>
                <w:sz w:val="20"/>
                <w:szCs w:val="20"/>
              </w:rPr>
            </w:pPr>
            <w:r w:rsidRPr="00D744CE">
              <w:rPr>
                <w:b w:val="0"/>
                <w:bCs w:val="0"/>
                <w:sz w:val="20"/>
                <w:szCs w:val="20"/>
              </w:rPr>
              <w:t xml:space="preserve">Performance evaluation </w:t>
            </w:r>
          </w:p>
        </w:tc>
        <w:tc>
          <w:tcPr>
            <w:tcW w:w="4234" w:type="dxa"/>
          </w:tcPr>
          <w:p w14:paraId="7B304A91"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w:t>
            </w:r>
            <w:r w:rsidRPr="007F6256">
              <w:rPr>
                <w:sz w:val="20"/>
                <w:szCs w:val="20"/>
              </w:rPr>
              <w:t>onitoring, internal and independent auditing to evaluate its pellet loss prevention measures and policies</w:t>
            </w:r>
            <w:r>
              <w:rPr>
                <w:sz w:val="20"/>
                <w:szCs w:val="20"/>
              </w:rPr>
              <w:t xml:space="preserve"> </w:t>
            </w:r>
          </w:p>
          <w:p w14:paraId="06A99115"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Estimate of the amount of pellet lost per year </w:t>
            </w:r>
          </w:p>
          <w:p w14:paraId="322F79D1"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Annual audits – documentation retained for 5-years </w:t>
            </w:r>
          </w:p>
        </w:tc>
        <w:tc>
          <w:tcPr>
            <w:tcW w:w="1694" w:type="dxa"/>
            <w:shd w:val="clear" w:color="auto" w:fill="00B050"/>
          </w:tcPr>
          <w:p w14:paraId="626120B0"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10CD27EF" w14:textId="1D284B2B" w:rsidR="00DB0EA0" w:rsidRDefault="00436AF2"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Economic o</w:t>
            </w:r>
            <w:r w:rsidR="004031EE">
              <w:rPr>
                <w:sz w:val="20"/>
                <w:szCs w:val="20"/>
              </w:rPr>
              <w:t>perators</w:t>
            </w:r>
            <w:r>
              <w:rPr>
                <w:sz w:val="20"/>
                <w:szCs w:val="20"/>
              </w:rPr>
              <w:t xml:space="preserve"> and carriers</w:t>
            </w:r>
            <w:r w:rsidR="004031EE">
              <w:rPr>
                <w:sz w:val="20"/>
                <w:szCs w:val="20"/>
              </w:rPr>
              <w:t xml:space="preserve"> are required to monitor their performance as they must keep annual estimates of pellet losses and total quantities handled (Article 5(6)(b)).  For medium-sized and large enterprises, the Regulation strengthens performance evaluation further by mandating annual internal assessments of compliance with the risk management plan (Article 5 (8)).</w:t>
            </w:r>
          </w:p>
          <w:p w14:paraId="7A83F79D" w14:textId="53442A7D" w:rsidR="004031EE" w:rsidRDefault="00F85F79"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Independent auditing is also built </w:t>
            </w:r>
            <w:r w:rsidR="005F5776">
              <w:rPr>
                <w:sz w:val="20"/>
                <w:szCs w:val="20"/>
              </w:rPr>
              <w:t xml:space="preserve">in.  For example, </w:t>
            </w:r>
            <w:r>
              <w:rPr>
                <w:sz w:val="20"/>
                <w:szCs w:val="20"/>
              </w:rPr>
              <w:t xml:space="preserve">installations handling </w:t>
            </w:r>
            <w:r w:rsidRPr="00F85F79">
              <w:rPr>
                <w:sz w:val="20"/>
                <w:szCs w:val="20"/>
              </w:rPr>
              <w:t>≥</w:t>
            </w:r>
            <w:r>
              <w:rPr>
                <w:sz w:val="20"/>
                <w:szCs w:val="20"/>
              </w:rPr>
              <w:t xml:space="preserve"> 1,500 tonnes per year must undergo periodic certification by accredited third-party certifiers </w:t>
            </w:r>
            <w:r w:rsidR="005F5776">
              <w:rPr>
                <w:sz w:val="20"/>
                <w:szCs w:val="20"/>
              </w:rPr>
              <w:t>who</w:t>
            </w:r>
            <w:r>
              <w:rPr>
                <w:sz w:val="20"/>
                <w:szCs w:val="20"/>
              </w:rPr>
              <w:t xml:space="preserve"> perform spot checks and certify conformity (Article 6(1)-(4)).  Documentation requirements are robust.  </w:t>
            </w:r>
            <w:r w:rsidR="00436AF2">
              <w:rPr>
                <w:sz w:val="20"/>
                <w:szCs w:val="20"/>
              </w:rPr>
              <w:t xml:space="preserve">Records must be retained for </w:t>
            </w:r>
            <w:r>
              <w:rPr>
                <w:sz w:val="20"/>
                <w:szCs w:val="20"/>
              </w:rPr>
              <w:t xml:space="preserve">five years, including loss estimates, internal assessments and documentation needed for certifiers and authorities (Article 5(6), Article 5(8)).  </w:t>
            </w:r>
          </w:p>
          <w:p w14:paraId="209674D8" w14:textId="42ECB3B1" w:rsidR="00F85F79" w:rsidRPr="00D042AF" w:rsidRDefault="00F85F79"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F85F79">
              <w:rPr>
                <w:sz w:val="20"/>
                <w:szCs w:val="20"/>
              </w:rPr>
              <w:t xml:space="preserve">Overall, the </w:t>
            </w:r>
            <w:r w:rsidR="000F044C">
              <w:rPr>
                <w:sz w:val="20"/>
                <w:szCs w:val="20"/>
              </w:rPr>
              <w:t>R</w:t>
            </w:r>
            <w:r w:rsidRPr="00F85F79">
              <w:rPr>
                <w:sz w:val="20"/>
                <w:szCs w:val="20"/>
              </w:rPr>
              <w:t>egulation provides a comprehensive framework for monitoring, internal review, third</w:t>
            </w:r>
            <w:r w:rsidRPr="00F85F79">
              <w:rPr>
                <w:rFonts w:ascii="Cambria Math" w:hAnsi="Cambria Math" w:cs="Cambria Math"/>
                <w:sz w:val="20"/>
                <w:szCs w:val="20"/>
              </w:rPr>
              <w:t>‑</w:t>
            </w:r>
            <w:r w:rsidRPr="00F85F79">
              <w:rPr>
                <w:sz w:val="20"/>
                <w:szCs w:val="20"/>
              </w:rPr>
              <w:t>party verification and long</w:t>
            </w:r>
            <w:r w:rsidRPr="00F85F79">
              <w:rPr>
                <w:rFonts w:ascii="Cambria Math" w:hAnsi="Cambria Math" w:cs="Cambria Math"/>
                <w:sz w:val="20"/>
                <w:szCs w:val="20"/>
              </w:rPr>
              <w:t>‑</w:t>
            </w:r>
            <w:r w:rsidRPr="00F85F79">
              <w:rPr>
                <w:sz w:val="20"/>
                <w:szCs w:val="20"/>
              </w:rPr>
              <w:t xml:space="preserve">term documentation, closely matching </w:t>
            </w:r>
            <w:proofErr w:type="spellStart"/>
            <w:r w:rsidRPr="00F85F79">
              <w:rPr>
                <w:sz w:val="20"/>
                <w:szCs w:val="20"/>
              </w:rPr>
              <w:t>OSPAR</w:t>
            </w:r>
            <w:r w:rsidRPr="00F85F79">
              <w:rPr>
                <w:rFonts w:ascii="Calibri" w:hAnsi="Calibri" w:cs="Calibri"/>
                <w:sz w:val="20"/>
                <w:szCs w:val="20"/>
              </w:rPr>
              <w:t>’</w:t>
            </w:r>
            <w:r w:rsidRPr="00F85F79">
              <w:rPr>
                <w:sz w:val="20"/>
                <w:szCs w:val="20"/>
              </w:rPr>
              <w:t>s</w:t>
            </w:r>
            <w:proofErr w:type="spellEnd"/>
            <w:r w:rsidRPr="00F85F79">
              <w:rPr>
                <w:sz w:val="20"/>
                <w:szCs w:val="20"/>
              </w:rPr>
              <w:t xml:space="preserve"> </w:t>
            </w:r>
            <w:r>
              <w:rPr>
                <w:sz w:val="20"/>
                <w:szCs w:val="20"/>
              </w:rPr>
              <w:t>Recommendation</w:t>
            </w:r>
            <w:r w:rsidRPr="00F85F79">
              <w:rPr>
                <w:sz w:val="20"/>
                <w:szCs w:val="20"/>
              </w:rPr>
              <w:t xml:space="preserve"> for performance evaluation.</w:t>
            </w:r>
          </w:p>
        </w:tc>
      </w:tr>
      <w:tr w:rsidR="00DB0EA0" w14:paraId="3638A39D"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62F7BE45" w14:textId="77777777" w:rsidR="00DB0EA0" w:rsidRPr="00D744CE" w:rsidRDefault="00DB0EA0" w:rsidP="009F1A48">
            <w:pPr>
              <w:spacing w:before="120" w:after="120" w:line="276" w:lineRule="auto"/>
              <w:rPr>
                <w:b w:val="0"/>
                <w:bCs w:val="0"/>
                <w:sz w:val="20"/>
                <w:szCs w:val="20"/>
              </w:rPr>
            </w:pPr>
            <w:r w:rsidRPr="00D744CE">
              <w:rPr>
                <w:b w:val="0"/>
                <w:bCs w:val="0"/>
                <w:sz w:val="20"/>
                <w:szCs w:val="20"/>
              </w:rPr>
              <w:lastRenderedPageBreak/>
              <w:t xml:space="preserve">Improvement </w:t>
            </w:r>
          </w:p>
        </w:tc>
        <w:tc>
          <w:tcPr>
            <w:tcW w:w="4234" w:type="dxa"/>
          </w:tcPr>
          <w:p w14:paraId="554B5553"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React to non-conformities: take action to rectify issues, demonstrate learning, corrective actions documented and retained for 5 years </w:t>
            </w:r>
          </w:p>
        </w:tc>
        <w:tc>
          <w:tcPr>
            <w:tcW w:w="1694" w:type="dxa"/>
            <w:shd w:val="clear" w:color="auto" w:fill="00B050"/>
          </w:tcPr>
          <w:p w14:paraId="46153F72"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253509C2" w14:textId="1E3C6C1E" w:rsidR="00DB0EA0" w:rsidRDefault="000F044C" w:rsidP="00436AF2">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Non-conformities must be reacted to promptly.  This includes informing authorities, taking necessary measures to restore compliance and implementing any additional corrective actions imposed by the competent authority (Article 15(1)).  </w:t>
            </w:r>
          </w:p>
          <w:p w14:paraId="30F5C1AA" w14:textId="23F874F9" w:rsidR="000F044C" w:rsidRDefault="000F044C" w:rsidP="00436AF2">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Where a nonconformity presents an immediate danger or results in significant loss, authorities may even suspend operations until corrective measures are completed (Article 15(2)), reinforcing the expectation that issues must be rectified without delay.  </w:t>
            </w:r>
          </w:p>
          <w:p w14:paraId="220E9BC8" w14:textId="4B765BAD" w:rsidR="000F044C" w:rsidRDefault="000F044C" w:rsidP="00436AF2">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Corrective actions are also inherently documented and retained, as economic operators and carriers must keep records of annual loss estimates, internal assessments and compliance related documentation for five years (Article </w:t>
            </w:r>
            <w:r w:rsidR="00E0467F">
              <w:rPr>
                <w:sz w:val="20"/>
                <w:szCs w:val="20"/>
              </w:rPr>
              <w:t>5</w:t>
            </w:r>
            <w:r>
              <w:rPr>
                <w:sz w:val="20"/>
                <w:szCs w:val="20"/>
              </w:rPr>
              <w:t xml:space="preserve">(6), Article 5(8)).  This record keeping ensures that evidence of learning and improvements is available for both internal review and external verification.    </w:t>
            </w:r>
          </w:p>
          <w:p w14:paraId="1C2E45CE" w14:textId="74D64D85" w:rsidR="000F044C" w:rsidRPr="00D042AF" w:rsidRDefault="000F044C" w:rsidP="000F044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provides a strong framework for identifying nonconformities, taking corrective action, documenting responses and maintaining records supporting </w:t>
            </w:r>
            <w:proofErr w:type="spellStart"/>
            <w:r>
              <w:rPr>
                <w:sz w:val="20"/>
                <w:szCs w:val="20"/>
              </w:rPr>
              <w:t>OSPAR’s</w:t>
            </w:r>
            <w:proofErr w:type="spellEnd"/>
            <w:r>
              <w:rPr>
                <w:sz w:val="20"/>
                <w:szCs w:val="20"/>
              </w:rPr>
              <w:t xml:space="preserve"> Recommendation for continual improvement.  </w:t>
            </w:r>
          </w:p>
        </w:tc>
      </w:tr>
      <w:tr w:rsidR="00DB0EA0" w14:paraId="5AA87E3F" w14:textId="77777777" w:rsidTr="00DE35B0">
        <w:tc>
          <w:tcPr>
            <w:cnfStyle w:val="001000000000" w:firstRow="0" w:lastRow="0" w:firstColumn="1" w:lastColumn="0" w:oddVBand="0" w:evenVBand="0" w:oddHBand="0" w:evenHBand="0" w:firstRowFirstColumn="0" w:firstRowLastColumn="0" w:lastRowFirstColumn="0" w:lastRowLastColumn="0"/>
            <w:tcW w:w="15388" w:type="dxa"/>
            <w:gridSpan w:val="4"/>
            <w:shd w:val="clear" w:color="auto" w:fill="DEEAF6" w:themeFill="accent5" w:themeFillTint="33"/>
          </w:tcPr>
          <w:p w14:paraId="35E98538" w14:textId="77777777" w:rsidR="00DB0EA0" w:rsidRPr="007A557D" w:rsidRDefault="00DB0EA0" w:rsidP="009F1A48">
            <w:pPr>
              <w:spacing w:before="120" w:after="120" w:line="276" w:lineRule="auto"/>
              <w:rPr>
                <w:sz w:val="20"/>
                <w:szCs w:val="20"/>
              </w:rPr>
            </w:pPr>
            <w:r w:rsidRPr="007A557D">
              <w:rPr>
                <w:sz w:val="20"/>
                <w:szCs w:val="20"/>
              </w:rPr>
              <w:t xml:space="preserve">Minimum requirements for </w:t>
            </w:r>
            <w:r>
              <w:rPr>
                <w:sz w:val="20"/>
                <w:szCs w:val="20"/>
              </w:rPr>
              <w:t>a certification scheme</w:t>
            </w:r>
          </w:p>
        </w:tc>
      </w:tr>
      <w:tr w:rsidR="00DB0EA0" w14:paraId="6B39F6A9" w14:textId="77777777" w:rsidTr="00885B9A">
        <w:tc>
          <w:tcPr>
            <w:cnfStyle w:val="001000000000" w:firstRow="0" w:lastRow="0" w:firstColumn="1" w:lastColumn="0" w:oddVBand="0" w:evenVBand="0" w:oddHBand="0" w:evenHBand="0" w:firstRowFirstColumn="0" w:firstRowLastColumn="0" w:lastRowFirstColumn="0" w:lastRowLastColumn="0"/>
            <w:tcW w:w="2356" w:type="dxa"/>
          </w:tcPr>
          <w:p w14:paraId="0D002CFA" w14:textId="77777777" w:rsidR="00DB0EA0" w:rsidRPr="00BF2BE5" w:rsidRDefault="00DB0EA0" w:rsidP="009F1A48">
            <w:pPr>
              <w:spacing w:before="120" w:after="120" w:line="276" w:lineRule="auto"/>
              <w:rPr>
                <w:b w:val="0"/>
                <w:bCs w:val="0"/>
                <w:sz w:val="20"/>
                <w:szCs w:val="20"/>
              </w:rPr>
            </w:pPr>
            <w:r w:rsidRPr="00BF2BE5">
              <w:rPr>
                <w:b w:val="0"/>
                <w:bCs w:val="0"/>
                <w:sz w:val="20"/>
                <w:szCs w:val="20"/>
              </w:rPr>
              <w:t xml:space="preserve">Operate internationally  </w:t>
            </w:r>
          </w:p>
        </w:tc>
        <w:tc>
          <w:tcPr>
            <w:tcW w:w="4234" w:type="dxa"/>
          </w:tcPr>
          <w:p w14:paraId="5ACA307C"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Level playing field between countries </w:t>
            </w:r>
          </w:p>
        </w:tc>
        <w:tc>
          <w:tcPr>
            <w:tcW w:w="1694" w:type="dxa"/>
            <w:shd w:val="clear" w:color="auto" w:fill="FFC000"/>
          </w:tcPr>
          <w:p w14:paraId="19B2F1B2"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24206F3B" w14:textId="77777777" w:rsidR="00DB0EA0" w:rsidRDefault="00101A95"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Regulation (EU) 2025/2365 establishes uniform, directly applicable rules across all EU Member States which creates a consistent regulatory baseline and prevents national disparities.  </w:t>
            </w:r>
          </w:p>
          <w:p w14:paraId="60D878C2" w14:textId="77777777" w:rsidR="00101A95" w:rsidRDefault="00101A95"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As it is an EU regulation (not a directive), its requirements apply identically in every Member State without needing national transposition (Article 26).  This ensures that all pellet-handling operators, carriers and shippers are subject to the same </w:t>
            </w:r>
            <w:r>
              <w:rPr>
                <w:sz w:val="20"/>
                <w:szCs w:val="20"/>
              </w:rPr>
              <w:lastRenderedPageBreak/>
              <w:t xml:space="preserve">standards for prevention, containment, clean-up, certification, record-keeping, transparency and enforcement, regardless of where in the EU they operate.  </w:t>
            </w:r>
          </w:p>
          <w:p w14:paraId="62EBAE24" w14:textId="77777777" w:rsidR="00101A95" w:rsidRDefault="00E93334"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Regulation also explicitly aims to avoid the ‘</w:t>
            </w:r>
            <w:r w:rsidRPr="00E93334">
              <w:rPr>
                <w:i/>
                <w:iCs/>
                <w:sz w:val="20"/>
                <w:szCs w:val="20"/>
              </w:rPr>
              <w:t>patchwork of national restrictions</w:t>
            </w:r>
            <w:r>
              <w:rPr>
                <w:sz w:val="20"/>
                <w:szCs w:val="20"/>
              </w:rPr>
              <w:t>’ that previously existed (Recital 6), harmonised risk-management requirements (Article 5, Annex I) and harmonised reporting and transparency obligations (Article 11).</w:t>
            </w:r>
          </w:p>
          <w:p w14:paraId="7A651E5D" w14:textId="77777777" w:rsidR="008A70BF" w:rsidRDefault="00E93334"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Furthermore, the requirement for harmonised standards developed under Regulation 1025/2012 </w:t>
            </w:r>
            <w:r w:rsidR="008A70BF">
              <w:rPr>
                <w:sz w:val="20"/>
                <w:szCs w:val="20"/>
              </w:rPr>
              <w:t xml:space="preserve">(article 18) ensures that technical methodologies used across Member States are consistent and jointly agreed, reinforcing fairness and comparability across borders. </w:t>
            </w:r>
          </w:p>
          <w:p w14:paraId="00EEFBAE" w14:textId="2377C068" w:rsidR="00A94E4A" w:rsidRPr="00136623" w:rsidRDefault="00A94E4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A94E4A">
              <w:rPr>
                <w:sz w:val="20"/>
                <w:szCs w:val="20"/>
              </w:rPr>
              <w:t>This uniformity operates inside the Union.  The Guidelines ask for a scheme that ‘</w:t>
            </w:r>
            <w:r w:rsidRPr="00885B9A">
              <w:rPr>
                <w:i/>
                <w:iCs/>
                <w:sz w:val="20"/>
                <w:szCs w:val="20"/>
              </w:rPr>
              <w:t>would ideally operate internationally, ensuring a level playing field between countries</w:t>
            </w:r>
            <w:r w:rsidRPr="00A94E4A">
              <w:rPr>
                <w:sz w:val="20"/>
                <w:szCs w:val="20"/>
              </w:rPr>
              <w:t xml:space="preserve">’ (Guidelines 3.2), and </w:t>
            </w:r>
            <w:proofErr w:type="spellStart"/>
            <w:r w:rsidRPr="00A94E4A">
              <w:rPr>
                <w:sz w:val="20"/>
                <w:szCs w:val="20"/>
              </w:rPr>
              <w:t>OSPAR’s</w:t>
            </w:r>
            <w:proofErr w:type="spellEnd"/>
            <w:r w:rsidRPr="00A94E4A">
              <w:rPr>
                <w:sz w:val="20"/>
                <w:szCs w:val="20"/>
              </w:rPr>
              <w:t xml:space="preserve"> maritime area includes four Contracting Parties that are not EU Member States.  The Regulation cannot create a level playing field with them, so this requirement is met within the EU rather than across the OSPAR region.</w:t>
            </w:r>
          </w:p>
        </w:tc>
      </w:tr>
      <w:tr w:rsidR="00DB0EA0" w14:paraId="2607AF51" w14:textId="77777777" w:rsidTr="00885B9A">
        <w:tc>
          <w:tcPr>
            <w:cnfStyle w:val="001000000000" w:firstRow="0" w:lastRow="0" w:firstColumn="1" w:lastColumn="0" w:oddVBand="0" w:evenVBand="0" w:oddHBand="0" w:evenHBand="0" w:firstRowFirstColumn="0" w:firstRowLastColumn="0" w:lastRowFirstColumn="0" w:lastRowLastColumn="0"/>
            <w:tcW w:w="2356" w:type="dxa"/>
          </w:tcPr>
          <w:p w14:paraId="29B890EE" w14:textId="77777777" w:rsidR="00DB0EA0" w:rsidRPr="00BF2BE5" w:rsidRDefault="00DB0EA0" w:rsidP="009F1A48">
            <w:pPr>
              <w:spacing w:before="120" w:after="120" w:line="276" w:lineRule="auto"/>
              <w:rPr>
                <w:b w:val="0"/>
                <w:bCs w:val="0"/>
                <w:sz w:val="20"/>
                <w:szCs w:val="20"/>
              </w:rPr>
            </w:pPr>
            <w:r w:rsidRPr="00BF2BE5">
              <w:rPr>
                <w:b w:val="0"/>
                <w:bCs w:val="0"/>
                <w:sz w:val="20"/>
                <w:szCs w:val="20"/>
              </w:rPr>
              <w:lastRenderedPageBreak/>
              <w:t>Transparent platform</w:t>
            </w:r>
          </w:p>
        </w:tc>
        <w:tc>
          <w:tcPr>
            <w:tcW w:w="4234" w:type="dxa"/>
          </w:tcPr>
          <w:p w14:paraId="289CD041"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Where the a</w:t>
            </w:r>
            <w:r w:rsidRPr="000B20FD">
              <w:rPr>
                <w:sz w:val="20"/>
                <w:szCs w:val="20"/>
              </w:rPr>
              <w:t>chievement of all businesses that are externally audited against an agreed standard recognised</w:t>
            </w:r>
          </w:p>
          <w:p w14:paraId="22EE26A1"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Public registry </w:t>
            </w:r>
          </w:p>
          <w:p w14:paraId="254CC03D"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Pr="00515F04">
              <w:rPr>
                <w:sz w:val="20"/>
                <w:szCs w:val="20"/>
              </w:rPr>
              <w:t xml:space="preserve">ombination of the Register and the broader certification scheme requirements, including site application, auditing, governance structure and </w:t>
            </w:r>
            <w:r w:rsidRPr="00515F04">
              <w:rPr>
                <w:sz w:val="20"/>
                <w:szCs w:val="20"/>
              </w:rPr>
              <w:lastRenderedPageBreak/>
              <w:t>management that form a transparent, well managed and effective certification scheme</w:t>
            </w:r>
          </w:p>
        </w:tc>
        <w:tc>
          <w:tcPr>
            <w:tcW w:w="1694" w:type="dxa"/>
            <w:shd w:val="clear" w:color="auto" w:fill="FFC000"/>
          </w:tcPr>
          <w:p w14:paraId="0C779E28"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0DA4ACF1" w14:textId="16A7DFBB" w:rsidR="00DB0EA0" w:rsidRDefault="00EE0D0B"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requires that all medium, large and certain small-sized pellet handling installations </w:t>
            </w:r>
            <w:r w:rsidR="00271E01">
              <w:rPr>
                <w:sz w:val="20"/>
                <w:szCs w:val="20"/>
              </w:rPr>
              <w:t xml:space="preserve">handling </w:t>
            </w:r>
            <w:r w:rsidR="00271E01">
              <w:rPr>
                <w:rFonts w:cstheme="minorHAnsi"/>
                <w:sz w:val="20"/>
                <w:szCs w:val="20"/>
              </w:rPr>
              <w:t>≥</w:t>
            </w:r>
            <w:r w:rsidR="00C840B2">
              <w:rPr>
                <w:sz w:val="20"/>
                <w:szCs w:val="20"/>
              </w:rPr>
              <w:t xml:space="preserve"> 1,500 tonnes a year </w:t>
            </w:r>
            <w:r>
              <w:rPr>
                <w:sz w:val="20"/>
                <w:szCs w:val="20"/>
              </w:rPr>
              <w:t xml:space="preserve">are externally audited by independent, accredited certifiers who verify compliance against </w:t>
            </w:r>
            <w:r w:rsidR="00C840B2">
              <w:rPr>
                <w:sz w:val="20"/>
                <w:szCs w:val="20"/>
              </w:rPr>
              <w:t>the Regulation</w:t>
            </w:r>
            <w:r>
              <w:rPr>
                <w:sz w:val="20"/>
                <w:szCs w:val="20"/>
              </w:rPr>
              <w:t xml:space="preserve"> (Article 6, Article 2(15), Article 9)</w:t>
            </w:r>
            <w:r w:rsidR="00DA477E">
              <w:rPr>
                <w:sz w:val="20"/>
                <w:szCs w:val="20"/>
              </w:rPr>
              <w:t xml:space="preserve">.  This ensures </w:t>
            </w:r>
            <w:r>
              <w:rPr>
                <w:sz w:val="20"/>
                <w:szCs w:val="20"/>
              </w:rPr>
              <w:t xml:space="preserve">consistent assessment across all audited businesses.  </w:t>
            </w:r>
          </w:p>
          <w:p w14:paraId="68026094" w14:textId="77777777" w:rsidR="00EE0D0B" w:rsidRDefault="00336B05"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It also establishes a public registry function, as competent authorities must publish risk management plans, self-declarations, certificates and permit information on a </w:t>
            </w:r>
            <w:r>
              <w:rPr>
                <w:sz w:val="20"/>
                <w:szCs w:val="20"/>
              </w:rPr>
              <w:lastRenderedPageBreak/>
              <w:t xml:space="preserve">freely accessible website (Article 11(1)), creating clear public visibility of which installations have been certified or assessed.  </w:t>
            </w:r>
          </w:p>
          <w:p w14:paraId="49CB3C67" w14:textId="77777777" w:rsidR="00336B05" w:rsidRDefault="00526DCD"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 combination with the harmonised requirements, such as standardised site applications via risk management plans (Article 5(1), mandatory auditing and spot-checks (Article 6(4)) and defined governance structures involving accredited certifiers and competent authorities (Article 9, Article 16), the Regulation provides a transparent, well-managed and effective certification system.  It also ensures consistency across countries by applying uniform requirements and publicly available compliance information.  </w:t>
            </w:r>
          </w:p>
          <w:p w14:paraId="6ED2BF74" w14:textId="413EC148" w:rsidR="001A1EBA" w:rsidRPr="00D042AF" w:rsidRDefault="0039275D"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39275D">
              <w:rPr>
                <w:sz w:val="20"/>
                <w:szCs w:val="20"/>
              </w:rPr>
              <w:t>The Regulation does not deliver the Register itself.  Publication is split across national websites with no common data format, the Commission publishes only the list of those websites (Article 11(3)), and the tonnage handled at an installation is withheld (Article 11(2)).  A buyer can verify a named supplier; nobody can query the system as a whole.  This is assessed as partially met, consistent with the Database, Governance and Register rows below.</w:t>
            </w:r>
          </w:p>
        </w:tc>
      </w:tr>
      <w:tr w:rsidR="00DB0EA0" w14:paraId="3E6DBAFC" w14:textId="77777777" w:rsidTr="00DE35B0">
        <w:tc>
          <w:tcPr>
            <w:cnfStyle w:val="001000000000" w:firstRow="0" w:lastRow="0" w:firstColumn="1" w:lastColumn="0" w:oddVBand="0" w:evenVBand="0" w:oddHBand="0" w:evenHBand="0" w:firstRowFirstColumn="0" w:firstRowLastColumn="0" w:lastRowFirstColumn="0" w:lastRowLastColumn="0"/>
            <w:tcW w:w="15388" w:type="dxa"/>
            <w:gridSpan w:val="4"/>
            <w:shd w:val="clear" w:color="auto" w:fill="F2F2F2" w:themeFill="background1" w:themeFillShade="F2"/>
          </w:tcPr>
          <w:p w14:paraId="0FDD78BE" w14:textId="77777777" w:rsidR="00DB0EA0" w:rsidRPr="00136623" w:rsidRDefault="00DB0EA0" w:rsidP="009F1A48">
            <w:pPr>
              <w:spacing w:before="120" w:after="120" w:line="276" w:lineRule="auto"/>
              <w:rPr>
                <w:sz w:val="20"/>
                <w:szCs w:val="20"/>
              </w:rPr>
            </w:pPr>
            <w:r>
              <w:rPr>
                <w:sz w:val="20"/>
                <w:szCs w:val="20"/>
              </w:rPr>
              <w:lastRenderedPageBreak/>
              <w:t>Essential Requirements – Phase 1</w:t>
            </w:r>
          </w:p>
        </w:tc>
      </w:tr>
      <w:tr w:rsidR="00DB0EA0" w14:paraId="093DB5D8"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12AB2499" w14:textId="77777777" w:rsidR="00DB0EA0" w:rsidRPr="00BF2BE5" w:rsidRDefault="00DB0EA0" w:rsidP="009F1A48">
            <w:pPr>
              <w:spacing w:before="120" w:after="120" w:line="276" w:lineRule="auto"/>
              <w:rPr>
                <w:b w:val="0"/>
                <w:bCs w:val="0"/>
                <w:sz w:val="20"/>
                <w:szCs w:val="20"/>
              </w:rPr>
            </w:pPr>
            <w:r w:rsidRPr="00BF2BE5">
              <w:rPr>
                <w:b w:val="0"/>
                <w:bCs w:val="0"/>
                <w:sz w:val="20"/>
                <w:szCs w:val="20"/>
              </w:rPr>
              <w:t>Database</w:t>
            </w:r>
          </w:p>
        </w:tc>
        <w:tc>
          <w:tcPr>
            <w:tcW w:w="4234" w:type="dxa"/>
          </w:tcPr>
          <w:p w14:paraId="4AA7CD42"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Database system that forms a Register </w:t>
            </w:r>
          </w:p>
          <w:p w14:paraId="227A485A"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International </w:t>
            </w:r>
          </w:p>
          <w:p w14:paraId="48366356"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Updated annually </w:t>
            </w:r>
          </w:p>
        </w:tc>
        <w:tc>
          <w:tcPr>
            <w:tcW w:w="1694" w:type="dxa"/>
            <w:shd w:val="clear" w:color="auto" w:fill="FFC000"/>
          </w:tcPr>
          <w:p w14:paraId="698DAE62"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6BBE13B0" w14:textId="77777777" w:rsidR="00DB0EA0" w:rsidRDefault="00981C05" w:rsidP="00D042AF">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OSPAR Guidelines detail a database system forming a register, one that is international in scope and updated annually.  The Regulation specifies some of these features, but not all.  </w:t>
            </w:r>
          </w:p>
          <w:p w14:paraId="269CC1C0" w14:textId="77777777" w:rsidR="00981C05" w:rsidRDefault="00981C05" w:rsidP="00981C05">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Alignment with the Recommendation includes: </w:t>
            </w:r>
          </w:p>
          <w:p w14:paraId="569E98AF" w14:textId="4AF972DD" w:rsidR="00981C05" w:rsidRDefault="00981C05" w:rsidP="00FC58CE">
            <w:pPr>
              <w:pStyle w:val="ListParagraph"/>
              <w:numPr>
                <w:ilvl w:val="0"/>
                <w:numId w:val="18"/>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requirement for competent authorities in each Member State to publish a wide range of compliance information on a publicly available website (Article 11(1))</w:t>
            </w:r>
          </w:p>
          <w:p w14:paraId="5F9FDC87" w14:textId="70FB7AAA" w:rsidR="00981C05" w:rsidRDefault="00981C05" w:rsidP="00FC58CE">
            <w:pPr>
              <w:pStyle w:val="ListParagraph"/>
              <w:numPr>
                <w:ilvl w:val="0"/>
                <w:numId w:val="18"/>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The European Commission must also publish lists of national websites and designated authorised representatives of non-EU carriers (Article 11(3)-(4)</w:t>
            </w:r>
            <w:r w:rsidR="0039275D">
              <w:rPr>
                <w:sz w:val="20"/>
                <w:szCs w:val="20"/>
              </w:rPr>
              <w:t>)</w:t>
            </w:r>
            <w:r>
              <w:rPr>
                <w:sz w:val="20"/>
                <w:szCs w:val="20"/>
              </w:rPr>
              <w:t xml:space="preserve"> </w:t>
            </w:r>
          </w:p>
          <w:p w14:paraId="2C21ED2A" w14:textId="1F89B16A" w:rsidR="00981C05" w:rsidRDefault="00981C05" w:rsidP="00FC58CE">
            <w:pPr>
              <w:pStyle w:val="ListParagraph"/>
              <w:numPr>
                <w:ilvl w:val="0"/>
                <w:numId w:val="18"/>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These public databases function as </w:t>
            </w:r>
            <w:r w:rsidR="003354A2">
              <w:rPr>
                <w:sz w:val="20"/>
                <w:szCs w:val="20"/>
              </w:rPr>
              <w:t xml:space="preserve">a partial </w:t>
            </w:r>
            <w:r>
              <w:rPr>
                <w:sz w:val="20"/>
                <w:szCs w:val="20"/>
              </w:rPr>
              <w:t>register, showing which installations are notified, certified or permitted</w:t>
            </w:r>
          </w:p>
          <w:p w14:paraId="76C234FB" w14:textId="77777777" w:rsidR="00981C05" w:rsidRDefault="00827C77" w:rsidP="00981C05">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Areas of divergence include: </w:t>
            </w:r>
          </w:p>
          <w:p w14:paraId="749E954C" w14:textId="77777777" w:rsidR="00827C77" w:rsidRDefault="00827C77" w:rsidP="00FC58CE">
            <w:pPr>
              <w:pStyle w:val="ListParagraph"/>
              <w:numPr>
                <w:ilvl w:val="0"/>
                <w:numId w:val="19"/>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single EU-wide or international register as the Regulation creates national databases managed by individual Member States not one unified, EU-level or international register </w:t>
            </w:r>
          </w:p>
          <w:p w14:paraId="5211DCB1" w14:textId="77777777" w:rsidR="00827C77" w:rsidRDefault="00827C77" w:rsidP="00FC58CE">
            <w:pPr>
              <w:pStyle w:val="ListParagraph"/>
              <w:numPr>
                <w:ilvl w:val="0"/>
                <w:numId w:val="19"/>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requirement for an annually updated consolidated register </w:t>
            </w:r>
          </w:p>
          <w:p w14:paraId="17CF5D5F" w14:textId="0067E336" w:rsidR="00827C77" w:rsidRPr="00827C77" w:rsidRDefault="00827C77" w:rsidP="00FC58CE">
            <w:pPr>
              <w:pStyle w:val="ListParagraph"/>
              <w:numPr>
                <w:ilvl w:val="0"/>
                <w:numId w:val="19"/>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dedicated formal ‘register’ as described by OSPAR</w:t>
            </w:r>
            <w:r w:rsidR="0039275D">
              <w:rPr>
                <w:sz w:val="20"/>
                <w:szCs w:val="20"/>
              </w:rPr>
              <w:t xml:space="preserve">.  </w:t>
            </w:r>
            <w:r w:rsidR="0039275D" w:rsidRPr="0039275D">
              <w:rPr>
                <w:sz w:val="20"/>
                <w:szCs w:val="20"/>
              </w:rPr>
              <w:t>The Guidelines anticipate a single searchable Register, international in scope, ultimately holding tens of thousands of company sites (Guidelines 3.2 and 3.2.1(a)).  Article 11 produces national websites with no common data format and no search requirement, and the Commission’s role is limited to publishing the list of those sites (Article 11(3))</w:t>
            </w:r>
          </w:p>
        </w:tc>
      </w:tr>
      <w:tr w:rsidR="00DB0EA0" w14:paraId="0749647F"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1F75D904" w14:textId="77777777" w:rsidR="00DB0EA0" w:rsidRPr="00BF2BE5" w:rsidRDefault="00DB0EA0" w:rsidP="009F1A48">
            <w:pPr>
              <w:spacing w:before="120" w:after="120" w:line="276" w:lineRule="auto"/>
              <w:rPr>
                <w:b w:val="0"/>
                <w:bCs w:val="0"/>
                <w:sz w:val="20"/>
                <w:szCs w:val="20"/>
              </w:rPr>
            </w:pPr>
            <w:r w:rsidRPr="00BF2BE5">
              <w:rPr>
                <w:b w:val="0"/>
                <w:bCs w:val="0"/>
                <w:sz w:val="20"/>
                <w:szCs w:val="20"/>
              </w:rPr>
              <w:lastRenderedPageBreak/>
              <w:t xml:space="preserve">Development, management and governance of the certification scheme </w:t>
            </w:r>
          </w:p>
        </w:tc>
        <w:tc>
          <w:tcPr>
            <w:tcW w:w="4234" w:type="dxa"/>
          </w:tcPr>
          <w:p w14:paraId="0713351D"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Scheme and Register developed and managed by an independent organisation</w:t>
            </w:r>
          </w:p>
          <w:p w14:paraId="06E95807"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Industry association can fill role with oversight of a </w:t>
            </w:r>
            <w:r w:rsidRPr="00580B76">
              <w:rPr>
                <w:sz w:val="20"/>
                <w:szCs w:val="20"/>
              </w:rPr>
              <w:t>Governance Board to provide scrutiny</w:t>
            </w:r>
          </w:p>
          <w:p w14:paraId="40E2CAC0"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955E1">
              <w:rPr>
                <w:b/>
                <w:bCs/>
                <w:sz w:val="20"/>
                <w:szCs w:val="20"/>
              </w:rPr>
              <w:t>Governance Board</w:t>
            </w:r>
            <w:r>
              <w:rPr>
                <w:sz w:val="20"/>
                <w:szCs w:val="20"/>
              </w:rPr>
              <w:t xml:space="preserve">: </w:t>
            </w:r>
            <w:r w:rsidRPr="00580B76">
              <w:rPr>
                <w:sz w:val="20"/>
                <w:szCs w:val="20"/>
              </w:rPr>
              <w:t>independent multi-stakeholder</w:t>
            </w:r>
            <w:r>
              <w:rPr>
                <w:sz w:val="20"/>
                <w:szCs w:val="20"/>
              </w:rPr>
              <w:t xml:space="preserve"> </w:t>
            </w:r>
            <w:r w:rsidRPr="00580B76">
              <w:rPr>
                <w:sz w:val="20"/>
                <w:szCs w:val="20"/>
              </w:rPr>
              <w:t>group of experts from industry, NGOs, policy makers and certification bodies</w:t>
            </w:r>
            <w:r>
              <w:rPr>
                <w:sz w:val="20"/>
                <w:szCs w:val="20"/>
              </w:rPr>
              <w:t xml:space="preserve">.  Take decisions on critical aspects </w:t>
            </w:r>
          </w:p>
          <w:p w14:paraId="57890928"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955E1">
              <w:rPr>
                <w:b/>
                <w:bCs/>
                <w:sz w:val="20"/>
                <w:szCs w:val="20"/>
              </w:rPr>
              <w:lastRenderedPageBreak/>
              <w:t>Scheme Manager</w:t>
            </w:r>
            <w:r>
              <w:rPr>
                <w:sz w:val="20"/>
                <w:szCs w:val="20"/>
              </w:rPr>
              <w:t xml:space="preserve">: </w:t>
            </w:r>
            <w:r w:rsidRPr="00D955E1">
              <w:rPr>
                <w:sz w:val="20"/>
                <w:szCs w:val="20"/>
              </w:rPr>
              <w:t>responsible for the day-to-day running of the scheme</w:t>
            </w:r>
          </w:p>
        </w:tc>
        <w:tc>
          <w:tcPr>
            <w:tcW w:w="1694" w:type="dxa"/>
            <w:shd w:val="clear" w:color="auto" w:fill="FFC000"/>
          </w:tcPr>
          <w:p w14:paraId="3F312277"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3C23ED9B" w14:textId="77777777" w:rsidR="002C4650" w:rsidRDefault="005C2CB6" w:rsidP="005C2CB6">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5C2CB6">
              <w:rPr>
                <w:sz w:val="20"/>
                <w:szCs w:val="20"/>
              </w:rPr>
              <w:t xml:space="preserve">The </w:t>
            </w:r>
            <w:r>
              <w:rPr>
                <w:sz w:val="20"/>
                <w:szCs w:val="20"/>
              </w:rPr>
              <w:t>r</w:t>
            </w:r>
            <w:r w:rsidRPr="005C2CB6">
              <w:rPr>
                <w:sz w:val="20"/>
                <w:szCs w:val="20"/>
              </w:rPr>
              <w:t>egulation includes a requirement for independent certifiers, who must be accredited third</w:t>
            </w:r>
            <w:r w:rsidRPr="005C2CB6">
              <w:rPr>
                <w:rFonts w:ascii="Cambria Math" w:hAnsi="Cambria Math" w:cs="Cambria Math"/>
                <w:sz w:val="20"/>
                <w:szCs w:val="20"/>
              </w:rPr>
              <w:t>‑</w:t>
            </w:r>
            <w:r w:rsidRPr="005C2CB6">
              <w:rPr>
                <w:sz w:val="20"/>
                <w:szCs w:val="20"/>
              </w:rPr>
              <w:t>party bodies and operate free from conflicts of interest (Art</w:t>
            </w:r>
            <w:r>
              <w:rPr>
                <w:sz w:val="20"/>
                <w:szCs w:val="20"/>
              </w:rPr>
              <w:t>icle</w:t>
            </w:r>
            <w:r w:rsidRPr="005C2CB6">
              <w:rPr>
                <w:rFonts w:ascii="Calibri" w:hAnsi="Calibri" w:cs="Calibri"/>
                <w:sz w:val="20"/>
                <w:szCs w:val="20"/>
              </w:rPr>
              <w:t> </w:t>
            </w:r>
            <w:r w:rsidRPr="005C2CB6">
              <w:rPr>
                <w:sz w:val="20"/>
                <w:szCs w:val="20"/>
              </w:rPr>
              <w:t>2(15); Art</w:t>
            </w:r>
            <w:r>
              <w:rPr>
                <w:sz w:val="20"/>
                <w:szCs w:val="20"/>
              </w:rPr>
              <w:t>icle</w:t>
            </w:r>
            <w:r w:rsidRPr="005C2CB6">
              <w:rPr>
                <w:rFonts w:ascii="Calibri" w:hAnsi="Calibri" w:cs="Calibri"/>
                <w:sz w:val="20"/>
                <w:szCs w:val="20"/>
              </w:rPr>
              <w:t> </w:t>
            </w:r>
            <w:r w:rsidRPr="005C2CB6">
              <w:rPr>
                <w:sz w:val="20"/>
                <w:szCs w:val="20"/>
              </w:rPr>
              <w:t xml:space="preserve">9). </w:t>
            </w:r>
            <w:r>
              <w:rPr>
                <w:sz w:val="20"/>
                <w:szCs w:val="20"/>
              </w:rPr>
              <w:t xml:space="preserve"> </w:t>
            </w:r>
            <w:r w:rsidRPr="005C2CB6">
              <w:rPr>
                <w:sz w:val="20"/>
                <w:szCs w:val="20"/>
              </w:rPr>
              <w:t>This ensures independence in the assessment stage of the certification process.</w:t>
            </w:r>
            <w:r>
              <w:rPr>
                <w:sz w:val="20"/>
                <w:szCs w:val="20"/>
              </w:rPr>
              <w:t xml:space="preserve">  </w:t>
            </w:r>
            <w:r w:rsidRPr="005C2CB6">
              <w:rPr>
                <w:sz w:val="20"/>
                <w:szCs w:val="20"/>
              </w:rPr>
              <w:t>Competent authorities also play a role in verification and oversight (Art</w:t>
            </w:r>
            <w:r>
              <w:rPr>
                <w:sz w:val="20"/>
                <w:szCs w:val="20"/>
              </w:rPr>
              <w:t xml:space="preserve">icle </w:t>
            </w:r>
            <w:r w:rsidRPr="005C2CB6">
              <w:rPr>
                <w:sz w:val="20"/>
                <w:szCs w:val="20"/>
              </w:rPr>
              <w:t>16), offering another layer of scrutiny.</w:t>
            </w:r>
            <w:r>
              <w:rPr>
                <w:sz w:val="20"/>
                <w:szCs w:val="20"/>
              </w:rPr>
              <w:t xml:space="preserve">  </w:t>
            </w:r>
          </w:p>
          <w:p w14:paraId="19B21709" w14:textId="36EFCC2E" w:rsidR="002C4650" w:rsidRDefault="005C2CB6" w:rsidP="005C2CB6">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However, the Regulation does not create a structured certification scheme manager or multi-stakeholder Governance </w:t>
            </w:r>
            <w:r w:rsidR="00A37EF4">
              <w:rPr>
                <w:sz w:val="20"/>
                <w:szCs w:val="20"/>
              </w:rPr>
              <w:t>Board,</w:t>
            </w:r>
            <w:r w:rsidR="002C4650">
              <w:rPr>
                <w:sz w:val="20"/>
                <w:szCs w:val="20"/>
              </w:rPr>
              <w:t xml:space="preserve"> nor does it assign management of the certification system to an independent organisation.  Governance of the Regulation is instead split between:</w:t>
            </w:r>
          </w:p>
          <w:p w14:paraId="04DBF95D" w14:textId="113A41C1" w:rsidR="005C2CB6" w:rsidRDefault="002C4650" w:rsidP="00FC58CE">
            <w:pPr>
              <w:pStyle w:val="ListParagraph"/>
              <w:numPr>
                <w:ilvl w:val="0"/>
                <w:numId w:val="20"/>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N</w:t>
            </w:r>
            <w:r w:rsidRPr="002C4650">
              <w:rPr>
                <w:sz w:val="20"/>
                <w:szCs w:val="20"/>
              </w:rPr>
              <w:t xml:space="preserve">ational competent </w:t>
            </w:r>
            <w:r>
              <w:rPr>
                <w:sz w:val="20"/>
                <w:szCs w:val="20"/>
              </w:rPr>
              <w:t xml:space="preserve">authorities (Article 16), and </w:t>
            </w:r>
          </w:p>
          <w:p w14:paraId="32509398" w14:textId="5931CDA8" w:rsidR="002C4650" w:rsidRDefault="002C4650" w:rsidP="00FC58CE">
            <w:pPr>
              <w:pStyle w:val="ListParagraph"/>
              <w:numPr>
                <w:ilvl w:val="0"/>
                <w:numId w:val="20"/>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European Commission, mainly for standardisation and delegated acts (Article 18, Article 22).  This is regulatory oversight and not independent multi-stakeholder </w:t>
            </w:r>
            <w:r w:rsidR="00707036">
              <w:rPr>
                <w:sz w:val="20"/>
                <w:szCs w:val="20"/>
              </w:rPr>
              <w:t xml:space="preserve">governance.  </w:t>
            </w:r>
          </w:p>
          <w:p w14:paraId="5F0460C6" w14:textId="71228984" w:rsidR="00707036" w:rsidRPr="00707036" w:rsidRDefault="00707036" w:rsidP="00707036">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OSPAR details a register managed by the scheme operator.  Under the Regulation each Member State hosts its own database (Article 11(1)) whilst the Commission publishes a list of website links (Article 11(3)).  </w:t>
            </w:r>
            <w:r w:rsidR="0039275D" w:rsidRPr="0039275D">
              <w:rPr>
                <w:sz w:val="20"/>
                <w:szCs w:val="20"/>
              </w:rPr>
              <w:t xml:space="preserve">Article 11 runs to four paragraphs and contains no provision for a combined register, managed independently or otherwise.  </w:t>
            </w:r>
          </w:p>
          <w:p w14:paraId="67A9BDAF" w14:textId="609C8063" w:rsidR="005C2CB6" w:rsidRDefault="00493E5B" w:rsidP="005C2CB6">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aligns with </w:t>
            </w:r>
            <w:proofErr w:type="spellStart"/>
            <w:r>
              <w:rPr>
                <w:sz w:val="20"/>
                <w:szCs w:val="20"/>
              </w:rPr>
              <w:t>OSPAR’s</w:t>
            </w:r>
            <w:proofErr w:type="spellEnd"/>
            <w:r>
              <w:rPr>
                <w:sz w:val="20"/>
                <w:szCs w:val="20"/>
              </w:rPr>
              <w:t xml:space="preserve"> Recommendation for independent auditing but diverges significantly from the requirement for the design, management and governance of the certification scheme.  </w:t>
            </w:r>
          </w:p>
          <w:p w14:paraId="06E48184" w14:textId="1EADB4D9" w:rsidR="005C2CB6" w:rsidRPr="00D042AF" w:rsidRDefault="00715DCC" w:rsidP="00715DC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OSPAR requires a structured, independently managed certification ecosystem with transparent multi-stakeholder oversight.  In contrast, the Regulation establishes a legal compliance regime administered by authorities and implemented by accredited certifiers but without a unified scheme owner, a multi-stakeholder governance board, a scheme manager or an independently managed central register.  </w:t>
            </w:r>
          </w:p>
        </w:tc>
      </w:tr>
      <w:tr w:rsidR="00DB0EA0" w14:paraId="1F1A210D"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25A110D0" w14:textId="77777777" w:rsidR="00DB0EA0" w:rsidRPr="00BF2BE5" w:rsidRDefault="00DB0EA0" w:rsidP="009F1A48">
            <w:pPr>
              <w:spacing w:before="120" w:after="120" w:line="276" w:lineRule="auto"/>
              <w:rPr>
                <w:b w:val="0"/>
                <w:bCs w:val="0"/>
                <w:sz w:val="20"/>
                <w:szCs w:val="20"/>
              </w:rPr>
            </w:pPr>
            <w:r>
              <w:rPr>
                <w:b w:val="0"/>
                <w:bCs w:val="0"/>
                <w:sz w:val="20"/>
                <w:szCs w:val="20"/>
              </w:rPr>
              <w:lastRenderedPageBreak/>
              <w:t xml:space="preserve">Inclusion on the register </w:t>
            </w:r>
          </w:p>
        </w:tc>
        <w:tc>
          <w:tcPr>
            <w:tcW w:w="4234" w:type="dxa"/>
          </w:tcPr>
          <w:p w14:paraId="2F0EC9A4"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Independently audited and passed and appropriate standard approved by the Certification Schemes Governance Board </w:t>
            </w:r>
          </w:p>
          <w:p w14:paraId="655A5664"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Independent accredited auditor, reporting, comprehensive auditor training kept under </w:t>
            </w:r>
            <w:r>
              <w:rPr>
                <w:sz w:val="20"/>
                <w:szCs w:val="20"/>
              </w:rPr>
              <w:lastRenderedPageBreak/>
              <w:t xml:space="preserve">review by Governance Board and public clarity on each Standards audit requirements </w:t>
            </w:r>
          </w:p>
        </w:tc>
        <w:tc>
          <w:tcPr>
            <w:tcW w:w="1694" w:type="dxa"/>
            <w:shd w:val="clear" w:color="auto" w:fill="FFC000"/>
          </w:tcPr>
          <w:p w14:paraId="55B134E9"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38D2B8A6" w14:textId="613C7A96" w:rsidR="00DB0EA0" w:rsidRDefault="00BD0858"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only partially meets this OSPAR requirement.  It requires companies to be independently audited by accredited third-party certifiers (Article 6, Article 9) and makes certification results publicly available (Article 11).  However, it does not create the structured certification scheme OSPAR described as there is no independent Governance Board, no multi-stakeholder oversight of standards, no </w:t>
            </w:r>
            <w:r>
              <w:rPr>
                <w:sz w:val="20"/>
                <w:szCs w:val="20"/>
              </w:rPr>
              <w:lastRenderedPageBreak/>
              <w:t xml:space="preserve">central body managing </w:t>
            </w:r>
            <w:r w:rsidR="00E21BBA">
              <w:rPr>
                <w:sz w:val="20"/>
                <w:szCs w:val="20"/>
              </w:rPr>
              <w:t xml:space="preserve">auditor training and no formal register controlled by an independent scheme owner.  </w:t>
            </w:r>
          </w:p>
          <w:p w14:paraId="7B08E3DA" w14:textId="0AFE9875" w:rsidR="00D223A6" w:rsidRPr="00597845" w:rsidRDefault="00E21BBA" w:rsidP="00E21BB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While independent audits are a key part of the Regulation, the broader governance and registration system envisioned by OSPAR is missing.  </w:t>
            </w:r>
          </w:p>
        </w:tc>
      </w:tr>
      <w:tr w:rsidR="00DB0EA0" w14:paraId="37F96184"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4872B721" w14:textId="77777777" w:rsidR="00DB0EA0" w:rsidRDefault="00DB0EA0" w:rsidP="009F1A48">
            <w:pPr>
              <w:spacing w:before="120" w:after="120" w:line="276" w:lineRule="auto"/>
              <w:rPr>
                <w:b w:val="0"/>
                <w:bCs w:val="0"/>
                <w:sz w:val="20"/>
                <w:szCs w:val="20"/>
              </w:rPr>
            </w:pPr>
            <w:r>
              <w:rPr>
                <w:b w:val="0"/>
                <w:bCs w:val="0"/>
                <w:sz w:val="20"/>
                <w:szCs w:val="20"/>
              </w:rPr>
              <w:lastRenderedPageBreak/>
              <w:t xml:space="preserve">Registry applications and updates </w:t>
            </w:r>
          </w:p>
        </w:tc>
        <w:tc>
          <w:tcPr>
            <w:tcW w:w="4234" w:type="dxa"/>
          </w:tcPr>
          <w:p w14:paraId="73E84ACC"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Simple process – application through on-line portal </w:t>
            </w:r>
          </w:p>
          <w:p w14:paraId="318A5DD6"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Independent, accredited auditor provides results of the audit and uploads to portal </w:t>
            </w:r>
          </w:p>
        </w:tc>
        <w:tc>
          <w:tcPr>
            <w:tcW w:w="1694" w:type="dxa"/>
            <w:shd w:val="clear" w:color="auto" w:fill="FFC000" w:themeFill="accent4"/>
          </w:tcPr>
          <w:p w14:paraId="243E999C"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27886E3A" w14:textId="55026FC8" w:rsidR="00BD79BE" w:rsidRPr="00597845" w:rsidRDefault="00BD79BE"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Regulation only partially aligns with this OSPAR Recommendation.  While it requires independent, accredited certifiers to carry out audits and notify competent authorities of the results (Article 6(6)) and obliges Member States to publish certificate</w:t>
            </w:r>
            <w:r w:rsidR="003354A2">
              <w:rPr>
                <w:sz w:val="20"/>
                <w:szCs w:val="20"/>
              </w:rPr>
              <w:t>s</w:t>
            </w:r>
            <w:r>
              <w:rPr>
                <w:sz w:val="20"/>
                <w:szCs w:val="20"/>
              </w:rPr>
              <w:t xml:space="preserve"> and related documents online (Article 11(1)), it does not create the kind </w:t>
            </w:r>
            <w:r w:rsidR="003C20FE">
              <w:rPr>
                <w:sz w:val="20"/>
                <w:szCs w:val="20"/>
              </w:rPr>
              <w:t xml:space="preserve">of simple, centralised, online application and upload portal specified by OSPAR.  Instead, the system is decentralised with each Member State maintaining its own website, there is no single EU-level registry, no unified online application process and no mechanism for auditors to directly upload results into a shared portal.  </w:t>
            </w:r>
          </w:p>
        </w:tc>
      </w:tr>
      <w:tr w:rsidR="00DB0EA0" w14:paraId="23A63EF2" w14:textId="77777777" w:rsidTr="00CA7AA0">
        <w:tc>
          <w:tcPr>
            <w:cnfStyle w:val="001000000000" w:firstRow="0" w:lastRow="0" w:firstColumn="1" w:lastColumn="0" w:oddVBand="0" w:evenVBand="0" w:oddHBand="0" w:evenHBand="0" w:firstRowFirstColumn="0" w:firstRowLastColumn="0" w:lastRowFirstColumn="0" w:lastRowLastColumn="0"/>
            <w:tcW w:w="2356" w:type="dxa"/>
          </w:tcPr>
          <w:p w14:paraId="751ED280" w14:textId="77777777" w:rsidR="00DB0EA0" w:rsidRDefault="00DB0EA0" w:rsidP="009F1A48">
            <w:pPr>
              <w:spacing w:before="120" w:after="120" w:line="276" w:lineRule="auto"/>
              <w:rPr>
                <w:b w:val="0"/>
                <w:bCs w:val="0"/>
                <w:sz w:val="20"/>
                <w:szCs w:val="20"/>
              </w:rPr>
            </w:pPr>
            <w:r>
              <w:rPr>
                <w:b w:val="0"/>
                <w:bCs w:val="0"/>
                <w:sz w:val="20"/>
                <w:szCs w:val="20"/>
              </w:rPr>
              <w:t xml:space="preserve">Auditing </w:t>
            </w:r>
          </w:p>
        </w:tc>
        <w:tc>
          <w:tcPr>
            <w:tcW w:w="4234" w:type="dxa"/>
          </w:tcPr>
          <w:p w14:paraId="3A7E78A1"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Audits at least every 3-years </w:t>
            </w:r>
          </w:p>
        </w:tc>
        <w:tc>
          <w:tcPr>
            <w:tcW w:w="1694" w:type="dxa"/>
            <w:shd w:val="clear" w:color="auto" w:fill="FFC000"/>
          </w:tcPr>
          <w:p w14:paraId="20E68358"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6F5608CA" w14:textId="7D8D6E16" w:rsidR="0039275D" w:rsidRPr="0039275D" w:rsidRDefault="0039275D" w:rsidP="0039275D">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39275D">
              <w:rPr>
                <w:sz w:val="20"/>
                <w:szCs w:val="20"/>
              </w:rPr>
              <w:t>The Regulation partially meets this requirement.  Large enterprises must be certified every three years (Article 6(1)), medium-sized enterprises every four years (Article 6(2)) and small enterprises hold a certificate valid five years, after which they may revert to self-declaration under Article 5(2) rather than recertify (Article 6(3)).  Economic operators handling under 5 tonnes a year are outside the scope of the Regulation, and installations below 1,500 tonnes are never subject to third-party audit.</w:t>
            </w:r>
          </w:p>
          <w:p w14:paraId="53314162" w14:textId="529C1130" w:rsidR="008E2EC9" w:rsidRPr="00D042AF" w:rsidRDefault="0039275D" w:rsidP="0039275D">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39275D">
              <w:rPr>
                <w:sz w:val="20"/>
                <w:szCs w:val="20"/>
              </w:rPr>
              <w:t>The Guidelines ask for an external, independent accredited audit ‘</w:t>
            </w:r>
            <w:r w:rsidRPr="00885B9A">
              <w:rPr>
                <w:i/>
                <w:iCs/>
                <w:sz w:val="20"/>
                <w:szCs w:val="20"/>
              </w:rPr>
              <w:t>at best annually and at a minimum every three years</w:t>
            </w:r>
            <w:r w:rsidRPr="0039275D">
              <w:rPr>
                <w:sz w:val="20"/>
                <w:szCs w:val="20"/>
              </w:rPr>
              <w:t>’ (Guidelines 3.2.1(e)).  Only large enterprises meet that minimum.  The four-year cycle for medium-sized enterprises and the five-</w:t>
            </w:r>
            <w:r w:rsidRPr="0039275D">
              <w:rPr>
                <w:sz w:val="20"/>
                <w:szCs w:val="20"/>
              </w:rPr>
              <w:lastRenderedPageBreak/>
              <w:t xml:space="preserve">year certificate for small enterprises both fall outside it, so the audit frequency aligns for the largest operators only.  </w:t>
            </w:r>
            <w:r w:rsidR="00DA477E">
              <w:rPr>
                <w:sz w:val="20"/>
                <w:szCs w:val="20"/>
              </w:rPr>
              <w:t xml:space="preserve"> </w:t>
            </w:r>
          </w:p>
        </w:tc>
      </w:tr>
      <w:tr w:rsidR="00DB0EA0" w14:paraId="4FB10321" w14:textId="77777777" w:rsidTr="00771380">
        <w:tc>
          <w:tcPr>
            <w:cnfStyle w:val="001000000000" w:firstRow="0" w:lastRow="0" w:firstColumn="1" w:lastColumn="0" w:oddVBand="0" w:evenVBand="0" w:oddHBand="0" w:evenHBand="0" w:firstRowFirstColumn="0" w:firstRowLastColumn="0" w:lastRowFirstColumn="0" w:lastRowLastColumn="0"/>
            <w:tcW w:w="2356" w:type="dxa"/>
          </w:tcPr>
          <w:p w14:paraId="2B26899A" w14:textId="77777777" w:rsidR="00DB0EA0" w:rsidRDefault="00DB0EA0" w:rsidP="009F1A48">
            <w:pPr>
              <w:spacing w:before="120" w:after="120" w:line="276" w:lineRule="auto"/>
              <w:rPr>
                <w:b w:val="0"/>
                <w:bCs w:val="0"/>
                <w:sz w:val="20"/>
                <w:szCs w:val="20"/>
              </w:rPr>
            </w:pPr>
            <w:r>
              <w:rPr>
                <w:b w:val="0"/>
                <w:bCs w:val="0"/>
                <w:sz w:val="20"/>
                <w:szCs w:val="20"/>
              </w:rPr>
              <w:lastRenderedPageBreak/>
              <w:t xml:space="preserve">Auditor accreditation and training </w:t>
            </w:r>
          </w:p>
        </w:tc>
        <w:tc>
          <w:tcPr>
            <w:tcW w:w="4234" w:type="dxa"/>
          </w:tcPr>
          <w:p w14:paraId="007996C4"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Certification body must be independent and well trained </w:t>
            </w:r>
          </w:p>
          <w:p w14:paraId="53998B0F"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Training package developed by Scheme Manager or Governance Board – responsible for developing, reviewing and approving audit training packages</w:t>
            </w:r>
          </w:p>
          <w:p w14:paraId="44789E95"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Certification body can develop own training requirements based on the standard</w:t>
            </w:r>
          </w:p>
        </w:tc>
        <w:tc>
          <w:tcPr>
            <w:tcW w:w="1694" w:type="dxa"/>
            <w:shd w:val="clear" w:color="auto" w:fill="00B050"/>
          </w:tcPr>
          <w:p w14:paraId="6268A127"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755A1605" w14:textId="2196E3F5" w:rsidR="00C8403E" w:rsidRPr="00BF3BEC" w:rsidRDefault="00C8403E"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i/>
                <w:iCs/>
                <w:sz w:val="20"/>
                <w:szCs w:val="20"/>
              </w:rPr>
            </w:pPr>
            <w:r>
              <w:rPr>
                <w:sz w:val="20"/>
                <w:szCs w:val="20"/>
              </w:rPr>
              <w:t>Certifiers, in the Regulation, are defined as ‘</w:t>
            </w:r>
            <w:r w:rsidRPr="00BF3BEC">
              <w:rPr>
                <w:i/>
                <w:iCs/>
                <w:sz w:val="20"/>
                <w:szCs w:val="20"/>
              </w:rPr>
              <w:t xml:space="preserve">any of the following natural or legal persons: </w:t>
            </w:r>
          </w:p>
          <w:p w14:paraId="35BB9C56" w14:textId="43E50AA1" w:rsidR="00C8403E" w:rsidRPr="00BF3BEC" w:rsidRDefault="00C8403E" w:rsidP="00FC58CE">
            <w:pPr>
              <w:pStyle w:val="ListParagraph"/>
              <w:numPr>
                <w:ilvl w:val="0"/>
                <w:numId w:val="21"/>
              </w:numPr>
              <w:spacing w:before="120" w:after="120" w:line="276" w:lineRule="auto"/>
              <w:cnfStyle w:val="000000000000" w:firstRow="0" w:lastRow="0" w:firstColumn="0" w:lastColumn="0" w:oddVBand="0" w:evenVBand="0" w:oddHBand="0" w:evenHBand="0" w:firstRowFirstColumn="0" w:firstRowLastColumn="0" w:lastRowFirstColumn="0" w:lastRowLastColumn="0"/>
              <w:rPr>
                <w:i/>
                <w:iCs/>
                <w:sz w:val="20"/>
                <w:szCs w:val="20"/>
              </w:rPr>
            </w:pPr>
            <w:r w:rsidRPr="00BF3BEC">
              <w:rPr>
                <w:i/>
                <w:iCs/>
                <w:sz w:val="20"/>
                <w:szCs w:val="20"/>
              </w:rPr>
              <w:t>a conformity assessment body as defined in Article 2, point (13), of Regulation (EC) No 765/2008</w:t>
            </w:r>
            <w:r w:rsidR="002D3E13">
              <w:rPr>
                <w:rStyle w:val="FootnoteReference"/>
                <w:i/>
                <w:iCs/>
                <w:sz w:val="20"/>
                <w:szCs w:val="20"/>
              </w:rPr>
              <w:footnoteReference w:id="8"/>
            </w:r>
            <w:r w:rsidRPr="00BF3BEC">
              <w:rPr>
                <w:i/>
                <w:iCs/>
                <w:sz w:val="20"/>
                <w:szCs w:val="20"/>
              </w:rPr>
              <w:t xml:space="preserve"> of the European Parliament and of the Council</w:t>
            </w:r>
          </w:p>
          <w:p w14:paraId="17F30171" w14:textId="71A4C2AA" w:rsidR="00C8403E" w:rsidRPr="00BF3BEC" w:rsidRDefault="00C8403E" w:rsidP="00FC58CE">
            <w:pPr>
              <w:pStyle w:val="ListParagraph"/>
              <w:numPr>
                <w:ilvl w:val="0"/>
                <w:numId w:val="21"/>
              </w:numPr>
              <w:spacing w:before="120" w:after="120" w:line="276" w:lineRule="auto"/>
              <w:cnfStyle w:val="000000000000" w:firstRow="0" w:lastRow="0" w:firstColumn="0" w:lastColumn="0" w:oddVBand="0" w:evenVBand="0" w:oddHBand="0" w:evenHBand="0" w:firstRowFirstColumn="0" w:firstRowLastColumn="0" w:lastRowFirstColumn="0" w:lastRowLastColumn="0"/>
              <w:rPr>
                <w:i/>
                <w:iCs/>
                <w:sz w:val="20"/>
                <w:szCs w:val="20"/>
              </w:rPr>
            </w:pPr>
            <w:r w:rsidRPr="00BF3BEC">
              <w:rPr>
                <w:i/>
                <w:iCs/>
                <w:sz w:val="20"/>
                <w:szCs w:val="20"/>
              </w:rPr>
              <w:t>a natural or legal person which has obtained a license to carry out verification and validation in accordance with Regulation (EC) No 1221/2009</w:t>
            </w:r>
            <w:r w:rsidR="009D5287">
              <w:rPr>
                <w:rStyle w:val="FootnoteReference"/>
                <w:i/>
                <w:iCs/>
                <w:sz w:val="20"/>
                <w:szCs w:val="20"/>
              </w:rPr>
              <w:footnoteReference w:id="9"/>
            </w:r>
            <w:r w:rsidR="00BF3BEC" w:rsidRPr="00BF3BEC">
              <w:rPr>
                <w:i/>
                <w:iCs/>
                <w:sz w:val="20"/>
                <w:szCs w:val="20"/>
              </w:rPr>
              <w:t xml:space="preserve">’  </w:t>
            </w:r>
          </w:p>
          <w:p w14:paraId="5A533791" w14:textId="6EEFC9B1" w:rsidR="00771380" w:rsidRDefault="00BF3BEC" w:rsidP="00BF3BE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aligns with </w:t>
            </w:r>
            <w:proofErr w:type="spellStart"/>
            <w:r>
              <w:rPr>
                <w:sz w:val="20"/>
                <w:szCs w:val="20"/>
              </w:rPr>
              <w:t>OSPAR’s</w:t>
            </w:r>
            <w:proofErr w:type="spellEnd"/>
            <w:r>
              <w:rPr>
                <w:sz w:val="20"/>
                <w:szCs w:val="20"/>
              </w:rPr>
              <w:t xml:space="preserve"> requirement for fully independent and impartial auditing.  It sets very strict rules to ensure that certifiers, their senior management and all personnel involved in conformity assessment remain completely free from conflicts of interest.  </w:t>
            </w:r>
          </w:p>
          <w:p w14:paraId="6AFBF45F" w14:textId="4FBE51E7" w:rsidR="00BF3BEC" w:rsidRDefault="00BF3BEC" w:rsidP="00BF3BE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They are expressly prohibited from engaging in any activity that could compromise their independence or integrity and must operate in a non-discriminatory, professionally competent and pressure-free environment including protection from financial or commercial influence.  </w:t>
            </w:r>
          </w:p>
          <w:p w14:paraId="5D9F9F59" w14:textId="7D3FB476" w:rsidR="00BF3BEC" w:rsidRPr="005D1B0A" w:rsidRDefault="00BF3BEC" w:rsidP="00D335E6">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Regulation also guarantees the impartiality of certifiers and require</w:t>
            </w:r>
            <w:r w:rsidR="00DA477E">
              <w:rPr>
                <w:sz w:val="20"/>
                <w:szCs w:val="20"/>
              </w:rPr>
              <w:t>s</w:t>
            </w:r>
            <w:r>
              <w:rPr>
                <w:sz w:val="20"/>
                <w:szCs w:val="20"/>
              </w:rPr>
              <w:t xml:space="preserve"> that they possess the necessary expertise, equipment and infrastructure to carry out high-</w:t>
            </w:r>
            <w:r>
              <w:rPr>
                <w:sz w:val="20"/>
                <w:szCs w:val="20"/>
              </w:rPr>
              <w:lastRenderedPageBreak/>
              <w:t xml:space="preserve">quality assessments.  </w:t>
            </w:r>
            <w:r w:rsidRPr="00BF3BEC">
              <w:rPr>
                <w:sz w:val="20"/>
                <w:szCs w:val="20"/>
              </w:rPr>
              <w:t xml:space="preserve">These provisions closely reflect </w:t>
            </w:r>
            <w:proofErr w:type="spellStart"/>
            <w:r w:rsidRPr="00BF3BEC">
              <w:rPr>
                <w:sz w:val="20"/>
                <w:szCs w:val="20"/>
              </w:rPr>
              <w:t>OSPAR’s</w:t>
            </w:r>
            <w:proofErr w:type="spellEnd"/>
            <w:r w:rsidRPr="00BF3BEC">
              <w:rPr>
                <w:sz w:val="20"/>
                <w:szCs w:val="20"/>
              </w:rPr>
              <w:t xml:space="preserve"> expectation that certification must be carried out by auditors whose independence and technical competence are beyond question.</w:t>
            </w:r>
            <w:r>
              <w:rPr>
                <w:sz w:val="20"/>
                <w:szCs w:val="20"/>
              </w:rPr>
              <w:t xml:space="preserve">  </w:t>
            </w:r>
          </w:p>
        </w:tc>
      </w:tr>
      <w:tr w:rsidR="00DB0EA0" w14:paraId="15B51123" w14:textId="77777777" w:rsidTr="00DE35B0">
        <w:tc>
          <w:tcPr>
            <w:cnfStyle w:val="001000000000" w:firstRow="0" w:lastRow="0" w:firstColumn="1" w:lastColumn="0" w:oddVBand="0" w:evenVBand="0" w:oddHBand="0" w:evenHBand="0" w:firstRowFirstColumn="0" w:firstRowLastColumn="0" w:lastRowFirstColumn="0" w:lastRowLastColumn="0"/>
            <w:tcW w:w="15388" w:type="dxa"/>
            <w:gridSpan w:val="4"/>
            <w:shd w:val="clear" w:color="auto" w:fill="F2F2F2" w:themeFill="background1" w:themeFillShade="F2"/>
          </w:tcPr>
          <w:p w14:paraId="54D1F51C" w14:textId="77777777" w:rsidR="00DB0EA0" w:rsidRPr="00136623" w:rsidRDefault="00DB0EA0" w:rsidP="009F1A48">
            <w:pPr>
              <w:spacing w:before="120" w:after="120" w:line="276" w:lineRule="auto"/>
              <w:rPr>
                <w:sz w:val="20"/>
                <w:szCs w:val="20"/>
              </w:rPr>
            </w:pPr>
            <w:r>
              <w:rPr>
                <w:sz w:val="20"/>
                <w:szCs w:val="20"/>
              </w:rPr>
              <w:lastRenderedPageBreak/>
              <w:t xml:space="preserve">Communication </w:t>
            </w:r>
          </w:p>
        </w:tc>
      </w:tr>
      <w:tr w:rsidR="00DA013A" w14:paraId="7ECFD23E" w14:textId="77777777" w:rsidTr="00DA013A">
        <w:tc>
          <w:tcPr>
            <w:cnfStyle w:val="001000000000" w:firstRow="0" w:lastRow="0" w:firstColumn="1" w:lastColumn="0" w:oddVBand="0" w:evenVBand="0" w:oddHBand="0" w:evenHBand="0" w:firstRowFirstColumn="0" w:firstRowLastColumn="0" w:lastRowFirstColumn="0" w:lastRowLastColumn="0"/>
            <w:tcW w:w="2356" w:type="dxa"/>
          </w:tcPr>
          <w:p w14:paraId="5E5F16A6" w14:textId="77777777" w:rsidR="00DA013A" w:rsidRDefault="00DA013A" w:rsidP="009F1A48">
            <w:pPr>
              <w:spacing w:before="120" w:after="120" w:line="276" w:lineRule="auto"/>
              <w:rPr>
                <w:b w:val="0"/>
                <w:bCs w:val="0"/>
                <w:sz w:val="20"/>
                <w:szCs w:val="20"/>
              </w:rPr>
            </w:pPr>
            <w:r>
              <w:rPr>
                <w:b w:val="0"/>
                <w:bCs w:val="0"/>
                <w:sz w:val="20"/>
                <w:szCs w:val="20"/>
              </w:rPr>
              <w:t xml:space="preserve">Acceptance on the register </w:t>
            </w:r>
          </w:p>
        </w:tc>
        <w:tc>
          <w:tcPr>
            <w:tcW w:w="4234" w:type="dxa"/>
          </w:tcPr>
          <w:p w14:paraId="00F4BB38" w14:textId="77777777" w:rsidR="00DA013A" w:rsidRPr="00504834"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Acknowledgement when companies accepted, removed or there is an update </w:t>
            </w:r>
          </w:p>
        </w:tc>
        <w:tc>
          <w:tcPr>
            <w:tcW w:w="1694" w:type="dxa"/>
            <w:shd w:val="clear" w:color="auto" w:fill="EE0000"/>
          </w:tcPr>
          <w:p w14:paraId="47BF0FD0" w14:textId="77777777" w:rsidR="00DA013A" w:rsidRPr="00136623"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vMerge w:val="restart"/>
          </w:tcPr>
          <w:p w14:paraId="6E612854" w14:textId="075DB75B" w:rsidR="00DA013A"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While the Regulation requires Member States to publish certain documents (e.g. certificates, risk management plans, self-declarations etc.) on a public website (Article 11(1)) and requires certifiers to notify authorities when certificates are issued, withdrawn or changed (Article 6(6)).  However, it does not establish the structured register system OSPAR describes.  </w:t>
            </w:r>
          </w:p>
          <w:p w14:paraId="1489A01A" w14:textId="2F39E50C" w:rsidR="00DA013A" w:rsidRPr="00FC5271"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w:t>
            </w:r>
            <w:r w:rsidR="00F2122C">
              <w:rPr>
                <w:sz w:val="20"/>
                <w:szCs w:val="20"/>
              </w:rPr>
              <w:t xml:space="preserve">provides some detail, but the specific mechanisms and structures OSPAR describes for a formal register are not included. </w:t>
            </w:r>
          </w:p>
        </w:tc>
      </w:tr>
      <w:tr w:rsidR="00DA013A" w14:paraId="0BF6AE76" w14:textId="77777777" w:rsidTr="00DA013A">
        <w:tc>
          <w:tcPr>
            <w:cnfStyle w:val="001000000000" w:firstRow="0" w:lastRow="0" w:firstColumn="1" w:lastColumn="0" w:oddVBand="0" w:evenVBand="0" w:oddHBand="0" w:evenHBand="0" w:firstRowFirstColumn="0" w:firstRowLastColumn="0" w:lastRowFirstColumn="0" w:lastRowLastColumn="0"/>
            <w:tcW w:w="2356" w:type="dxa"/>
          </w:tcPr>
          <w:p w14:paraId="05C19BB3" w14:textId="77777777" w:rsidR="00DA013A" w:rsidRDefault="00DA013A" w:rsidP="009F1A48">
            <w:pPr>
              <w:spacing w:before="120" w:after="120" w:line="276" w:lineRule="auto"/>
              <w:rPr>
                <w:b w:val="0"/>
                <w:bCs w:val="0"/>
                <w:sz w:val="20"/>
                <w:szCs w:val="20"/>
              </w:rPr>
            </w:pPr>
            <w:r>
              <w:rPr>
                <w:b w:val="0"/>
                <w:bCs w:val="0"/>
                <w:sz w:val="20"/>
                <w:szCs w:val="20"/>
              </w:rPr>
              <w:t xml:space="preserve">Removal from public register </w:t>
            </w:r>
          </w:p>
        </w:tc>
        <w:tc>
          <w:tcPr>
            <w:tcW w:w="4234" w:type="dxa"/>
          </w:tcPr>
          <w:p w14:paraId="6F7EC936" w14:textId="77777777" w:rsidR="00DA013A"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Removed if: </w:t>
            </w:r>
          </w:p>
          <w:p w14:paraId="6DFA1CBE" w14:textId="77777777" w:rsidR="00DA013A" w:rsidRDefault="00DA013A" w:rsidP="00FC58CE">
            <w:pPr>
              <w:pStyle w:val="ListParagraph"/>
              <w:numPr>
                <w:ilvl w:val="0"/>
                <w:numId w:val="2"/>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Not audited in time with a pass result according to timescales allowed </w:t>
            </w:r>
          </w:p>
          <w:p w14:paraId="2F2D963E" w14:textId="77777777" w:rsidR="00DA013A" w:rsidRDefault="00DA013A" w:rsidP="00FC58CE">
            <w:pPr>
              <w:pStyle w:val="ListParagraph"/>
              <w:numPr>
                <w:ilvl w:val="0"/>
                <w:numId w:val="2"/>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Not re-certified at an audit </w:t>
            </w:r>
          </w:p>
          <w:p w14:paraId="02E98DB0" w14:textId="77777777" w:rsidR="00DA013A" w:rsidRPr="000630A2" w:rsidRDefault="00DA013A" w:rsidP="00FC58CE">
            <w:pPr>
              <w:pStyle w:val="ListParagraph"/>
              <w:numPr>
                <w:ilvl w:val="0"/>
                <w:numId w:val="2"/>
              </w:num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Ask to be removed </w:t>
            </w:r>
          </w:p>
        </w:tc>
        <w:tc>
          <w:tcPr>
            <w:tcW w:w="1694" w:type="dxa"/>
            <w:shd w:val="clear" w:color="auto" w:fill="EE0000"/>
          </w:tcPr>
          <w:p w14:paraId="54ED3F26" w14:textId="77777777" w:rsidR="00DA013A" w:rsidRPr="00136623"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vMerge/>
          </w:tcPr>
          <w:p w14:paraId="2C9C8713" w14:textId="11D4D108" w:rsidR="00DA013A" w:rsidRPr="00FC5271"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DA013A" w14:paraId="27C7D4FE" w14:textId="77777777" w:rsidTr="00DA013A">
        <w:tc>
          <w:tcPr>
            <w:cnfStyle w:val="001000000000" w:firstRow="0" w:lastRow="0" w:firstColumn="1" w:lastColumn="0" w:oddVBand="0" w:evenVBand="0" w:oddHBand="0" w:evenHBand="0" w:firstRowFirstColumn="0" w:firstRowLastColumn="0" w:lastRowFirstColumn="0" w:lastRowLastColumn="0"/>
            <w:tcW w:w="2356" w:type="dxa"/>
          </w:tcPr>
          <w:p w14:paraId="118F8E15" w14:textId="77777777" w:rsidR="00DA013A" w:rsidRDefault="00DA013A" w:rsidP="009F1A48">
            <w:pPr>
              <w:spacing w:before="120" w:after="120" w:line="276" w:lineRule="auto"/>
              <w:rPr>
                <w:b w:val="0"/>
                <w:bCs w:val="0"/>
                <w:sz w:val="20"/>
                <w:szCs w:val="20"/>
              </w:rPr>
            </w:pPr>
            <w:r>
              <w:rPr>
                <w:b w:val="0"/>
                <w:bCs w:val="0"/>
                <w:sz w:val="20"/>
                <w:szCs w:val="20"/>
              </w:rPr>
              <w:t xml:space="preserve">Representation and use of the scheme by companies </w:t>
            </w:r>
          </w:p>
        </w:tc>
        <w:tc>
          <w:tcPr>
            <w:tcW w:w="4234" w:type="dxa"/>
          </w:tcPr>
          <w:p w14:paraId="4B4A6B5C" w14:textId="77777777" w:rsidR="00DA013A" w:rsidRPr="00504834"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Name and location as a minimum </w:t>
            </w:r>
          </w:p>
        </w:tc>
        <w:tc>
          <w:tcPr>
            <w:tcW w:w="1694" w:type="dxa"/>
            <w:shd w:val="clear" w:color="auto" w:fill="EE0000"/>
          </w:tcPr>
          <w:p w14:paraId="010576F3" w14:textId="77777777" w:rsidR="00DA013A" w:rsidRPr="00136623"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vMerge/>
          </w:tcPr>
          <w:p w14:paraId="49B1098A" w14:textId="2C63C945" w:rsidR="00DA013A" w:rsidRPr="00FC5271"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DA013A" w14:paraId="2EF841F9" w14:textId="77777777" w:rsidTr="00DA013A">
        <w:tc>
          <w:tcPr>
            <w:cnfStyle w:val="001000000000" w:firstRow="0" w:lastRow="0" w:firstColumn="1" w:lastColumn="0" w:oddVBand="0" w:evenVBand="0" w:oddHBand="0" w:evenHBand="0" w:firstRowFirstColumn="0" w:firstRowLastColumn="0" w:lastRowFirstColumn="0" w:lastRowLastColumn="0"/>
            <w:tcW w:w="2356" w:type="dxa"/>
          </w:tcPr>
          <w:p w14:paraId="3842DBC1" w14:textId="77777777" w:rsidR="00DA013A" w:rsidRDefault="00DA013A" w:rsidP="009F1A48">
            <w:pPr>
              <w:spacing w:before="120" w:after="120" w:line="276" w:lineRule="auto"/>
              <w:rPr>
                <w:b w:val="0"/>
                <w:bCs w:val="0"/>
                <w:sz w:val="20"/>
                <w:szCs w:val="20"/>
              </w:rPr>
            </w:pPr>
            <w:r>
              <w:rPr>
                <w:b w:val="0"/>
                <w:bCs w:val="0"/>
                <w:sz w:val="20"/>
                <w:szCs w:val="20"/>
              </w:rPr>
              <w:t xml:space="preserve">Language </w:t>
            </w:r>
          </w:p>
        </w:tc>
        <w:tc>
          <w:tcPr>
            <w:tcW w:w="4234" w:type="dxa"/>
          </w:tcPr>
          <w:p w14:paraId="77F55FE4" w14:textId="77777777" w:rsidR="00DA013A" w:rsidRPr="00504834"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Consideration for language options </w:t>
            </w:r>
          </w:p>
        </w:tc>
        <w:tc>
          <w:tcPr>
            <w:tcW w:w="1694" w:type="dxa"/>
            <w:shd w:val="clear" w:color="auto" w:fill="EE0000"/>
          </w:tcPr>
          <w:p w14:paraId="1B6C936F" w14:textId="77777777" w:rsidR="00DA013A" w:rsidRPr="00136623"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vMerge/>
          </w:tcPr>
          <w:p w14:paraId="2F60C87D" w14:textId="0B2D19BC" w:rsidR="00DA013A" w:rsidRPr="002D46B4" w:rsidRDefault="00DA013A"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DB0EA0" w14:paraId="1208F33D" w14:textId="77777777" w:rsidTr="00DE35B0">
        <w:tc>
          <w:tcPr>
            <w:cnfStyle w:val="001000000000" w:firstRow="0" w:lastRow="0" w:firstColumn="1" w:lastColumn="0" w:oddVBand="0" w:evenVBand="0" w:oddHBand="0" w:evenHBand="0" w:firstRowFirstColumn="0" w:firstRowLastColumn="0" w:lastRowFirstColumn="0" w:lastRowLastColumn="0"/>
            <w:tcW w:w="15388" w:type="dxa"/>
            <w:gridSpan w:val="4"/>
            <w:shd w:val="clear" w:color="auto" w:fill="F2F2F2" w:themeFill="background1" w:themeFillShade="F2"/>
          </w:tcPr>
          <w:p w14:paraId="0507A9C7" w14:textId="77777777" w:rsidR="00DB0EA0" w:rsidRPr="00136623" w:rsidRDefault="00DB0EA0" w:rsidP="009F1A48">
            <w:pPr>
              <w:spacing w:before="120" w:after="120" w:line="276" w:lineRule="auto"/>
              <w:rPr>
                <w:sz w:val="20"/>
                <w:szCs w:val="20"/>
              </w:rPr>
            </w:pPr>
            <w:r>
              <w:rPr>
                <w:sz w:val="20"/>
                <w:szCs w:val="20"/>
              </w:rPr>
              <w:t>Essential Requirements – Phase 2</w:t>
            </w:r>
          </w:p>
        </w:tc>
      </w:tr>
      <w:tr w:rsidR="00DB0EA0" w14:paraId="194690C5" w14:textId="77777777" w:rsidTr="001D13A3">
        <w:tc>
          <w:tcPr>
            <w:cnfStyle w:val="001000000000" w:firstRow="0" w:lastRow="0" w:firstColumn="1" w:lastColumn="0" w:oddVBand="0" w:evenVBand="0" w:oddHBand="0" w:evenHBand="0" w:firstRowFirstColumn="0" w:firstRowLastColumn="0" w:lastRowFirstColumn="0" w:lastRowLastColumn="0"/>
            <w:tcW w:w="2356" w:type="dxa"/>
          </w:tcPr>
          <w:p w14:paraId="58D22082" w14:textId="464E49CA" w:rsidR="00DB0EA0" w:rsidRDefault="001D13A3" w:rsidP="009F1A48">
            <w:pPr>
              <w:spacing w:before="120" w:after="120" w:line="276" w:lineRule="auto"/>
              <w:rPr>
                <w:b w:val="0"/>
                <w:bCs w:val="0"/>
                <w:sz w:val="20"/>
                <w:szCs w:val="20"/>
              </w:rPr>
            </w:pPr>
            <w:r>
              <w:rPr>
                <w:b w:val="0"/>
                <w:bCs w:val="0"/>
                <w:sz w:val="20"/>
                <w:szCs w:val="20"/>
              </w:rPr>
              <w:t>E</w:t>
            </w:r>
            <w:r w:rsidR="00DB0EA0">
              <w:rPr>
                <w:b w:val="0"/>
                <w:bCs w:val="0"/>
                <w:sz w:val="20"/>
                <w:szCs w:val="20"/>
              </w:rPr>
              <w:t xml:space="preserve">ssential requirements </w:t>
            </w:r>
          </w:p>
        </w:tc>
        <w:tc>
          <w:tcPr>
            <w:tcW w:w="4234" w:type="dxa"/>
          </w:tcPr>
          <w:p w14:paraId="10360CF9"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w:t>
            </w:r>
            <w:r w:rsidRPr="00327208">
              <w:rPr>
                <w:sz w:val="20"/>
                <w:szCs w:val="20"/>
              </w:rPr>
              <w:t xml:space="preserve">rea for end users, including retailers to outline and demonstrate compliance of their supply </w:t>
            </w:r>
            <w:r w:rsidRPr="00327208">
              <w:rPr>
                <w:sz w:val="20"/>
                <w:szCs w:val="20"/>
              </w:rPr>
              <w:lastRenderedPageBreak/>
              <w:t>chains to the pellet handling standards, using procurement drivers</w:t>
            </w:r>
          </w:p>
          <w:p w14:paraId="049C5599" w14:textId="77777777" w:rsidR="00DB0EA0"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Mechanism to recognise procurement activities </w:t>
            </w:r>
          </w:p>
          <w:p w14:paraId="7C8C7757" w14:textId="77777777" w:rsidR="00DB0EA0" w:rsidRPr="00504834"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Mandatory requirement to report estimates of pellet loss </w:t>
            </w:r>
          </w:p>
        </w:tc>
        <w:tc>
          <w:tcPr>
            <w:tcW w:w="1694" w:type="dxa"/>
            <w:shd w:val="clear" w:color="auto" w:fill="FFC000"/>
          </w:tcPr>
          <w:p w14:paraId="33CB3D9E" w14:textId="77777777" w:rsidR="00DB0EA0" w:rsidRPr="00136623" w:rsidRDefault="00DB0EA0"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7104" w:type="dxa"/>
          </w:tcPr>
          <w:p w14:paraId="2A41D806" w14:textId="3B75816A" w:rsidR="00DB0EA0" w:rsidRDefault="001D13A3"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only minimally aligns with this OSPAR guideline and most of the specific elements OSPAR describes are not present in the framework.  While the Regulation requires companies to report annual estimates of pellet loss (Article 5(6)(b)), which matches </w:t>
            </w:r>
            <w:proofErr w:type="spellStart"/>
            <w:r>
              <w:rPr>
                <w:sz w:val="20"/>
                <w:szCs w:val="20"/>
              </w:rPr>
              <w:t>OSPAR’s</w:t>
            </w:r>
            <w:proofErr w:type="spellEnd"/>
            <w:r>
              <w:rPr>
                <w:sz w:val="20"/>
                <w:szCs w:val="20"/>
              </w:rPr>
              <w:t xml:space="preserve"> requirement for mandatory reporting, it does not </w:t>
            </w:r>
            <w:r>
              <w:rPr>
                <w:sz w:val="20"/>
                <w:szCs w:val="20"/>
              </w:rPr>
              <w:lastRenderedPageBreak/>
              <w:t xml:space="preserve">provide any kind of system or area for end users, retailers or brand owners to demonstrate supply-chain compliance.  There is no mechanism that supports retailers in proving that their suppliers meet </w:t>
            </w:r>
            <w:r w:rsidR="00A30F33">
              <w:rPr>
                <w:sz w:val="20"/>
                <w:szCs w:val="20"/>
              </w:rPr>
              <w:t xml:space="preserve">pellet-handling standards, or any formal recognition of procurement activities as a driver for best-practice.  </w:t>
            </w:r>
          </w:p>
          <w:p w14:paraId="68282F09" w14:textId="491C8CD7" w:rsidR="00A30F33" w:rsidRDefault="00A30F33" w:rsidP="009F1A4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Regulation focuses almost entirely on obligations for pellet handlers, transporters and operators themselves with no role assigned to </w:t>
            </w:r>
            <w:r w:rsidR="00ED0481">
              <w:rPr>
                <w:sz w:val="20"/>
                <w:szCs w:val="20"/>
              </w:rPr>
              <w:t xml:space="preserve">downstream buyers, no supply chain compliance pathway and no procurement linked incentives.  </w:t>
            </w:r>
          </w:p>
          <w:p w14:paraId="1707975D" w14:textId="16DFF0DA" w:rsidR="0007544F" w:rsidRPr="000B71E0" w:rsidRDefault="00ED0481" w:rsidP="00ED0481">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Although it fulfils the reporting requirement the broader OSPAR Recommendation, enabling retailers and other end-users to demonstrate and drive compliance through procurement is not reflected in the Regulation.  </w:t>
            </w:r>
          </w:p>
        </w:tc>
      </w:tr>
    </w:tbl>
    <w:p w14:paraId="0AA361BB" w14:textId="77777777" w:rsidR="00784FB2" w:rsidRDefault="00784FB2" w:rsidP="00D5097E">
      <w:pPr>
        <w:spacing w:before="120" w:after="120" w:line="276" w:lineRule="auto"/>
        <w:rPr>
          <w:sz w:val="20"/>
          <w:szCs w:val="20"/>
        </w:rPr>
      </w:pPr>
    </w:p>
    <w:p w14:paraId="5B8FB3D5" w14:textId="77777777" w:rsidR="00784FB2" w:rsidRDefault="00784FB2" w:rsidP="00D5097E">
      <w:pPr>
        <w:spacing w:before="120" w:after="120" w:line="276" w:lineRule="auto"/>
        <w:rPr>
          <w:sz w:val="20"/>
          <w:szCs w:val="20"/>
        </w:rPr>
      </w:pPr>
    </w:p>
    <w:p w14:paraId="2B4BA715" w14:textId="77777777" w:rsidR="00784FB2" w:rsidRDefault="00784FB2" w:rsidP="00D5097E">
      <w:pPr>
        <w:spacing w:before="120" w:after="120" w:line="276" w:lineRule="auto"/>
        <w:rPr>
          <w:sz w:val="20"/>
          <w:szCs w:val="20"/>
        </w:rPr>
      </w:pPr>
    </w:p>
    <w:p w14:paraId="644EDEEC" w14:textId="77777777" w:rsidR="00784FB2" w:rsidRDefault="00784FB2" w:rsidP="00D5097E">
      <w:pPr>
        <w:spacing w:before="120" w:after="120" w:line="276" w:lineRule="auto"/>
        <w:rPr>
          <w:sz w:val="20"/>
          <w:szCs w:val="20"/>
        </w:rPr>
        <w:sectPr w:rsidR="00784FB2" w:rsidSect="00784FB2">
          <w:headerReference w:type="default" r:id="rId18"/>
          <w:footerReference w:type="default" r:id="rId19"/>
          <w:headerReference w:type="first" r:id="rId20"/>
          <w:pgSz w:w="16838" w:h="11906" w:orient="landscape"/>
          <w:pgMar w:top="1440" w:right="720" w:bottom="1440" w:left="720" w:header="708" w:footer="708" w:gutter="0"/>
          <w:cols w:space="708"/>
          <w:docGrid w:linePitch="360"/>
        </w:sectPr>
      </w:pPr>
    </w:p>
    <w:p w14:paraId="3D96FC03" w14:textId="475B5983" w:rsidR="00784FB2" w:rsidRPr="00776E76" w:rsidRDefault="00776E76" w:rsidP="00FC58CE">
      <w:pPr>
        <w:pStyle w:val="Heading01"/>
        <w:numPr>
          <w:ilvl w:val="0"/>
          <w:numId w:val="1"/>
        </w:numPr>
      </w:pPr>
      <w:bookmarkStart w:id="30" w:name="_Toc225594998"/>
      <w:r w:rsidRPr="00776E76">
        <w:lastRenderedPageBreak/>
        <w:t>Summary of the Regulation’s projected reach across the plastics supply chain sectors and business sizes</w:t>
      </w:r>
      <w:bookmarkEnd w:id="30"/>
    </w:p>
    <w:p w14:paraId="477832BA" w14:textId="77777777" w:rsidR="001C46E7" w:rsidRDefault="001C46E7" w:rsidP="001C46E7">
      <w:pPr>
        <w:rPr>
          <w:sz w:val="20"/>
          <w:szCs w:val="20"/>
        </w:rPr>
      </w:pPr>
      <w:r w:rsidRPr="0031716B">
        <w:rPr>
          <w:sz w:val="20"/>
          <w:szCs w:val="20"/>
        </w:rPr>
        <w:t xml:space="preserve">Regulation (EU) 2025/2365 applies to every stage in which plastic pellets are handled, reflecting the Regulation’s recognition that losses occur throughout the supply chain, not just during production.  The scope explicitly includes </w:t>
      </w:r>
      <w:r>
        <w:rPr>
          <w:sz w:val="20"/>
          <w:szCs w:val="20"/>
        </w:rPr>
        <w:t>‘</w:t>
      </w:r>
      <w:r w:rsidRPr="0031716B">
        <w:rPr>
          <w:i/>
          <w:iCs/>
          <w:sz w:val="20"/>
          <w:szCs w:val="20"/>
        </w:rPr>
        <w:t>production including recycling, master batching, compounding, conversion, processing, distribution, transport, including by sea, and other logistic operations, storage, packaging, and the cleaning of plastic pellet containers and tanks</w:t>
      </w:r>
      <w:r>
        <w:rPr>
          <w:sz w:val="20"/>
          <w:szCs w:val="20"/>
        </w:rPr>
        <w:t xml:space="preserve">’, (Recital 5).  </w:t>
      </w:r>
      <w:r w:rsidRPr="0031716B">
        <w:rPr>
          <w:sz w:val="20"/>
          <w:szCs w:val="20"/>
        </w:rPr>
        <w:t>These activities are identified as key points where poor handling practices have historically contributed to pellet losses.</w:t>
      </w:r>
    </w:p>
    <w:p w14:paraId="0535E677" w14:textId="74DB8AA1" w:rsidR="00477438" w:rsidRPr="00477438" w:rsidRDefault="00477438" w:rsidP="00477438">
      <w:pPr>
        <w:rPr>
          <w:sz w:val="20"/>
          <w:szCs w:val="20"/>
        </w:rPr>
      </w:pPr>
      <w:r w:rsidRPr="00477438">
        <w:rPr>
          <w:sz w:val="20"/>
          <w:szCs w:val="20"/>
        </w:rPr>
        <w:t xml:space="preserve">Although all economic operators are subject to core obligations such as risk management planning, spill prevention and staff training, the Regulation differentiates compliance pathways using two separate tests.  The first is installation throughput: certification under Article 6 is triggered wherever an installation handled 1,500 tonnes or more in the previous calendar year.  The second is enterprise size, which sets the deadline and the renewal cycle: large enterprises by 17 December 2027 then every three years, medium-sized by 17 December 2028 then every four years, and small enterprises by 17 December 2030 with a certificate valid five years, after which they may revert to self-declaration under Article 5(2).  Microenterprises sit outside Article 6 whatever the volume handled.  </w:t>
      </w:r>
    </w:p>
    <w:p w14:paraId="26B4103F" w14:textId="77777777" w:rsidR="001C46E7" w:rsidRDefault="001C46E7" w:rsidP="001C46E7">
      <w:pPr>
        <w:rPr>
          <w:sz w:val="20"/>
          <w:szCs w:val="20"/>
        </w:rPr>
      </w:pPr>
    </w:p>
    <w:p w14:paraId="64E016C1" w14:textId="77777777" w:rsidR="001C46E7" w:rsidRDefault="001C46E7" w:rsidP="001C46E7">
      <w:pPr>
        <w:pStyle w:val="Heading02"/>
      </w:pPr>
      <w:bookmarkStart w:id="31" w:name="_Toc225594999"/>
      <w:r>
        <w:t>Scope of the regulation across supply chain sectors</w:t>
      </w:r>
      <w:bookmarkEnd w:id="31"/>
      <w:r>
        <w:t xml:space="preserve"> </w:t>
      </w:r>
    </w:p>
    <w:p w14:paraId="03D5CA1A" w14:textId="6DDCEC5C" w:rsidR="001C46E7" w:rsidRDefault="001C46E7" w:rsidP="001C46E7">
      <w:pPr>
        <w:rPr>
          <w:sz w:val="20"/>
          <w:szCs w:val="20"/>
        </w:rPr>
      </w:pPr>
      <w:r w:rsidRPr="00AA1ADE">
        <w:rPr>
          <w:sz w:val="20"/>
          <w:szCs w:val="20"/>
        </w:rPr>
        <w:t xml:space="preserve">The Regulation adopts a whole </w:t>
      </w:r>
      <w:r>
        <w:rPr>
          <w:sz w:val="20"/>
          <w:szCs w:val="20"/>
        </w:rPr>
        <w:t>supply-</w:t>
      </w:r>
      <w:r w:rsidRPr="00AA1ADE">
        <w:rPr>
          <w:sz w:val="20"/>
          <w:szCs w:val="20"/>
        </w:rPr>
        <w:t xml:space="preserve">chain approach. </w:t>
      </w:r>
      <w:r>
        <w:rPr>
          <w:sz w:val="20"/>
          <w:szCs w:val="20"/>
        </w:rPr>
        <w:t xml:space="preserve"> </w:t>
      </w:r>
      <w:r w:rsidR="00983B0B" w:rsidRPr="00983B0B">
        <w:rPr>
          <w:sz w:val="20"/>
          <w:szCs w:val="20"/>
        </w:rPr>
        <w:t>Economic operators handling 5 tonnes or more of plastic pellets per year are in scope, and cleaning stations, carriers and maritime actors are in scope at any volume (Article 1(2)).  Together this spans:</w:t>
      </w:r>
    </w:p>
    <w:p w14:paraId="3BB6EEB5" w14:textId="77777777" w:rsidR="001C46E7" w:rsidRDefault="001C46E7" w:rsidP="00FC58CE">
      <w:pPr>
        <w:pStyle w:val="ListParagraph"/>
        <w:numPr>
          <w:ilvl w:val="0"/>
          <w:numId w:val="53"/>
        </w:numPr>
        <w:rPr>
          <w:sz w:val="20"/>
          <w:szCs w:val="20"/>
        </w:rPr>
      </w:pPr>
      <w:r w:rsidRPr="00AA1ADE">
        <w:rPr>
          <w:sz w:val="20"/>
          <w:szCs w:val="20"/>
        </w:rPr>
        <w:t>production (including outputs from recycling)</w:t>
      </w:r>
    </w:p>
    <w:p w14:paraId="73F0767C" w14:textId="3D9E7816" w:rsidR="001C46E7" w:rsidRDefault="001C46E7" w:rsidP="00FC58CE">
      <w:pPr>
        <w:pStyle w:val="ListParagraph"/>
        <w:numPr>
          <w:ilvl w:val="0"/>
          <w:numId w:val="53"/>
        </w:numPr>
        <w:rPr>
          <w:sz w:val="20"/>
          <w:szCs w:val="20"/>
        </w:rPr>
      </w:pPr>
      <w:proofErr w:type="spellStart"/>
      <w:r w:rsidRPr="00AA1ADE">
        <w:rPr>
          <w:sz w:val="20"/>
          <w:szCs w:val="20"/>
        </w:rPr>
        <w:t>masterbatching</w:t>
      </w:r>
      <w:proofErr w:type="spellEnd"/>
      <w:r>
        <w:rPr>
          <w:sz w:val="20"/>
          <w:szCs w:val="20"/>
        </w:rPr>
        <w:t xml:space="preserve"> and </w:t>
      </w:r>
      <w:r w:rsidRPr="00AA1ADE">
        <w:rPr>
          <w:sz w:val="20"/>
          <w:szCs w:val="20"/>
        </w:rPr>
        <w:t>compounding</w:t>
      </w:r>
    </w:p>
    <w:p w14:paraId="6AFE5FFE" w14:textId="77777777" w:rsidR="001C46E7" w:rsidRDefault="001C46E7" w:rsidP="00FC58CE">
      <w:pPr>
        <w:pStyle w:val="ListParagraph"/>
        <w:numPr>
          <w:ilvl w:val="0"/>
          <w:numId w:val="53"/>
        </w:numPr>
        <w:rPr>
          <w:sz w:val="20"/>
          <w:szCs w:val="20"/>
        </w:rPr>
      </w:pPr>
      <w:r w:rsidRPr="00AA1ADE">
        <w:rPr>
          <w:sz w:val="20"/>
          <w:szCs w:val="20"/>
        </w:rPr>
        <w:t>conversion and processing</w:t>
      </w:r>
    </w:p>
    <w:p w14:paraId="3BB5714F" w14:textId="77777777" w:rsidR="001C46E7" w:rsidRDefault="001C46E7" w:rsidP="00FC58CE">
      <w:pPr>
        <w:pStyle w:val="ListParagraph"/>
        <w:numPr>
          <w:ilvl w:val="0"/>
          <w:numId w:val="53"/>
        </w:numPr>
        <w:rPr>
          <w:sz w:val="20"/>
          <w:szCs w:val="20"/>
        </w:rPr>
      </w:pPr>
      <w:r w:rsidRPr="00AA1ADE">
        <w:rPr>
          <w:sz w:val="20"/>
          <w:szCs w:val="20"/>
        </w:rPr>
        <w:t>storage and packaging</w:t>
      </w:r>
    </w:p>
    <w:p w14:paraId="3AC8BC0A" w14:textId="77777777" w:rsidR="001C46E7" w:rsidRDefault="001C46E7" w:rsidP="00FC58CE">
      <w:pPr>
        <w:pStyle w:val="ListParagraph"/>
        <w:numPr>
          <w:ilvl w:val="0"/>
          <w:numId w:val="53"/>
        </w:numPr>
        <w:rPr>
          <w:sz w:val="20"/>
          <w:szCs w:val="20"/>
        </w:rPr>
      </w:pPr>
      <w:r w:rsidRPr="00AA1ADE">
        <w:rPr>
          <w:sz w:val="20"/>
          <w:szCs w:val="20"/>
        </w:rPr>
        <w:t>distribution and logistics</w:t>
      </w:r>
    </w:p>
    <w:p w14:paraId="41E2AB64" w14:textId="77777777" w:rsidR="001C46E7" w:rsidRDefault="001C46E7" w:rsidP="00FC58CE">
      <w:pPr>
        <w:pStyle w:val="ListParagraph"/>
        <w:numPr>
          <w:ilvl w:val="0"/>
          <w:numId w:val="53"/>
        </w:numPr>
        <w:rPr>
          <w:sz w:val="20"/>
          <w:szCs w:val="20"/>
        </w:rPr>
      </w:pPr>
      <w:r w:rsidRPr="00AA1ADE">
        <w:rPr>
          <w:sz w:val="20"/>
          <w:szCs w:val="20"/>
        </w:rPr>
        <w:t>road</w:t>
      </w:r>
      <w:r>
        <w:rPr>
          <w:sz w:val="20"/>
          <w:szCs w:val="20"/>
        </w:rPr>
        <w:t xml:space="preserve">, </w:t>
      </w:r>
      <w:r w:rsidRPr="00AA1ADE">
        <w:rPr>
          <w:sz w:val="20"/>
          <w:szCs w:val="20"/>
        </w:rPr>
        <w:t>rail</w:t>
      </w:r>
      <w:r>
        <w:rPr>
          <w:sz w:val="20"/>
          <w:szCs w:val="20"/>
        </w:rPr>
        <w:t xml:space="preserve">, </w:t>
      </w:r>
      <w:r w:rsidRPr="00AA1ADE">
        <w:rPr>
          <w:sz w:val="20"/>
          <w:szCs w:val="20"/>
        </w:rPr>
        <w:t>inland waterway carriers</w:t>
      </w:r>
    </w:p>
    <w:p w14:paraId="2FD5FA6A" w14:textId="77777777" w:rsidR="001C46E7" w:rsidRDefault="001C46E7" w:rsidP="00FC58CE">
      <w:pPr>
        <w:pStyle w:val="ListParagraph"/>
        <w:numPr>
          <w:ilvl w:val="0"/>
          <w:numId w:val="53"/>
        </w:numPr>
        <w:rPr>
          <w:sz w:val="20"/>
          <w:szCs w:val="20"/>
        </w:rPr>
      </w:pPr>
      <w:r w:rsidRPr="00AA1ADE">
        <w:rPr>
          <w:sz w:val="20"/>
          <w:szCs w:val="20"/>
        </w:rPr>
        <w:t>maritime shippers and vessel operators</w:t>
      </w:r>
      <w:r>
        <w:rPr>
          <w:sz w:val="20"/>
          <w:szCs w:val="20"/>
        </w:rPr>
        <w:t xml:space="preserve">, </w:t>
      </w:r>
      <w:r w:rsidRPr="00AA1ADE">
        <w:rPr>
          <w:sz w:val="20"/>
          <w:szCs w:val="20"/>
        </w:rPr>
        <w:t>agents</w:t>
      </w:r>
      <w:r>
        <w:rPr>
          <w:sz w:val="20"/>
          <w:szCs w:val="20"/>
        </w:rPr>
        <w:t xml:space="preserve"> and </w:t>
      </w:r>
      <w:r w:rsidRPr="00AA1ADE">
        <w:rPr>
          <w:sz w:val="20"/>
          <w:szCs w:val="20"/>
        </w:rPr>
        <w:t>masters</w:t>
      </w:r>
    </w:p>
    <w:p w14:paraId="3EF47B3E" w14:textId="77777777" w:rsidR="001C46E7" w:rsidRDefault="001C46E7" w:rsidP="00FC58CE">
      <w:pPr>
        <w:pStyle w:val="ListParagraph"/>
        <w:numPr>
          <w:ilvl w:val="0"/>
          <w:numId w:val="53"/>
        </w:numPr>
        <w:rPr>
          <w:sz w:val="20"/>
          <w:szCs w:val="20"/>
        </w:rPr>
      </w:pPr>
      <w:r w:rsidRPr="00AA1ADE">
        <w:rPr>
          <w:sz w:val="20"/>
          <w:szCs w:val="20"/>
        </w:rPr>
        <w:t>cleaning stations for pellet containers and tanks</w:t>
      </w:r>
    </w:p>
    <w:p w14:paraId="6A338BA2" w14:textId="2CD19739" w:rsidR="001C46E7" w:rsidRPr="00AA1ADE" w:rsidRDefault="001C46E7" w:rsidP="001C46E7">
      <w:pPr>
        <w:rPr>
          <w:sz w:val="20"/>
          <w:szCs w:val="20"/>
        </w:rPr>
      </w:pPr>
      <w:r>
        <w:rPr>
          <w:sz w:val="20"/>
          <w:szCs w:val="20"/>
        </w:rPr>
        <w:t>T</w:t>
      </w:r>
      <w:r w:rsidRPr="00AA1ADE">
        <w:rPr>
          <w:sz w:val="20"/>
          <w:szCs w:val="20"/>
        </w:rPr>
        <w:t>his means controls are required wherever pellets are physically moved, not only at polymer plants.</w:t>
      </w:r>
      <w:r>
        <w:rPr>
          <w:sz w:val="20"/>
          <w:szCs w:val="20"/>
        </w:rPr>
        <w:t xml:space="preserve">  </w:t>
      </w:r>
      <w:r w:rsidRPr="00AA1ADE">
        <w:rPr>
          <w:sz w:val="20"/>
          <w:szCs w:val="20"/>
        </w:rPr>
        <w:t xml:space="preserve">It captures high risk operational </w:t>
      </w:r>
      <w:r>
        <w:rPr>
          <w:sz w:val="20"/>
          <w:szCs w:val="20"/>
        </w:rPr>
        <w:t xml:space="preserve">activities, for example </w:t>
      </w:r>
      <w:r w:rsidRPr="00AA1ADE">
        <w:rPr>
          <w:sz w:val="20"/>
          <w:szCs w:val="20"/>
        </w:rPr>
        <w:t>loading</w:t>
      </w:r>
      <w:r>
        <w:rPr>
          <w:sz w:val="20"/>
          <w:szCs w:val="20"/>
        </w:rPr>
        <w:t xml:space="preserve"> and </w:t>
      </w:r>
      <w:r w:rsidRPr="00AA1ADE">
        <w:rPr>
          <w:sz w:val="20"/>
          <w:szCs w:val="20"/>
        </w:rPr>
        <w:t>unloading, transfers between containers, storage yard drainage points, vehicle/wagon cleaning and vessel stowage</w:t>
      </w:r>
      <w:r>
        <w:rPr>
          <w:sz w:val="20"/>
          <w:szCs w:val="20"/>
        </w:rPr>
        <w:t xml:space="preserve">, </w:t>
      </w:r>
      <w:r w:rsidRPr="00AA1ADE">
        <w:rPr>
          <w:sz w:val="20"/>
          <w:szCs w:val="20"/>
        </w:rPr>
        <w:t>where poor practices have historically led to losses.</w:t>
      </w:r>
    </w:p>
    <w:p w14:paraId="4798CFF5" w14:textId="77777777" w:rsidR="0083757F" w:rsidRDefault="0083757F" w:rsidP="00784FB2">
      <w:pPr>
        <w:rPr>
          <w:sz w:val="20"/>
          <w:szCs w:val="20"/>
        </w:rPr>
      </w:pPr>
    </w:p>
    <w:p w14:paraId="4F2E390B" w14:textId="61765B62" w:rsidR="00F37A0E" w:rsidRDefault="00F37A0E" w:rsidP="00F37A0E">
      <w:pPr>
        <w:pStyle w:val="Heading02"/>
      </w:pPr>
      <w:bookmarkStart w:id="32" w:name="_Toc225595000"/>
      <w:r>
        <w:t>Reach across supply chain sectors</w:t>
      </w:r>
      <w:bookmarkEnd w:id="32"/>
      <w:r>
        <w:t xml:space="preserve"> </w:t>
      </w:r>
    </w:p>
    <w:p w14:paraId="464794DF" w14:textId="17348DA5" w:rsidR="00F37A0E" w:rsidRDefault="00F37A0E" w:rsidP="00F37A0E">
      <w:pPr>
        <w:pStyle w:val="heading03"/>
      </w:pPr>
      <w:bookmarkStart w:id="33" w:name="_Toc225595001"/>
      <w:r>
        <w:t>Impact summary by sector</w:t>
      </w:r>
      <w:bookmarkEnd w:id="33"/>
      <w:r>
        <w:t xml:space="preserve"> </w:t>
      </w:r>
    </w:p>
    <w:tbl>
      <w:tblPr>
        <w:tblStyle w:val="GridTable1Light-Accent1"/>
        <w:tblW w:w="0" w:type="auto"/>
        <w:tblLook w:val="0480" w:firstRow="0" w:lastRow="0" w:firstColumn="1" w:lastColumn="0" w:noHBand="0" w:noVBand="1"/>
      </w:tblPr>
      <w:tblGrid>
        <w:gridCol w:w="1555"/>
        <w:gridCol w:w="7461"/>
      </w:tblGrid>
      <w:tr w:rsidR="00F37A0E" w14:paraId="18BC92CF"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2DEA7EF9" w14:textId="7C04625F" w:rsidR="00F37A0E" w:rsidRPr="00F37A0E" w:rsidRDefault="00F37A0E" w:rsidP="00F37A0E">
            <w:pPr>
              <w:spacing w:before="120" w:after="120" w:line="276" w:lineRule="auto"/>
              <w:rPr>
                <w:b w:val="0"/>
                <w:bCs w:val="0"/>
                <w:sz w:val="20"/>
                <w:szCs w:val="20"/>
              </w:rPr>
            </w:pPr>
            <w:r w:rsidRPr="00F37A0E">
              <w:rPr>
                <w:sz w:val="20"/>
                <w:szCs w:val="20"/>
              </w:rPr>
              <w:t xml:space="preserve">Sector </w:t>
            </w:r>
          </w:p>
        </w:tc>
        <w:tc>
          <w:tcPr>
            <w:tcW w:w="7461" w:type="dxa"/>
          </w:tcPr>
          <w:p w14:paraId="1815D5ED" w14:textId="1A0FB547" w:rsidR="00F37A0E" w:rsidRPr="00CA7AA0" w:rsidRDefault="00F37A0E" w:rsidP="00F37A0E">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CA7AA0">
              <w:rPr>
                <w:b/>
                <w:bCs/>
                <w:sz w:val="20"/>
                <w:szCs w:val="20"/>
              </w:rPr>
              <w:t xml:space="preserve">Polymer production and compounding/masterbatch </w:t>
            </w:r>
          </w:p>
        </w:tc>
      </w:tr>
      <w:tr w:rsidR="009B26C9" w14:paraId="5DB9DC36"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1E40C39B" w14:textId="6EA78CCD" w:rsidR="009B26C9" w:rsidRPr="00F37A0E" w:rsidRDefault="009B26C9" w:rsidP="00F37A0E">
            <w:pPr>
              <w:spacing w:before="120" w:after="120" w:line="276" w:lineRule="auto"/>
              <w:rPr>
                <w:b w:val="0"/>
                <w:bCs w:val="0"/>
                <w:sz w:val="20"/>
                <w:szCs w:val="20"/>
              </w:rPr>
            </w:pPr>
            <w:r>
              <w:rPr>
                <w:sz w:val="20"/>
                <w:szCs w:val="20"/>
              </w:rPr>
              <w:t>Size</w:t>
            </w:r>
          </w:p>
        </w:tc>
        <w:tc>
          <w:tcPr>
            <w:tcW w:w="7461" w:type="dxa"/>
          </w:tcPr>
          <w:p w14:paraId="359CDC3D" w14:textId="26ABB15D" w:rsidR="00EA4466" w:rsidRDefault="00EA4466" w:rsidP="00EA4466">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EA4466">
              <w:rPr>
                <w:sz w:val="20"/>
                <w:szCs w:val="20"/>
              </w:rPr>
              <w:t>Based on the available evidence, Europe’s polymer production and compounding/masterbatch sector comprises several dozen polymer</w:t>
            </w:r>
            <w:r w:rsidRPr="00EA4466">
              <w:rPr>
                <w:rFonts w:ascii="Cambria Math" w:hAnsi="Cambria Math" w:cs="Cambria Math"/>
                <w:sz w:val="20"/>
                <w:szCs w:val="20"/>
              </w:rPr>
              <w:t>‑</w:t>
            </w:r>
            <w:r w:rsidRPr="00EA4466">
              <w:rPr>
                <w:sz w:val="20"/>
                <w:szCs w:val="20"/>
              </w:rPr>
              <w:t>production companies and several hundred to over a thousand compounding and masterbatch firms, together forming a significant subset of the ~50,650 plastics</w:t>
            </w:r>
            <w:r w:rsidRPr="00EA4466">
              <w:rPr>
                <w:rFonts w:ascii="Cambria Math" w:hAnsi="Cambria Math" w:cs="Cambria Math"/>
                <w:sz w:val="20"/>
                <w:szCs w:val="20"/>
              </w:rPr>
              <w:t>‑</w:t>
            </w:r>
            <w:r w:rsidRPr="00EA4466">
              <w:rPr>
                <w:sz w:val="20"/>
                <w:szCs w:val="20"/>
              </w:rPr>
              <w:t xml:space="preserve">industry companies operating in Europe. </w:t>
            </w:r>
            <w:r>
              <w:rPr>
                <w:sz w:val="20"/>
                <w:szCs w:val="20"/>
              </w:rPr>
              <w:t xml:space="preserve"> </w:t>
            </w:r>
            <w:r w:rsidRPr="00EA4466">
              <w:rPr>
                <w:sz w:val="20"/>
                <w:szCs w:val="20"/>
              </w:rPr>
              <w:t xml:space="preserve">This total industry figure includes producers, converters, recyclers </w:t>
            </w:r>
            <w:r w:rsidRPr="00EA4466">
              <w:rPr>
                <w:sz w:val="20"/>
                <w:szCs w:val="20"/>
              </w:rPr>
              <w:lastRenderedPageBreak/>
              <w:t>and downstream processors, but within it</w:t>
            </w:r>
            <w:r w:rsidR="00AD7323">
              <w:rPr>
                <w:sz w:val="20"/>
                <w:szCs w:val="20"/>
              </w:rPr>
              <w:t>,</w:t>
            </w:r>
            <w:r w:rsidRPr="00EA4466">
              <w:rPr>
                <w:sz w:val="20"/>
                <w:szCs w:val="20"/>
              </w:rPr>
              <w:t xml:space="preserve"> polymer production is known to be highly concentrated among a relatively small number of large manufacturers, while compounding and </w:t>
            </w:r>
            <w:proofErr w:type="spellStart"/>
            <w:r w:rsidRPr="00EA4466">
              <w:rPr>
                <w:sz w:val="20"/>
                <w:szCs w:val="20"/>
              </w:rPr>
              <w:t>masterbatching</w:t>
            </w:r>
            <w:proofErr w:type="spellEnd"/>
            <w:r w:rsidRPr="00EA4466">
              <w:rPr>
                <w:sz w:val="20"/>
                <w:szCs w:val="20"/>
              </w:rPr>
              <w:t xml:space="preserve"> are far more fragmented and widespread across the value chain</w:t>
            </w:r>
            <w:r>
              <w:rPr>
                <w:rStyle w:val="FootnoteReference"/>
                <w:sz w:val="20"/>
                <w:szCs w:val="20"/>
              </w:rPr>
              <w:footnoteReference w:id="10"/>
            </w:r>
            <w:r w:rsidRPr="00EA4466">
              <w:rPr>
                <w:sz w:val="20"/>
                <w:szCs w:val="20"/>
              </w:rPr>
              <w:t>.</w:t>
            </w:r>
          </w:p>
        </w:tc>
      </w:tr>
      <w:tr w:rsidR="00F37A0E" w14:paraId="5043EEDC"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1558BB09" w14:textId="43E78327" w:rsidR="00F37A0E" w:rsidRPr="00F37A0E" w:rsidRDefault="00F37A0E" w:rsidP="00F37A0E">
            <w:pPr>
              <w:spacing w:before="120" w:after="120" w:line="276" w:lineRule="auto"/>
              <w:rPr>
                <w:b w:val="0"/>
                <w:bCs w:val="0"/>
                <w:sz w:val="20"/>
                <w:szCs w:val="20"/>
              </w:rPr>
            </w:pPr>
            <w:r w:rsidRPr="00F37A0E">
              <w:rPr>
                <w:sz w:val="20"/>
                <w:szCs w:val="20"/>
              </w:rPr>
              <w:lastRenderedPageBreak/>
              <w:t xml:space="preserve">Risk Profile </w:t>
            </w:r>
          </w:p>
        </w:tc>
        <w:tc>
          <w:tcPr>
            <w:tcW w:w="7461" w:type="dxa"/>
          </w:tcPr>
          <w:p w14:paraId="080C05B7" w14:textId="56A1BD07" w:rsidR="00F37A0E" w:rsidRDefault="00F37A0E" w:rsidP="00F37A0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Very high throughput, large number of internal handling points (silos, bagging lines, rail/road loading) </w:t>
            </w:r>
          </w:p>
        </w:tc>
      </w:tr>
      <w:tr w:rsidR="00F37A0E" w14:paraId="355692B5"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592F3C4C" w14:textId="17D8DCD8" w:rsidR="00F37A0E" w:rsidRPr="00F37A0E" w:rsidRDefault="00F37A0E" w:rsidP="00F37A0E">
            <w:pPr>
              <w:spacing w:before="120" w:after="120" w:line="276" w:lineRule="auto"/>
              <w:rPr>
                <w:b w:val="0"/>
                <w:bCs w:val="0"/>
                <w:sz w:val="20"/>
                <w:szCs w:val="20"/>
              </w:rPr>
            </w:pPr>
            <w:r w:rsidRPr="00F37A0E">
              <w:rPr>
                <w:sz w:val="20"/>
                <w:szCs w:val="20"/>
              </w:rPr>
              <w:t xml:space="preserve">Obligations </w:t>
            </w:r>
          </w:p>
        </w:tc>
        <w:tc>
          <w:tcPr>
            <w:tcW w:w="7461" w:type="dxa"/>
          </w:tcPr>
          <w:p w14:paraId="0429094D" w14:textId="4F6480FA" w:rsidR="00F37A0E" w:rsidRDefault="00F37A0E" w:rsidP="00F37A0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Certification, audits, risk management plans, engineered containment (e.g. drain protection, capture gates), trained spill teams and incident analytics feeding annual management review </w:t>
            </w:r>
          </w:p>
        </w:tc>
      </w:tr>
      <w:tr w:rsidR="00F37A0E" w14:paraId="2B409BD9"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55470B62" w14:textId="1F0EB0F8" w:rsidR="00F37A0E" w:rsidRPr="00F37A0E" w:rsidRDefault="00F37A0E" w:rsidP="00F37A0E">
            <w:pPr>
              <w:spacing w:before="120" w:after="120" w:line="276" w:lineRule="auto"/>
              <w:rPr>
                <w:b w:val="0"/>
                <w:bCs w:val="0"/>
                <w:sz w:val="20"/>
                <w:szCs w:val="20"/>
              </w:rPr>
            </w:pPr>
            <w:r w:rsidRPr="00F37A0E">
              <w:rPr>
                <w:sz w:val="20"/>
                <w:szCs w:val="20"/>
              </w:rPr>
              <w:t xml:space="preserve">Expected effect </w:t>
            </w:r>
          </w:p>
        </w:tc>
        <w:tc>
          <w:tcPr>
            <w:tcW w:w="7461" w:type="dxa"/>
          </w:tcPr>
          <w:p w14:paraId="218CA271" w14:textId="74B89FEC" w:rsidR="00F37A0E" w:rsidRDefault="00AF7EC0" w:rsidP="00F37A0E">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AF7EC0">
              <w:rPr>
                <w:sz w:val="20"/>
                <w:szCs w:val="20"/>
              </w:rPr>
              <w:t xml:space="preserve">Regulation </w:t>
            </w:r>
            <w:r>
              <w:rPr>
                <w:sz w:val="20"/>
                <w:szCs w:val="20"/>
              </w:rPr>
              <w:t>sets out</w:t>
            </w:r>
            <w:r w:rsidRPr="00AF7EC0">
              <w:rPr>
                <w:sz w:val="20"/>
                <w:szCs w:val="20"/>
              </w:rPr>
              <w:t xml:space="preserve"> practices already common at larger sites and creates a level playing field across Member States</w:t>
            </w:r>
          </w:p>
        </w:tc>
      </w:tr>
    </w:tbl>
    <w:p w14:paraId="6B6EF730" w14:textId="77777777" w:rsidR="00F37A0E" w:rsidRDefault="00F37A0E" w:rsidP="00784FB2">
      <w:pPr>
        <w:rPr>
          <w:sz w:val="20"/>
          <w:szCs w:val="20"/>
        </w:rPr>
      </w:pPr>
    </w:p>
    <w:tbl>
      <w:tblPr>
        <w:tblStyle w:val="GridTable1Light-Accent1"/>
        <w:tblW w:w="0" w:type="auto"/>
        <w:tblLook w:val="0480" w:firstRow="0" w:lastRow="0" w:firstColumn="1" w:lastColumn="0" w:noHBand="0" w:noVBand="1"/>
      </w:tblPr>
      <w:tblGrid>
        <w:gridCol w:w="1555"/>
        <w:gridCol w:w="7461"/>
      </w:tblGrid>
      <w:tr w:rsidR="00AF7EC0" w14:paraId="1D5C298C"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329C98B3" w14:textId="77777777" w:rsidR="00AF7EC0" w:rsidRPr="00F37A0E" w:rsidRDefault="00AF7EC0" w:rsidP="00F30FBC">
            <w:pPr>
              <w:spacing w:before="120" w:after="120" w:line="276" w:lineRule="auto"/>
              <w:rPr>
                <w:b w:val="0"/>
                <w:bCs w:val="0"/>
                <w:sz w:val="20"/>
                <w:szCs w:val="20"/>
              </w:rPr>
            </w:pPr>
            <w:r w:rsidRPr="00F37A0E">
              <w:rPr>
                <w:sz w:val="20"/>
                <w:szCs w:val="20"/>
              </w:rPr>
              <w:t xml:space="preserve">Sector </w:t>
            </w:r>
          </w:p>
        </w:tc>
        <w:tc>
          <w:tcPr>
            <w:tcW w:w="7461" w:type="dxa"/>
          </w:tcPr>
          <w:p w14:paraId="3C9AE551" w14:textId="3C228FEC" w:rsidR="00AF7EC0" w:rsidRPr="00CA7AA0" w:rsidRDefault="00AF7EC0"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CA7AA0">
              <w:rPr>
                <w:b/>
                <w:bCs/>
                <w:sz w:val="20"/>
                <w:szCs w:val="20"/>
              </w:rPr>
              <w:t>Conversion (</w:t>
            </w:r>
            <w:r w:rsidR="000E13B9" w:rsidRPr="00CA7AA0">
              <w:rPr>
                <w:b/>
                <w:bCs/>
                <w:sz w:val="20"/>
                <w:szCs w:val="20"/>
              </w:rPr>
              <w:t xml:space="preserve">injection moulding, extrusion, film, </w:t>
            </w:r>
            <w:proofErr w:type="spellStart"/>
            <w:r w:rsidR="000E13B9" w:rsidRPr="00CA7AA0">
              <w:rPr>
                <w:b/>
                <w:bCs/>
                <w:sz w:val="20"/>
                <w:szCs w:val="20"/>
              </w:rPr>
              <w:t>rotomoulding</w:t>
            </w:r>
            <w:proofErr w:type="spellEnd"/>
            <w:r w:rsidRPr="00CA7AA0">
              <w:rPr>
                <w:b/>
                <w:bCs/>
                <w:sz w:val="20"/>
                <w:szCs w:val="20"/>
              </w:rPr>
              <w:t xml:space="preserve"> etc.) </w:t>
            </w:r>
          </w:p>
        </w:tc>
      </w:tr>
      <w:tr w:rsidR="0083757F" w14:paraId="23A39507"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09C6CF56" w14:textId="43D891AD" w:rsidR="0083757F" w:rsidRPr="00F37A0E" w:rsidRDefault="0083757F" w:rsidP="00F30FBC">
            <w:pPr>
              <w:spacing w:before="120" w:after="120" w:line="276" w:lineRule="auto"/>
              <w:rPr>
                <w:b w:val="0"/>
                <w:bCs w:val="0"/>
                <w:sz w:val="20"/>
                <w:szCs w:val="20"/>
              </w:rPr>
            </w:pPr>
            <w:r>
              <w:rPr>
                <w:sz w:val="20"/>
                <w:szCs w:val="20"/>
              </w:rPr>
              <w:t>Size</w:t>
            </w:r>
          </w:p>
        </w:tc>
        <w:tc>
          <w:tcPr>
            <w:tcW w:w="7461" w:type="dxa"/>
          </w:tcPr>
          <w:p w14:paraId="2B0CC30D" w14:textId="08022695" w:rsidR="0083757F" w:rsidRDefault="0083757F"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83757F">
              <w:rPr>
                <w:sz w:val="20"/>
                <w:szCs w:val="20"/>
              </w:rPr>
              <w:t>The whole supply chain approach creates obligations for polymer producers, as well as a wide range of downstream users who receive pellets as raw material inputs.  In 2024, European plastics industry comprised 50,000 to 52,000 companies employing approximately 1.5 million people, processing over 54 million tonnes, with the main consuming sectors being packaging (39%), construction (23%), automotive (8%) and electrical/electronics (6%)</w:t>
            </w:r>
            <w:r>
              <w:rPr>
                <w:rStyle w:val="FootnoteReference"/>
                <w:sz w:val="20"/>
                <w:szCs w:val="20"/>
              </w:rPr>
              <w:footnoteReference w:id="11"/>
            </w:r>
            <w:r>
              <w:rPr>
                <w:sz w:val="20"/>
                <w:szCs w:val="20"/>
              </w:rPr>
              <w:t>.</w:t>
            </w:r>
            <w:r w:rsidRPr="0083757F">
              <w:rPr>
                <w:sz w:val="20"/>
                <w:szCs w:val="20"/>
              </w:rPr>
              <w:t xml:space="preserve">  These segments can involve extensive pellet handling, often across large numbers of small and medium sized installations, all of which are now directly subject to risk management, spill prevention and annual loss estimation requirements</w:t>
            </w:r>
            <w:r w:rsidR="00B23FA0">
              <w:rPr>
                <w:sz w:val="20"/>
                <w:szCs w:val="20"/>
              </w:rPr>
              <w:t xml:space="preserve"> when they handle </w:t>
            </w:r>
            <w:r w:rsidR="00B23FA0">
              <w:rPr>
                <w:rFonts w:cstheme="minorHAnsi"/>
                <w:sz w:val="20"/>
                <w:szCs w:val="20"/>
              </w:rPr>
              <w:t>≥</w:t>
            </w:r>
            <w:r w:rsidR="00B23FA0">
              <w:rPr>
                <w:sz w:val="20"/>
                <w:szCs w:val="20"/>
              </w:rPr>
              <w:t xml:space="preserve"> 5 tonnes a year</w:t>
            </w:r>
            <w:r w:rsidRPr="0083757F">
              <w:rPr>
                <w:sz w:val="20"/>
                <w:szCs w:val="20"/>
              </w:rPr>
              <w:t>.</w:t>
            </w:r>
          </w:p>
        </w:tc>
      </w:tr>
      <w:tr w:rsidR="00AF7EC0" w14:paraId="6F63864D"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73B2A085" w14:textId="77777777" w:rsidR="00AF7EC0" w:rsidRPr="00F37A0E" w:rsidRDefault="00AF7EC0" w:rsidP="00F30FBC">
            <w:pPr>
              <w:spacing w:before="120" w:after="120" w:line="276" w:lineRule="auto"/>
              <w:rPr>
                <w:b w:val="0"/>
                <w:bCs w:val="0"/>
                <w:sz w:val="20"/>
                <w:szCs w:val="20"/>
              </w:rPr>
            </w:pPr>
            <w:r w:rsidRPr="00F37A0E">
              <w:rPr>
                <w:sz w:val="20"/>
                <w:szCs w:val="20"/>
              </w:rPr>
              <w:t xml:space="preserve">Risk Profile </w:t>
            </w:r>
          </w:p>
        </w:tc>
        <w:tc>
          <w:tcPr>
            <w:tcW w:w="7461" w:type="dxa"/>
          </w:tcPr>
          <w:p w14:paraId="26C50528" w14:textId="49EA92C5" w:rsidR="00AF7EC0" w:rsidRDefault="00AF7EC0"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Frequent small spills from hoppers/bag handling, high variable throughputs, predominately SMEs </w:t>
            </w:r>
          </w:p>
        </w:tc>
      </w:tr>
      <w:tr w:rsidR="00AF7EC0" w14:paraId="6541E34D"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58242FB5" w14:textId="77777777" w:rsidR="00AF7EC0" w:rsidRPr="00F37A0E" w:rsidRDefault="00AF7EC0" w:rsidP="00F30FBC">
            <w:pPr>
              <w:spacing w:before="120" w:after="120" w:line="276" w:lineRule="auto"/>
              <w:rPr>
                <w:b w:val="0"/>
                <w:bCs w:val="0"/>
                <w:sz w:val="20"/>
                <w:szCs w:val="20"/>
              </w:rPr>
            </w:pPr>
            <w:r w:rsidRPr="00F37A0E">
              <w:rPr>
                <w:sz w:val="20"/>
                <w:szCs w:val="20"/>
              </w:rPr>
              <w:t xml:space="preserve">Obligations </w:t>
            </w:r>
          </w:p>
        </w:tc>
        <w:tc>
          <w:tcPr>
            <w:tcW w:w="7461" w:type="dxa"/>
          </w:tcPr>
          <w:p w14:paraId="7F4716C8" w14:textId="4C7D9DA1" w:rsidR="00AF7EC0" w:rsidRDefault="00AF7EC0"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Risk management plans, proportionate equipment (e.g. vacuum capture, floor gates), training, self-declaration or certification for higher throughput plants </w:t>
            </w:r>
          </w:p>
        </w:tc>
      </w:tr>
      <w:tr w:rsidR="00AF7EC0" w14:paraId="2065FCC2"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2BB9E980" w14:textId="77777777" w:rsidR="00AF7EC0" w:rsidRPr="00F37A0E" w:rsidRDefault="00AF7EC0" w:rsidP="00F30FBC">
            <w:pPr>
              <w:spacing w:before="120" w:after="120" w:line="276" w:lineRule="auto"/>
              <w:rPr>
                <w:b w:val="0"/>
                <w:bCs w:val="0"/>
                <w:sz w:val="20"/>
                <w:szCs w:val="20"/>
              </w:rPr>
            </w:pPr>
            <w:r w:rsidRPr="00F37A0E">
              <w:rPr>
                <w:sz w:val="20"/>
                <w:szCs w:val="20"/>
              </w:rPr>
              <w:t xml:space="preserve">Expected effect </w:t>
            </w:r>
          </w:p>
        </w:tc>
        <w:tc>
          <w:tcPr>
            <w:tcW w:w="7461" w:type="dxa"/>
          </w:tcPr>
          <w:p w14:paraId="163F95E4" w14:textId="7694C4FF" w:rsidR="00AF7EC0" w:rsidRDefault="00AF7EC0"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Improves baseline practice across SMEs that previously sat outside formal schemes </w:t>
            </w:r>
          </w:p>
        </w:tc>
      </w:tr>
    </w:tbl>
    <w:p w14:paraId="3B029EDE" w14:textId="77777777" w:rsidR="00AF7EC0" w:rsidRDefault="00AF7EC0" w:rsidP="00784FB2">
      <w:pPr>
        <w:rPr>
          <w:sz w:val="20"/>
          <w:szCs w:val="20"/>
        </w:rPr>
      </w:pPr>
    </w:p>
    <w:tbl>
      <w:tblPr>
        <w:tblStyle w:val="GridTable1Light-Accent1"/>
        <w:tblW w:w="0" w:type="auto"/>
        <w:tblLook w:val="0480" w:firstRow="0" w:lastRow="0" w:firstColumn="1" w:lastColumn="0" w:noHBand="0" w:noVBand="1"/>
      </w:tblPr>
      <w:tblGrid>
        <w:gridCol w:w="1555"/>
        <w:gridCol w:w="7461"/>
      </w:tblGrid>
      <w:tr w:rsidR="00AF7EC0" w:rsidRPr="003561E8" w14:paraId="0E500617"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584DFA66" w14:textId="77777777" w:rsidR="00AF7EC0" w:rsidRPr="003561E8" w:rsidRDefault="00AF7EC0" w:rsidP="00F30FBC">
            <w:pPr>
              <w:spacing w:before="120" w:after="120" w:line="276" w:lineRule="auto"/>
              <w:rPr>
                <w:sz w:val="20"/>
                <w:szCs w:val="20"/>
              </w:rPr>
            </w:pPr>
            <w:r w:rsidRPr="003561E8">
              <w:rPr>
                <w:sz w:val="20"/>
                <w:szCs w:val="20"/>
              </w:rPr>
              <w:t xml:space="preserve">Sector </w:t>
            </w:r>
          </w:p>
        </w:tc>
        <w:tc>
          <w:tcPr>
            <w:tcW w:w="7461" w:type="dxa"/>
          </w:tcPr>
          <w:p w14:paraId="428BF558" w14:textId="1E138C97" w:rsidR="00AF7EC0" w:rsidRPr="003561E8" w:rsidRDefault="00AF7EC0"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3561E8">
              <w:rPr>
                <w:b/>
                <w:bCs/>
                <w:sz w:val="20"/>
                <w:szCs w:val="20"/>
              </w:rPr>
              <w:t xml:space="preserve">Recycling </w:t>
            </w:r>
          </w:p>
        </w:tc>
      </w:tr>
      <w:tr w:rsidR="0083757F" w14:paraId="50272B42"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35109607" w14:textId="2126DB8F" w:rsidR="0083757F" w:rsidRPr="00F37A0E" w:rsidRDefault="0083757F" w:rsidP="00F30FBC">
            <w:pPr>
              <w:spacing w:before="120" w:after="120" w:line="276" w:lineRule="auto"/>
              <w:rPr>
                <w:b w:val="0"/>
                <w:bCs w:val="0"/>
                <w:sz w:val="20"/>
                <w:szCs w:val="20"/>
              </w:rPr>
            </w:pPr>
            <w:r>
              <w:rPr>
                <w:sz w:val="20"/>
                <w:szCs w:val="20"/>
              </w:rPr>
              <w:t xml:space="preserve">Size </w:t>
            </w:r>
          </w:p>
        </w:tc>
        <w:tc>
          <w:tcPr>
            <w:tcW w:w="7461" w:type="dxa"/>
          </w:tcPr>
          <w:p w14:paraId="585857A5" w14:textId="72038383" w:rsidR="0083757F" w:rsidRDefault="0083757F"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83757F">
              <w:rPr>
                <w:sz w:val="20"/>
                <w:szCs w:val="20"/>
              </w:rPr>
              <w:t>In 2023, there was 13.2 Mt of installed plastics recycling input across approximately 850 companie</w:t>
            </w:r>
            <w:r>
              <w:rPr>
                <w:sz w:val="20"/>
                <w:szCs w:val="20"/>
              </w:rPr>
              <w:t>s</w:t>
            </w:r>
            <w:r>
              <w:rPr>
                <w:rStyle w:val="FootnoteReference"/>
                <w:sz w:val="20"/>
                <w:szCs w:val="20"/>
              </w:rPr>
              <w:footnoteReference w:id="12"/>
            </w:r>
            <w:r w:rsidRPr="0083757F">
              <w:rPr>
                <w:sz w:val="20"/>
                <w:szCs w:val="20"/>
              </w:rPr>
              <w:t xml:space="preserve">.  All of these facilities handle pellets or pre-pelletised stream (flakes, agglomerates, powders) and will typically cross the 5 tonnes threshold.  </w:t>
            </w:r>
          </w:p>
        </w:tc>
      </w:tr>
      <w:tr w:rsidR="00AF7EC0" w14:paraId="73046CDE"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2F066105" w14:textId="77777777" w:rsidR="00AF7EC0" w:rsidRPr="00F37A0E" w:rsidRDefault="00AF7EC0" w:rsidP="00F30FBC">
            <w:pPr>
              <w:spacing w:before="120" w:after="120" w:line="276" w:lineRule="auto"/>
              <w:rPr>
                <w:b w:val="0"/>
                <w:bCs w:val="0"/>
                <w:sz w:val="20"/>
                <w:szCs w:val="20"/>
              </w:rPr>
            </w:pPr>
            <w:r w:rsidRPr="00F37A0E">
              <w:rPr>
                <w:sz w:val="20"/>
                <w:szCs w:val="20"/>
              </w:rPr>
              <w:lastRenderedPageBreak/>
              <w:t xml:space="preserve">Risk Profile </w:t>
            </w:r>
          </w:p>
        </w:tc>
        <w:tc>
          <w:tcPr>
            <w:tcW w:w="7461" w:type="dxa"/>
          </w:tcPr>
          <w:p w14:paraId="22C4CD4B" w14:textId="30AB1FA8" w:rsidR="00AF7EC0" w:rsidRDefault="00AF7EC0"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High complexity (dirty feedstock, washing, pelletising)</w:t>
            </w:r>
            <w:r w:rsidR="00D42674">
              <w:rPr>
                <w:sz w:val="20"/>
                <w:szCs w:val="20"/>
              </w:rPr>
              <w:t>, frequent transfers, operator sizes tend to be small and medium</w:t>
            </w:r>
            <w:r w:rsidR="009910DC">
              <w:rPr>
                <w:rStyle w:val="FootnoteReference"/>
                <w:sz w:val="20"/>
                <w:szCs w:val="20"/>
              </w:rPr>
              <w:footnoteReference w:id="13"/>
            </w:r>
            <w:r w:rsidR="009910DC">
              <w:t>.</w:t>
            </w:r>
          </w:p>
        </w:tc>
      </w:tr>
      <w:tr w:rsidR="00AF7EC0" w14:paraId="61DBFCBA"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0BD16A73" w14:textId="77777777" w:rsidR="00AF7EC0" w:rsidRPr="00F37A0E" w:rsidRDefault="00AF7EC0" w:rsidP="00F30FBC">
            <w:pPr>
              <w:spacing w:before="120" w:after="120" w:line="276" w:lineRule="auto"/>
              <w:rPr>
                <w:b w:val="0"/>
                <w:bCs w:val="0"/>
                <w:sz w:val="20"/>
                <w:szCs w:val="20"/>
              </w:rPr>
            </w:pPr>
            <w:r w:rsidRPr="00F37A0E">
              <w:rPr>
                <w:sz w:val="20"/>
                <w:szCs w:val="20"/>
              </w:rPr>
              <w:t xml:space="preserve">Obligations </w:t>
            </w:r>
          </w:p>
        </w:tc>
        <w:tc>
          <w:tcPr>
            <w:tcW w:w="7461" w:type="dxa"/>
          </w:tcPr>
          <w:p w14:paraId="7BED8388" w14:textId="77DBCE25" w:rsidR="00AF7EC0" w:rsidRDefault="00D42674"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Same as converters above </w:t>
            </w:r>
          </w:p>
        </w:tc>
      </w:tr>
      <w:tr w:rsidR="00AF7EC0" w14:paraId="64390594" w14:textId="77777777" w:rsidTr="003561E8">
        <w:tc>
          <w:tcPr>
            <w:cnfStyle w:val="001000000000" w:firstRow="0" w:lastRow="0" w:firstColumn="1" w:lastColumn="0" w:oddVBand="0" w:evenVBand="0" w:oddHBand="0" w:evenHBand="0" w:firstRowFirstColumn="0" w:firstRowLastColumn="0" w:lastRowFirstColumn="0" w:lastRowLastColumn="0"/>
            <w:tcW w:w="1555" w:type="dxa"/>
          </w:tcPr>
          <w:p w14:paraId="4F7B6361" w14:textId="77777777" w:rsidR="00AF7EC0" w:rsidRPr="00F37A0E" w:rsidRDefault="00AF7EC0" w:rsidP="00F30FBC">
            <w:pPr>
              <w:spacing w:before="120" w:after="120" w:line="276" w:lineRule="auto"/>
              <w:rPr>
                <w:b w:val="0"/>
                <w:bCs w:val="0"/>
                <w:sz w:val="20"/>
                <w:szCs w:val="20"/>
              </w:rPr>
            </w:pPr>
            <w:r w:rsidRPr="00F37A0E">
              <w:rPr>
                <w:sz w:val="20"/>
                <w:szCs w:val="20"/>
              </w:rPr>
              <w:t xml:space="preserve">Expected effect </w:t>
            </w:r>
          </w:p>
        </w:tc>
        <w:tc>
          <w:tcPr>
            <w:tcW w:w="7461" w:type="dxa"/>
          </w:tcPr>
          <w:p w14:paraId="4BA06B16" w14:textId="17905132" w:rsidR="00AF7EC0" w:rsidRDefault="00D42674"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Improves baseline practice across recyclers that previously sat outside formal schemes</w:t>
            </w:r>
          </w:p>
        </w:tc>
      </w:tr>
    </w:tbl>
    <w:p w14:paraId="6EE7E616" w14:textId="77777777" w:rsidR="00AF7EC0" w:rsidRDefault="00AF7EC0" w:rsidP="00784FB2">
      <w:pPr>
        <w:rPr>
          <w:sz w:val="20"/>
          <w:szCs w:val="20"/>
        </w:rPr>
      </w:pPr>
    </w:p>
    <w:tbl>
      <w:tblPr>
        <w:tblStyle w:val="GridTable1Light-Accent1"/>
        <w:tblW w:w="0" w:type="auto"/>
        <w:tblLook w:val="0480" w:firstRow="0" w:lastRow="0" w:firstColumn="1" w:lastColumn="0" w:noHBand="0" w:noVBand="1"/>
      </w:tblPr>
      <w:tblGrid>
        <w:gridCol w:w="1843"/>
        <w:gridCol w:w="7173"/>
      </w:tblGrid>
      <w:tr w:rsidR="00D42674" w:rsidRPr="003561E8" w14:paraId="15F1104F" w14:textId="77777777" w:rsidTr="003561E8">
        <w:tc>
          <w:tcPr>
            <w:cnfStyle w:val="001000000000" w:firstRow="0" w:lastRow="0" w:firstColumn="1" w:lastColumn="0" w:oddVBand="0" w:evenVBand="0" w:oddHBand="0" w:evenHBand="0" w:firstRowFirstColumn="0" w:firstRowLastColumn="0" w:lastRowFirstColumn="0" w:lastRowLastColumn="0"/>
            <w:tcW w:w="1843" w:type="dxa"/>
          </w:tcPr>
          <w:p w14:paraId="2AA41EFF" w14:textId="77777777" w:rsidR="00D42674" w:rsidRPr="003561E8" w:rsidRDefault="00D42674" w:rsidP="00F30FBC">
            <w:pPr>
              <w:spacing w:before="120" w:after="120" w:line="276" w:lineRule="auto"/>
              <w:rPr>
                <w:sz w:val="20"/>
                <w:szCs w:val="20"/>
              </w:rPr>
            </w:pPr>
            <w:r w:rsidRPr="003561E8">
              <w:rPr>
                <w:sz w:val="20"/>
                <w:szCs w:val="20"/>
              </w:rPr>
              <w:t xml:space="preserve">Sector </w:t>
            </w:r>
          </w:p>
        </w:tc>
        <w:tc>
          <w:tcPr>
            <w:tcW w:w="7173" w:type="dxa"/>
          </w:tcPr>
          <w:p w14:paraId="7545E863" w14:textId="03949717" w:rsidR="00D42674" w:rsidRPr="003561E8" w:rsidRDefault="00FA7722"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3561E8">
              <w:rPr>
                <w:b/>
                <w:bCs/>
                <w:sz w:val="20"/>
                <w:szCs w:val="20"/>
              </w:rPr>
              <w:t xml:space="preserve">Logistics (road, rail, inland waterway), terminals and cleaning </w:t>
            </w:r>
          </w:p>
        </w:tc>
      </w:tr>
      <w:tr w:rsidR="009C44E8" w14:paraId="336EE9B8" w14:textId="77777777" w:rsidTr="003561E8">
        <w:tc>
          <w:tcPr>
            <w:cnfStyle w:val="001000000000" w:firstRow="0" w:lastRow="0" w:firstColumn="1" w:lastColumn="0" w:oddVBand="0" w:evenVBand="0" w:oddHBand="0" w:evenHBand="0" w:firstRowFirstColumn="0" w:firstRowLastColumn="0" w:lastRowFirstColumn="0" w:lastRowLastColumn="0"/>
            <w:tcW w:w="1843" w:type="dxa"/>
          </w:tcPr>
          <w:p w14:paraId="07A713EE" w14:textId="4946A6E5" w:rsidR="009C44E8" w:rsidRPr="00F37A0E" w:rsidRDefault="009C44E8" w:rsidP="00F30FBC">
            <w:pPr>
              <w:spacing w:before="120" w:after="120" w:line="276" w:lineRule="auto"/>
              <w:rPr>
                <w:b w:val="0"/>
                <w:bCs w:val="0"/>
                <w:sz w:val="20"/>
                <w:szCs w:val="20"/>
              </w:rPr>
            </w:pPr>
            <w:r>
              <w:rPr>
                <w:sz w:val="20"/>
                <w:szCs w:val="20"/>
              </w:rPr>
              <w:t xml:space="preserve">Size </w:t>
            </w:r>
          </w:p>
        </w:tc>
        <w:tc>
          <w:tcPr>
            <w:tcW w:w="7173" w:type="dxa"/>
          </w:tcPr>
          <w:p w14:paraId="3BD8B408" w14:textId="3B217884" w:rsidR="00983B0B" w:rsidRPr="00983B0B" w:rsidRDefault="00983B0B" w:rsidP="00983B0B">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983B0B">
              <w:rPr>
                <w:sz w:val="20"/>
                <w:szCs w:val="20"/>
              </w:rPr>
              <w:t>No official EU dataset identifies how many transport and logistics companies handle plastic pellets, and the available data does not allow the regulated population to be quantified.</w:t>
            </w:r>
            <w:r>
              <w:rPr>
                <w:sz w:val="20"/>
                <w:szCs w:val="20"/>
              </w:rPr>
              <w:t xml:space="preserve"> </w:t>
            </w:r>
            <w:r w:rsidRPr="00983B0B">
              <w:rPr>
                <w:sz w:val="20"/>
                <w:szCs w:val="20"/>
              </w:rPr>
              <w:t xml:space="preserve"> The specialist logistics sector can be illustrated</w:t>
            </w:r>
            <w:r>
              <w:rPr>
                <w:sz w:val="20"/>
                <w:szCs w:val="20"/>
              </w:rPr>
              <w:t xml:space="preserve">.  </w:t>
            </w:r>
            <w:r w:rsidRPr="00983B0B">
              <w:rPr>
                <w:sz w:val="20"/>
                <w:szCs w:val="20"/>
              </w:rPr>
              <w:t xml:space="preserve"> </w:t>
            </w:r>
            <w:proofErr w:type="spellStart"/>
            <w:r w:rsidRPr="00983B0B">
              <w:rPr>
                <w:sz w:val="20"/>
                <w:szCs w:val="20"/>
              </w:rPr>
              <w:t>Cefic</w:t>
            </w:r>
            <w:proofErr w:type="spellEnd"/>
            <w:r w:rsidRPr="00983B0B">
              <w:rPr>
                <w:sz w:val="20"/>
                <w:szCs w:val="20"/>
              </w:rPr>
              <w:t xml:space="preserve"> reports that more than 2,500 companies have been assessed under its </w:t>
            </w:r>
            <w:proofErr w:type="spellStart"/>
            <w:r w:rsidRPr="00983B0B">
              <w:rPr>
                <w:sz w:val="20"/>
                <w:szCs w:val="20"/>
              </w:rPr>
              <w:t>SQAS</w:t>
            </w:r>
            <w:proofErr w:type="spellEnd"/>
            <w:r w:rsidRPr="00983B0B">
              <w:rPr>
                <w:sz w:val="20"/>
                <w:szCs w:val="20"/>
              </w:rPr>
              <w:t xml:space="preserve"> scheme since its launch in 1992, although this is a cumulative figure rather than a measure of currently active providers. </w:t>
            </w:r>
            <w:r>
              <w:rPr>
                <w:sz w:val="20"/>
                <w:szCs w:val="20"/>
              </w:rPr>
              <w:t xml:space="preserve"> </w:t>
            </w:r>
            <w:r w:rsidRPr="00983B0B">
              <w:rPr>
                <w:sz w:val="20"/>
                <w:szCs w:val="20"/>
              </w:rPr>
              <w:t xml:space="preserve">The relevance of </w:t>
            </w:r>
            <w:proofErr w:type="spellStart"/>
            <w:r w:rsidRPr="00983B0B">
              <w:rPr>
                <w:sz w:val="20"/>
                <w:szCs w:val="20"/>
              </w:rPr>
              <w:t>SQAS</w:t>
            </w:r>
            <w:proofErr w:type="spellEnd"/>
            <w:r w:rsidRPr="00983B0B">
              <w:rPr>
                <w:sz w:val="20"/>
                <w:szCs w:val="20"/>
              </w:rPr>
              <w:t xml:space="preserve"> to pellet transport was further reinforced when Operation Clean Sweep recognised the scheme in 2022 as an alternative to separate OCS certification for logistics providers.</w:t>
            </w:r>
          </w:p>
          <w:p w14:paraId="4B3A7F61" w14:textId="1E6E95C6" w:rsidR="00983B0B" w:rsidRPr="00983B0B" w:rsidRDefault="00983B0B" w:rsidP="00983B0B">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983B0B">
              <w:rPr>
                <w:sz w:val="20"/>
                <w:szCs w:val="20"/>
              </w:rPr>
              <w:t>The European Chemical Transport Association (ECTA) also publishes polymer handling guidance and represents a range of operators specialising in polymer and bulk-solid logistics, demonstrating the existence of a substantial specialist sector without providing a reliable basis for estimating its size.</w:t>
            </w:r>
          </w:p>
          <w:p w14:paraId="2FB45007" w14:textId="60AC4908" w:rsidR="009C44E8" w:rsidRDefault="00983B0B" w:rsidP="009C44E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983B0B">
              <w:rPr>
                <w:sz w:val="20"/>
                <w:szCs w:val="20"/>
              </w:rPr>
              <w:t xml:space="preserve">The population captured by the Regulation is, however, considerably wider than this specialist tier. </w:t>
            </w:r>
            <w:r>
              <w:rPr>
                <w:sz w:val="20"/>
                <w:szCs w:val="20"/>
              </w:rPr>
              <w:t xml:space="preserve"> </w:t>
            </w:r>
            <w:r w:rsidRPr="00983B0B">
              <w:rPr>
                <w:sz w:val="20"/>
                <w:szCs w:val="20"/>
              </w:rPr>
              <w:t xml:space="preserve">Article 1(2)(c) applies to all EU and non-EU carriers transporting plastic pellets within the Union, with no minimum tonnage threshold. </w:t>
            </w:r>
            <w:r>
              <w:rPr>
                <w:sz w:val="20"/>
                <w:szCs w:val="20"/>
              </w:rPr>
              <w:t xml:space="preserve"> </w:t>
            </w:r>
            <w:r w:rsidRPr="00983B0B">
              <w:rPr>
                <w:sz w:val="20"/>
                <w:szCs w:val="20"/>
              </w:rPr>
              <w:t xml:space="preserve">As a result, a general haulage company occasionally transporting palletised bags of pellets falls within scope on the same basis as a dedicated bulk polymer logistics operator. </w:t>
            </w:r>
            <w:r>
              <w:rPr>
                <w:sz w:val="20"/>
                <w:szCs w:val="20"/>
              </w:rPr>
              <w:t xml:space="preserve"> </w:t>
            </w:r>
            <w:r w:rsidRPr="00983B0B">
              <w:rPr>
                <w:sz w:val="20"/>
                <w:szCs w:val="20"/>
              </w:rPr>
              <w:t xml:space="preserve">This broad scope is reflected in Article 25(1)(i), which requires the Commission to review by 17 December 2033 whether a carrier threshold would be appropriate. </w:t>
            </w:r>
            <w:r>
              <w:rPr>
                <w:sz w:val="20"/>
                <w:szCs w:val="20"/>
              </w:rPr>
              <w:t xml:space="preserve"> </w:t>
            </w:r>
          </w:p>
        </w:tc>
      </w:tr>
      <w:tr w:rsidR="00D42674" w14:paraId="7F4C48B5" w14:textId="77777777" w:rsidTr="003561E8">
        <w:tc>
          <w:tcPr>
            <w:cnfStyle w:val="001000000000" w:firstRow="0" w:lastRow="0" w:firstColumn="1" w:lastColumn="0" w:oddVBand="0" w:evenVBand="0" w:oddHBand="0" w:evenHBand="0" w:firstRowFirstColumn="0" w:firstRowLastColumn="0" w:lastRowFirstColumn="0" w:lastRowLastColumn="0"/>
            <w:tcW w:w="1843" w:type="dxa"/>
          </w:tcPr>
          <w:p w14:paraId="5C0B615E" w14:textId="77777777" w:rsidR="00D42674" w:rsidRPr="00F37A0E" w:rsidRDefault="00D42674" w:rsidP="00F30FBC">
            <w:pPr>
              <w:spacing w:before="120" w:after="120" w:line="276" w:lineRule="auto"/>
              <w:rPr>
                <w:b w:val="0"/>
                <w:bCs w:val="0"/>
                <w:sz w:val="20"/>
                <w:szCs w:val="20"/>
              </w:rPr>
            </w:pPr>
            <w:r w:rsidRPr="00F37A0E">
              <w:rPr>
                <w:sz w:val="20"/>
                <w:szCs w:val="20"/>
              </w:rPr>
              <w:t xml:space="preserve">Risk Profile </w:t>
            </w:r>
          </w:p>
        </w:tc>
        <w:tc>
          <w:tcPr>
            <w:tcW w:w="7173" w:type="dxa"/>
          </w:tcPr>
          <w:p w14:paraId="3BA3359B" w14:textId="5C013BD5" w:rsidR="00D42674" w:rsidRDefault="00FA7722"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Spill risk at (un)loa</w:t>
            </w:r>
            <w:r w:rsidR="0074087F">
              <w:rPr>
                <w:sz w:val="20"/>
                <w:szCs w:val="20"/>
              </w:rPr>
              <w:t>d</w:t>
            </w:r>
            <w:r>
              <w:rPr>
                <w:sz w:val="20"/>
                <w:szCs w:val="20"/>
              </w:rPr>
              <w:t xml:space="preserve">ing, hose connections, valve failures, bag tears, cleanliness of trailers and containers, documentation, data gaps between parties </w:t>
            </w:r>
          </w:p>
        </w:tc>
      </w:tr>
      <w:tr w:rsidR="00D42674" w14:paraId="480693AF" w14:textId="77777777" w:rsidTr="003561E8">
        <w:tc>
          <w:tcPr>
            <w:cnfStyle w:val="001000000000" w:firstRow="0" w:lastRow="0" w:firstColumn="1" w:lastColumn="0" w:oddVBand="0" w:evenVBand="0" w:oddHBand="0" w:evenHBand="0" w:firstRowFirstColumn="0" w:firstRowLastColumn="0" w:lastRowFirstColumn="0" w:lastRowLastColumn="0"/>
            <w:tcW w:w="1843" w:type="dxa"/>
          </w:tcPr>
          <w:p w14:paraId="2C8E39F2" w14:textId="77777777" w:rsidR="00D42674" w:rsidRPr="00F37A0E" w:rsidRDefault="00D42674" w:rsidP="00F30FBC">
            <w:pPr>
              <w:spacing w:before="120" w:after="120" w:line="276" w:lineRule="auto"/>
              <w:rPr>
                <w:b w:val="0"/>
                <w:bCs w:val="0"/>
                <w:sz w:val="20"/>
                <w:szCs w:val="20"/>
              </w:rPr>
            </w:pPr>
            <w:r w:rsidRPr="00F37A0E">
              <w:rPr>
                <w:sz w:val="20"/>
                <w:szCs w:val="20"/>
              </w:rPr>
              <w:t xml:space="preserve">Obligations </w:t>
            </w:r>
          </w:p>
        </w:tc>
        <w:tc>
          <w:tcPr>
            <w:tcW w:w="7173" w:type="dxa"/>
          </w:tcPr>
          <w:p w14:paraId="63F94240" w14:textId="18C55511" w:rsidR="00D42674" w:rsidRDefault="00983B0B"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885B9A">
              <w:rPr>
                <w:b/>
                <w:bCs/>
                <w:sz w:val="20"/>
                <w:szCs w:val="20"/>
              </w:rPr>
              <w:t>Carriers</w:t>
            </w:r>
            <w:r w:rsidRPr="00983B0B">
              <w:rPr>
                <w:sz w:val="20"/>
                <w:szCs w:val="20"/>
              </w:rPr>
              <w:t>: implement the Annex III prevention, containment and clean-up actions and carry the specified on-board equipment (Article 5(4)).  Staff trained to their roles, and five-year records of annually estimated losses and quantities handled, produced to competent authorities on demand (Article 5(6)).  Corrective measures without delay where controls fail (Article 5(7)).</w:t>
            </w:r>
          </w:p>
          <w:p w14:paraId="42DB0E1D" w14:textId="77777777" w:rsidR="00983B0B" w:rsidRPr="00983B0B" w:rsidRDefault="00983B0B" w:rsidP="00983B0B">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983B0B">
              <w:rPr>
                <w:sz w:val="20"/>
                <w:szCs w:val="20"/>
              </w:rPr>
              <w:t>EU carriers notify competent authorities before first transporting pellets in the Union (Article 3(2)); non-EU carriers must designate an authorised representative in at least one Member State (Article 4).</w:t>
            </w:r>
          </w:p>
          <w:p w14:paraId="6751CBDC" w14:textId="68B9418E" w:rsidR="00983B0B" w:rsidRDefault="00983B0B" w:rsidP="00983B0B">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885B9A">
              <w:rPr>
                <w:b/>
                <w:bCs/>
                <w:sz w:val="20"/>
                <w:szCs w:val="20"/>
              </w:rPr>
              <w:t>Cleaning stations and terminals</w:t>
            </w:r>
            <w:r w:rsidRPr="00983B0B">
              <w:rPr>
                <w:sz w:val="20"/>
                <w:szCs w:val="20"/>
              </w:rPr>
              <w:t xml:space="preserve">: risk management plan for each installation, self-declaration of conformity and the Annex I equipment and procedures (Article 5(1)), </w:t>
            </w:r>
            <w:r w:rsidRPr="00983B0B">
              <w:rPr>
                <w:sz w:val="20"/>
                <w:szCs w:val="20"/>
              </w:rPr>
              <w:lastRenderedPageBreak/>
              <w:t>with certification where the installation handled 1,500 tonnes or more (Article 6).  Carrier obligations apply from 17 December 2027 (Article 26).</w:t>
            </w:r>
          </w:p>
        </w:tc>
      </w:tr>
      <w:tr w:rsidR="00D42674" w14:paraId="54BF9F51" w14:textId="77777777" w:rsidTr="003561E8">
        <w:tc>
          <w:tcPr>
            <w:cnfStyle w:val="001000000000" w:firstRow="0" w:lastRow="0" w:firstColumn="1" w:lastColumn="0" w:oddVBand="0" w:evenVBand="0" w:oddHBand="0" w:evenHBand="0" w:firstRowFirstColumn="0" w:firstRowLastColumn="0" w:lastRowFirstColumn="0" w:lastRowLastColumn="0"/>
            <w:tcW w:w="1843" w:type="dxa"/>
          </w:tcPr>
          <w:p w14:paraId="3F5C7578" w14:textId="77777777" w:rsidR="00D42674" w:rsidRPr="00F37A0E" w:rsidRDefault="00D42674" w:rsidP="00F30FBC">
            <w:pPr>
              <w:spacing w:before="120" w:after="120" w:line="276" w:lineRule="auto"/>
              <w:rPr>
                <w:b w:val="0"/>
                <w:bCs w:val="0"/>
                <w:sz w:val="20"/>
                <w:szCs w:val="20"/>
              </w:rPr>
            </w:pPr>
            <w:r w:rsidRPr="00F37A0E">
              <w:rPr>
                <w:sz w:val="20"/>
                <w:szCs w:val="20"/>
              </w:rPr>
              <w:lastRenderedPageBreak/>
              <w:t xml:space="preserve">Expected effect </w:t>
            </w:r>
          </w:p>
        </w:tc>
        <w:tc>
          <w:tcPr>
            <w:tcW w:w="7173" w:type="dxa"/>
          </w:tcPr>
          <w:p w14:paraId="59134EB7" w14:textId="5AA81A44" w:rsidR="00D42674" w:rsidRDefault="00FA7722"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EU and non-EU carriers included.  B</w:t>
            </w:r>
            <w:r w:rsidRPr="00FA7722">
              <w:rPr>
                <w:sz w:val="20"/>
                <w:szCs w:val="20"/>
              </w:rPr>
              <w:t>rings</w:t>
            </w:r>
            <w:r w:rsidR="0074087F">
              <w:rPr>
                <w:sz w:val="20"/>
                <w:szCs w:val="20"/>
              </w:rPr>
              <w:t xml:space="preserve"> together</w:t>
            </w:r>
            <w:r w:rsidRPr="00FA7722">
              <w:rPr>
                <w:sz w:val="20"/>
                <w:szCs w:val="20"/>
              </w:rPr>
              <w:t xml:space="preserve"> the different organisations involved into one clear, consistent compliance approach and strengthens sector initiatives like ECTA </w:t>
            </w:r>
            <w:r w:rsidR="0074087F">
              <w:rPr>
                <w:sz w:val="20"/>
                <w:szCs w:val="20"/>
              </w:rPr>
              <w:t xml:space="preserve">Responsible </w:t>
            </w:r>
            <w:r w:rsidRPr="00FA7722">
              <w:rPr>
                <w:sz w:val="20"/>
                <w:szCs w:val="20"/>
              </w:rPr>
              <w:t>C</w:t>
            </w:r>
            <w:r w:rsidR="0074087F">
              <w:rPr>
                <w:sz w:val="20"/>
                <w:szCs w:val="20"/>
              </w:rPr>
              <w:t>are</w:t>
            </w:r>
            <w:r w:rsidR="0074087F">
              <w:rPr>
                <w:rStyle w:val="FootnoteReference"/>
                <w:sz w:val="20"/>
                <w:szCs w:val="20"/>
              </w:rPr>
              <w:footnoteReference w:id="14"/>
            </w:r>
            <w:r w:rsidRPr="00FA7722">
              <w:rPr>
                <w:sz w:val="20"/>
                <w:szCs w:val="20"/>
              </w:rPr>
              <w:t xml:space="preserve"> along with ongoing efforts to digitalise cleaning documentation</w:t>
            </w:r>
            <w:r w:rsidR="0074087F">
              <w:rPr>
                <w:sz w:val="20"/>
                <w:szCs w:val="20"/>
              </w:rPr>
              <w:t xml:space="preserve">.  </w:t>
            </w:r>
          </w:p>
        </w:tc>
      </w:tr>
    </w:tbl>
    <w:p w14:paraId="6B0BF4B0" w14:textId="77777777" w:rsidR="00D42674" w:rsidRDefault="00D42674" w:rsidP="00784FB2">
      <w:pPr>
        <w:rPr>
          <w:sz w:val="20"/>
          <w:szCs w:val="20"/>
        </w:rPr>
      </w:pPr>
    </w:p>
    <w:tbl>
      <w:tblPr>
        <w:tblStyle w:val="GridTable1Light-Accent1"/>
        <w:tblW w:w="0" w:type="auto"/>
        <w:tblLook w:val="0480" w:firstRow="0" w:lastRow="0" w:firstColumn="1" w:lastColumn="0" w:noHBand="0" w:noVBand="1"/>
      </w:tblPr>
      <w:tblGrid>
        <w:gridCol w:w="1843"/>
        <w:gridCol w:w="7173"/>
      </w:tblGrid>
      <w:tr w:rsidR="0074087F" w14:paraId="7751697B" w14:textId="77777777" w:rsidTr="00584473">
        <w:tc>
          <w:tcPr>
            <w:cnfStyle w:val="001000000000" w:firstRow="0" w:lastRow="0" w:firstColumn="1" w:lastColumn="0" w:oddVBand="0" w:evenVBand="0" w:oddHBand="0" w:evenHBand="0" w:firstRowFirstColumn="0" w:firstRowLastColumn="0" w:lastRowFirstColumn="0" w:lastRowLastColumn="0"/>
            <w:tcW w:w="1843" w:type="dxa"/>
          </w:tcPr>
          <w:p w14:paraId="2BFEB5F5" w14:textId="77777777" w:rsidR="0074087F" w:rsidRPr="00F37A0E" w:rsidRDefault="0074087F" w:rsidP="00F30FBC">
            <w:pPr>
              <w:spacing w:before="120" w:after="120" w:line="276" w:lineRule="auto"/>
              <w:rPr>
                <w:b w:val="0"/>
                <w:bCs w:val="0"/>
                <w:sz w:val="20"/>
                <w:szCs w:val="20"/>
              </w:rPr>
            </w:pPr>
            <w:r w:rsidRPr="00F37A0E">
              <w:rPr>
                <w:sz w:val="20"/>
                <w:szCs w:val="20"/>
              </w:rPr>
              <w:t xml:space="preserve">Sector </w:t>
            </w:r>
          </w:p>
        </w:tc>
        <w:tc>
          <w:tcPr>
            <w:tcW w:w="7173" w:type="dxa"/>
          </w:tcPr>
          <w:p w14:paraId="6597457B" w14:textId="5A5552DD" w:rsidR="0074087F" w:rsidRPr="0069204B" w:rsidRDefault="0074087F"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69204B">
              <w:rPr>
                <w:b/>
                <w:bCs/>
                <w:sz w:val="20"/>
                <w:szCs w:val="20"/>
              </w:rPr>
              <w:t xml:space="preserve">Maritime carriage (deep sea) </w:t>
            </w:r>
          </w:p>
        </w:tc>
      </w:tr>
      <w:tr w:rsidR="00673AC3" w14:paraId="6E4FEE2B" w14:textId="77777777" w:rsidTr="00584473">
        <w:tc>
          <w:tcPr>
            <w:cnfStyle w:val="001000000000" w:firstRow="0" w:lastRow="0" w:firstColumn="1" w:lastColumn="0" w:oddVBand="0" w:evenVBand="0" w:oddHBand="0" w:evenHBand="0" w:firstRowFirstColumn="0" w:firstRowLastColumn="0" w:lastRowFirstColumn="0" w:lastRowLastColumn="0"/>
            <w:tcW w:w="1843" w:type="dxa"/>
          </w:tcPr>
          <w:p w14:paraId="4490D207" w14:textId="15D1F9ED" w:rsidR="00673AC3" w:rsidRPr="00F37A0E" w:rsidRDefault="00673AC3" w:rsidP="00F30FBC">
            <w:pPr>
              <w:spacing w:before="120" w:after="120" w:line="276" w:lineRule="auto"/>
              <w:rPr>
                <w:b w:val="0"/>
                <w:bCs w:val="0"/>
                <w:sz w:val="20"/>
                <w:szCs w:val="20"/>
              </w:rPr>
            </w:pPr>
            <w:r>
              <w:rPr>
                <w:sz w:val="20"/>
                <w:szCs w:val="20"/>
              </w:rPr>
              <w:t>Size</w:t>
            </w:r>
          </w:p>
        </w:tc>
        <w:tc>
          <w:tcPr>
            <w:tcW w:w="7173" w:type="dxa"/>
          </w:tcPr>
          <w:p w14:paraId="02D6322F" w14:textId="5EECA847" w:rsidR="00673AC3" w:rsidRDefault="0079306C"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As above, no official figures </w:t>
            </w:r>
            <w:r w:rsidR="00E976F4">
              <w:rPr>
                <w:sz w:val="20"/>
                <w:szCs w:val="20"/>
              </w:rPr>
              <w:t>exist, however it is documented that maritime transport carries 38% of EU pellet movements</w:t>
            </w:r>
            <w:r w:rsidR="00E976F4">
              <w:rPr>
                <w:rStyle w:val="FootnoteReference"/>
                <w:sz w:val="20"/>
                <w:szCs w:val="20"/>
              </w:rPr>
              <w:footnoteReference w:id="15"/>
            </w:r>
            <w:r w:rsidR="00E976F4">
              <w:rPr>
                <w:sz w:val="20"/>
                <w:szCs w:val="20"/>
              </w:rPr>
              <w:t xml:space="preserve">.  </w:t>
            </w:r>
            <w:r w:rsidR="00E976F4" w:rsidRPr="00E976F4">
              <w:rPr>
                <w:sz w:val="20"/>
                <w:szCs w:val="20"/>
              </w:rPr>
              <w:t>A reasonable estimate based on the size of the container shipping market, the proportion of polymer cargoes moved by sea (38%), and the inclusion of both EU and non</w:t>
            </w:r>
            <w:r w:rsidR="00E976F4" w:rsidRPr="00E976F4">
              <w:rPr>
                <w:rFonts w:ascii="Cambria Math" w:hAnsi="Cambria Math" w:cs="Cambria Math"/>
                <w:sz w:val="20"/>
                <w:szCs w:val="20"/>
              </w:rPr>
              <w:t>‑</w:t>
            </w:r>
            <w:r w:rsidR="00E976F4" w:rsidRPr="00E976F4">
              <w:rPr>
                <w:sz w:val="20"/>
                <w:szCs w:val="20"/>
              </w:rPr>
              <w:t>EU carriers in the Regulation suggests that approximately 55</w:t>
            </w:r>
            <w:r w:rsidR="00E976F4">
              <w:rPr>
                <w:sz w:val="20"/>
                <w:szCs w:val="20"/>
              </w:rPr>
              <w:t xml:space="preserve"> to </w:t>
            </w:r>
            <w:r w:rsidR="00E976F4" w:rsidRPr="00E976F4">
              <w:rPr>
                <w:sz w:val="20"/>
                <w:szCs w:val="20"/>
              </w:rPr>
              <w:t>80 maritime shipping companies are involved in the carriage of plastic pellets to, from, or within the European Union.</w:t>
            </w:r>
          </w:p>
        </w:tc>
      </w:tr>
      <w:tr w:rsidR="0074087F" w14:paraId="08A84648" w14:textId="77777777" w:rsidTr="00584473">
        <w:tc>
          <w:tcPr>
            <w:cnfStyle w:val="001000000000" w:firstRow="0" w:lastRow="0" w:firstColumn="1" w:lastColumn="0" w:oddVBand="0" w:evenVBand="0" w:oddHBand="0" w:evenHBand="0" w:firstRowFirstColumn="0" w:firstRowLastColumn="0" w:lastRowFirstColumn="0" w:lastRowLastColumn="0"/>
            <w:tcW w:w="1843" w:type="dxa"/>
          </w:tcPr>
          <w:p w14:paraId="09487FCF" w14:textId="77777777" w:rsidR="0074087F" w:rsidRPr="00F37A0E" w:rsidRDefault="0074087F" w:rsidP="00F30FBC">
            <w:pPr>
              <w:spacing w:before="120" w:after="120" w:line="276" w:lineRule="auto"/>
              <w:rPr>
                <w:b w:val="0"/>
                <w:bCs w:val="0"/>
                <w:sz w:val="20"/>
                <w:szCs w:val="20"/>
              </w:rPr>
            </w:pPr>
            <w:r w:rsidRPr="00F37A0E">
              <w:rPr>
                <w:sz w:val="20"/>
                <w:szCs w:val="20"/>
              </w:rPr>
              <w:t xml:space="preserve">Risk Profile </w:t>
            </w:r>
          </w:p>
        </w:tc>
        <w:tc>
          <w:tcPr>
            <w:tcW w:w="7173" w:type="dxa"/>
          </w:tcPr>
          <w:p w14:paraId="3D5BDFDF" w14:textId="655D1E2D" w:rsidR="0074087F" w:rsidRDefault="0074087F"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Low probability, high impact events (e.g. container loss of ‘</w:t>
            </w:r>
            <w:proofErr w:type="spellStart"/>
            <w:r>
              <w:rPr>
                <w:sz w:val="20"/>
                <w:szCs w:val="20"/>
              </w:rPr>
              <w:t>Toconao</w:t>
            </w:r>
            <w:proofErr w:type="spellEnd"/>
            <w:r>
              <w:rPr>
                <w:sz w:val="20"/>
                <w:szCs w:val="20"/>
              </w:rPr>
              <w:t>’ off the coast of Spain in 2023</w:t>
            </w:r>
            <w:r w:rsidR="00983B0B">
              <w:rPr>
                <w:sz w:val="20"/>
                <w:szCs w:val="20"/>
              </w:rPr>
              <w:t xml:space="preserve">, </w:t>
            </w:r>
            <w:r w:rsidR="00983B0B" w:rsidRPr="00983B0B">
              <w:rPr>
                <w:sz w:val="20"/>
                <w:szCs w:val="20"/>
              </w:rPr>
              <w:t xml:space="preserve">which released pellets from one of six lost containers, recital 18).  </w:t>
            </w:r>
          </w:p>
        </w:tc>
      </w:tr>
      <w:tr w:rsidR="0074087F" w14:paraId="25045E9A" w14:textId="77777777" w:rsidTr="00584473">
        <w:tc>
          <w:tcPr>
            <w:cnfStyle w:val="001000000000" w:firstRow="0" w:lastRow="0" w:firstColumn="1" w:lastColumn="0" w:oddVBand="0" w:evenVBand="0" w:oddHBand="0" w:evenHBand="0" w:firstRowFirstColumn="0" w:firstRowLastColumn="0" w:lastRowFirstColumn="0" w:lastRowLastColumn="0"/>
            <w:tcW w:w="1843" w:type="dxa"/>
          </w:tcPr>
          <w:p w14:paraId="3A9CEA95" w14:textId="77777777" w:rsidR="0074087F" w:rsidRPr="00F37A0E" w:rsidRDefault="0074087F" w:rsidP="00F30FBC">
            <w:pPr>
              <w:spacing w:before="120" w:after="120" w:line="276" w:lineRule="auto"/>
              <w:rPr>
                <w:b w:val="0"/>
                <w:bCs w:val="0"/>
                <w:sz w:val="20"/>
                <w:szCs w:val="20"/>
              </w:rPr>
            </w:pPr>
            <w:r w:rsidRPr="00F37A0E">
              <w:rPr>
                <w:sz w:val="20"/>
                <w:szCs w:val="20"/>
              </w:rPr>
              <w:t xml:space="preserve">Obligations </w:t>
            </w:r>
          </w:p>
        </w:tc>
        <w:tc>
          <w:tcPr>
            <w:tcW w:w="7173" w:type="dxa"/>
          </w:tcPr>
          <w:p w14:paraId="30E03956" w14:textId="48FD6D42" w:rsidR="0074087F" w:rsidRDefault="0074087F"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74087F">
              <w:rPr>
                <w:sz w:val="20"/>
                <w:szCs w:val="20"/>
              </w:rPr>
              <w:t>EU requirements align to</w:t>
            </w:r>
            <w:r w:rsidR="00AD7323">
              <w:rPr>
                <w:sz w:val="20"/>
                <w:szCs w:val="20"/>
              </w:rPr>
              <w:t>,</w:t>
            </w:r>
            <w:r w:rsidRPr="0074087F">
              <w:rPr>
                <w:sz w:val="20"/>
                <w:szCs w:val="20"/>
              </w:rPr>
              <w:t xml:space="preserve"> and seek to strengthen IMO guidance (packaging, stowage, labelling</w:t>
            </w:r>
            <w:r>
              <w:rPr>
                <w:sz w:val="20"/>
                <w:szCs w:val="20"/>
              </w:rPr>
              <w:t xml:space="preserve">, </w:t>
            </w:r>
            <w:r w:rsidRPr="0074087F">
              <w:rPr>
                <w:sz w:val="20"/>
                <w:szCs w:val="20"/>
              </w:rPr>
              <w:t>pictograms, notifications).</w:t>
            </w:r>
          </w:p>
        </w:tc>
      </w:tr>
      <w:tr w:rsidR="0074087F" w14:paraId="3231694B" w14:textId="77777777" w:rsidTr="00584473">
        <w:tc>
          <w:tcPr>
            <w:cnfStyle w:val="001000000000" w:firstRow="0" w:lastRow="0" w:firstColumn="1" w:lastColumn="0" w:oddVBand="0" w:evenVBand="0" w:oddHBand="0" w:evenHBand="0" w:firstRowFirstColumn="0" w:firstRowLastColumn="0" w:lastRowFirstColumn="0" w:lastRowLastColumn="0"/>
            <w:tcW w:w="1843" w:type="dxa"/>
          </w:tcPr>
          <w:p w14:paraId="33AE02ED" w14:textId="77777777" w:rsidR="0074087F" w:rsidRPr="00F37A0E" w:rsidRDefault="0074087F" w:rsidP="00F30FBC">
            <w:pPr>
              <w:spacing w:before="120" w:after="120" w:line="276" w:lineRule="auto"/>
              <w:rPr>
                <w:b w:val="0"/>
                <w:bCs w:val="0"/>
                <w:sz w:val="20"/>
                <w:szCs w:val="20"/>
              </w:rPr>
            </w:pPr>
            <w:r w:rsidRPr="00F37A0E">
              <w:rPr>
                <w:sz w:val="20"/>
                <w:szCs w:val="20"/>
              </w:rPr>
              <w:t xml:space="preserve">Expected effect </w:t>
            </w:r>
          </w:p>
        </w:tc>
        <w:tc>
          <w:tcPr>
            <w:tcW w:w="7173" w:type="dxa"/>
          </w:tcPr>
          <w:p w14:paraId="35B314CA" w14:textId="6350002B" w:rsidR="0074087F" w:rsidRDefault="00983B0B"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983B0B">
              <w:rPr>
                <w:sz w:val="20"/>
                <w:szCs w:val="20"/>
              </w:rPr>
              <w:t xml:space="preserve">The Regulation makes the substance of the IMO recommendations binding on shippers and vessels calling at or departing from EU ports (Article 12), thereby giving legal effect within the EU to measures that are otherwise voluntary under IMO Circular </w:t>
            </w:r>
            <w:proofErr w:type="spellStart"/>
            <w:r w:rsidRPr="00983B0B">
              <w:rPr>
                <w:sz w:val="20"/>
                <w:szCs w:val="20"/>
              </w:rPr>
              <w:t>MEPC.1</w:t>
            </w:r>
            <w:proofErr w:type="spellEnd"/>
            <w:r w:rsidRPr="00983B0B">
              <w:rPr>
                <w:sz w:val="20"/>
                <w:szCs w:val="20"/>
              </w:rPr>
              <w:t>/</w:t>
            </w:r>
            <w:proofErr w:type="spellStart"/>
            <w:r w:rsidRPr="00983B0B">
              <w:rPr>
                <w:sz w:val="20"/>
                <w:szCs w:val="20"/>
              </w:rPr>
              <w:t>Circ.909</w:t>
            </w:r>
            <w:proofErr w:type="spellEnd"/>
            <w:r w:rsidRPr="00983B0B">
              <w:rPr>
                <w:sz w:val="20"/>
                <w:szCs w:val="20"/>
              </w:rPr>
              <w:t>.</w:t>
            </w:r>
            <w:r>
              <w:rPr>
                <w:sz w:val="20"/>
                <w:szCs w:val="20"/>
              </w:rPr>
              <w:t xml:space="preserve"> </w:t>
            </w:r>
            <w:r w:rsidRPr="00983B0B">
              <w:rPr>
                <w:sz w:val="20"/>
                <w:szCs w:val="20"/>
              </w:rPr>
              <w:t xml:space="preserve"> In doing so, it strengthens pellet loss prevention and response requirements for maritime transport linked to the Union. </w:t>
            </w:r>
            <w:r>
              <w:rPr>
                <w:sz w:val="20"/>
                <w:szCs w:val="20"/>
              </w:rPr>
              <w:t xml:space="preserve"> </w:t>
            </w:r>
            <w:r w:rsidRPr="00983B0B">
              <w:rPr>
                <w:sz w:val="20"/>
                <w:szCs w:val="20"/>
              </w:rPr>
              <w:t>Recital 16 also states that the Union and its Member States will continue to support efforts to develop mandatory international requirements through the IMO, while Article 25(3) requires the Commission to review any future IMO measures and, where appropriate, align the Regulation with them.</w:t>
            </w:r>
          </w:p>
        </w:tc>
      </w:tr>
    </w:tbl>
    <w:p w14:paraId="3B2C9600" w14:textId="77777777" w:rsidR="00D42674" w:rsidRDefault="00D42674" w:rsidP="00784FB2">
      <w:pPr>
        <w:rPr>
          <w:sz w:val="20"/>
          <w:szCs w:val="20"/>
        </w:rPr>
      </w:pPr>
    </w:p>
    <w:p w14:paraId="68F4DA81" w14:textId="59B25188" w:rsidR="00185429" w:rsidRDefault="00185429" w:rsidP="00185429">
      <w:pPr>
        <w:pStyle w:val="Heading02"/>
      </w:pPr>
      <w:bookmarkStart w:id="34" w:name="_Toc225595002"/>
      <w:r>
        <w:t>Reach across business sizes</w:t>
      </w:r>
      <w:bookmarkEnd w:id="34"/>
      <w:r>
        <w:t xml:space="preserve"> </w:t>
      </w:r>
    </w:p>
    <w:p w14:paraId="146F6E44" w14:textId="28EEC565" w:rsidR="00185429" w:rsidRDefault="00185429" w:rsidP="00185429">
      <w:pPr>
        <w:pStyle w:val="heading03"/>
      </w:pPr>
      <w:bookmarkStart w:id="35" w:name="_Toc225595003"/>
      <w:r>
        <w:t>Impact summary</w:t>
      </w:r>
      <w:bookmarkEnd w:id="35"/>
      <w:r>
        <w:t xml:space="preserve"> </w:t>
      </w:r>
    </w:p>
    <w:p w14:paraId="7286DB97" w14:textId="77777777" w:rsidR="00874992" w:rsidRPr="002E0C50" w:rsidRDefault="62892C58" w:rsidP="62892C58">
      <w:pPr>
        <w:rPr>
          <w:sz w:val="20"/>
          <w:szCs w:val="20"/>
        </w:rPr>
      </w:pPr>
      <w:r w:rsidRPr="62892C58">
        <w:rPr>
          <w:sz w:val="20"/>
          <w:szCs w:val="20"/>
        </w:rPr>
        <w:t xml:space="preserve">There are no published EU level statistics that detail how many companies handle under 5 tonnes of pellets per year.  This is because: </w:t>
      </w:r>
    </w:p>
    <w:p w14:paraId="3AA31828" w14:textId="77777777" w:rsidR="00874992" w:rsidRPr="002E0C50" w:rsidRDefault="62892C58" w:rsidP="00FC58CE">
      <w:pPr>
        <w:pStyle w:val="ListParagraph"/>
        <w:numPr>
          <w:ilvl w:val="0"/>
          <w:numId w:val="55"/>
        </w:numPr>
        <w:rPr>
          <w:sz w:val="20"/>
          <w:szCs w:val="20"/>
        </w:rPr>
      </w:pPr>
      <w:r w:rsidRPr="62892C58">
        <w:rPr>
          <w:sz w:val="20"/>
          <w:szCs w:val="20"/>
        </w:rPr>
        <w:t xml:space="preserve">No EU database currently tracks pellet-handling volumes per site </w:t>
      </w:r>
    </w:p>
    <w:p w14:paraId="1DE28A61" w14:textId="77777777" w:rsidR="00874992" w:rsidRPr="002E0C50" w:rsidRDefault="62892C58" w:rsidP="00FC58CE">
      <w:pPr>
        <w:pStyle w:val="ListParagraph"/>
        <w:numPr>
          <w:ilvl w:val="0"/>
          <w:numId w:val="55"/>
        </w:numPr>
        <w:rPr>
          <w:sz w:val="20"/>
          <w:szCs w:val="20"/>
        </w:rPr>
      </w:pPr>
      <w:r w:rsidRPr="62892C58">
        <w:rPr>
          <w:sz w:val="20"/>
          <w:szCs w:val="20"/>
        </w:rPr>
        <w:t>The ≥5 tonne threshold in Regulation (EU) 2025/2365 is new, meaning no regulatory reporting existed before to quantify who falls below it</w:t>
      </w:r>
    </w:p>
    <w:p w14:paraId="16E36888" w14:textId="77777777" w:rsidR="00874992" w:rsidRPr="002E0C50" w:rsidRDefault="62892C58" w:rsidP="00FC58CE">
      <w:pPr>
        <w:pStyle w:val="ListParagraph"/>
        <w:numPr>
          <w:ilvl w:val="0"/>
          <w:numId w:val="55"/>
        </w:numPr>
        <w:rPr>
          <w:sz w:val="20"/>
          <w:szCs w:val="20"/>
        </w:rPr>
      </w:pPr>
      <w:r w:rsidRPr="62892C58">
        <w:rPr>
          <w:sz w:val="20"/>
          <w:szCs w:val="20"/>
        </w:rPr>
        <w:t xml:space="preserve">Industry bodies such as Plastics Europe, PRE, </w:t>
      </w:r>
      <w:proofErr w:type="spellStart"/>
      <w:r w:rsidRPr="62892C58">
        <w:rPr>
          <w:sz w:val="20"/>
          <w:szCs w:val="20"/>
        </w:rPr>
        <w:t>Cefic</w:t>
      </w:r>
      <w:proofErr w:type="spellEnd"/>
      <w:r w:rsidRPr="62892C58">
        <w:rPr>
          <w:sz w:val="20"/>
          <w:szCs w:val="20"/>
        </w:rPr>
        <w:t xml:space="preserve"> etc. give total company numbers, but not volumes of pellets handled per site   </w:t>
      </w:r>
    </w:p>
    <w:p w14:paraId="2D2DF336" w14:textId="0F2364DD" w:rsidR="00874992" w:rsidRPr="002E0C50" w:rsidRDefault="62892C58" w:rsidP="62892C58">
      <w:pPr>
        <w:rPr>
          <w:sz w:val="20"/>
          <w:szCs w:val="20"/>
        </w:rPr>
      </w:pPr>
      <w:r w:rsidRPr="62892C58">
        <w:rPr>
          <w:sz w:val="20"/>
          <w:szCs w:val="20"/>
        </w:rPr>
        <w:lastRenderedPageBreak/>
        <w:t xml:space="preserve">However, out of approximately 51,700 companies, around 46,000 – 49,000 are micro-enterprises.  Although many micro companies handle pellets only intermittently, most commercial converters, recyclers and logistics operators exceed the ≥5 tonne threshold during normal operations.  Based on sector composition, it can be estimated that only 4-10% companies (around 2,000 to 5,000 sites), handle less than 5 tonnes of pellets per year, </w:t>
      </w:r>
      <w:r w:rsidR="00983B0B" w:rsidRPr="00983B0B">
        <w:rPr>
          <w:sz w:val="20"/>
          <w:szCs w:val="20"/>
        </w:rPr>
        <w:t xml:space="preserve">meaning the Regulation captures 90-96% of companies handling pellets commercially, and a higher share again of total throughput.  </w:t>
      </w:r>
    </w:p>
    <w:p w14:paraId="7DAF26EB" w14:textId="3C05ACF5" w:rsidR="00910AC2" w:rsidRDefault="00910AC2" w:rsidP="00910AC2">
      <w:pPr>
        <w:rPr>
          <w:sz w:val="20"/>
          <w:szCs w:val="20"/>
        </w:rPr>
      </w:pPr>
      <w:r w:rsidRPr="00910AC2">
        <w:rPr>
          <w:sz w:val="20"/>
          <w:szCs w:val="20"/>
        </w:rPr>
        <w:t>Th</w:t>
      </w:r>
      <w:r w:rsidR="002E0C50">
        <w:rPr>
          <w:sz w:val="20"/>
          <w:szCs w:val="20"/>
        </w:rPr>
        <w:t>is</w:t>
      </w:r>
      <w:r w:rsidRPr="00910AC2">
        <w:rPr>
          <w:sz w:val="20"/>
          <w:szCs w:val="20"/>
        </w:rPr>
        <w:t xml:space="preserve"> </w:t>
      </w:r>
      <w:r w:rsidR="00874992">
        <w:rPr>
          <w:sz w:val="20"/>
          <w:szCs w:val="20"/>
        </w:rPr>
        <w:t xml:space="preserve">means that the </w:t>
      </w:r>
      <w:r w:rsidRPr="00910AC2">
        <w:rPr>
          <w:sz w:val="20"/>
          <w:szCs w:val="20"/>
        </w:rPr>
        <w:t xml:space="preserve">Regulation </w:t>
      </w:r>
      <w:r w:rsidR="00874992">
        <w:rPr>
          <w:sz w:val="20"/>
          <w:szCs w:val="20"/>
        </w:rPr>
        <w:t xml:space="preserve">has </w:t>
      </w:r>
      <w:r w:rsidRPr="00910AC2">
        <w:rPr>
          <w:sz w:val="20"/>
          <w:szCs w:val="20"/>
        </w:rPr>
        <w:t>a very broad impact across the plastics sector, with both micro/small enterprises and medium/large enterprises brought into scope through the ≥5</w:t>
      </w:r>
      <w:r w:rsidRPr="00910AC2">
        <w:rPr>
          <w:rFonts w:ascii="Cambria Math" w:hAnsi="Cambria Math" w:cs="Cambria Math"/>
          <w:sz w:val="20"/>
          <w:szCs w:val="20"/>
        </w:rPr>
        <w:t>‑</w:t>
      </w:r>
      <w:r w:rsidRPr="00910AC2">
        <w:rPr>
          <w:sz w:val="20"/>
          <w:szCs w:val="20"/>
        </w:rPr>
        <w:t xml:space="preserve">tonne annual handling threshold. </w:t>
      </w:r>
      <w:r>
        <w:rPr>
          <w:sz w:val="20"/>
          <w:szCs w:val="20"/>
        </w:rPr>
        <w:t xml:space="preserve"> </w:t>
      </w:r>
      <w:r w:rsidRPr="00910AC2">
        <w:rPr>
          <w:sz w:val="20"/>
          <w:szCs w:val="20"/>
        </w:rPr>
        <w:t>The European plastics industry is overwhelmingly SME</w:t>
      </w:r>
      <w:r w:rsidRPr="00910AC2">
        <w:rPr>
          <w:rFonts w:ascii="Cambria Math" w:hAnsi="Cambria Math" w:cs="Cambria Math"/>
          <w:sz w:val="20"/>
          <w:szCs w:val="20"/>
        </w:rPr>
        <w:t>‑</w:t>
      </w:r>
      <w:r w:rsidRPr="00910AC2">
        <w:rPr>
          <w:sz w:val="20"/>
          <w:szCs w:val="20"/>
        </w:rPr>
        <w:t>based, with around 51,000 companies operating in the sector and an estimated 98–99% falling into the SME category; most of these</w:t>
      </w:r>
      <w:r>
        <w:rPr>
          <w:sz w:val="20"/>
          <w:szCs w:val="20"/>
        </w:rPr>
        <w:t xml:space="preserve">, </w:t>
      </w:r>
      <w:r w:rsidRPr="00910AC2">
        <w:rPr>
          <w:sz w:val="20"/>
          <w:szCs w:val="20"/>
        </w:rPr>
        <w:t>likely 90–95%</w:t>
      </w:r>
      <w:r>
        <w:rPr>
          <w:sz w:val="20"/>
          <w:szCs w:val="20"/>
        </w:rPr>
        <w:t xml:space="preserve">, </w:t>
      </w:r>
      <w:r w:rsidRPr="00910AC2">
        <w:rPr>
          <w:sz w:val="20"/>
          <w:szCs w:val="20"/>
        </w:rPr>
        <w:t>are micro</w:t>
      </w:r>
      <w:r w:rsidRPr="00910AC2">
        <w:rPr>
          <w:rFonts w:ascii="Cambria Math" w:hAnsi="Cambria Math" w:cs="Cambria Math"/>
          <w:sz w:val="20"/>
          <w:szCs w:val="20"/>
        </w:rPr>
        <w:t>‑</w:t>
      </w:r>
      <w:r w:rsidRPr="00910AC2">
        <w:rPr>
          <w:sz w:val="20"/>
          <w:szCs w:val="20"/>
        </w:rPr>
        <w:t xml:space="preserve">enterprises, reflecting the highly fragmented structure of converters, recyclers and logistics operators. </w:t>
      </w:r>
    </w:p>
    <w:p w14:paraId="5F490C74" w14:textId="7F4E56B4" w:rsidR="00910AC2" w:rsidRPr="00910AC2" w:rsidRDefault="00910AC2" w:rsidP="00910AC2">
      <w:pPr>
        <w:rPr>
          <w:sz w:val="20"/>
          <w:szCs w:val="20"/>
        </w:rPr>
      </w:pPr>
      <w:r w:rsidRPr="00910AC2">
        <w:rPr>
          <w:sz w:val="20"/>
          <w:szCs w:val="20"/>
        </w:rPr>
        <w:t>As a result, the majority of organisations affected will be micro and small operators that routinely handle pellets as part of day</w:t>
      </w:r>
      <w:r w:rsidRPr="00910AC2">
        <w:rPr>
          <w:rFonts w:ascii="Cambria Math" w:hAnsi="Cambria Math" w:cs="Cambria Math"/>
          <w:sz w:val="20"/>
          <w:szCs w:val="20"/>
        </w:rPr>
        <w:t>‑</w:t>
      </w:r>
      <w:r w:rsidRPr="00910AC2">
        <w:rPr>
          <w:sz w:val="20"/>
          <w:szCs w:val="20"/>
        </w:rPr>
        <w:t>to</w:t>
      </w:r>
      <w:r w:rsidRPr="00910AC2">
        <w:rPr>
          <w:rFonts w:ascii="Cambria Math" w:hAnsi="Cambria Math" w:cs="Cambria Math"/>
          <w:sz w:val="20"/>
          <w:szCs w:val="20"/>
        </w:rPr>
        <w:t>‑</w:t>
      </w:r>
      <w:r w:rsidRPr="00910AC2">
        <w:rPr>
          <w:sz w:val="20"/>
          <w:szCs w:val="20"/>
        </w:rPr>
        <w:t xml:space="preserve">day activities. </w:t>
      </w:r>
      <w:r>
        <w:rPr>
          <w:sz w:val="20"/>
          <w:szCs w:val="20"/>
        </w:rPr>
        <w:t xml:space="preserve"> </w:t>
      </w:r>
      <w:r w:rsidRPr="00910AC2">
        <w:rPr>
          <w:sz w:val="20"/>
          <w:szCs w:val="20"/>
        </w:rPr>
        <w:t xml:space="preserve">For these </w:t>
      </w:r>
      <w:r>
        <w:rPr>
          <w:sz w:val="20"/>
          <w:szCs w:val="20"/>
        </w:rPr>
        <w:t>companies</w:t>
      </w:r>
      <w:r w:rsidRPr="00910AC2">
        <w:rPr>
          <w:sz w:val="20"/>
          <w:szCs w:val="20"/>
        </w:rPr>
        <w:t>, the Regulation introduces new expectations around documentation, training and basic containment equipment, but keeps the burden proportionate through self</w:t>
      </w:r>
      <w:r w:rsidRPr="00910AC2">
        <w:rPr>
          <w:rFonts w:ascii="Cambria Math" w:hAnsi="Cambria Math" w:cs="Cambria Math"/>
          <w:sz w:val="20"/>
          <w:szCs w:val="20"/>
        </w:rPr>
        <w:t>‑</w:t>
      </w:r>
      <w:r w:rsidRPr="00910AC2">
        <w:rPr>
          <w:sz w:val="20"/>
          <w:szCs w:val="20"/>
        </w:rPr>
        <w:t xml:space="preserve">declaration and simplified control requirements. </w:t>
      </w:r>
      <w:r>
        <w:rPr>
          <w:sz w:val="20"/>
          <w:szCs w:val="20"/>
        </w:rPr>
        <w:t xml:space="preserve"> </w:t>
      </w:r>
      <w:r w:rsidRPr="00910AC2">
        <w:rPr>
          <w:sz w:val="20"/>
          <w:szCs w:val="20"/>
        </w:rPr>
        <w:t>In contrast, a far smaller number of medium and large enterprises</w:t>
      </w:r>
      <w:r>
        <w:rPr>
          <w:sz w:val="20"/>
          <w:szCs w:val="20"/>
        </w:rPr>
        <w:t xml:space="preserve"> (</w:t>
      </w:r>
      <w:r w:rsidRPr="00910AC2">
        <w:rPr>
          <w:sz w:val="20"/>
          <w:szCs w:val="20"/>
        </w:rPr>
        <w:t>although responsible for a much larger share of total pellet throughput</w:t>
      </w:r>
      <w:r>
        <w:rPr>
          <w:sz w:val="20"/>
          <w:szCs w:val="20"/>
        </w:rPr>
        <w:t xml:space="preserve">) </w:t>
      </w:r>
      <w:r w:rsidRPr="00910AC2">
        <w:rPr>
          <w:sz w:val="20"/>
          <w:szCs w:val="20"/>
        </w:rPr>
        <w:t>will face the more demanding obligations of third</w:t>
      </w:r>
      <w:r w:rsidRPr="00910AC2">
        <w:rPr>
          <w:rFonts w:ascii="Cambria Math" w:hAnsi="Cambria Math" w:cs="Cambria Math"/>
          <w:sz w:val="20"/>
          <w:szCs w:val="20"/>
        </w:rPr>
        <w:t>‑</w:t>
      </w:r>
      <w:r w:rsidRPr="00910AC2">
        <w:rPr>
          <w:sz w:val="20"/>
          <w:szCs w:val="20"/>
        </w:rPr>
        <w:t>party certification and recurring audits, formalising and strengthening practices many already follow under existing environmental management systems.</w:t>
      </w:r>
    </w:p>
    <w:tbl>
      <w:tblPr>
        <w:tblStyle w:val="GridTable1Light-Accent1"/>
        <w:tblW w:w="0" w:type="auto"/>
        <w:tblLook w:val="0480" w:firstRow="0" w:lastRow="0" w:firstColumn="1" w:lastColumn="0" w:noHBand="0" w:noVBand="1"/>
      </w:tblPr>
      <w:tblGrid>
        <w:gridCol w:w="1843"/>
        <w:gridCol w:w="7173"/>
      </w:tblGrid>
      <w:tr w:rsidR="00292051" w:rsidRPr="00600D62" w14:paraId="7376E763" w14:textId="77777777" w:rsidTr="00600D62">
        <w:tc>
          <w:tcPr>
            <w:cnfStyle w:val="001000000000" w:firstRow="0" w:lastRow="0" w:firstColumn="1" w:lastColumn="0" w:oddVBand="0" w:evenVBand="0" w:oddHBand="0" w:evenHBand="0" w:firstRowFirstColumn="0" w:firstRowLastColumn="0" w:lastRowFirstColumn="0" w:lastRowLastColumn="0"/>
            <w:tcW w:w="1843" w:type="dxa"/>
          </w:tcPr>
          <w:p w14:paraId="571611BD" w14:textId="3AE8E57D" w:rsidR="00292051" w:rsidRPr="00600D62" w:rsidRDefault="00292051" w:rsidP="00F30FBC">
            <w:pPr>
              <w:spacing w:before="120" w:after="120" w:line="276" w:lineRule="auto"/>
              <w:rPr>
                <w:sz w:val="20"/>
                <w:szCs w:val="20"/>
              </w:rPr>
            </w:pPr>
            <w:r w:rsidRPr="00600D62">
              <w:rPr>
                <w:sz w:val="20"/>
                <w:szCs w:val="20"/>
              </w:rPr>
              <w:t xml:space="preserve">Size </w:t>
            </w:r>
          </w:p>
        </w:tc>
        <w:tc>
          <w:tcPr>
            <w:tcW w:w="7173" w:type="dxa"/>
          </w:tcPr>
          <w:p w14:paraId="04B37407" w14:textId="4BCA02B0" w:rsidR="00292051" w:rsidRPr="00600D62" w:rsidRDefault="00292051"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600D62">
              <w:rPr>
                <w:b/>
                <w:bCs/>
                <w:sz w:val="20"/>
                <w:szCs w:val="20"/>
              </w:rPr>
              <w:t xml:space="preserve">Micro/small enterprises </w:t>
            </w:r>
          </w:p>
        </w:tc>
      </w:tr>
      <w:tr w:rsidR="00292051" w14:paraId="3A2F90B2" w14:textId="77777777" w:rsidTr="00600D62">
        <w:tc>
          <w:tcPr>
            <w:cnfStyle w:val="001000000000" w:firstRow="0" w:lastRow="0" w:firstColumn="1" w:lastColumn="0" w:oddVBand="0" w:evenVBand="0" w:oddHBand="0" w:evenHBand="0" w:firstRowFirstColumn="0" w:firstRowLastColumn="0" w:lastRowFirstColumn="0" w:lastRowLastColumn="0"/>
            <w:tcW w:w="1843" w:type="dxa"/>
          </w:tcPr>
          <w:p w14:paraId="3397BFAB" w14:textId="64C64F79" w:rsidR="00292051" w:rsidRPr="00F37A0E" w:rsidRDefault="00292051" w:rsidP="00F30FBC">
            <w:pPr>
              <w:spacing w:before="120" w:after="120" w:line="276" w:lineRule="auto"/>
              <w:rPr>
                <w:b w:val="0"/>
                <w:bCs w:val="0"/>
                <w:sz w:val="20"/>
                <w:szCs w:val="20"/>
              </w:rPr>
            </w:pPr>
            <w:r>
              <w:rPr>
                <w:sz w:val="20"/>
                <w:szCs w:val="20"/>
              </w:rPr>
              <w:t xml:space="preserve">Reach </w:t>
            </w:r>
          </w:p>
        </w:tc>
        <w:tc>
          <w:tcPr>
            <w:tcW w:w="7173" w:type="dxa"/>
          </w:tcPr>
          <w:p w14:paraId="5FA0E2F4" w14:textId="2D0EB3B8" w:rsidR="00292051" w:rsidRDefault="00292051"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Very high – captured by the </w:t>
            </w:r>
            <w:r>
              <w:rPr>
                <w:rFonts w:cstheme="minorHAnsi"/>
                <w:sz w:val="20"/>
                <w:szCs w:val="20"/>
              </w:rPr>
              <w:t xml:space="preserve">≥ 5 tonne per year threshold </w:t>
            </w:r>
          </w:p>
        </w:tc>
      </w:tr>
      <w:tr w:rsidR="00292051" w14:paraId="2792FB0E" w14:textId="77777777" w:rsidTr="00600D62">
        <w:tc>
          <w:tcPr>
            <w:cnfStyle w:val="001000000000" w:firstRow="0" w:lastRow="0" w:firstColumn="1" w:lastColumn="0" w:oddVBand="0" w:evenVBand="0" w:oddHBand="0" w:evenHBand="0" w:firstRowFirstColumn="0" w:firstRowLastColumn="0" w:lastRowFirstColumn="0" w:lastRowLastColumn="0"/>
            <w:tcW w:w="1843" w:type="dxa"/>
          </w:tcPr>
          <w:p w14:paraId="4DCEBF46" w14:textId="4FD07940" w:rsidR="00292051" w:rsidRPr="00F37A0E" w:rsidRDefault="00292051" w:rsidP="00F30FBC">
            <w:pPr>
              <w:spacing w:before="120" w:after="120" w:line="276" w:lineRule="auto"/>
              <w:rPr>
                <w:b w:val="0"/>
                <w:bCs w:val="0"/>
                <w:sz w:val="20"/>
                <w:szCs w:val="20"/>
              </w:rPr>
            </w:pPr>
            <w:r>
              <w:rPr>
                <w:sz w:val="20"/>
                <w:szCs w:val="20"/>
              </w:rPr>
              <w:t xml:space="preserve">Impact </w:t>
            </w:r>
          </w:p>
        </w:tc>
        <w:tc>
          <w:tcPr>
            <w:tcW w:w="7173" w:type="dxa"/>
          </w:tcPr>
          <w:p w14:paraId="0F8CCCA1" w14:textId="625A571B" w:rsidR="00910AC2" w:rsidRDefault="00910AC2"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910AC2">
              <w:rPr>
                <w:sz w:val="20"/>
                <w:szCs w:val="20"/>
              </w:rPr>
              <w:t>Paperwork, documentation and equipment expectations rise but the model uses self</w:t>
            </w:r>
            <w:r w:rsidRPr="00910AC2">
              <w:rPr>
                <w:sz w:val="20"/>
                <w:szCs w:val="20"/>
              </w:rPr>
              <w:noBreakHyphen/>
              <w:t xml:space="preserve">declaration plus proportionate controls. </w:t>
            </w:r>
            <w:r>
              <w:rPr>
                <w:sz w:val="20"/>
                <w:szCs w:val="20"/>
              </w:rPr>
              <w:t xml:space="preserve"> </w:t>
            </w:r>
            <w:r w:rsidRPr="00910AC2">
              <w:rPr>
                <w:sz w:val="20"/>
                <w:szCs w:val="20"/>
              </w:rPr>
              <w:t>Because micro and small handlers make up the vast majority of pellet</w:t>
            </w:r>
            <w:r w:rsidRPr="00910AC2">
              <w:rPr>
                <w:sz w:val="20"/>
                <w:szCs w:val="20"/>
              </w:rPr>
              <w:noBreakHyphen/>
              <w:t>handling sites across the plastics value chain, simple templates, standardised loss</w:t>
            </w:r>
            <w:r w:rsidRPr="00910AC2">
              <w:rPr>
                <w:sz w:val="20"/>
                <w:szCs w:val="20"/>
              </w:rPr>
              <w:noBreakHyphen/>
              <w:t>estimation methods, and pooled training resources will be essential to keep compliance practical and affordable.</w:t>
            </w:r>
            <w:r w:rsidR="00983B0B">
              <w:rPr>
                <w:sz w:val="20"/>
                <w:szCs w:val="20"/>
              </w:rPr>
              <w:t xml:space="preserve">  </w:t>
            </w:r>
            <w:r w:rsidR="00983B0B" w:rsidRPr="00983B0B">
              <w:rPr>
                <w:sz w:val="20"/>
                <w:szCs w:val="20"/>
              </w:rPr>
              <w:t>Small enterprises operating an installation above 1,500 tonnes are the exception: they must hold at least one certificate by 17 December 2030 before self-declaration becomes available to them (Article 6(3)).</w:t>
            </w:r>
          </w:p>
        </w:tc>
      </w:tr>
    </w:tbl>
    <w:p w14:paraId="17890DC0" w14:textId="77777777" w:rsidR="0074087F" w:rsidRDefault="0074087F" w:rsidP="00784FB2">
      <w:pPr>
        <w:rPr>
          <w:sz w:val="20"/>
          <w:szCs w:val="20"/>
        </w:rPr>
      </w:pPr>
    </w:p>
    <w:tbl>
      <w:tblPr>
        <w:tblStyle w:val="GridTable1Light-Accent1"/>
        <w:tblW w:w="0" w:type="auto"/>
        <w:tblLook w:val="0480" w:firstRow="0" w:lastRow="0" w:firstColumn="1" w:lastColumn="0" w:noHBand="0" w:noVBand="1"/>
      </w:tblPr>
      <w:tblGrid>
        <w:gridCol w:w="1843"/>
        <w:gridCol w:w="7173"/>
      </w:tblGrid>
      <w:tr w:rsidR="00292051" w:rsidRPr="00600D62" w14:paraId="48B7EB30" w14:textId="77777777" w:rsidTr="00600D62">
        <w:tc>
          <w:tcPr>
            <w:cnfStyle w:val="001000000000" w:firstRow="0" w:lastRow="0" w:firstColumn="1" w:lastColumn="0" w:oddVBand="0" w:evenVBand="0" w:oddHBand="0" w:evenHBand="0" w:firstRowFirstColumn="0" w:firstRowLastColumn="0" w:lastRowFirstColumn="0" w:lastRowLastColumn="0"/>
            <w:tcW w:w="1843" w:type="dxa"/>
          </w:tcPr>
          <w:p w14:paraId="633410BA" w14:textId="77777777" w:rsidR="00292051" w:rsidRPr="00600D62" w:rsidRDefault="00292051" w:rsidP="00F30FBC">
            <w:pPr>
              <w:spacing w:before="120" w:after="120" w:line="276" w:lineRule="auto"/>
              <w:rPr>
                <w:sz w:val="20"/>
                <w:szCs w:val="20"/>
              </w:rPr>
            </w:pPr>
            <w:r w:rsidRPr="00600D62">
              <w:rPr>
                <w:sz w:val="20"/>
                <w:szCs w:val="20"/>
              </w:rPr>
              <w:t xml:space="preserve">Size </w:t>
            </w:r>
          </w:p>
        </w:tc>
        <w:tc>
          <w:tcPr>
            <w:tcW w:w="7173" w:type="dxa"/>
          </w:tcPr>
          <w:p w14:paraId="5F728DD4" w14:textId="6B77AA96" w:rsidR="00292051" w:rsidRPr="00600D62" w:rsidRDefault="003B04AC"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600D62">
              <w:rPr>
                <w:b/>
                <w:bCs/>
                <w:sz w:val="20"/>
                <w:szCs w:val="20"/>
              </w:rPr>
              <w:t xml:space="preserve">Medium and large enterprises </w:t>
            </w:r>
          </w:p>
        </w:tc>
      </w:tr>
      <w:tr w:rsidR="00292051" w14:paraId="62D15F30" w14:textId="77777777" w:rsidTr="00600D62">
        <w:tc>
          <w:tcPr>
            <w:cnfStyle w:val="001000000000" w:firstRow="0" w:lastRow="0" w:firstColumn="1" w:lastColumn="0" w:oddVBand="0" w:evenVBand="0" w:oddHBand="0" w:evenHBand="0" w:firstRowFirstColumn="0" w:firstRowLastColumn="0" w:lastRowFirstColumn="0" w:lastRowLastColumn="0"/>
            <w:tcW w:w="1843" w:type="dxa"/>
          </w:tcPr>
          <w:p w14:paraId="52C65CDD" w14:textId="77777777" w:rsidR="00292051" w:rsidRPr="00F37A0E" w:rsidRDefault="00292051" w:rsidP="00F30FBC">
            <w:pPr>
              <w:spacing w:before="120" w:after="120" w:line="276" w:lineRule="auto"/>
              <w:rPr>
                <w:b w:val="0"/>
                <w:bCs w:val="0"/>
                <w:sz w:val="20"/>
                <w:szCs w:val="20"/>
              </w:rPr>
            </w:pPr>
            <w:r>
              <w:rPr>
                <w:sz w:val="20"/>
                <w:szCs w:val="20"/>
              </w:rPr>
              <w:t xml:space="preserve">Reach </w:t>
            </w:r>
          </w:p>
        </w:tc>
        <w:tc>
          <w:tcPr>
            <w:tcW w:w="7173" w:type="dxa"/>
          </w:tcPr>
          <w:p w14:paraId="1EE56E9E" w14:textId="7A1A0B38" w:rsidR="00292051" w:rsidRDefault="003B04AC"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Very high – captured by the </w:t>
            </w:r>
            <w:r>
              <w:rPr>
                <w:rFonts w:cstheme="minorHAnsi"/>
                <w:sz w:val="20"/>
                <w:szCs w:val="20"/>
              </w:rPr>
              <w:t>≥ 5 tonne per year threshold</w:t>
            </w:r>
            <w:r w:rsidR="00983B0B">
              <w:rPr>
                <w:rFonts w:cstheme="minorHAnsi"/>
                <w:sz w:val="20"/>
                <w:szCs w:val="20"/>
              </w:rPr>
              <w:t xml:space="preserve">.  </w:t>
            </w:r>
            <w:r w:rsidR="00983B0B" w:rsidRPr="00983B0B">
              <w:rPr>
                <w:rFonts w:cstheme="minorHAnsi"/>
                <w:sz w:val="20"/>
                <w:szCs w:val="20"/>
              </w:rPr>
              <w:t>Certification depends on installation throughput rather than enterprise size, so a large enterprise whose installations all sit below 1,500 tonnes remains on self-declaration (Article 5(2))</w:t>
            </w:r>
            <w:r w:rsidR="00983B0B">
              <w:rPr>
                <w:rFonts w:cstheme="minorHAnsi"/>
                <w:sz w:val="20"/>
                <w:szCs w:val="20"/>
              </w:rPr>
              <w:t xml:space="preserve">.  </w:t>
            </w:r>
          </w:p>
        </w:tc>
      </w:tr>
      <w:tr w:rsidR="00292051" w14:paraId="58D9B47B" w14:textId="77777777" w:rsidTr="00600D62">
        <w:tc>
          <w:tcPr>
            <w:cnfStyle w:val="001000000000" w:firstRow="0" w:lastRow="0" w:firstColumn="1" w:lastColumn="0" w:oddVBand="0" w:evenVBand="0" w:oddHBand="0" w:evenHBand="0" w:firstRowFirstColumn="0" w:firstRowLastColumn="0" w:lastRowFirstColumn="0" w:lastRowLastColumn="0"/>
            <w:tcW w:w="1843" w:type="dxa"/>
          </w:tcPr>
          <w:p w14:paraId="153DB2B2" w14:textId="77777777" w:rsidR="00292051" w:rsidRPr="00F37A0E" w:rsidRDefault="00292051" w:rsidP="00F30FBC">
            <w:pPr>
              <w:spacing w:before="120" w:after="120" w:line="276" w:lineRule="auto"/>
              <w:rPr>
                <w:b w:val="0"/>
                <w:bCs w:val="0"/>
                <w:sz w:val="20"/>
                <w:szCs w:val="20"/>
              </w:rPr>
            </w:pPr>
            <w:r>
              <w:rPr>
                <w:sz w:val="20"/>
                <w:szCs w:val="20"/>
              </w:rPr>
              <w:t xml:space="preserve">Impact </w:t>
            </w:r>
          </w:p>
        </w:tc>
        <w:tc>
          <w:tcPr>
            <w:tcW w:w="7173" w:type="dxa"/>
          </w:tcPr>
          <w:p w14:paraId="7AFD0C9C" w14:textId="5AF4B8F9" w:rsidR="00292051" w:rsidRDefault="002B04FF" w:rsidP="00F30FB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2B04FF">
              <w:rPr>
                <w:sz w:val="20"/>
                <w:szCs w:val="20"/>
              </w:rPr>
              <w:t>Third</w:t>
            </w:r>
            <w:r w:rsidRPr="002B04FF">
              <w:rPr>
                <w:sz w:val="20"/>
                <w:szCs w:val="20"/>
              </w:rPr>
              <w:noBreakHyphen/>
              <w:t xml:space="preserve">party certification and audits add cost and require more structured internal management systems. </w:t>
            </w:r>
            <w:r>
              <w:rPr>
                <w:sz w:val="20"/>
                <w:szCs w:val="20"/>
              </w:rPr>
              <w:t xml:space="preserve"> </w:t>
            </w:r>
            <w:r w:rsidRPr="002B04FF">
              <w:rPr>
                <w:sz w:val="20"/>
                <w:szCs w:val="20"/>
              </w:rPr>
              <w:t>However, many high</w:t>
            </w:r>
            <w:r w:rsidRPr="002B04FF">
              <w:rPr>
                <w:sz w:val="20"/>
                <w:szCs w:val="20"/>
              </w:rPr>
              <w:noBreakHyphen/>
              <w:t>throughput sites already operate similar processes (e.g. ISO</w:t>
            </w:r>
            <w:r w:rsidRPr="002B04FF">
              <w:rPr>
                <w:sz w:val="20"/>
                <w:szCs w:val="20"/>
              </w:rPr>
              <w:noBreakHyphen/>
              <w:t>based environmental management systems), so the Regulation primarily formalises and harmonises existing good practice rather than introducing fundamentally new controls.</w:t>
            </w:r>
          </w:p>
        </w:tc>
      </w:tr>
    </w:tbl>
    <w:p w14:paraId="5FC33F8D" w14:textId="77777777" w:rsidR="00EA4466" w:rsidRDefault="00EA4466" w:rsidP="00784FB2">
      <w:pPr>
        <w:rPr>
          <w:sz w:val="20"/>
          <w:szCs w:val="20"/>
        </w:rPr>
      </w:pPr>
    </w:p>
    <w:p w14:paraId="0875906F" w14:textId="77777777" w:rsidR="00983B0B" w:rsidRDefault="00983B0B" w:rsidP="00784FB2">
      <w:pPr>
        <w:rPr>
          <w:sz w:val="20"/>
          <w:szCs w:val="20"/>
        </w:rPr>
      </w:pPr>
    </w:p>
    <w:p w14:paraId="7E352038" w14:textId="77777777" w:rsidR="00EA4466" w:rsidRPr="00EA4466" w:rsidRDefault="00EA4466" w:rsidP="00EA4466">
      <w:pPr>
        <w:pStyle w:val="heading03"/>
      </w:pPr>
      <w:bookmarkStart w:id="36" w:name="_Toc225595004"/>
      <w:r w:rsidRPr="00EA4466">
        <w:lastRenderedPageBreak/>
        <w:t>System wide transparency and enforcement</w:t>
      </w:r>
      <w:bookmarkEnd w:id="36"/>
    </w:p>
    <w:p w14:paraId="58C679FE" w14:textId="5BE133B2" w:rsidR="00EA4466" w:rsidRDefault="00EA4466" w:rsidP="00784FB2">
      <w:pPr>
        <w:rPr>
          <w:sz w:val="20"/>
          <w:szCs w:val="20"/>
        </w:rPr>
      </w:pPr>
      <w:r w:rsidRPr="00EA4466">
        <w:rPr>
          <w:b/>
          <w:bCs/>
          <w:sz w:val="20"/>
          <w:szCs w:val="20"/>
        </w:rPr>
        <w:t>Mechanisms</w:t>
      </w:r>
      <w:r>
        <w:rPr>
          <w:sz w:val="20"/>
          <w:szCs w:val="20"/>
        </w:rPr>
        <w:t xml:space="preserve">: Public disclosure of risk management plans, certificates, self-declarations, incident reporting, penalties </w:t>
      </w:r>
      <w:r w:rsidR="00DD73FC">
        <w:rPr>
          <w:sz w:val="20"/>
          <w:szCs w:val="20"/>
        </w:rPr>
        <w:t xml:space="preserve">corrective measures </w:t>
      </w:r>
      <w:r>
        <w:rPr>
          <w:sz w:val="20"/>
          <w:szCs w:val="20"/>
        </w:rPr>
        <w:t xml:space="preserve">and </w:t>
      </w:r>
      <w:r w:rsidR="00DD73FC" w:rsidRPr="00DD73FC">
        <w:rPr>
          <w:sz w:val="20"/>
          <w:szCs w:val="20"/>
        </w:rPr>
        <w:t xml:space="preserve">suspension of operations where an infringement poses an immediate danger or leads to a significant loss (Article 15(2)), and administrative fines for which Member States must set a maximum of at least 3% of annual Union turnover for the most serious infringements (Article 20(3)).  </w:t>
      </w:r>
    </w:p>
    <w:p w14:paraId="76258222" w14:textId="3D683646" w:rsidR="00EA4466" w:rsidRDefault="00EA4466" w:rsidP="00784FB2">
      <w:pPr>
        <w:rPr>
          <w:sz w:val="20"/>
          <w:szCs w:val="20"/>
        </w:rPr>
      </w:pPr>
      <w:r w:rsidRPr="00EA4466">
        <w:rPr>
          <w:b/>
          <w:bCs/>
          <w:sz w:val="20"/>
          <w:szCs w:val="20"/>
        </w:rPr>
        <w:t>Effect</w:t>
      </w:r>
      <w:r>
        <w:rPr>
          <w:sz w:val="20"/>
          <w:szCs w:val="20"/>
        </w:rPr>
        <w:t xml:space="preserve">: Creates traceability and external accountability to replace an opaque, voluntary baseline essential for monitoring progress toward ‘zero pellet loss’.  </w:t>
      </w:r>
    </w:p>
    <w:p w14:paraId="22BB8B6D" w14:textId="77777777" w:rsidR="00292051" w:rsidRDefault="00292051" w:rsidP="00784FB2">
      <w:pPr>
        <w:rPr>
          <w:sz w:val="20"/>
          <w:szCs w:val="20"/>
        </w:rPr>
      </w:pPr>
    </w:p>
    <w:p w14:paraId="7D03A728" w14:textId="5FBF3920" w:rsidR="00EA4466" w:rsidRDefault="00381955" w:rsidP="00EA4466">
      <w:pPr>
        <w:pStyle w:val="Heading02"/>
      </w:pPr>
      <w:bookmarkStart w:id="37" w:name="_Toc225595005"/>
      <w:r>
        <w:t>Conclusion</w:t>
      </w:r>
      <w:bookmarkEnd w:id="37"/>
      <w:r>
        <w:t xml:space="preserve"> </w:t>
      </w:r>
    </w:p>
    <w:p w14:paraId="2A3CCF03" w14:textId="4996694E" w:rsidR="00381955" w:rsidRDefault="00381955" w:rsidP="00784FB2">
      <w:pPr>
        <w:rPr>
          <w:sz w:val="20"/>
          <w:szCs w:val="20"/>
        </w:rPr>
      </w:pPr>
      <w:r w:rsidRPr="00381955">
        <w:rPr>
          <w:sz w:val="20"/>
          <w:szCs w:val="20"/>
        </w:rPr>
        <w:t>Taken together, the evidence shows that Regulation (EU) 2025/2365 has an exceptionally broad and deep reach across the plastics supply chain</w:t>
      </w:r>
      <w:r>
        <w:rPr>
          <w:sz w:val="20"/>
          <w:szCs w:val="20"/>
        </w:rPr>
        <w:t xml:space="preserve"> as i</w:t>
      </w:r>
      <w:r w:rsidRPr="00381955">
        <w:rPr>
          <w:sz w:val="20"/>
          <w:szCs w:val="20"/>
        </w:rPr>
        <w:t>t applies to every sector in which pellets are handled</w:t>
      </w:r>
      <w:r>
        <w:rPr>
          <w:sz w:val="20"/>
          <w:szCs w:val="20"/>
        </w:rPr>
        <w:t xml:space="preserve">.  </w:t>
      </w:r>
      <w:r w:rsidRPr="00381955">
        <w:rPr>
          <w:sz w:val="20"/>
          <w:szCs w:val="20"/>
        </w:rPr>
        <w:t xml:space="preserve"> </w:t>
      </w:r>
    </w:p>
    <w:p w14:paraId="05D96E86" w14:textId="4D2219A4" w:rsidR="00381955" w:rsidRDefault="00381955" w:rsidP="00784FB2">
      <w:pPr>
        <w:rPr>
          <w:sz w:val="20"/>
          <w:szCs w:val="20"/>
        </w:rPr>
      </w:pPr>
      <w:r w:rsidRPr="00381955">
        <w:rPr>
          <w:sz w:val="20"/>
          <w:szCs w:val="20"/>
        </w:rPr>
        <w:t>The ≥5</w:t>
      </w:r>
      <w:r w:rsidRPr="00381955">
        <w:rPr>
          <w:rFonts w:ascii="Cambria Math" w:hAnsi="Cambria Math" w:cs="Cambria Math"/>
          <w:sz w:val="20"/>
          <w:szCs w:val="20"/>
        </w:rPr>
        <w:t>‑</w:t>
      </w:r>
      <w:r w:rsidRPr="00381955">
        <w:rPr>
          <w:sz w:val="20"/>
          <w:szCs w:val="20"/>
        </w:rPr>
        <w:t>tonne threshold ensures that virtually all commercial pellet handlers are in scope, while the 1,500</w:t>
      </w:r>
      <w:r w:rsidRPr="00381955">
        <w:rPr>
          <w:rFonts w:ascii="Cambria Math" w:hAnsi="Cambria Math" w:cs="Cambria Math"/>
          <w:sz w:val="20"/>
          <w:szCs w:val="20"/>
        </w:rPr>
        <w:t>‑</w:t>
      </w:r>
      <w:r w:rsidRPr="00381955">
        <w:rPr>
          <w:sz w:val="20"/>
          <w:szCs w:val="20"/>
        </w:rPr>
        <w:t xml:space="preserve">tonne threshold introduces proportionate certification obligations </w:t>
      </w:r>
      <w:r w:rsidR="00DD73FC">
        <w:rPr>
          <w:sz w:val="20"/>
          <w:szCs w:val="20"/>
        </w:rPr>
        <w:t xml:space="preserve">wherever an installation </w:t>
      </w:r>
      <w:r w:rsidR="003354A2">
        <w:rPr>
          <w:sz w:val="20"/>
          <w:szCs w:val="20"/>
        </w:rPr>
        <w:t>crosses</w:t>
      </w:r>
      <w:r w:rsidR="00DD73FC">
        <w:rPr>
          <w:sz w:val="20"/>
          <w:szCs w:val="20"/>
        </w:rPr>
        <w:t xml:space="preserve"> it, whatever the size of the enterprise operating it</w:t>
      </w:r>
      <w:r w:rsidRPr="00381955">
        <w:rPr>
          <w:sz w:val="20"/>
          <w:szCs w:val="20"/>
        </w:rPr>
        <w:t xml:space="preserve">. </w:t>
      </w:r>
      <w:r>
        <w:rPr>
          <w:sz w:val="20"/>
          <w:szCs w:val="20"/>
        </w:rPr>
        <w:t xml:space="preserve"> </w:t>
      </w:r>
      <w:r w:rsidRPr="00381955">
        <w:rPr>
          <w:sz w:val="20"/>
          <w:szCs w:val="20"/>
        </w:rPr>
        <w:t>Estimated sector sizes further demonstrate the scale of impact</w:t>
      </w:r>
      <w:r>
        <w:rPr>
          <w:sz w:val="20"/>
          <w:szCs w:val="20"/>
        </w:rPr>
        <w:t xml:space="preserve">.  </w:t>
      </w:r>
    </w:p>
    <w:tbl>
      <w:tblPr>
        <w:tblStyle w:val="GridTable1Light-Accent1"/>
        <w:tblW w:w="0" w:type="auto"/>
        <w:tblLook w:val="04A0" w:firstRow="1" w:lastRow="0" w:firstColumn="1" w:lastColumn="0" w:noHBand="0" w:noVBand="1"/>
      </w:tblPr>
      <w:tblGrid>
        <w:gridCol w:w="2122"/>
        <w:gridCol w:w="2386"/>
        <w:gridCol w:w="2254"/>
        <w:gridCol w:w="2254"/>
      </w:tblGrid>
      <w:tr w:rsidR="007D6794" w14:paraId="29F2930D" w14:textId="77777777" w:rsidTr="62892C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2" w:type="dxa"/>
          </w:tcPr>
          <w:p w14:paraId="79D2A83E" w14:textId="32D3B22F" w:rsidR="007D6794" w:rsidRDefault="007D6794" w:rsidP="007D6794">
            <w:pPr>
              <w:spacing w:before="120" w:after="120" w:line="276" w:lineRule="auto"/>
              <w:rPr>
                <w:sz w:val="20"/>
                <w:szCs w:val="20"/>
              </w:rPr>
            </w:pPr>
            <w:r>
              <w:rPr>
                <w:sz w:val="20"/>
                <w:szCs w:val="20"/>
              </w:rPr>
              <w:t xml:space="preserve">Category </w:t>
            </w:r>
          </w:p>
        </w:tc>
        <w:tc>
          <w:tcPr>
            <w:tcW w:w="2386" w:type="dxa"/>
          </w:tcPr>
          <w:p w14:paraId="218D3B0D" w14:textId="47A3D35A" w:rsidR="007D6794" w:rsidRDefault="007D6794" w:rsidP="007D6794">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Estimated No. Companies </w:t>
            </w:r>
          </w:p>
        </w:tc>
        <w:tc>
          <w:tcPr>
            <w:tcW w:w="2254" w:type="dxa"/>
          </w:tcPr>
          <w:p w14:paraId="421F242F" w14:textId="742F1F0E" w:rsidR="007D6794" w:rsidRDefault="007D6794" w:rsidP="007D6794">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Share of Total Industry</w:t>
            </w:r>
          </w:p>
        </w:tc>
        <w:tc>
          <w:tcPr>
            <w:tcW w:w="2254" w:type="dxa"/>
          </w:tcPr>
          <w:p w14:paraId="3FBBFD56" w14:textId="5368302D" w:rsidR="007D6794" w:rsidRDefault="007D6794" w:rsidP="007D6794">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Relevance to Regulation </w:t>
            </w:r>
          </w:p>
        </w:tc>
      </w:tr>
      <w:tr w:rsidR="007D6794" w14:paraId="46C6C036"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5A002626" w14:textId="465FB9FD" w:rsidR="007D6794" w:rsidRDefault="00836EE4" w:rsidP="007D6794">
            <w:pPr>
              <w:spacing w:before="120" w:after="120" w:line="276" w:lineRule="auto"/>
              <w:rPr>
                <w:sz w:val="20"/>
                <w:szCs w:val="20"/>
              </w:rPr>
            </w:pPr>
            <w:r>
              <w:rPr>
                <w:sz w:val="20"/>
                <w:szCs w:val="20"/>
              </w:rPr>
              <w:t xml:space="preserve">Total plastic industry companies </w:t>
            </w:r>
          </w:p>
        </w:tc>
        <w:tc>
          <w:tcPr>
            <w:tcW w:w="2386" w:type="dxa"/>
          </w:tcPr>
          <w:p w14:paraId="52C46422" w14:textId="67D6DFCE" w:rsidR="007D6794" w:rsidRDefault="00836EE4"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~51,000 companies </w:t>
            </w:r>
          </w:p>
        </w:tc>
        <w:tc>
          <w:tcPr>
            <w:tcW w:w="2254" w:type="dxa"/>
          </w:tcPr>
          <w:p w14:paraId="53424E82" w14:textId="3FBF9D4F" w:rsidR="007D6794" w:rsidRDefault="00836EE4"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100% </w:t>
            </w:r>
          </w:p>
        </w:tc>
        <w:tc>
          <w:tcPr>
            <w:tcW w:w="2254" w:type="dxa"/>
          </w:tcPr>
          <w:p w14:paraId="31CAA91E" w14:textId="78EDB38F" w:rsidR="007D6794" w:rsidRDefault="00836EE4"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Baseline of potential pellet handlers </w:t>
            </w:r>
          </w:p>
        </w:tc>
      </w:tr>
      <w:tr w:rsidR="00836EE4" w14:paraId="5D78881B"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0FB3BDFD" w14:textId="36399E55" w:rsidR="00836EE4" w:rsidRDefault="00836EE4" w:rsidP="007D6794">
            <w:pPr>
              <w:spacing w:before="120" w:after="120" w:line="276" w:lineRule="auto"/>
              <w:rPr>
                <w:sz w:val="20"/>
                <w:szCs w:val="20"/>
              </w:rPr>
            </w:pPr>
            <w:r>
              <w:rPr>
                <w:sz w:val="20"/>
                <w:szCs w:val="20"/>
              </w:rPr>
              <w:t xml:space="preserve">SMEs </w:t>
            </w:r>
          </w:p>
        </w:tc>
        <w:tc>
          <w:tcPr>
            <w:tcW w:w="2386" w:type="dxa"/>
          </w:tcPr>
          <w:p w14:paraId="7D8C53F2" w14:textId="303E9620" w:rsidR="00836EE4" w:rsidRDefault="00DD73FC"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D73FC">
              <w:rPr>
                <w:sz w:val="20"/>
                <w:szCs w:val="20"/>
              </w:rPr>
              <w:t>~50,600-51,200 companies</w:t>
            </w:r>
            <w:r w:rsidR="00836EE4">
              <w:rPr>
                <w:sz w:val="20"/>
                <w:szCs w:val="20"/>
              </w:rPr>
              <w:t xml:space="preserve"> </w:t>
            </w:r>
          </w:p>
        </w:tc>
        <w:tc>
          <w:tcPr>
            <w:tcW w:w="2254" w:type="dxa"/>
          </w:tcPr>
          <w:p w14:paraId="0B7D5E3B" w14:textId="6C121287" w:rsidR="00836EE4" w:rsidRDefault="00DD73FC" w:rsidP="0038420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98-99% of all companies</w:t>
            </w:r>
          </w:p>
        </w:tc>
        <w:tc>
          <w:tcPr>
            <w:tcW w:w="2254" w:type="dxa"/>
          </w:tcPr>
          <w:p w14:paraId="6394C5E3" w14:textId="59AE66A0" w:rsidR="00836EE4" w:rsidRDefault="00836EE4"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836EE4">
              <w:rPr>
                <w:sz w:val="20"/>
                <w:szCs w:val="20"/>
              </w:rPr>
              <w:t>Almost all SMEs exceed the ≥5 t threshold at some point in the supply chain</w:t>
            </w:r>
          </w:p>
        </w:tc>
      </w:tr>
      <w:tr w:rsidR="00836EE4" w14:paraId="295F6A13"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7C0446C4" w14:textId="07C23A4A" w:rsidR="00836EE4" w:rsidRDefault="00836EE4" w:rsidP="007D6794">
            <w:pPr>
              <w:spacing w:before="120" w:after="120" w:line="276" w:lineRule="auto"/>
              <w:rPr>
                <w:sz w:val="20"/>
                <w:szCs w:val="20"/>
              </w:rPr>
            </w:pPr>
            <w:r>
              <w:rPr>
                <w:sz w:val="20"/>
                <w:szCs w:val="20"/>
              </w:rPr>
              <w:t xml:space="preserve">Micro enterprises (0 – 9 employees) </w:t>
            </w:r>
          </w:p>
        </w:tc>
        <w:tc>
          <w:tcPr>
            <w:tcW w:w="2386" w:type="dxa"/>
          </w:tcPr>
          <w:p w14:paraId="4B1BB654" w14:textId="03F3171A" w:rsidR="00DD73FC" w:rsidRDefault="00DD73FC"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836EE4">
              <w:rPr>
                <w:sz w:val="20"/>
                <w:szCs w:val="20"/>
              </w:rPr>
              <w:t>~</w:t>
            </w:r>
            <w:r>
              <w:rPr>
                <w:sz w:val="20"/>
                <w:szCs w:val="20"/>
              </w:rPr>
              <w:t xml:space="preserve"> </w:t>
            </w:r>
            <w:r w:rsidRPr="00836EE4">
              <w:rPr>
                <w:sz w:val="20"/>
                <w:szCs w:val="20"/>
              </w:rPr>
              <w:t>46,500–49,000 companies</w:t>
            </w:r>
            <w:r>
              <w:rPr>
                <w:sz w:val="20"/>
                <w:szCs w:val="20"/>
              </w:rPr>
              <w:t xml:space="preserve"> </w:t>
            </w:r>
          </w:p>
        </w:tc>
        <w:tc>
          <w:tcPr>
            <w:tcW w:w="2254" w:type="dxa"/>
          </w:tcPr>
          <w:p w14:paraId="012E885D" w14:textId="125CA849" w:rsidR="00836EE4" w:rsidRDefault="00DD73FC" w:rsidP="00DD73FC">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836EE4">
              <w:rPr>
                <w:sz w:val="20"/>
                <w:szCs w:val="20"/>
              </w:rPr>
              <w:t>~</w:t>
            </w:r>
            <w:r>
              <w:rPr>
                <w:sz w:val="20"/>
                <w:szCs w:val="20"/>
              </w:rPr>
              <w:t xml:space="preserve"> </w:t>
            </w:r>
            <w:r w:rsidRPr="00836EE4">
              <w:rPr>
                <w:sz w:val="20"/>
                <w:szCs w:val="20"/>
              </w:rPr>
              <w:t>90–95% of all companies</w:t>
            </w:r>
            <w:r>
              <w:rPr>
                <w:sz w:val="20"/>
                <w:szCs w:val="20"/>
              </w:rPr>
              <w:t xml:space="preserve"> </w:t>
            </w:r>
          </w:p>
        </w:tc>
        <w:tc>
          <w:tcPr>
            <w:tcW w:w="2254" w:type="dxa"/>
          </w:tcPr>
          <w:p w14:paraId="71321513" w14:textId="28FCE141" w:rsidR="00836EE4" w:rsidRPr="00836EE4" w:rsidRDefault="00836EE4"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836EE4">
              <w:rPr>
                <w:sz w:val="20"/>
                <w:szCs w:val="20"/>
              </w:rPr>
              <w:t xml:space="preserve">Majority of sites required to maintain </w:t>
            </w:r>
            <w:proofErr w:type="spellStart"/>
            <w:r w:rsidRPr="00836EE4">
              <w:rPr>
                <w:sz w:val="20"/>
                <w:szCs w:val="20"/>
              </w:rPr>
              <w:t>RMPs</w:t>
            </w:r>
            <w:proofErr w:type="spellEnd"/>
            <w:r w:rsidRPr="00836EE4">
              <w:rPr>
                <w:sz w:val="20"/>
                <w:szCs w:val="20"/>
              </w:rPr>
              <w:t>, training</w:t>
            </w:r>
            <w:r>
              <w:rPr>
                <w:sz w:val="20"/>
                <w:szCs w:val="20"/>
              </w:rPr>
              <w:t xml:space="preserve"> </w:t>
            </w:r>
            <w:r w:rsidRPr="00836EE4">
              <w:rPr>
                <w:sz w:val="20"/>
                <w:szCs w:val="20"/>
              </w:rPr>
              <w:t>and loss estimation</w:t>
            </w:r>
          </w:p>
        </w:tc>
      </w:tr>
      <w:tr w:rsidR="00836EE4" w14:paraId="4BAA9694"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2EF32182" w14:textId="0DBB0649" w:rsidR="00836EE4" w:rsidRDefault="00142BBC" w:rsidP="007D6794">
            <w:pPr>
              <w:spacing w:before="120" w:after="120" w:line="276" w:lineRule="auto"/>
              <w:rPr>
                <w:sz w:val="20"/>
                <w:szCs w:val="20"/>
              </w:rPr>
            </w:pPr>
            <w:r>
              <w:rPr>
                <w:sz w:val="20"/>
                <w:szCs w:val="20"/>
              </w:rPr>
              <w:t xml:space="preserve">Medium and Large Enterprises </w:t>
            </w:r>
          </w:p>
        </w:tc>
        <w:tc>
          <w:tcPr>
            <w:tcW w:w="2386" w:type="dxa"/>
          </w:tcPr>
          <w:p w14:paraId="40593D9C" w14:textId="07B0B1BB" w:rsidR="0038420A" w:rsidRPr="00836EE4" w:rsidRDefault="0038420A"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142BBC">
              <w:rPr>
                <w:sz w:val="20"/>
                <w:szCs w:val="20"/>
              </w:rPr>
              <w:t>~</w:t>
            </w:r>
            <w:r>
              <w:rPr>
                <w:sz w:val="20"/>
                <w:szCs w:val="20"/>
              </w:rPr>
              <w:t xml:space="preserve"> </w:t>
            </w:r>
            <w:r w:rsidRPr="00142BBC">
              <w:rPr>
                <w:sz w:val="20"/>
                <w:szCs w:val="20"/>
              </w:rPr>
              <w:t>500–1,000 companies</w:t>
            </w:r>
            <w:r>
              <w:rPr>
                <w:sz w:val="20"/>
                <w:szCs w:val="20"/>
              </w:rPr>
              <w:t xml:space="preserve"> </w:t>
            </w:r>
          </w:p>
        </w:tc>
        <w:tc>
          <w:tcPr>
            <w:tcW w:w="2254" w:type="dxa"/>
          </w:tcPr>
          <w:p w14:paraId="3A9D6B27" w14:textId="767AC717" w:rsidR="00836EE4" w:rsidRPr="00836EE4" w:rsidRDefault="0038420A" w:rsidP="0038420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~1-2% of companies </w:t>
            </w:r>
          </w:p>
        </w:tc>
        <w:tc>
          <w:tcPr>
            <w:tcW w:w="2254" w:type="dxa"/>
          </w:tcPr>
          <w:p w14:paraId="44249D12" w14:textId="5F34AE9C" w:rsidR="00836EE4" w:rsidRPr="00836EE4" w:rsidRDefault="005D1873"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5D1873">
              <w:rPr>
                <w:sz w:val="20"/>
                <w:szCs w:val="20"/>
              </w:rPr>
              <w:t>Most installations above the 1,500 t certification threshold sit in this group, but the threshold attaches to the installation, so small enterprises above it certify too (Article 6(3))</w:t>
            </w:r>
          </w:p>
        </w:tc>
      </w:tr>
      <w:tr w:rsidR="00142BBC" w14:paraId="7F8CD3C4"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0DF4233B" w14:textId="5EA8A25B" w:rsidR="00142BBC" w:rsidRDefault="001D10F6" w:rsidP="007D6794">
            <w:pPr>
              <w:spacing w:before="120" w:after="120" w:line="276" w:lineRule="auto"/>
              <w:rPr>
                <w:sz w:val="20"/>
                <w:szCs w:val="20"/>
              </w:rPr>
            </w:pPr>
            <w:r>
              <w:rPr>
                <w:sz w:val="20"/>
                <w:szCs w:val="20"/>
              </w:rPr>
              <w:t xml:space="preserve">Large polymer producers </w:t>
            </w:r>
          </w:p>
        </w:tc>
        <w:tc>
          <w:tcPr>
            <w:tcW w:w="2386" w:type="dxa"/>
          </w:tcPr>
          <w:p w14:paraId="69F83E63" w14:textId="327BF670" w:rsidR="00142BBC"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‘Several dozen’ firms – highly concentrated sector </w:t>
            </w:r>
          </w:p>
        </w:tc>
        <w:tc>
          <w:tcPr>
            <w:tcW w:w="2254" w:type="dxa"/>
          </w:tcPr>
          <w:p w14:paraId="737E3F64" w14:textId="1B5F9DF4" w:rsidR="00142BBC" w:rsidRPr="00142BBC"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&lt;</w:t>
            </w:r>
            <w:r>
              <w:rPr>
                <w:sz w:val="20"/>
                <w:szCs w:val="20"/>
              </w:rPr>
              <w:t xml:space="preserve"> </w:t>
            </w:r>
            <w:r w:rsidRPr="0069204B">
              <w:rPr>
                <w:sz w:val="20"/>
                <w:szCs w:val="20"/>
              </w:rPr>
              <w:t>0.1%</w:t>
            </w:r>
          </w:p>
        </w:tc>
        <w:tc>
          <w:tcPr>
            <w:tcW w:w="2254" w:type="dxa"/>
          </w:tcPr>
          <w:p w14:paraId="4D52E0F4" w14:textId="7E298FC9" w:rsidR="00142BBC" w:rsidRPr="00142BBC"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Almost all fall under certification</w:t>
            </w:r>
            <w:r>
              <w:rPr>
                <w:sz w:val="20"/>
                <w:szCs w:val="20"/>
              </w:rPr>
              <w:t>.  C</w:t>
            </w:r>
            <w:r w:rsidRPr="0069204B">
              <w:rPr>
                <w:sz w:val="20"/>
                <w:szCs w:val="20"/>
              </w:rPr>
              <w:t>ritical due to large spill potential</w:t>
            </w:r>
          </w:p>
        </w:tc>
      </w:tr>
      <w:tr w:rsidR="0069204B" w14:paraId="4DFD83AC"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7BEE5D7D" w14:textId="02BD79C0" w:rsidR="0069204B" w:rsidRDefault="0069204B" w:rsidP="007D6794">
            <w:pPr>
              <w:spacing w:before="120" w:after="120" w:line="276" w:lineRule="auto"/>
              <w:rPr>
                <w:sz w:val="20"/>
                <w:szCs w:val="20"/>
              </w:rPr>
            </w:pPr>
            <w:r>
              <w:rPr>
                <w:sz w:val="20"/>
                <w:szCs w:val="20"/>
              </w:rPr>
              <w:lastRenderedPageBreak/>
              <w:t xml:space="preserve">Compounders and Master batchers </w:t>
            </w:r>
          </w:p>
        </w:tc>
        <w:tc>
          <w:tcPr>
            <w:tcW w:w="2386" w:type="dxa"/>
          </w:tcPr>
          <w:p w14:paraId="0285879D" w14:textId="04D335DD" w:rsid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Several hundred to &gt;1,000 companies</w:t>
            </w:r>
          </w:p>
        </w:tc>
        <w:tc>
          <w:tcPr>
            <w:tcW w:w="2254" w:type="dxa"/>
          </w:tcPr>
          <w:p w14:paraId="57B0479C" w14:textId="11DBCF99" w:rsidR="0069204B" w:rsidRP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2% </w:t>
            </w:r>
          </w:p>
        </w:tc>
        <w:tc>
          <w:tcPr>
            <w:tcW w:w="2254" w:type="dxa"/>
          </w:tcPr>
          <w:p w14:paraId="20B800A5" w14:textId="51BAA44E" w:rsidR="0069204B" w:rsidRP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Many exceed ≥</w:t>
            </w:r>
            <w:r>
              <w:rPr>
                <w:sz w:val="20"/>
                <w:szCs w:val="20"/>
              </w:rPr>
              <w:t xml:space="preserve"> </w:t>
            </w:r>
            <w:r w:rsidRPr="0069204B">
              <w:rPr>
                <w:sz w:val="20"/>
                <w:szCs w:val="20"/>
              </w:rPr>
              <w:t>5 t; some exceed ≥</w:t>
            </w:r>
            <w:r>
              <w:rPr>
                <w:sz w:val="20"/>
                <w:szCs w:val="20"/>
              </w:rPr>
              <w:t xml:space="preserve"> </w:t>
            </w:r>
            <w:r w:rsidRPr="0069204B">
              <w:rPr>
                <w:sz w:val="20"/>
                <w:szCs w:val="20"/>
              </w:rPr>
              <w:t>1,500 t depending on scale</w:t>
            </w:r>
          </w:p>
        </w:tc>
      </w:tr>
      <w:tr w:rsidR="0069204B" w14:paraId="29CE2869"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72A89E5A" w14:textId="606728E3" w:rsidR="0069204B" w:rsidRDefault="0069204B" w:rsidP="007D6794">
            <w:pPr>
              <w:spacing w:before="120" w:after="120" w:line="276" w:lineRule="auto"/>
              <w:rPr>
                <w:sz w:val="20"/>
                <w:szCs w:val="20"/>
              </w:rPr>
            </w:pPr>
            <w:r w:rsidRPr="0069204B">
              <w:rPr>
                <w:sz w:val="20"/>
                <w:szCs w:val="20"/>
              </w:rPr>
              <w:t>Converters (moulders, extruders)</w:t>
            </w:r>
          </w:p>
        </w:tc>
        <w:tc>
          <w:tcPr>
            <w:tcW w:w="2386" w:type="dxa"/>
          </w:tcPr>
          <w:p w14:paraId="49CFD8B5" w14:textId="742C998F" w:rsidR="0069204B" w:rsidRP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Tens of thousands of SMEs in downstream processing</w:t>
            </w:r>
          </w:p>
        </w:tc>
        <w:tc>
          <w:tcPr>
            <w:tcW w:w="2254" w:type="dxa"/>
          </w:tcPr>
          <w:p w14:paraId="45B974E4" w14:textId="129E82DD" w:rsid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Largest segment</w:t>
            </w:r>
          </w:p>
        </w:tc>
        <w:tc>
          <w:tcPr>
            <w:tcW w:w="2254" w:type="dxa"/>
          </w:tcPr>
          <w:p w14:paraId="76C62032" w14:textId="36D90E33" w:rsidR="0069204B" w:rsidRP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 xml:space="preserve">Huge number of small sites newly in scope </w:t>
            </w:r>
            <w:r>
              <w:rPr>
                <w:sz w:val="20"/>
                <w:szCs w:val="20"/>
              </w:rPr>
              <w:t>due to the</w:t>
            </w:r>
            <w:r w:rsidRPr="0069204B">
              <w:rPr>
                <w:sz w:val="20"/>
                <w:szCs w:val="20"/>
              </w:rPr>
              <w:t xml:space="preserve"> ≥5 t </w:t>
            </w:r>
            <w:r>
              <w:rPr>
                <w:sz w:val="20"/>
                <w:szCs w:val="20"/>
              </w:rPr>
              <w:t>threshold</w:t>
            </w:r>
          </w:p>
        </w:tc>
      </w:tr>
      <w:tr w:rsidR="0069204B" w14:paraId="241DFF92"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0002E834" w14:textId="7E2BAC03" w:rsidR="0069204B" w:rsidRPr="0069204B" w:rsidRDefault="0069204B" w:rsidP="007D6794">
            <w:pPr>
              <w:spacing w:before="120" w:after="120" w:line="276" w:lineRule="auto"/>
              <w:rPr>
                <w:sz w:val="20"/>
                <w:szCs w:val="20"/>
              </w:rPr>
            </w:pPr>
            <w:r>
              <w:rPr>
                <w:sz w:val="20"/>
                <w:szCs w:val="20"/>
              </w:rPr>
              <w:t xml:space="preserve">Recyclers </w:t>
            </w:r>
          </w:p>
        </w:tc>
        <w:tc>
          <w:tcPr>
            <w:tcW w:w="2386" w:type="dxa"/>
          </w:tcPr>
          <w:p w14:paraId="0A92CC4A" w14:textId="6A1FD272" w:rsidR="0069204B" w:rsidRP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w:t>
            </w:r>
            <w:r>
              <w:rPr>
                <w:sz w:val="20"/>
                <w:szCs w:val="20"/>
              </w:rPr>
              <w:t xml:space="preserve"> </w:t>
            </w:r>
            <w:r w:rsidRPr="0069204B">
              <w:rPr>
                <w:sz w:val="20"/>
                <w:szCs w:val="20"/>
              </w:rPr>
              <w:t>850 companies handling pellet like materials</w:t>
            </w:r>
          </w:p>
        </w:tc>
        <w:tc>
          <w:tcPr>
            <w:tcW w:w="2254" w:type="dxa"/>
          </w:tcPr>
          <w:p w14:paraId="3CB3EB9B" w14:textId="0B11A9FF" w:rsidR="0069204B" w:rsidRP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w:t>
            </w:r>
            <w:r>
              <w:rPr>
                <w:sz w:val="20"/>
                <w:szCs w:val="20"/>
              </w:rPr>
              <w:t xml:space="preserve"> </w:t>
            </w:r>
            <w:r w:rsidRPr="0069204B">
              <w:rPr>
                <w:sz w:val="20"/>
                <w:szCs w:val="20"/>
              </w:rPr>
              <w:t>1.5%</w:t>
            </w:r>
          </w:p>
        </w:tc>
        <w:tc>
          <w:tcPr>
            <w:tcW w:w="2254" w:type="dxa"/>
          </w:tcPr>
          <w:p w14:paraId="5D626DE0" w14:textId="175F0A3B" w:rsidR="0069204B" w:rsidRP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Nearly all exceed 5 t; some exceed 1,500 t</w:t>
            </w:r>
          </w:p>
        </w:tc>
      </w:tr>
      <w:tr w:rsidR="0069204B" w14:paraId="1EA3915C"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1C9F328E" w14:textId="4D7656BB" w:rsidR="0069204B" w:rsidRDefault="0069204B" w:rsidP="007D6794">
            <w:pPr>
              <w:spacing w:before="120" w:after="120" w:line="276" w:lineRule="auto"/>
              <w:rPr>
                <w:sz w:val="20"/>
                <w:szCs w:val="20"/>
              </w:rPr>
            </w:pPr>
            <w:r>
              <w:rPr>
                <w:sz w:val="20"/>
                <w:szCs w:val="20"/>
              </w:rPr>
              <w:t xml:space="preserve">Logistics providers </w:t>
            </w:r>
          </w:p>
        </w:tc>
        <w:tc>
          <w:tcPr>
            <w:tcW w:w="2386" w:type="dxa"/>
          </w:tcPr>
          <w:p w14:paraId="41875461" w14:textId="77777777" w:rsid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Estimated 500–750 companies</w:t>
            </w:r>
          </w:p>
          <w:p w14:paraId="22634150" w14:textId="5BBDDE1D" w:rsidR="004B3D73" w:rsidRPr="0069204B" w:rsidRDefault="004B3D73"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885B9A">
              <w:rPr>
                <w:sz w:val="16"/>
                <w:szCs w:val="16"/>
              </w:rPr>
              <w:t>(Specialist chemical logistics providers only. The regulated population is larger, because carriers are in scope at any volume (Article 1(2)(c)))</w:t>
            </w:r>
            <w:r w:rsidRPr="00885B9A">
              <w:rPr>
                <w:rFonts w:ascii="Calibri" w:eastAsia="Calibri" w:hAnsi="Calibri" w:cs="Calibri"/>
                <w:color w:val="000000"/>
                <w:sz w:val="14"/>
                <w:szCs w:val="14"/>
              </w:rPr>
              <w:t xml:space="preserve"> </w:t>
            </w:r>
          </w:p>
        </w:tc>
        <w:tc>
          <w:tcPr>
            <w:tcW w:w="2254" w:type="dxa"/>
          </w:tcPr>
          <w:p w14:paraId="54CD57BA" w14:textId="0231673B" w:rsidR="0069204B" w:rsidRP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w:t>
            </w:r>
            <w:r>
              <w:rPr>
                <w:sz w:val="20"/>
                <w:szCs w:val="20"/>
              </w:rPr>
              <w:t xml:space="preserve"> </w:t>
            </w:r>
            <w:r w:rsidRPr="0069204B">
              <w:rPr>
                <w:sz w:val="20"/>
                <w:szCs w:val="20"/>
              </w:rPr>
              <w:t>1–1.5%</w:t>
            </w:r>
          </w:p>
        </w:tc>
        <w:tc>
          <w:tcPr>
            <w:tcW w:w="2254" w:type="dxa"/>
          </w:tcPr>
          <w:p w14:paraId="64AB6737" w14:textId="71D933B2" w:rsidR="0069204B" w:rsidRPr="0069204B" w:rsidRDefault="0069204B" w:rsidP="007D6794">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9204B">
              <w:rPr>
                <w:sz w:val="20"/>
                <w:szCs w:val="20"/>
              </w:rPr>
              <w:t>Many exceed 5 t; certification depends on handled volumes</w:t>
            </w:r>
          </w:p>
        </w:tc>
      </w:tr>
      <w:tr w:rsidR="00452DCC" w:rsidRPr="006422F0" w14:paraId="56BA5F2D" w14:textId="77777777" w:rsidTr="62892C58">
        <w:tc>
          <w:tcPr>
            <w:cnfStyle w:val="001000000000" w:firstRow="0" w:lastRow="0" w:firstColumn="1" w:lastColumn="0" w:oddVBand="0" w:evenVBand="0" w:oddHBand="0" w:evenHBand="0" w:firstRowFirstColumn="0" w:firstRowLastColumn="0" w:lastRowFirstColumn="0" w:lastRowLastColumn="0"/>
            <w:tcW w:w="2122" w:type="dxa"/>
          </w:tcPr>
          <w:p w14:paraId="5903945F" w14:textId="1FFD12C0" w:rsidR="00452DCC" w:rsidRPr="006422F0" w:rsidRDefault="62892C58" w:rsidP="62892C58">
            <w:pPr>
              <w:spacing w:before="120" w:after="120" w:line="276" w:lineRule="auto"/>
              <w:rPr>
                <w:sz w:val="20"/>
                <w:szCs w:val="20"/>
              </w:rPr>
            </w:pPr>
            <w:r w:rsidRPr="62892C58">
              <w:rPr>
                <w:sz w:val="20"/>
                <w:szCs w:val="20"/>
              </w:rPr>
              <w:t xml:space="preserve">Companies handling less than 5 tonnes annually </w:t>
            </w:r>
          </w:p>
        </w:tc>
        <w:tc>
          <w:tcPr>
            <w:tcW w:w="2386" w:type="dxa"/>
          </w:tcPr>
          <w:p w14:paraId="795FF1F3" w14:textId="279AFF9D" w:rsidR="00452DCC" w:rsidRPr="006422F0" w:rsidRDefault="62892C58" w:rsidP="62892C5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62892C58">
              <w:rPr>
                <w:sz w:val="20"/>
                <w:szCs w:val="20"/>
              </w:rPr>
              <w:t xml:space="preserve">Estimated 2,000 – 5,000 sites </w:t>
            </w:r>
          </w:p>
        </w:tc>
        <w:tc>
          <w:tcPr>
            <w:tcW w:w="2254" w:type="dxa"/>
          </w:tcPr>
          <w:p w14:paraId="70D1F7A0" w14:textId="2D753DBC" w:rsidR="00452DCC" w:rsidRPr="006422F0" w:rsidRDefault="62892C58" w:rsidP="62892C5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62892C58">
              <w:rPr>
                <w:sz w:val="20"/>
                <w:szCs w:val="20"/>
              </w:rPr>
              <w:t xml:space="preserve">~ 4 – 10% </w:t>
            </w:r>
          </w:p>
        </w:tc>
        <w:tc>
          <w:tcPr>
            <w:tcW w:w="2254" w:type="dxa"/>
          </w:tcPr>
          <w:p w14:paraId="4215BB2C" w14:textId="031B7277" w:rsidR="00452DCC" w:rsidRPr="006422F0" w:rsidRDefault="005D1873" w:rsidP="62892C58">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5D1873">
              <w:rPr>
                <w:sz w:val="20"/>
                <w:szCs w:val="20"/>
              </w:rPr>
              <w:t>Out of scope as economic operators, though a business below the threshold that transports pellets is still caught as a carrier</w:t>
            </w:r>
            <w:r>
              <w:rPr>
                <w:sz w:val="20"/>
                <w:szCs w:val="20"/>
              </w:rPr>
              <w:t xml:space="preserve"> </w:t>
            </w:r>
          </w:p>
        </w:tc>
      </w:tr>
    </w:tbl>
    <w:p w14:paraId="09D3902A" w14:textId="77777777" w:rsidR="00A834E0" w:rsidRDefault="00A834E0" w:rsidP="00784FB2">
      <w:pPr>
        <w:rPr>
          <w:sz w:val="20"/>
          <w:szCs w:val="20"/>
        </w:rPr>
      </w:pPr>
    </w:p>
    <w:p w14:paraId="04BEC237" w14:textId="0B560270" w:rsidR="007D6794" w:rsidRDefault="00A834E0" w:rsidP="00784FB2">
      <w:pPr>
        <w:rPr>
          <w:sz w:val="20"/>
          <w:szCs w:val="20"/>
        </w:rPr>
      </w:pPr>
      <w:r w:rsidRPr="00A834E0">
        <w:rPr>
          <w:sz w:val="20"/>
          <w:szCs w:val="20"/>
        </w:rPr>
        <w:t>These figures illustrate why the Regulation’s</w:t>
      </w:r>
      <w:r>
        <w:rPr>
          <w:sz w:val="20"/>
          <w:szCs w:val="20"/>
        </w:rPr>
        <w:t xml:space="preserve"> annual</w:t>
      </w:r>
      <w:r w:rsidRPr="00A834E0">
        <w:rPr>
          <w:sz w:val="20"/>
          <w:szCs w:val="20"/>
        </w:rPr>
        <w:t xml:space="preserve"> ≥5 tonne threshold brings virtually the entire commercial pellet handling landscape into scope</w:t>
      </w:r>
      <w:r>
        <w:rPr>
          <w:sz w:val="20"/>
          <w:szCs w:val="20"/>
        </w:rPr>
        <w:t xml:space="preserve">.  </w:t>
      </w:r>
      <w:r w:rsidR="005D1873" w:rsidRPr="005D1873">
        <w:rPr>
          <w:sz w:val="20"/>
          <w:szCs w:val="20"/>
        </w:rPr>
        <w:t>Meanwhile, the 1,500 tonne certification threshold applies to the installations that manage the majority of pellet volumes, most of which are operated by medium and large enterprises, ensuring that the heaviest obligations fall where the potential environmental impact is greatest.</w:t>
      </w:r>
    </w:p>
    <w:p w14:paraId="6D4F40D4" w14:textId="77777777" w:rsidR="00A26AD1" w:rsidRDefault="00A26AD1" w:rsidP="00A26AD1">
      <w:pPr>
        <w:rPr>
          <w:sz w:val="20"/>
          <w:szCs w:val="20"/>
        </w:rPr>
      </w:pPr>
      <w:r w:rsidRPr="00A26AD1">
        <w:rPr>
          <w:sz w:val="20"/>
          <w:szCs w:val="20"/>
        </w:rPr>
        <w:t>The Regulation’s strength lies in its whole</w:t>
      </w:r>
      <w:r w:rsidRPr="00A26AD1">
        <w:rPr>
          <w:sz w:val="20"/>
          <w:szCs w:val="20"/>
        </w:rPr>
        <w:noBreakHyphen/>
        <w:t>supply</w:t>
      </w:r>
      <w:r w:rsidRPr="00A26AD1">
        <w:rPr>
          <w:sz w:val="20"/>
          <w:szCs w:val="20"/>
        </w:rPr>
        <w:noBreakHyphen/>
        <w:t xml:space="preserve">chain scope, bringing consistency to a landscape previously reliant on uneven voluntary initiatives.  With obligations applying from ≥ 5 t/year, the framework pulls in </w:t>
      </w:r>
      <w:r w:rsidRPr="00A26AD1">
        <w:rPr>
          <w:i/>
          <w:iCs/>
          <w:sz w:val="20"/>
          <w:szCs w:val="20"/>
        </w:rPr>
        <w:t>tens of thousands</w:t>
      </w:r>
      <w:r w:rsidRPr="00A26AD1">
        <w:rPr>
          <w:sz w:val="20"/>
          <w:szCs w:val="20"/>
        </w:rPr>
        <w:t xml:space="preserve"> of operators ensuring that pellet</w:t>
      </w:r>
      <w:r w:rsidRPr="00A26AD1">
        <w:rPr>
          <w:sz w:val="20"/>
          <w:szCs w:val="20"/>
        </w:rPr>
        <w:noBreakHyphen/>
        <w:t>loss prevention is no longer the preserve of frontrunners but the baseline for the entire sector.</w:t>
      </w:r>
    </w:p>
    <w:p w14:paraId="2EE257D5" w14:textId="33D5DFD2" w:rsidR="00A26AD1" w:rsidRDefault="00A26AD1" w:rsidP="00A26AD1">
      <w:pPr>
        <w:rPr>
          <w:sz w:val="20"/>
          <w:szCs w:val="20"/>
        </w:rPr>
      </w:pPr>
      <w:r>
        <w:rPr>
          <w:sz w:val="20"/>
          <w:szCs w:val="20"/>
        </w:rPr>
        <w:t>T</w:t>
      </w:r>
      <w:r w:rsidRPr="00A26AD1">
        <w:rPr>
          <w:sz w:val="20"/>
          <w:szCs w:val="20"/>
        </w:rPr>
        <w:t>he Regulation is scaled to the realities of a predominantly SME</w:t>
      </w:r>
      <w:r w:rsidRPr="00A26AD1">
        <w:rPr>
          <w:sz w:val="20"/>
          <w:szCs w:val="20"/>
        </w:rPr>
        <w:noBreakHyphen/>
        <w:t xml:space="preserve">based industry. </w:t>
      </w:r>
      <w:r>
        <w:rPr>
          <w:sz w:val="20"/>
          <w:szCs w:val="20"/>
        </w:rPr>
        <w:t xml:space="preserve"> </w:t>
      </w:r>
      <w:r w:rsidRPr="00A26AD1">
        <w:rPr>
          <w:sz w:val="20"/>
          <w:szCs w:val="20"/>
        </w:rPr>
        <w:t>While the largest handlers transition to routine third</w:t>
      </w:r>
      <w:r w:rsidRPr="00A26AD1">
        <w:rPr>
          <w:sz w:val="20"/>
          <w:szCs w:val="20"/>
        </w:rPr>
        <w:noBreakHyphen/>
        <w:t>party certification, SMEs operate under a self</w:t>
      </w:r>
      <w:r w:rsidRPr="00A26AD1">
        <w:rPr>
          <w:sz w:val="20"/>
          <w:szCs w:val="20"/>
        </w:rPr>
        <w:noBreakHyphen/>
        <w:t xml:space="preserve">declaration </w:t>
      </w:r>
      <w:r w:rsidR="00AD7323" w:rsidRPr="00A26AD1">
        <w:rPr>
          <w:sz w:val="20"/>
          <w:szCs w:val="20"/>
        </w:rPr>
        <w:t>regime</w:t>
      </w:r>
      <w:r w:rsidR="00AD7323">
        <w:rPr>
          <w:sz w:val="20"/>
          <w:szCs w:val="20"/>
        </w:rPr>
        <w:t xml:space="preserve"> yet</w:t>
      </w:r>
      <w:r w:rsidRPr="00A26AD1">
        <w:rPr>
          <w:sz w:val="20"/>
          <w:szCs w:val="20"/>
        </w:rPr>
        <w:t xml:space="preserve"> still adopt the same prevention</w:t>
      </w:r>
      <w:r w:rsidRPr="00A26AD1">
        <w:rPr>
          <w:sz w:val="20"/>
          <w:szCs w:val="20"/>
        </w:rPr>
        <w:noBreakHyphen/>
        <w:t>containment</w:t>
      </w:r>
      <w:r w:rsidRPr="00A26AD1">
        <w:rPr>
          <w:sz w:val="20"/>
          <w:szCs w:val="20"/>
        </w:rPr>
        <w:noBreakHyphen/>
        <w:t>clean</w:t>
      </w:r>
      <w:r w:rsidRPr="00A26AD1">
        <w:rPr>
          <w:sz w:val="20"/>
          <w:szCs w:val="20"/>
        </w:rPr>
        <w:noBreakHyphen/>
        <w:t xml:space="preserve">up hierarchy and transparent reporting practices. </w:t>
      </w:r>
      <w:r>
        <w:rPr>
          <w:sz w:val="20"/>
          <w:szCs w:val="20"/>
        </w:rPr>
        <w:t xml:space="preserve"> </w:t>
      </w:r>
      <w:r w:rsidRPr="00A26AD1">
        <w:rPr>
          <w:sz w:val="20"/>
          <w:szCs w:val="20"/>
        </w:rPr>
        <w:t xml:space="preserve">This combination promotes culture change without imposing disproportionate burden, bridging the gap between regulatory ambition and practical implementation across the ~50,000+ companies and 1.5 million workers underpinning Europe’s plastics value chain. </w:t>
      </w:r>
      <w:r>
        <w:rPr>
          <w:sz w:val="20"/>
          <w:szCs w:val="20"/>
        </w:rPr>
        <w:t xml:space="preserve"> </w:t>
      </w:r>
      <w:r w:rsidRPr="00A26AD1">
        <w:rPr>
          <w:sz w:val="20"/>
          <w:szCs w:val="20"/>
        </w:rPr>
        <w:t>The introduction of harmonised, auditable pellet</w:t>
      </w:r>
      <w:r w:rsidRPr="00A26AD1">
        <w:rPr>
          <w:sz w:val="20"/>
          <w:szCs w:val="20"/>
        </w:rPr>
        <w:noBreakHyphen/>
        <w:t>handling standards offers both risk reduction and a level playing field</w:t>
      </w:r>
      <w:r>
        <w:rPr>
          <w:sz w:val="20"/>
          <w:szCs w:val="20"/>
        </w:rPr>
        <w:t>.</w:t>
      </w:r>
    </w:p>
    <w:p w14:paraId="3976D87F" w14:textId="119A2762" w:rsidR="00776E76" w:rsidRDefault="00A26AD1">
      <w:pPr>
        <w:rPr>
          <w:sz w:val="20"/>
          <w:szCs w:val="20"/>
        </w:rPr>
      </w:pPr>
      <w:r w:rsidRPr="00A26AD1">
        <w:rPr>
          <w:sz w:val="20"/>
          <w:szCs w:val="20"/>
        </w:rPr>
        <w:t>Altogether, the projected reach of the Regulation is substantial but necessary.</w:t>
      </w:r>
      <w:r>
        <w:rPr>
          <w:sz w:val="20"/>
          <w:szCs w:val="20"/>
        </w:rPr>
        <w:t xml:space="preserve"> </w:t>
      </w:r>
      <w:r w:rsidRPr="00A26AD1">
        <w:rPr>
          <w:sz w:val="20"/>
          <w:szCs w:val="20"/>
        </w:rPr>
        <w:t xml:space="preserve"> Plastic pellets are the third</w:t>
      </w:r>
      <w:r w:rsidRPr="00A26AD1">
        <w:rPr>
          <w:sz w:val="20"/>
          <w:szCs w:val="20"/>
        </w:rPr>
        <w:noBreakHyphen/>
        <w:t>largest source of unintentional microplastic releases, and losses can occur at every step of the value chain</w:t>
      </w:r>
      <w:r>
        <w:rPr>
          <w:sz w:val="20"/>
          <w:szCs w:val="20"/>
        </w:rPr>
        <w:t xml:space="preserve">.  </w:t>
      </w:r>
      <w:r w:rsidRPr="00A26AD1">
        <w:rPr>
          <w:sz w:val="20"/>
          <w:szCs w:val="20"/>
        </w:rPr>
        <w:t xml:space="preserve">By embedding rigorous operational controls, transparent reporting, and external assurance where risk is highest, the Regulation creates the conditions for measurable, sustained reductions in pellet pollution. </w:t>
      </w:r>
      <w:r w:rsidR="00776E76">
        <w:rPr>
          <w:sz w:val="20"/>
          <w:szCs w:val="20"/>
        </w:rPr>
        <w:br w:type="page"/>
      </w:r>
    </w:p>
    <w:p w14:paraId="25FF7548" w14:textId="41D0BB15" w:rsidR="00784FB2" w:rsidRPr="00776E76" w:rsidRDefault="00776E76" w:rsidP="00FC58CE">
      <w:pPr>
        <w:pStyle w:val="Heading01"/>
        <w:numPr>
          <w:ilvl w:val="0"/>
          <w:numId w:val="1"/>
        </w:numPr>
      </w:pPr>
      <w:bookmarkStart w:id="38" w:name="_Toc225595006"/>
      <w:r w:rsidRPr="00776E76">
        <w:lastRenderedPageBreak/>
        <w:t>Summary of the suitability of the Regulation as a tool to implement the OSPAR Recommendation, highlighting the need for any additional measures</w:t>
      </w:r>
      <w:bookmarkEnd w:id="38"/>
    </w:p>
    <w:p w14:paraId="2E3444B7" w14:textId="61E58B4E" w:rsidR="00784FB2" w:rsidRDefault="00797A1C" w:rsidP="00784FB2">
      <w:pPr>
        <w:rPr>
          <w:sz w:val="20"/>
          <w:szCs w:val="20"/>
        </w:rPr>
      </w:pPr>
      <w:r>
        <w:rPr>
          <w:sz w:val="20"/>
          <w:szCs w:val="20"/>
        </w:rPr>
        <w:t xml:space="preserve">This section brings together the findings from the preceding analysis to assess the overall suitability of Regulation (EU) 2025/2365 as an instrument to support the implementation of OSPAR Recommendation 2021/06 on the reduction of plastic pellet loss in the marine environment.  It evaluates areas of strong alignment, identifies divergences and limitations and outlines the additional measures that would be required, either at EU, national or industry level, to fully deliver the intent and scope of the OSPAR framework.  </w:t>
      </w:r>
    </w:p>
    <w:p w14:paraId="2451C8BF" w14:textId="77777777" w:rsidR="00797A1C" w:rsidRDefault="00797A1C" w:rsidP="00784FB2">
      <w:pPr>
        <w:rPr>
          <w:sz w:val="20"/>
          <w:szCs w:val="20"/>
        </w:rPr>
      </w:pPr>
    </w:p>
    <w:p w14:paraId="3DCC81D0" w14:textId="0289E1CD" w:rsidR="00797A1C" w:rsidRDefault="00797A1C" w:rsidP="00797A1C">
      <w:pPr>
        <w:pStyle w:val="Heading02"/>
      </w:pPr>
      <w:bookmarkStart w:id="39" w:name="_Toc225595007"/>
      <w:r>
        <w:t>Overall alignment with the OSPAR Recommendation</w:t>
      </w:r>
      <w:bookmarkEnd w:id="39"/>
      <w:r>
        <w:t xml:space="preserve"> </w:t>
      </w:r>
    </w:p>
    <w:p w14:paraId="5879A448" w14:textId="39FF6B44" w:rsidR="00776E76" w:rsidRDefault="00797A1C" w:rsidP="00784FB2">
      <w:pPr>
        <w:rPr>
          <w:sz w:val="20"/>
          <w:szCs w:val="20"/>
        </w:rPr>
      </w:pPr>
      <w:r>
        <w:rPr>
          <w:sz w:val="20"/>
          <w:szCs w:val="20"/>
        </w:rPr>
        <w:t xml:space="preserve">Regulation (EU) 2025/2365 represents the first comprehensive, legally binding framework governing pellet loss prevention across the full plastics supply chain within the EU.  Its introduction substantially strengthens the policy landscape relative to the voluntary, industry led initiatives that prevailed when the Recommendation and guidelines were published.  In terms of intent, scope and much of its operational architecture the Regulation aligns closely with the core ambitions of OSPAR: achieving zero pellet loss, embedding preventative handling practices and ensuring consistent standards across the supply chain.  </w:t>
      </w:r>
    </w:p>
    <w:p w14:paraId="5B6F49A3" w14:textId="21539613" w:rsidR="00E13B56" w:rsidRDefault="00E13B56" w:rsidP="00784FB2">
      <w:pPr>
        <w:rPr>
          <w:sz w:val="20"/>
          <w:szCs w:val="20"/>
        </w:rPr>
      </w:pPr>
      <w:r>
        <w:rPr>
          <w:sz w:val="20"/>
          <w:szCs w:val="20"/>
        </w:rPr>
        <w:t xml:space="preserve">The Regulation adopts a whole-chain approach covering production, processing, transport (including maritime transport), packaging, distribution and storage.  This mirrors the OSPAR Recommendation that pellet loss prevention apply to all actors handling or managing pellets.  It also embeds key principles including: </w:t>
      </w:r>
    </w:p>
    <w:p w14:paraId="779A5584" w14:textId="0F868AEF" w:rsidR="00E13B56" w:rsidRPr="00E13B56" w:rsidRDefault="00E13B56" w:rsidP="00FC58CE">
      <w:pPr>
        <w:pStyle w:val="ListParagraph"/>
        <w:numPr>
          <w:ilvl w:val="0"/>
          <w:numId w:val="38"/>
        </w:numPr>
        <w:rPr>
          <w:b/>
          <w:bCs/>
          <w:sz w:val="20"/>
          <w:szCs w:val="20"/>
        </w:rPr>
      </w:pPr>
      <w:r w:rsidRPr="00E13B56">
        <w:rPr>
          <w:b/>
          <w:bCs/>
          <w:sz w:val="20"/>
          <w:szCs w:val="20"/>
        </w:rPr>
        <w:t xml:space="preserve">Zero pellet loss as an overarching principle </w:t>
      </w:r>
    </w:p>
    <w:p w14:paraId="7E9A27CC" w14:textId="552D0D8D" w:rsidR="00E13B56" w:rsidRDefault="00E13B56" w:rsidP="00E13B56">
      <w:pPr>
        <w:pStyle w:val="ListParagraph"/>
        <w:rPr>
          <w:sz w:val="20"/>
          <w:szCs w:val="20"/>
        </w:rPr>
      </w:pPr>
      <w:r>
        <w:rPr>
          <w:sz w:val="20"/>
          <w:szCs w:val="20"/>
        </w:rPr>
        <w:t xml:space="preserve">The Regulation explicitly states its purpose as the achievement of zero pellet losses fully reflecting the central aim of OSPAR Recommendation 2021/06 </w:t>
      </w:r>
    </w:p>
    <w:p w14:paraId="2AFCBC53" w14:textId="29D4BB51" w:rsidR="00E13B56" w:rsidRPr="00E13B56" w:rsidRDefault="00E13B56" w:rsidP="00FC58CE">
      <w:pPr>
        <w:pStyle w:val="ListParagraph"/>
        <w:numPr>
          <w:ilvl w:val="0"/>
          <w:numId w:val="38"/>
        </w:numPr>
        <w:rPr>
          <w:b/>
          <w:bCs/>
          <w:sz w:val="20"/>
          <w:szCs w:val="20"/>
        </w:rPr>
      </w:pPr>
      <w:r w:rsidRPr="00E13B56">
        <w:rPr>
          <w:b/>
          <w:bCs/>
          <w:sz w:val="20"/>
          <w:szCs w:val="20"/>
        </w:rPr>
        <w:t xml:space="preserve">A legally mandated hierarchy of actions </w:t>
      </w:r>
    </w:p>
    <w:p w14:paraId="0A84E9FB" w14:textId="3B968180" w:rsidR="00E13B56" w:rsidRDefault="00E13B56" w:rsidP="00E13B56">
      <w:pPr>
        <w:pStyle w:val="ListParagraph"/>
        <w:rPr>
          <w:sz w:val="20"/>
          <w:szCs w:val="20"/>
        </w:rPr>
      </w:pPr>
      <w:r>
        <w:rPr>
          <w:sz w:val="20"/>
          <w:szCs w:val="20"/>
        </w:rPr>
        <w:t xml:space="preserve">Prevention is prioritised first, followed by containment then clean-up.  This fully aligns with the mandatory sequence outlined in the OSPAR Guidelines.  </w:t>
      </w:r>
    </w:p>
    <w:p w14:paraId="5A49E3D0" w14:textId="083E8B64" w:rsidR="00E13B56" w:rsidRPr="00E13B56" w:rsidRDefault="00E13B56" w:rsidP="00FC58CE">
      <w:pPr>
        <w:pStyle w:val="ListParagraph"/>
        <w:numPr>
          <w:ilvl w:val="0"/>
          <w:numId w:val="38"/>
        </w:numPr>
        <w:rPr>
          <w:b/>
          <w:bCs/>
          <w:sz w:val="20"/>
          <w:szCs w:val="20"/>
        </w:rPr>
      </w:pPr>
      <w:r w:rsidRPr="00E13B56">
        <w:rPr>
          <w:b/>
          <w:bCs/>
          <w:sz w:val="20"/>
          <w:szCs w:val="20"/>
        </w:rPr>
        <w:t xml:space="preserve">Site level implementation </w:t>
      </w:r>
    </w:p>
    <w:p w14:paraId="5268F4E7" w14:textId="5B5BCD75" w:rsidR="00E13B56" w:rsidRDefault="00E13B56" w:rsidP="00E13B56">
      <w:pPr>
        <w:pStyle w:val="ListParagraph"/>
        <w:rPr>
          <w:sz w:val="20"/>
          <w:szCs w:val="20"/>
        </w:rPr>
      </w:pPr>
      <w:r>
        <w:rPr>
          <w:sz w:val="20"/>
          <w:szCs w:val="20"/>
        </w:rPr>
        <w:t xml:space="preserve">Risk management plans, operational controls and inspections apply individually to each installation handling pellets, mirroring </w:t>
      </w:r>
      <w:proofErr w:type="spellStart"/>
      <w:r>
        <w:rPr>
          <w:sz w:val="20"/>
          <w:szCs w:val="20"/>
        </w:rPr>
        <w:t>OSPAR’s</w:t>
      </w:r>
      <w:proofErr w:type="spellEnd"/>
      <w:r>
        <w:rPr>
          <w:sz w:val="20"/>
          <w:szCs w:val="20"/>
        </w:rPr>
        <w:t xml:space="preserve"> requirement for site-based assessment and management.  </w:t>
      </w:r>
    </w:p>
    <w:p w14:paraId="6BE59B62" w14:textId="6278FE51" w:rsidR="00E13B56" w:rsidRPr="00E13B56" w:rsidRDefault="00E13B56" w:rsidP="00FC58CE">
      <w:pPr>
        <w:pStyle w:val="ListParagraph"/>
        <w:numPr>
          <w:ilvl w:val="0"/>
          <w:numId w:val="38"/>
        </w:numPr>
        <w:rPr>
          <w:b/>
          <w:bCs/>
          <w:sz w:val="20"/>
          <w:szCs w:val="20"/>
        </w:rPr>
      </w:pPr>
      <w:r w:rsidRPr="00E13B56">
        <w:rPr>
          <w:b/>
          <w:bCs/>
          <w:sz w:val="20"/>
          <w:szCs w:val="20"/>
        </w:rPr>
        <w:t xml:space="preserve">Transparency and reporting </w:t>
      </w:r>
    </w:p>
    <w:p w14:paraId="45C61CBB" w14:textId="5C073492" w:rsidR="00E13B56" w:rsidRDefault="00E13B56" w:rsidP="00E13B56">
      <w:pPr>
        <w:pStyle w:val="ListParagraph"/>
        <w:rPr>
          <w:sz w:val="20"/>
          <w:szCs w:val="20"/>
        </w:rPr>
      </w:pPr>
      <w:r>
        <w:rPr>
          <w:sz w:val="20"/>
          <w:szCs w:val="20"/>
        </w:rPr>
        <w:t xml:space="preserve">Annual loss estimates and publication of compliance documents support the OSPAR principle that transparency drives improvement and accountability. </w:t>
      </w:r>
    </w:p>
    <w:p w14:paraId="01174583" w14:textId="48F3A33F" w:rsidR="00E13B56" w:rsidRPr="00E13B56" w:rsidRDefault="00E13B56" w:rsidP="00FC58CE">
      <w:pPr>
        <w:pStyle w:val="ListParagraph"/>
        <w:numPr>
          <w:ilvl w:val="0"/>
          <w:numId w:val="38"/>
        </w:numPr>
        <w:rPr>
          <w:b/>
          <w:bCs/>
          <w:sz w:val="20"/>
          <w:szCs w:val="20"/>
        </w:rPr>
      </w:pPr>
      <w:r w:rsidRPr="00E13B56">
        <w:rPr>
          <w:b/>
          <w:bCs/>
          <w:sz w:val="20"/>
          <w:szCs w:val="20"/>
        </w:rPr>
        <w:t xml:space="preserve">Independent certification for high-volume operators </w:t>
      </w:r>
    </w:p>
    <w:p w14:paraId="46B430C7" w14:textId="3E1E0BB9" w:rsidR="00E13B56" w:rsidRDefault="00E13B56" w:rsidP="00E13B56">
      <w:pPr>
        <w:pStyle w:val="ListParagraph"/>
        <w:rPr>
          <w:sz w:val="20"/>
          <w:szCs w:val="20"/>
        </w:rPr>
      </w:pPr>
      <w:r>
        <w:rPr>
          <w:sz w:val="20"/>
          <w:szCs w:val="20"/>
        </w:rPr>
        <w:t xml:space="preserve">Mandatory third-party certification </w:t>
      </w:r>
      <w:r w:rsidR="00D1329D">
        <w:rPr>
          <w:sz w:val="20"/>
          <w:szCs w:val="20"/>
        </w:rPr>
        <w:t xml:space="preserve">for installations handling 1,500 tonnes or more </w:t>
      </w:r>
      <w:r>
        <w:rPr>
          <w:sz w:val="20"/>
          <w:szCs w:val="20"/>
        </w:rPr>
        <w:t xml:space="preserve">reflects </w:t>
      </w:r>
      <w:proofErr w:type="spellStart"/>
      <w:r>
        <w:rPr>
          <w:sz w:val="20"/>
          <w:szCs w:val="20"/>
        </w:rPr>
        <w:t>OSPAR’s</w:t>
      </w:r>
      <w:proofErr w:type="spellEnd"/>
      <w:r>
        <w:rPr>
          <w:sz w:val="20"/>
          <w:szCs w:val="20"/>
        </w:rPr>
        <w:t xml:space="preserve"> requirement for robust verification, though not universally.  </w:t>
      </w:r>
    </w:p>
    <w:p w14:paraId="28BB90DE" w14:textId="47D671C1" w:rsidR="00E13B56" w:rsidRDefault="00E13B56" w:rsidP="00E13B56">
      <w:pPr>
        <w:rPr>
          <w:sz w:val="20"/>
          <w:szCs w:val="20"/>
        </w:rPr>
      </w:pPr>
      <w:r>
        <w:rPr>
          <w:sz w:val="20"/>
          <w:szCs w:val="20"/>
        </w:rPr>
        <w:t xml:space="preserve">Overall, the Regulation constitutes a major step </w:t>
      </w:r>
      <w:r w:rsidR="009C7151">
        <w:rPr>
          <w:sz w:val="20"/>
          <w:szCs w:val="20"/>
        </w:rPr>
        <w:t xml:space="preserve">towards harmonised, enforceable pellet loss prevention across Europe.  It provides a regulatory baseline that was absent during the initial OSPAR implementation cycle and is expected by Contracting Parties to significantly strengthen future reporting, particularly the 2031 reporting period.  </w:t>
      </w:r>
    </w:p>
    <w:p w14:paraId="3251045E" w14:textId="21B490A0" w:rsidR="009C7151" w:rsidRPr="00E13B56" w:rsidRDefault="009C7151" w:rsidP="00E13B56">
      <w:pPr>
        <w:rPr>
          <w:sz w:val="20"/>
          <w:szCs w:val="20"/>
        </w:rPr>
      </w:pPr>
      <w:r>
        <w:rPr>
          <w:sz w:val="20"/>
          <w:szCs w:val="20"/>
        </w:rPr>
        <w:t>However, alignment is not complete.  Several aspects of the OSPAR Recommendation are only partially met, while others</w:t>
      </w:r>
      <w:r w:rsidR="00D1329D">
        <w:rPr>
          <w:sz w:val="20"/>
          <w:szCs w:val="20"/>
        </w:rPr>
        <w:t xml:space="preserve"> are</w:t>
      </w:r>
      <w:r>
        <w:rPr>
          <w:sz w:val="20"/>
          <w:szCs w:val="20"/>
        </w:rPr>
        <w:t xml:space="preserve"> not included at all.  These gaps reflect differing regulatory strategies.  OSPAR envisages a standards</w:t>
      </w:r>
      <w:r w:rsidR="00D1329D">
        <w:rPr>
          <w:sz w:val="20"/>
          <w:szCs w:val="20"/>
        </w:rPr>
        <w:t>-</w:t>
      </w:r>
      <w:r>
        <w:rPr>
          <w:sz w:val="20"/>
          <w:szCs w:val="20"/>
        </w:rPr>
        <w:t xml:space="preserve">based, third-party verified certification scheme applicable to all operators whereas the EU Regulation prioritises proportionality, integration with existing permitting frameworks and risk-based differentiation.  </w:t>
      </w:r>
    </w:p>
    <w:p w14:paraId="05F39810" w14:textId="77777777" w:rsidR="008E7CE6" w:rsidRDefault="008E7CE6" w:rsidP="00784FB2">
      <w:pPr>
        <w:rPr>
          <w:sz w:val="20"/>
          <w:szCs w:val="20"/>
        </w:rPr>
      </w:pPr>
    </w:p>
    <w:p w14:paraId="0EB86EA4" w14:textId="126581DF" w:rsidR="009C7151" w:rsidRDefault="009C7151" w:rsidP="009C7151">
      <w:pPr>
        <w:pStyle w:val="Heading02"/>
      </w:pPr>
      <w:bookmarkStart w:id="40" w:name="_Toc225595008"/>
      <w:r>
        <w:lastRenderedPageBreak/>
        <w:t>Strengths and key areas of strong alignment</w:t>
      </w:r>
      <w:bookmarkEnd w:id="40"/>
      <w:r>
        <w:t xml:space="preserve"> </w:t>
      </w:r>
    </w:p>
    <w:p w14:paraId="4B9B2FD1" w14:textId="271D0A7E" w:rsidR="009C7151" w:rsidRPr="00577D83" w:rsidRDefault="009C7151" w:rsidP="00E43F7C">
      <w:pPr>
        <w:rPr>
          <w:b/>
          <w:bCs/>
          <w:sz w:val="20"/>
          <w:szCs w:val="20"/>
        </w:rPr>
      </w:pPr>
      <w:r w:rsidRPr="00577D83">
        <w:rPr>
          <w:b/>
          <w:bCs/>
          <w:sz w:val="20"/>
          <w:szCs w:val="20"/>
        </w:rPr>
        <w:t>Comprehensive and legally binding supply chain coverage</w:t>
      </w:r>
      <w:r w:rsidR="00577D83">
        <w:rPr>
          <w:b/>
          <w:bCs/>
          <w:sz w:val="20"/>
          <w:szCs w:val="20"/>
        </w:rPr>
        <w:t xml:space="preserve">:  </w:t>
      </w:r>
      <w:r w:rsidR="00AB010A" w:rsidRPr="00AB010A">
        <w:rPr>
          <w:sz w:val="20"/>
          <w:szCs w:val="20"/>
        </w:rPr>
        <w:t xml:space="preserve">The Regulation applies to economic operators handling 5 tonnes or more per year, and to carriers and maritime actors at any volume, covering the entire chain from production to maritime transport (Article 1(2)).  </w:t>
      </w:r>
      <w:r w:rsidRPr="00E43F7C">
        <w:rPr>
          <w:sz w:val="20"/>
          <w:szCs w:val="20"/>
        </w:rPr>
        <w:t xml:space="preserve">This breadth of scope goes beyond the voluntary initiative of Operation Clean Sweep® and directly supports </w:t>
      </w:r>
      <w:proofErr w:type="spellStart"/>
      <w:r w:rsidRPr="00E43F7C">
        <w:rPr>
          <w:sz w:val="20"/>
          <w:szCs w:val="20"/>
        </w:rPr>
        <w:t>OSPAR’s</w:t>
      </w:r>
      <w:proofErr w:type="spellEnd"/>
      <w:r w:rsidRPr="00E43F7C">
        <w:rPr>
          <w:sz w:val="20"/>
          <w:szCs w:val="20"/>
        </w:rPr>
        <w:t xml:space="preserve"> aim of establishing industry-wide best practice.  </w:t>
      </w:r>
    </w:p>
    <w:p w14:paraId="09E042D5" w14:textId="25D24582" w:rsidR="009C7151" w:rsidRPr="00E43F7C" w:rsidRDefault="009C7151" w:rsidP="00E43F7C">
      <w:pPr>
        <w:rPr>
          <w:sz w:val="20"/>
          <w:szCs w:val="20"/>
        </w:rPr>
      </w:pPr>
      <w:r w:rsidRPr="00577D83">
        <w:rPr>
          <w:b/>
          <w:bCs/>
          <w:sz w:val="20"/>
          <w:szCs w:val="20"/>
        </w:rPr>
        <w:t>Embedding the prevention, containment, clean-up hierarchy</w:t>
      </w:r>
      <w:r w:rsidR="00577D83">
        <w:rPr>
          <w:b/>
          <w:bCs/>
          <w:sz w:val="20"/>
          <w:szCs w:val="20"/>
        </w:rPr>
        <w:t xml:space="preserve">: </w:t>
      </w:r>
      <w:r w:rsidRPr="00E43F7C">
        <w:rPr>
          <w:sz w:val="20"/>
          <w:szCs w:val="20"/>
        </w:rPr>
        <w:t xml:space="preserve">Article 5(5) requires all operators and carriers to act in a defined </w:t>
      </w:r>
      <w:r w:rsidR="00F879B2" w:rsidRPr="00E43F7C">
        <w:rPr>
          <w:sz w:val="20"/>
          <w:szCs w:val="20"/>
        </w:rPr>
        <w:t>order;</w:t>
      </w:r>
      <w:r w:rsidRPr="00E43F7C">
        <w:rPr>
          <w:sz w:val="20"/>
          <w:szCs w:val="20"/>
        </w:rPr>
        <w:t xml:space="preserve"> </w:t>
      </w:r>
      <w:r w:rsidR="00F879B2" w:rsidRPr="00E43F7C">
        <w:rPr>
          <w:sz w:val="20"/>
          <w:szCs w:val="20"/>
        </w:rPr>
        <w:t>therefore,</w:t>
      </w:r>
      <w:r w:rsidRPr="00E43F7C">
        <w:rPr>
          <w:sz w:val="20"/>
          <w:szCs w:val="20"/>
        </w:rPr>
        <w:t xml:space="preserve"> the Regulation operationalises </w:t>
      </w:r>
      <w:proofErr w:type="spellStart"/>
      <w:r w:rsidRPr="00E43F7C">
        <w:rPr>
          <w:sz w:val="20"/>
          <w:szCs w:val="20"/>
        </w:rPr>
        <w:t>OSPAR’s</w:t>
      </w:r>
      <w:proofErr w:type="spellEnd"/>
      <w:r w:rsidRPr="00E43F7C">
        <w:rPr>
          <w:sz w:val="20"/>
          <w:szCs w:val="20"/>
        </w:rPr>
        <w:t xml:space="preserve"> </w:t>
      </w:r>
      <w:r w:rsidR="00F879B2" w:rsidRPr="00E43F7C">
        <w:rPr>
          <w:sz w:val="20"/>
          <w:szCs w:val="20"/>
        </w:rPr>
        <w:t xml:space="preserve">core principle within enforceable legal obligations. </w:t>
      </w:r>
    </w:p>
    <w:p w14:paraId="2B9624DC" w14:textId="6B7B6C96" w:rsidR="009C7151" w:rsidRPr="00E43F7C" w:rsidRDefault="00F879B2" w:rsidP="00E43F7C">
      <w:pPr>
        <w:rPr>
          <w:sz w:val="20"/>
          <w:szCs w:val="20"/>
        </w:rPr>
      </w:pPr>
      <w:r w:rsidRPr="00577D83">
        <w:rPr>
          <w:b/>
          <w:bCs/>
          <w:sz w:val="20"/>
          <w:szCs w:val="20"/>
        </w:rPr>
        <w:t>Detailed operational requirements and standardisation</w:t>
      </w:r>
      <w:r w:rsidR="00577D83">
        <w:rPr>
          <w:b/>
          <w:bCs/>
          <w:sz w:val="20"/>
          <w:szCs w:val="20"/>
        </w:rPr>
        <w:t xml:space="preserve">: </w:t>
      </w:r>
      <w:r w:rsidRPr="00E43F7C">
        <w:rPr>
          <w:sz w:val="20"/>
          <w:szCs w:val="20"/>
        </w:rPr>
        <w:t xml:space="preserve">Annex I and Annex III set out prescriptive, site level requirements for prevention equipment, drainage controls, containment systems, staff training, procedures and clean-up.  These form a minimum pellet-handling standard, aligning with </w:t>
      </w:r>
      <w:proofErr w:type="spellStart"/>
      <w:r w:rsidRPr="00E43F7C">
        <w:rPr>
          <w:sz w:val="20"/>
          <w:szCs w:val="20"/>
        </w:rPr>
        <w:t>OSPAR’s</w:t>
      </w:r>
      <w:proofErr w:type="spellEnd"/>
      <w:r w:rsidRPr="00E43F7C">
        <w:rPr>
          <w:sz w:val="20"/>
          <w:szCs w:val="20"/>
        </w:rPr>
        <w:t xml:space="preserve"> emphasis on consistent best practice across the supply chain.  </w:t>
      </w:r>
    </w:p>
    <w:p w14:paraId="659A04C0" w14:textId="08028F90" w:rsidR="00F879B2" w:rsidRPr="00E43F7C" w:rsidRDefault="00F879B2" w:rsidP="00E43F7C">
      <w:pPr>
        <w:rPr>
          <w:sz w:val="20"/>
          <w:szCs w:val="20"/>
        </w:rPr>
      </w:pPr>
      <w:r w:rsidRPr="00E43F7C">
        <w:rPr>
          <w:sz w:val="20"/>
          <w:szCs w:val="20"/>
        </w:rPr>
        <w:t xml:space="preserve">The mandated development of harmonised EU standards for loss estimation methodologies (Article 18) also advances </w:t>
      </w:r>
      <w:proofErr w:type="spellStart"/>
      <w:r w:rsidRPr="00E43F7C">
        <w:rPr>
          <w:sz w:val="20"/>
          <w:szCs w:val="20"/>
        </w:rPr>
        <w:t>OSPAR’s</w:t>
      </w:r>
      <w:proofErr w:type="spellEnd"/>
      <w:r w:rsidRPr="00E43F7C">
        <w:rPr>
          <w:sz w:val="20"/>
          <w:szCs w:val="20"/>
        </w:rPr>
        <w:t xml:space="preserve"> call for consistent, transparent, multi-stakeholder standard setting.  </w:t>
      </w:r>
    </w:p>
    <w:p w14:paraId="4129E052" w14:textId="7BB9B7CB" w:rsidR="00745BB4" w:rsidRDefault="00E43F7C" w:rsidP="00784FB2">
      <w:pPr>
        <w:rPr>
          <w:sz w:val="20"/>
          <w:szCs w:val="20"/>
        </w:rPr>
      </w:pPr>
      <w:r w:rsidRPr="00577D83">
        <w:rPr>
          <w:b/>
          <w:bCs/>
          <w:sz w:val="20"/>
          <w:szCs w:val="20"/>
        </w:rPr>
        <w:t>Strong enforcement powers</w:t>
      </w:r>
      <w:r w:rsidR="00577D83">
        <w:rPr>
          <w:b/>
          <w:bCs/>
          <w:sz w:val="20"/>
          <w:szCs w:val="20"/>
        </w:rPr>
        <w:t xml:space="preserve">: </w:t>
      </w:r>
      <w:r w:rsidRPr="00E43F7C">
        <w:rPr>
          <w:sz w:val="20"/>
          <w:szCs w:val="20"/>
        </w:rPr>
        <w:t>Compared with voluntary programmes, the Regulation brings in much tougher and more reliable compliance measures</w:t>
      </w:r>
      <w:r>
        <w:rPr>
          <w:sz w:val="20"/>
          <w:szCs w:val="20"/>
        </w:rPr>
        <w:t xml:space="preserve"> by enabling: </w:t>
      </w:r>
    </w:p>
    <w:p w14:paraId="7E48AC94" w14:textId="77777777" w:rsidR="00AB010A" w:rsidRPr="00AB010A" w:rsidRDefault="00AB010A" w:rsidP="00AB010A">
      <w:pPr>
        <w:pStyle w:val="ListParagraph"/>
        <w:numPr>
          <w:ilvl w:val="0"/>
          <w:numId w:val="38"/>
        </w:numPr>
        <w:rPr>
          <w:sz w:val="20"/>
          <w:szCs w:val="20"/>
        </w:rPr>
      </w:pPr>
      <w:r w:rsidRPr="00AB010A">
        <w:rPr>
          <w:sz w:val="20"/>
          <w:szCs w:val="20"/>
        </w:rPr>
        <w:t>Unannounced inspections by competent authorities (Article 13(1))</w:t>
      </w:r>
    </w:p>
    <w:p w14:paraId="711FC78D" w14:textId="3F0D4AA7" w:rsidR="00AB010A" w:rsidRPr="00AB010A" w:rsidRDefault="00AB010A" w:rsidP="00AB010A">
      <w:pPr>
        <w:pStyle w:val="ListParagraph"/>
        <w:numPr>
          <w:ilvl w:val="0"/>
          <w:numId w:val="38"/>
        </w:numPr>
        <w:rPr>
          <w:sz w:val="20"/>
          <w:szCs w:val="20"/>
        </w:rPr>
      </w:pPr>
      <w:r w:rsidRPr="00AB010A">
        <w:rPr>
          <w:sz w:val="20"/>
          <w:szCs w:val="20"/>
        </w:rPr>
        <w:t>Suspension of operations where an infringement poses an immediate danger to human health, threatens an immediate significant adverse effect on the environment, or leads to a significant loss (Article 15(2))</w:t>
      </w:r>
    </w:p>
    <w:p w14:paraId="31B996B5" w14:textId="28E46AC2" w:rsidR="00B55A32" w:rsidRDefault="00B55A32" w:rsidP="00FC58CE">
      <w:pPr>
        <w:pStyle w:val="ListParagraph"/>
        <w:numPr>
          <w:ilvl w:val="0"/>
          <w:numId w:val="38"/>
        </w:numPr>
        <w:rPr>
          <w:sz w:val="20"/>
          <w:szCs w:val="20"/>
        </w:rPr>
      </w:pPr>
      <w:r>
        <w:rPr>
          <w:sz w:val="20"/>
          <w:szCs w:val="20"/>
        </w:rPr>
        <w:t xml:space="preserve">Corrective measures </w:t>
      </w:r>
    </w:p>
    <w:p w14:paraId="7D63E4AF" w14:textId="77777777" w:rsidR="008C3321" w:rsidRDefault="00AB010A" w:rsidP="00885B9A">
      <w:pPr>
        <w:pStyle w:val="ListParagraph"/>
        <w:numPr>
          <w:ilvl w:val="0"/>
          <w:numId w:val="38"/>
        </w:numPr>
        <w:rPr>
          <w:sz w:val="20"/>
          <w:szCs w:val="20"/>
        </w:rPr>
      </w:pPr>
      <w:r w:rsidRPr="00AB010A">
        <w:rPr>
          <w:sz w:val="20"/>
          <w:szCs w:val="20"/>
        </w:rPr>
        <w:t>Administrative financial penalties, for which Member States must set a maximum of at least 3% of annual Union turnover for the most serious infringements committed by a legal person (Article 20(3))</w:t>
      </w:r>
      <w:r w:rsidR="008C3321">
        <w:rPr>
          <w:sz w:val="20"/>
          <w:szCs w:val="20"/>
        </w:rPr>
        <w:t xml:space="preserve">.  </w:t>
      </w:r>
    </w:p>
    <w:p w14:paraId="32FEC127" w14:textId="7EB591C6" w:rsidR="00AB010A" w:rsidRPr="00885B9A" w:rsidRDefault="00AB010A" w:rsidP="00885B9A">
      <w:pPr>
        <w:pStyle w:val="ListParagraph"/>
        <w:numPr>
          <w:ilvl w:val="0"/>
          <w:numId w:val="38"/>
        </w:numPr>
        <w:rPr>
          <w:sz w:val="20"/>
          <w:szCs w:val="20"/>
        </w:rPr>
      </w:pPr>
      <w:r w:rsidRPr="00885B9A">
        <w:rPr>
          <w:sz w:val="20"/>
          <w:szCs w:val="20"/>
        </w:rPr>
        <w:t>Gives the public, including NGOs, the right to submit substantiated complaints and to seek review of competent authorities’ decisions, acts and failures to act, in line with the Aarhus Convention (Article 19).  Individuals harmed by non-compliance also have a right to compensation (Article 21)</w:t>
      </w:r>
    </w:p>
    <w:p w14:paraId="2DF5FC83" w14:textId="27542F92" w:rsidR="00E43F7C" w:rsidRDefault="00B55A32" w:rsidP="00784FB2">
      <w:pPr>
        <w:rPr>
          <w:sz w:val="20"/>
          <w:szCs w:val="20"/>
        </w:rPr>
      </w:pPr>
      <w:r>
        <w:rPr>
          <w:sz w:val="20"/>
          <w:szCs w:val="20"/>
        </w:rPr>
        <w:t xml:space="preserve">These tools significantly enhance the credibility and effectiveness of pellet-loss prevention, addressing </w:t>
      </w:r>
      <w:proofErr w:type="spellStart"/>
      <w:r>
        <w:rPr>
          <w:sz w:val="20"/>
          <w:szCs w:val="20"/>
        </w:rPr>
        <w:t>OSPAR’s</w:t>
      </w:r>
      <w:proofErr w:type="spellEnd"/>
      <w:r>
        <w:rPr>
          <w:sz w:val="20"/>
          <w:szCs w:val="20"/>
        </w:rPr>
        <w:t xml:space="preserve"> concern about inconsistent voluntary uptake.  </w:t>
      </w:r>
    </w:p>
    <w:p w14:paraId="0555DC4F" w14:textId="2D33FD15" w:rsidR="00B55A32" w:rsidRDefault="00B55A32" w:rsidP="00B55A32">
      <w:pPr>
        <w:rPr>
          <w:sz w:val="20"/>
          <w:szCs w:val="20"/>
        </w:rPr>
      </w:pPr>
      <w:r w:rsidRPr="00577D83">
        <w:rPr>
          <w:b/>
          <w:bCs/>
          <w:sz w:val="20"/>
          <w:szCs w:val="20"/>
        </w:rPr>
        <w:t>Transparency through publication of compliance information</w:t>
      </w:r>
      <w:r w:rsidR="00577D83">
        <w:rPr>
          <w:b/>
          <w:bCs/>
          <w:sz w:val="20"/>
          <w:szCs w:val="20"/>
        </w:rPr>
        <w:t xml:space="preserve">: </w:t>
      </w:r>
      <w:r>
        <w:rPr>
          <w:sz w:val="20"/>
          <w:szCs w:val="20"/>
        </w:rPr>
        <w:t xml:space="preserve">Mandatory public availability of risk management plans, certificates, permits and self-declarations helps foster external accountability.  This is consistent with the OSPAR principle that transparency drives improvement and supports tracking of industry progress.  </w:t>
      </w:r>
    </w:p>
    <w:p w14:paraId="31064702" w14:textId="5F271A30" w:rsidR="00577D83" w:rsidRPr="00577D83" w:rsidRDefault="00577D83" w:rsidP="00577D83">
      <w:pPr>
        <w:rPr>
          <w:sz w:val="20"/>
          <w:szCs w:val="20"/>
        </w:rPr>
      </w:pPr>
      <w:r w:rsidRPr="00577D83">
        <w:rPr>
          <w:b/>
          <w:bCs/>
          <w:sz w:val="20"/>
          <w:szCs w:val="20"/>
        </w:rPr>
        <w:t>Inclusion of maritime rules</w:t>
      </w:r>
      <w:r>
        <w:rPr>
          <w:b/>
          <w:bCs/>
          <w:sz w:val="20"/>
          <w:szCs w:val="20"/>
        </w:rPr>
        <w:t xml:space="preserve">: </w:t>
      </w:r>
      <w:r>
        <w:rPr>
          <w:sz w:val="20"/>
          <w:szCs w:val="20"/>
        </w:rPr>
        <w:t xml:space="preserve">The regulation uniquely incorporates binding maritime requirements, an area which OSPAR recognises significant spill risk but where no comprehensive international certification scheme yet exists.  This inclusion places the EU at the forefront of global pellet loss prevention from sea transport.  </w:t>
      </w:r>
    </w:p>
    <w:p w14:paraId="38E90891" w14:textId="730BF21B" w:rsidR="00B55A32" w:rsidRDefault="00577D83" w:rsidP="00B55A32">
      <w:pPr>
        <w:rPr>
          <w:sz w:val="20"/>
          <w:szCs w:val="20"/>
        </w:rPr>
      </w:pPr>
      <w:r w:rsidRPr="00577D83">
        <w:rPr>
          <w:b/>
          <w:bCs/>
          <w:sz w:val="20"/>
          <w:szCs w:val="20"/>
        </w:rPr>
        <w:t>Provisions supporting cultural and operational changes</w:t>
      </w:r>
      <w:r>
        <w:rPr>
          <w:sz w:val="20"/>
          <w:szCs w:val="20"/>
        </w:rPr>
        <w:t xml:space="preserve">:  By requiring training, annual assessments for larger installation, documentation and a clear set of obligations for all operators, the Regulation contributes to the long-term cultural shift that OSPAR identifies as necessary for achieving zero pellet loss.  Taken together, these strengths mean the Regulation </w:t>
      </w:r>
      <w:r w:rsidR="00F37575">
        <w:rPr>
          <w:sz w:val="20"/>
          <w:szCs w:val="20"/>
        </w:rPr>
        <w:t>provides</w:t>
      </w:r>
      <w:r>
        <w:rPr>
          <w:sz w:val="20"/>
          <w:szCs w:val="20"/>
        </w:rPr>
        <w:t xml:space="preserve"> a foundation for </w:t>
      </w:r>
      <w:r w:rsidR="00F37575">
        <w:rPr>
          <w:sz w:val="20"/>
          <w:szCs w:val="20"/>
        </w:rPr>
        <w:t>realising</w:t>
      </w:r>
      <w:r>
        <w:rPr>
          <w:sz w:val="20"/>
          <w:szCs w:val="20"/>
        </w:rPr>
        <w:t xml:space="preserve"> much of </w:t>
      </w:r>
      <w:proofErr w:type="spellStart"/>
      <w:r w:rsidR="00F37575">
        <w:rPr>
          <w:sz w:val="20"/>
          <w:szCs w:val="20"/>
        </w:rPr>
        <w:t>OSPAR’s</w:t>
      </w:r>
      <w:proofErr w:type="spellEnd"/>
      <w:r>
        <w:rPr>
          <w:sz w:val="20"/>
          <w:szCs w:val="20"/>
        </w:rPr>
        <w:t xml:space="preserve"> intention</w:t>
      </w:r>
      <w:r w:rsidR="00F37575">
        <w:rPr>
          <w:sz w:val="20"/>
          <w:szCs w:val="20"/>
        </w:rPr>
        <w:t xml:space="preserve">, rather than the voluntary and fragmented measures available beforehand.  </w:t>
      </w:r>
    </w:p>
    <w:p w14:paraId="28BEC91E" w14:textId="77777777" w:rsidR="00F37575" w:rsidRDefault="00F37575" w:rsidP="00B55A32">
      <w:pPr>
        <w:rPr>
          <w:sz w:val="20"/>
          <w:szCs w:val="20"/>
        </w:rPr>
      </w:pPr>
    </w:p>
    <w:p w14:paraId="6AE5B0AB" w14:textId="77777777" w:rsidR="00D1329D" w:rsidRDefault="00D1329D" w:rsidP="00B55A32">
      <w:pPr>
        <w:rPr>
          <w:sz w:val="20"/>
          <w:szCs w:val="20"/>
        </w:rPr>
      </w:pPr>
    </w:p>
    <w:p w14:paraId="63DF93CC" w14:textId="1D68E321" w:rsidR="00F37575" w:rsidRDefault="00F37575" w:rsidP="00F37575">
      <w:pPr>
        <w:pStyle w:val="Heading02"/>
      </w:pPr>
      <w:bookmarkStart w:id="41" w:name="_Toc225595009"/>
      <w:r>
        <w:lastRenderedPageBreak/>
        <w:t>Gaps and limitations in implementing OSPAR Recommendation 2021/06</w:t>
      </w:r>
      <w:bookmarkEnd w:id="41"/>
      <w:r>
        <w:t xml:space="preserve"> </w:t>
      </w:r>
    </w:p>
    <w:p w14:paraId="52860F88" w14:textId="0817CF8C" w:rsidR="00F37575" w:rsidRDefault="00F37575" w:rsidP="00B55A32">
      <w:pPr>
        <w:rPr>
          <w:sz w:val="20"/>
          <w:szCs w:val="20"/>
        </w:rPr>
      </w:pPr>
      <w:r>
        <w:rPr>
          <w:sz w:val="20"/>
          <w:szCs w:val="20"/>
        </w:rPr>
        <w:t xml:space="preserve">Despite its strengths, the Regulation does not fully reflect several essential requirements of the OSPAR Recommendation.  These limitations affect its suitability as a complete implementation tool and highlight areas where supplementary measures are likely to be required.  </w:t>
      </w:r>
    </w:p>
    <w:p w14:paraId="7620FBD6" w14:textId="525710EC" w:rsidR="00F37575" w:rsidRDefault="00F37575" w:rsidP="00B55A32">
      <w:pPr>
        <w:rPr>
          <w:sz w:val="20"/>
          <w:szCs w:val="20"/>
        </w:rPr>
      </w:pPr>
      <w:r w:rsidRPr="00F37575">
        <w:rPr>
          <w:b/>
          <w:bCs/>
          <w:sz w:val="20"/>
          <w:szCs w:val="20"/>
        </w:rPr>
        <w:t>Absence of universal third-party certification</w:t>
      </w:r>
      <w:r>
        <w:rPr>
          <w:sz w:val="20"/>
          <w:szCs w:val="20"/>
        </w:rPr>
        <w:t>: OSPAR calls for:</w:t>
      </w:r>
    </w:p>
    <w:p w14:paraId="0415C062" w14:textId="6DA2D2F1" w:rsidR="00F37575" w:rsidRDefault="00600D62" w:rsidP="00FC58CE">
      <w:pPr>
        <w:pStyle w:val="ListParagraph"/>
        <w:numPr>
          <w:ilvl w:val="0"/>
          <w:numId w:val="39"/>
        </w:numPr>
        <w:rPr>
          <w:sz w:val="20"/>
          <w:szCs w:val="20"/>
        </w:rPr>
      </w:pPr>
      <w:r>
        <w:rPr>
          <w:sz w:val="20"/>
          <w:szCs w:val="20"/>
        </w:rPr>
        <w:t>an</w:t>
      </w:r>
      <w:r w:rsidR="00F37575">
        <w:rPr>
          <w:sz w:val="20"/>
          <w:szCs w:val="20"/>
        </w:rPr>
        <w:t xml:space="preserve"> independently audited certification scheme</w:t>
      </w:r>
    </w:p>
    <w:p w14:paraId="7B668021" w14:textId="3B79D715" w:rsidR="00F37575" w:rsidRDefault="00F37575" w:rsidP="00FC58CE">
      <w:pPr>
        <w:pStyle w:val="ListParagraph"/>
        <w:numPr>
          <w:ilvl w:val="0"/>
          <w:numId w:val="39"/>
        </w:numPr>
        <w:rPr>
          <w:sz w:val="20"/>
          <w:szCs w:val="20"/>
        </w:rPr>
      </w:pPr>
      <w:r>
        <w:rPr>
          <w:sz w:val="20"/>
          <w:szCs w:val="20"/>
        </w:rPr>
        <w:t xml:space="preserve">applicable to all actors in the supply chain </w:t>
      </w:r>
    </w:p>
    <w:p w14:paraId="058A3E38" w14:textId="138787A0" w:rsidR="00F37575" w:rsidRDefault="00F37575" w:rsidP="00FC58CE">
      <w:pPr>
        <w:pStyle w:val="ListParagraph"/>
        <w:numPr>
          <w:ilvl w:val="0"/>
          <w:numId w:val="39"/>
        </w:numPr>
        <w:rPr>
          <w:sz w:val="20"/>
          <w:szCs w:val="20"/>
        </w:rPr>
      </w:pPr>
      <w:r>
        <w:rPr>
          <w:sz w:val="20"/>
          <w:szCs w:val="20"/>
        </w:rPr>
        <w:t xml:space="preserve">with all companies achieving compliance through external verification </w:t>
      </w:r>
    </w:p>
    <w:p w14:paraId="04BD4EB1" w14:textId="0C269FE4" w:rsidR="00F37575" w:rsidRDefault="00F37575" w:rsidP="00F37575">
      <w:pPr>
        <w:rPr>
          <w:sz w:val="20"/>
          <w:szCs w:val="20"/>
        </w:rPr>
      </w:pPr>
      <w:r>
        <w:rPr>
          <w:sz w:val="20"/>
          <w:szCs w:val="20"/>
        </w:rPr>
        <w:t xml:space="preserve">The Regulation diverges from this model in two significant ways: </w:t>
      </w:r>
    </w:p>
    <w:p w14:paraId="123B435C" w14:textId="77FFC5EE" w:rsidR="008C3321" w:rsidRDefault="00F37575" w:rsidP="00FC58CE">
      <w:pPr>
        <w:pStyle w:val="ListParagraph"/>
        <w:numPr>
          <w:ilvl w:val="0"/>
          <w:numId w:val="40"/>
        </w:numPr>
        <w:rPr>
          <w:sz w:val="20"/>
          <w:szCs w:val="20"/>
        </w:rPr>
      </w:pPr>
      <w:r w:rsidRPr="00F37575">
        <w:rPr>
          <w:b/>
          <w:bCs/>
          <w:sz w:val="20"/>
          <w:szCs w:val="20"/>
        </w:rPr>
        <w:t>Self-declaration is permitted</w:t>
      </w:r>
      <w:r w:rsidR="008C3321">
        <w:rPr>
          <w:b/>
          <w:bCs/>
          <w:sz w:val="20"/>
          <w:szCs w:val="20"/>
        </w:rPr>
        <w:t xml:space="preserve"> wherever an installation handled below 1,500 tonnes in the previous calendar year, including large enterprises and for microenterprises at any volume (Article 5(2)).  </w:t>
      </w:r>
      <w:r w:rsidRPr="00F37575">
        <w:rPr>
          <w:sz w:val="20"/>
          <w:szCs w:val="20"/>
        </w:rPr>
        <w:t>While legally enforceable, this lacks the uniformity and external scrutiny envisaged by OSPAR.</w:t>
      </w:r>
    </w:p>
    <w:p w14:paraId="1638D2AE" w14:textId="7B000E3D" w:rsidR="008C3321" w:rsidRPr="00F37575" w:rsidRDefault="00F37575" w:rsidP="008C3321">
      <w:pPr>
        <w:pStyle w:val="ListParagraph"/>
        <w:numPr>
          <w:ilvl w:val="0"/>
          <w:numId w:val="40"/>
        </w:numPr>
      </w:pPr>
      <w:r w:rsidRPr="00885B9A">
        <w:rPr>
          <w:b/>
          <w:bCs/>
          <w:sz w:val="20"/>
          <w:szCs w:val="20"/>
        </w:rPr>
        <w:t xml:space="preserve">Certification is installation-based but threshold </w:t>
      </w:r>
      <w:r w:rsidR="00FD7085">
        <w:rPr>
          <w:b/>
          <w:bCs/>
          <w:sz w:val="20"/>
          <w:szCs w:val="20"/>
        </w:rPr>
        <w:t>dependent</w:t>
      </w:r>
      <w:r w:rsidRPr="00885B9A">
        <w:rPr>
          <w:sz w:val="20"/>
          <w:szCs w:val="20"/>
        </w:rPr>
        <w:t xml:space="preserve">.  </w:t>
      </w:r>
      <w:r w:rsidR="008C3321" w:rsidRPr="00885B9A">
        <w:rPr>
          <w:sz w:val="20"/>
          <w:szCs w:val="20"/>
        </w:rPr>
        <w:t xml:space="preserve">The Regulation requires mandatory certification only for installations ≥ 1,500 tonnes per year.  This means thousands of smaller processing, recycling and packaging facilities, which may be high-risk for pellet leakage, may never undergo an independent audit.  This partial coverage undermines </w:t>
      </w:r>
      <w:proofErr w:type="spellStart"/>
      <w:r w:rsidR="008C3321" w:rsidRPr="00885B9A">
        <w:rPr>
          <w:sz w:val="20"/>
          <w:szCs w:val="20"/>
        </w:rPr>
        <w:t>OSPAR’s</w:t>
      </w:r>
      <w:proofErr w:type="spellEnd"/>
      <w:r w:rsidR="008C3321" w:rsidRPr="00885B9A">
        <w:rPr>
          <w:sz w:val="20"/>
          <w:szCs w:val="20"/>
        </w:rPr>
        <w:t xml:space="preserve"> aim of a consistent, supply-chain-wide verification scheme and introduces variability into the compliance landscape.  The Regulation acknowledges the question: Article 25(1)(i) requires the Commission to assess, by 17 December 2033, the impact of excluding from certain obligations economic operators handling pellets below the thresholds, and the relevance of establishing a threshold for carriers.</w:t>
      </w:r>
    </w:p>
    <w:p w14:paraId="4961DDBD" w14:textId="4910086E" w:rsidR="00F37575" w:rsidRPr="00885B9A" w:rsidRDefault="00F37575" w:rsidP="00885B9A">
      <w:pPr>
        <w:rPr>
          <w:sz w:val="20"/>
          <w:szCs w:val="20"/>
        </w:rPr>
      </w:pPr>
      <w:r w:rsidRPr="00885B9A">
        <w:rPr>
          <w:b/>
          <w:bCs/>
          <w:sz w:val="20"/>
          <w:szCs w:val="20"/>
        </w:rPr>
        <w:t>Compliance via environmental permits</w:t>
      </w:r>
      <w:r w:rsidRPr="00885B9A">
        <w:rPr>
          <w:sz w:val="20"/>
          <w:szCs w:val="20"/>
        </w:rPr>
        <w:t xml:space="preserve">: </w:t>
      </w:r>
      <w:r w:rsidR="0079268C" w:rsidRPr="0079268C">
        <w:rPr>
          <w:sz w:val="20"/>
          <w:szCs w:val="20"/>
        </w:rPr>
        <w:t xml:space="preserve">OSPAR does </w:t>
      </w:r>
      <w:r w:rsidR="00FD7085">
        <w:rPr>
          <w:sz w:val="20"/>
          <w:szCs w:val="20"/>
        </w:rPr>
        <w:t>contemplate</w:t>
      </w:r>
      <w:r w:rsidR="0079268C" w:rsidRPr="0079268C">
        <w:rPr>
          <w:sz w:val="20"/>
          <w:szCs w:val="20"/>
        </w:rPr>
        <w:t xml:space="preserve"> verification by public authorities.  Recommendation 3.2(h) asks for ‘</w:t>
      </w:r>
      <w:r w:rsidR="0079268C" w:rsidRPr="00885B9A">
        <w:rPr>
          <w:i/>
          <w:iCs/>
          <w:sz w:val="20"/>
          <w:szCs w:val="20"/>
        </w:rPr>
        <w:t>regular auditing of procedures and performance by independent and accredited external bodies or equivalent control by public authorities’</w:t>
      </w:r>
      <w:r w:rsidR="0079268C" w:rsidRPr="0079268C">
        <w:rPr>
          <w:sz w:val="20"/>
          <w:szCs w:val="20"/>
        </w:rPr>
        <w:t xml:space="preserve">.  What it does not </w:t>
      </w:r>
      <w:r w:rsidR="00FD7085">
        <w:rPr>
          <w:sz w:val="20"/>
          <w:szCs w:val="20"/>
        </w:rPr>
        <w:t>contemplate</w:t>
      </w:r>
      <w:r w:rsidR="00FD7085" w:rsidRPr="0079268C">
        <w:rPr>
          <w:sz w:val="20"/>
          <w:szCs w:val="20"/>
        </w:rPr>
        <w:t xml:space="preserve"> </w:t>
      </w:r>
      <w:r w:rsidR="0079268C" w:rsidRPr="0079268C">
        <w:rPr>
          <w:sz w:val="20"/>
          <w:szCs w:val="20"/>
        </w:rPr>
        <w:t xml:space="preserve">is verification sitting outside a certification scheme: 3.2(g) requires accreditation by a recognised public accreditation body, 3.2(i) certificates made publicly available and 3.2(j) a public compliance register of certified companies.  The Regulation’s permit route (Article 7) lets Member States </w:t>
      </w:r>
      <w:r w:rsidR="0079268C">
        <w:rPr>
          <w:sz w:val="20"/>
          <w:szCs w:val="20"/>
        </w:rPr>
        <w:t>include</w:t>
      </w:r>
      <w:r w:rsidR="0079268C" w:rsidRPr="0079268C">
        <w:rPr>
          <w:sz w:val="20"/>
          <w:szCs w:val="20"/>
        </w:rPr>
        <w:t xml:space="preserve"> pellet-handling obligations in existing environmental permits in place of certification, which delivers the verification without the scheme around it.  This creates several consequences:</w:t>
      </w:r>
    </w:p>
    <w:p w14:paraId="2496A3E6" w14:textId="5932AB59" w:rsidR="0079268C" w:rsidRPr="00885B9A" w:rsidRDefault="0079268C" w:rsidP="00885B9A">
      <w:pPr>
        <w:pStyle w:val="ListParagraph"/>
        <w:numPr>
          <w:ilvl w:val="0"/>
          <w:numId w:val="58"/>
        </w:numPr>
        <w:rPr>
          <w:sz w:val="20"/>
          <w:szCs w:val="20"/>
        </w:rPr>
      </w:pPr>
      <w:r w:rsidRPr="00885B9A">
        <w:rPr>
          <w:sz w:val="20"/>
          <w:szCs w:val="20"/>
        </w:rPr>
        <w:t xml:space="preserve">Operators can be compliant without any accredited third-party audit.  Verification comes instead from competent authority inspections, which Article 7(1)(d) requires at the </w:t>
      </w:r>
      <w:r>
        <w:rPr>
          <w:sz w:val="20"/>
          <w:szCs w:val="20"/>
        </w:rPr>
        <w:t>frequency</w:t>
      </w:r>
      <w:r w:rsidRPr="00885B9A">
        <w:rPr>
          <w:sz w:val="20"/>
          <w:szCs w:val="20"/>
        </w:rPr>
        <w:t xml:space="preserve"> referred to in Article 5(2) and at a </w:t>
      </w:r>
      <w:r>
        <w:rPr>
          <w:sz w:val="20"/>
          <w:szCs w:val="20"/>
        </w:rPr>
        <w:t>frequency</w:t>
      </w:r>
      <w:r w:rsidRPr="00491955">
        <w:rPr>
          <w:sz w:val="20"/>
          <w:szCs w:val="20"/>
        </w:rPr>
        <w:t xml:space="preserve"> </w:t>
      </w:r>
      <w:r w:rsidRPr="00885B9A">
        <w:rPr>
          <w:sz w:val="20"/>
          <w:szCs w:val="20"/>
        </w:rPr>
        <w:t>equivalent to the certification cycles, so there is control, but not independent certification</w:t>
      </w:r>
    </w:p>
    <w:p w14:paraId="1C87FA86" w14:textId="77777777" w:rsidR="00F37575" w:rsidRDefault="00F37575" w:rsidP="00FC58CE">
      <w:pPr>
        <w:pStyle w:val="ListParagraph"/>
        <w:numPr>
          <w:ilvl w:val="0"/>
          <w:numId w:val="41"/>
        </w:numPr>
        <w:rPr>
          <w:sz w:val="20"/>
          <w:szCs w:val="20"/>
        </w:rPr>
      </w:pPr>
      <w:r w:rsidRPr="00F37575">
        <w:rPr>
          <w:sz w:val="20"/>
          <w:szCs w:val="20"/>
        </w:rPr>
        <w:t>Verification becomes dependent on national regulators rather than accredited certifiers</w:t>
      </w:r>
    </w:p>
    <w:p w14:paraId="2005CC61" w14:textId="6118E3E7" w:rsidR="00F37575" w:rsidRPr="00885B9A" w:rsidRDefault="00FD7085" w:rsidP="0079268C">
      <w:pPr>
        <w:pStyle w:val="ListParagraph"/>
        <w:numPr>
          <w:ilvl w:val="0"/>
          <w:numId w:val="41"/>
        </w:numPr>
        <w:rPr>
          <w:sz w:val="20"/>
          <w:szCs w:val="20"/>
        </w:rPr>
      </w:pPr>
      <w:r>
        <w:rPr>
          <w:sz w:val="20"/>
          <w:szCs w:val="20"/>
        </w:rPr>
        <w:t xml:space="preserve">Article 7(1)(c) sets the basis on which permit </w:t>
      </w:r>
      <w:r w:rsidR="0079268C" w:rsidRPr="0079268C">
        <w:rPr>
          <w:sz w:val="20"/>
          <w:szCs w:val="20"/>
        </w:rPr>
        <w:t>conditions are</w:t>
      </w:r>
      <w:r>
        <w:rPr>
          <w:sz w:val="20"/>
          <w:szCs w:val="20"/>
        </w:rPr>
        <w:t xml:space="preserve"> granted or reviewed.  This is </w:t>
      </w:r>
      <w:r w:rsidR="0079268C" w:rsidRPr="0079268C">
        <w:rPr>
          <w:sz w:val="20"/>
          <w:szCs w:val="20"/>
        </w:rPr>
        <w:t>on the basis of verification against Annex I, so the level of requirement is fixed.  What may vary between Member States is implementation and enforcement practice, including inspection depth, resourcing and how consistently conditions are applied, which affects the consistency of assurance rather than the standard itself</w:t>
      </w:r>
    </w:p>
    <w:p w14:paraId="70E32442" w14:textId="2A0FC3EF" w:rsidR="00F37575" w:rsidRPr="00F37575" w:rsidRDefault="00F37575" w:rsidP="00FC58CE">
      <w:pPr>
        <w:pStyle w:val="ListParagraph"/>
        <w:numPr>
          <w:ilvl w:val="0"/>
          <w:numId w:val="41"/>
        </w:numPr>
        <w:rPr>
          <w:sz w:val="20"/>
          <w:szCs w:val="20"/>
        </w:rPr>
      </w:pPr>
      <w:r w:rsidRPr="00F37575">
        <w:rPr>
          <w:sz w:val="20"/>
          <w:szCs w:val="20"/>
        </w:rPr>
        <w:t>It weakens the supply-chain transparency proposed under OSPAR</w:t>
      </w:r>
    </w:p>
    <w:p w14:paraId="552094AD" w14:textId="54F2F508" w:rsidR="00F37575" w:rsidRDefault="00F37575" w:rsidP="00F37575">
      <w:pPr>
        <w:rPr>
          <w:sz w:val="20"/>
          <w:szCs w:val="20"/>
        </w:rPr>
      </w:pPr>
      <w:r w:rsidRPr="00F37575">
        <w:rPr>
          <w:sz w:val="20"/>
          <w:szCs w:val="20"/>
        </w:rPr>
        <w:t>While operationally efficient, this divergence means the Regulation does not deliver the certification uniformity, supply chain visibility or governance independence set out in OSPAR Recommendation 2021/06.</w:t>
      </w:r>
    </w:p>
    <w:p w14:paraId="174C2457" w14:textId="6DA79F52" w:rsidR="00F37575" w:rsidRPr="00F37575" w:rsidRDefault="00F37575" w:rsidP="00F37575">
      <w:pPr>
        <w:rPr>
          <w:sz w:val="20"/>
          <w:szCs w:val="20"/>
        </w:rPr>
      </w:pPr>
      <w:r w:rsidRPr="00AE094C">
        <w:rPr>
          <w:b/>
          <w:bCs/>
          <w:sz w:val="20"/>
          <w:szCs w:val="20"/>
        </w:rPr>
        <w:t>No chain of custody system</w:t>
      </w:r>
      <w:r>
        <w:rPr>
          <w:sz w:val="20"/>
          <w:szCs w:val="20"/>
        </w:rPr>
        <w:t xml:space="preserve">: </w:t>
      </w:r>
      <w:r w:rsidRPr="00F37575">
        <w:rPr>
          <w:sz w:val="20"/>
          <w:szCs w:val="20"/>
        </w:rPr>
        <w:t>OSPAR explicitly calls for a chain-of-custody mechanism enabling buyers, retailers and downstream manufacturers to verify responsible pellet handling in their supply chains.</w:t>
      </w:r>
      <w:r w:rsidR="00AE094C">
        <w:rPr>
          <w:sz w:val="20"/>
          <w:szCs w:val="20"/>
        </w:rPr>
        <w:t xml:space="preserve">  </w:t>
      </w:r>
      <w:r w:rsidRPr="00F37575">
        <w:rPr>
          <w:sz w:val="20"/>
          <w:szCs w:val="20"/>
        </w:rPr>
        <w:t>The Regulation does not introduce:</w:t>
      </w:r>
    </w:p>
    <w:p w14:paraId="5F1AE948" w14:textId="293817A6" w:rsidR="00F37575" w:rsidRPr="00AE094C" w:rsidRDefault="00F37575" w:rsidP="00FC58CE">
      <w:pPr>
        <w:pStyle w:val="ListParagraph"/>
        <w:numPr>
          <w:ilvl w:val="0"/>
          <w:numId w:val="42"/>
        </w:numPr>
        <w:rPr>
          <w:sz w:val="20"/>
          <w:szCs w:val="20"/>
        </w:rPr>
      </w:pPr>
      <w:r w:rsidRPr="00AE094C">
        <w:rPr>
          <w:sz w:val="20"/>
          <w:szCs w:val="20"/>
        </w:rPr>
        <w:lastRenderedPageBreak/>
        <w:t>batch-level or shipment-level traceability</w:t>
      </w:r>
    </w:p>
    <w:p w14:paraId="26745A88" w14:textId="7B8B561C" w:rsidR="00F37575" w:rsidRPr="00AE094C" w:rsidRDefault="00F37575" w:rsidP="00FC58CE">
      <w:pPr>
        <w:pStyle w:val="ListParagraph"/>
        <w:numPr>
          <w:ilvl w:val="0"/>
          <w:numId w:val="42"/>
        </w:numPr>
        <w:rPr>
          <w:sz w:val="20"/>
          <w:szCs w:val="20"/>
        </w:rPr>
      </w:pPr>
      <w:r w:rsidRPr="00AE094C">
        <w:rPr>
          <w:sz w:val="20"/>
          <w:szCs w:val="20"/>
        </w:rPr>
        <w:t>documentation accompanying pellet transfers</w:t>
      </w:r>
    </w:p>
    <w:p w14:paraId="58C1D20C" w14:textId="03CDE587" w:rsidR="00F37575" w:rsidRPr="00AE094C" w:rsidRDefault="00F37575" w:rsidP="00FC58CE">
      <w:pPr>
        <w:pStyle w:val="ListParagraph"/>
        <w:numPr>
          <w:ilvl w:val="0"/>
          <w:numId w:val="42"/>
        </w:numPr>
        <w:rPr>
          <w:sz w:val="20"/>
          <w:szCs w:val="20"/>
        </w:rPr>
      </w:pPr>
      <w:r w:rsidRPr="00AE094C">
        <w:rPr>
          <w:sz w:val="20"/>
          <w:szCs w:val="20"/>
        </w:rPr>
        <w:t>chain-of-custody certificates</w:t>
      </w:r>
    </w:p>
    <w:p w14:paraId="1EA3EA82" w14:textId="355589C5" w:rsidR="00F37575" w:rsidRPr="00AE094C" w:rsidRDefault="00F37575" w:rsidP="00FC58CE">
      <w:pPr>
        <w:pStyle w:val="ListParagraph"/>
        <w:numPr>
          <w:ilvl w:val="0"/>
          <w:numId w:val="42"/>
        </w:numPr>
        <w:rPr>
          <w:sz w:val="20"/>
          <w:szCs w:val="20"/>
        </w:rPr>
      </w:pPr>
      <w:r w:rsidRPr="00AE094C">
        <w:rPr>
          <w:sz w:val="20"/>
          <w:szCs w:val="20"/>
        </w:rPr>
        <w:t>mandatory communication of compliance to customers</w:t>
      </w:r>
    </w:p>
    <w:p w14:paraId="11683008" w14:textId="0124D8BE" w:rsidR="00F37575" w:rsidRPr="00AE094C" w:rsidRDefault="00F37575" w:rsidP="00FC58CE">
      <w:pPr>
        <w:pStyle w:val="ListParagraph"/>
        <w:numPr>
          <w:ilvl w:val="0"/>
          <w:numId w:val="42"/>
        </w:numPr>
        <w:rPr>
          <w:sz w:val="20"/>
          <w:szCs w:val="20"/>
        </w:rPr>
      </w:pPr>
      <w:r w:rsidRPr="00AE094C">
        <w:rPr>
          <w:sz w:val="20"/>
          <w:szCs w:val="20"/>
        </w:rPr>
        <w:t>labelling or certification marks</w:t>
      </w:r>
    </w:p>
    <w:p w14:paraId="49DB3DBC" w14:textId="7A5DD93C" w:rsidR="00F37575" w:rsidRDefault="00F37575" w:rsidP="00F37575">
      <w:pPr>
        <w:rPr>
          <w:sz w:val="20"/>
          <w:szCs w:val="20"/>
        </w:rPr>
      </w:pPr>
      <w:r w:rsidRPr="00F37575">
        <w:rPr>
          <w:sz w:val="20"/>
          <w:szCs w:val="20"/>
        </w:rPr>
        <w:t>Public disclosure of installation-level documents (Article 11) provides only indirect visibility.</w:t>
      </w:r>
      <w:r w:rsidR="00AE094C">
        <w:rPr>
          <w:sz w:val="20"/>
          <w:szCs w:val="20"/>
        </w:rPr>
        <w:t xml:space="preserve"> </w:t>
      </w:r>
      <w:r w:rsidRPr="00F37575">
        <w:rPr>
          <w:sz w:val="20"/>
          <w:szCs w:val="20"/>
        </w:rPr>
        <w:t xml:space="preserve"> It does not constitute a chain of custody system and does not support supply-chain procurement mechanisms.</w:t>
      </w:r>
      <w:r w:rsidR="00AE094C">
        <w:rPr>
          <w:sz w:val="20"/>
          <w:szCs w:val="20"/>
        </w:rPr>
        <w:t xml:space="preserve">  </w:t>
      </w:r>
      <w:r w:rsidR="00AE094C" w:rsidRPr="00AE094C">
        <w:rPr>
          <w:sz w:val="20"/>
          <w:szCs w:val="20"/>
        </w:rPr>
        <w:t>As a result, retailers, brand owners and converters cannot use the Regulation as a reliable tool to guarantee their supply chains are certified or compliant</w:t>
      </w:r>
      <w:r w:rsidR="00AE094C">
        <w:rPr>
          <w:sz w:val="20"/>
          <w:szCs w:val="20"/>
        </w:rPr>
        <w:t xml:space="preserve">, </w:t>
      </w:r>
      <w:r w:rsidR="00AE094C" w:rsidRPr="00AE094C">
        <w:rPr>
          <w:sz w:val="20"/>
          <w:szCs w:val="20"/>
        </w:rPr>
        <w:t xml:space="preserve">a </w:t>
      </w:r>
      <w:r w:rsidR="00AE094C">
        <w:rPr>
          <w:sz w:val="20"/>
          <w:szCs w:val="20"/>
        </w:rPr>
        <w:t>key</w:t>
      </w:r>
      <w:r w:rsidR="00AE094C" w:rsidRPr="00AE094C">
        <w:rPr>
          <w:sz w:val="20"/>
          <w:szCs w:val="20"/>
        </w:rPr>
        <w:t xml:space="preserve"> feature of the OSPAR model.</w:t>
      </w:r>
      <w:r w:rsidR="0079268C">
        <w:rPr>
          <w:sz w:val="20"/>
          <w:szCs w:val="20"/>
        </w:rPr>
        <w:t xml:space="preserve">  </w:t>
      </w:r>
      <w:r w:rsidR="0079268C" w:rsidRPr="0079268C">
        <w:rPr>
          <w:sz w:val="20"/>
          <w:szCs w:val="20"/>
        </w:rPr>
        <w:t xml:space="preserve">Mandatory certification does reduce the weight procurement has to carry inside the Union, because compliance there is </w:t>
      </w:r>
      <w:r w:rsidR="0079268C">
        <w:rPr>
          <w:sz w:val="20"/>
          <w:szCs w:val="20"/>
        </w:rPr>
        <w:t>required</w:t>
      </w:r>
      <w:r w:rsidR="0079268C" w:rsidRPr="0079268C">
        <w:rPr>
          <w:sz w:val="20"/>
          <w:szCs w:val="20"/>
        </w:rPr>
        <w:t xml:space="preserve"> rather than requested.  It does not close the gap.  The Regulation binds EU Member States only, so procurement and investor pressure remain the only mechanisms reaching suppliers established outside the Union, including four of the fifteen government Contracting Parties to OSPAR.</w:t>
      </w:r>
    </w:p>
    <w:p w14:paraId="7EE35B23" w14:textId="5A59B44C" w:rsidR="00F54BA1" w:rsidRPr="00F54BA1" w:rsidRDefault="00F54BA1" w:rsidP="00F54BA1">
      <w:pPr>
        <w:rPr>
          <w:sz w:val="20"/>
          <w:szCs w:val="20"/>
        </w:rPr>
      </w:pPr>
      <w:r w:rsidRPr="00215A63">
        <w:rPr>
          <w:b/>
          <w:bCs/>
          <w:sz w:val="20"/>
          <w:szCs w:val="20"/>
        </w:rPr>
        <w:t>Lack of a unified, international registry or governance body</w:t>
      </w:r>
      <w:r>
        <w:rPr>
          <w:sz w:val="20"/>
          <w:szCs w:val="20"/>
        </w:rPr>
        <w:t xml:space="preserve">: </w:t>
      </w:r>
      <w:r w:rsidRPr="00F54BA1">
        <w:rPr>
          <w:sz w:val="20"/>
          <w:szCs w:val="20"/>
        </w:rPr>
        <w:t>OSPAR specifies that its certification scheme should include:</w:t>
      </w:r>
    </w:p>
    <w:p w14:paraId="732C57BB" w14:textId="05042B28" w:rsidR="00F54BA1" w:rsidRPr="00F54BA1" w:rsidRDefault="00F54BA1" w:rsidP="00FC58CE">
      <w:pPr>
        <w:pStyle w:val="ListParagraph"/>
        <w:numPr>
          <w:ilvl w:val="0"/>
          <w:numId w:val="43"/>
        </w:numPr>
        <w:rPr>
          <w:sz w:val="20"/>
          <w:szCs w:val="20"/>
        </w:rPr>
      </w:pPr>
      <w:r w:rsidRPr="00F54BA1">
        <w:rPr>
          <w:sz w:val="20"/>
          <w:szCs w:val="20"/>
        </w:rPr>
        <w:t>a central, international register</w:t>
      </w:r>
    </w:p>
    <w:p w14:paraId="072E9141" w14:textId="503D0BEA" w:rsidR="00F54BA1" w:rsidRPr="00F54BA1" w:rsidRDefault="00F54BA1" w:rsidP="00FC58CE">
      <w:pPr>
        <w:pStyle w:val="ListParagraph"/>
        <w:numPr>
          <w:ilvl w:val="0"/>
          <w:numId w:val="43"/>
        </w:numPr>
        <w:rPr>
          <w:sz w:val="20"/>
          <w:szCs w:val="20"/>
        </w:rPr>
      </w:pPr>
      <w:r w:rsidRPr="00F54BA1">
        <w:rPr>
          <w:sz w:val="20"/>
          <w:szCs w:val="20"/>
        </w:rPr>
        <w:t>a multi stakeholder governance board</w:t>
      </w:r>
    </w:p>
    <w:p w14:paraId="208728E2" w14:textId="60C51FD4" w:rsidR="00F54BA1" w:rsidRPr="00F54BA1" w:rsidRDefault="00F54BA1" w:rsidP="00FC58CE">
      <w:pPr>
        <w:pStyle w:val="ListParagraph"/>
        <w:numPr>
          <w:ilvl w:val="0"/>
          <w:numId w:val="43"/>
        </w:numPr>
        <w:rPr>
          <w:sz w:val="20"/>
          <w:szCs w:val="20"/>
        </w:rPr>
      </w:pPr>
      <w:r w:rsidRPr="00F54BA1">
        <w:rPr>
          <w:sz w:val="20"/>
          <w:szCs w:val="20"/>
        </w:rPr>
        <w:t>an independent scheme manager</w:t>
      </w:r>
    </w:p>
    <w:p w14:paraId="7C381767" w14:textId="3D7F603B" w:rsidR="00F54BA1" w:rsidRPr="00F54BA1" w:rsidRDefault="00F54BA1" w:rsidP="00FC58CE">
      <w:pPr>
        <w:pStyle w:val="ListParagraph"/>
        <w:numPr>
          <w:ilvl w:val="0"/>
          <w:numId w:val="43"/>
        </w:numPr>
        <w:rPr>
          <w:sz w:val="20"/>
          <w:szCs w:val="20"/>
        </w:rPr>
      </w:pPr>
      <w:r w:rsidRPr="00F54BA1">
        <w:rPr>
          <w:sz w:val="20"/>
          <w:szCs w:val="20"/>
        </w:rPr>
        <w:t>harmonised auditor training requirements</w:t>
      </w:r>
    </w:p>
    <w:p w14:paraId="0EE6B831" w14:textId="77777777" w:rsidR="00F54BA1" w:rsidRPr="00F54BA1" w:rsidRDefault="00F54BA1" w:rsidP="00F54BA1">
      <w:pPr>
        <w:rPr>
          <w:sz w:val="20"/>
          <w:szCs w:val="20"/>
        </w:rPr>
      </w:pPr>
      <w:r w:rsidRPr="00F54BA1">
        <w:rPr>
          <w:sz w:val="20"/>
          <w:szCs w:val="20"/>
        </w:rPr>
        <w:t>The Regulation instead creates:</w:t>
      </w:r>
    </w:p>
    <w:p w14:paraId="4434E753" w14:textId="5B1964DF" w:rsidR="00F54BA1" w:rsidRPr="00F54BA1" w:rsidRDefault="00F54BA1" w:rsidP="00FC58CE">
      <w:pPr>
        <w:pStyle w:val="ListParagraph"/>
        <w:numPr>
          <w:ilvl w:val="0"/>
          <w:numId w:val="44"/>
        </w:numPr>
        <w:rPr>
          <w:sz w:val="20"/>
          <w:szCs w:val="20"/>
        </w:rPr>
      </w:pPr>
      <w:r w:rsidRPr="00F54BA1">
        <w:rPr>
          <w:sz w:val="20"/>
          <w:szCs w:val="20"/>
        </w:rPr>
        <w:t>decentralised national databases</w:t>
      </w:r>
    </w:p>
    <w:p w14:paraId="3C9B257B" w14:textId="3D6FB6FE" w:rsidR="00F54BA1" w:rsidRPr="00F54BA1" w:rsidRDefault="00F54BA1" w:rsidP="00FC58CE">
      <w:pPr>
        <w:pStyle w:val="ListParagraph"/>
        <w:numPr>
          <w:ilvl w:val="0"/>
          <w:numId w:val="44"/>
        </w:numPr>
        <w:rPr>
          <w:sz w:val="20"/>
          <w:szCs w:val="20"/>
        </w:rPr>
      </w:pPr>
      <w:r w:rsidRPr="00F54BA1">
        <w:rPr>
          <w:sz w:val="20"/>
          <w:szCs w:val="20"/>
        </w:rPr>
        <w:t>no central governance body</w:t>
      </w:r>
    </w:p>
    <w:p w14:paraId="26F9C0B8" w14:textId="0C62C692" w:rsidR="00F54BA1" w:rsidRPr="00F54BA1" w:rsidRDefault="00F54BA1" w:rsidP="00FC58CE">
      <w:pPr>
        <w:pStyle w:val="ListParagraph"/>
        <w:numPr>
          <w:ilvl w:val="0"/>
          <w:numId w:val="44"/>
        </w:numPr>
        <w:rPr>
          <w:sz w:val="20"/>
          <w:szCs w:val="20"/>
        </w:rPr>
      </w:pPr>
      <w:r w:rsidRPr="00F54BA1">
        <w:rPr>
          <w:sz w:val="20"/>
          <w:szCs w:val="20"/>
        </w:rPr>
        <w:t>no independent scheme manager</w:t>
      </w:r>
    </w:p>
    <w:p w14:paraId="56630EEF" w14:textId="7A3B5568" w:rsidR="00F54BA1" w:rsidRPr="00F54BA1" w:rsidRDefault="00F54BA1" w:rsidP="00FC58CE">
      <w:pPr>
        <w:pStyle w:val="ListParagraph"/>
        <w:numPr>
          <w:ilvl w:val="0"/>
          <w:numId w:val="44"/>
        </w:numPr>
        <w:rPr>
          <w:sz w:val="20"/>
          <w:szCs w:val="20"/>
        </w:rPr>
      </w:pPr>
      <w:r w:rsidRPr="00F54BA1">
        <w:rPr>
          <w:sz w:val="20"/>
          <w:szCs w:val="20"/>
        </w:rPr>
        <w:t>no unified audit training framework (beyond accreditation rules)</w:t>
      </w:r>
    </w:p>
    <w:p w14:paraId="68812D2B" w14:textId="3140DA97" w:rsidR="00F54BA1" w:rsidRDefault="00F54BA1" w:rsidP="00F54BA1">
      <w:pPr>
        <w:rPr>
          <w:sz w:val="20"/>
          <w:szCs w:val="20"/>
        </w:rPr>
      </w:pPr>
      <w:r w:rsidRPr="00F54BA1">
        <w:rPr>
          <w:sz w:val="20"/>
          <w:szCs w:val="20"/>
        </w:rPr>
        <w:t xml:space="preserve">This fragmentation limits the functionality, clarity and comparability of compliance data across Member States and falls short of </w:t>
      </w:r>
      <w:proofErr w:type="spellStart"/>
      <w:r w:rsidRPr="00F54BA1">
        <w:rPr>
          <w:sz w:val="20"/>
          <w:szCs w:val="20"/>
        </w:rPr>
        <w:t>OSPAR’s</w:t>
      </w:r>
      <w:proofErr w:type="spellEnd"/>
      <w:r w:rsidRPr="00F54BA1">
        <w:rPr>
          <w:sz w:val="20"/>
          <w:szCs w:val="20"/>
        </w:rPr>
        <w:t xml:space="preserve"> vision of an internationally coordinated certification system.</w:t>
      </w:r>
    </w:p>
    <w:p w14:paraId="2DFA7E21" w14:textId="0D3A5387" w:rsidR="00F54BA1" w:rsidRPr="00F54BA1" w:rsidRDefault="00F54BA1" w:rsidP="00F54BA1">
      <w:pPr>
        <w:rPr>
          <w:sz w:val="20"/>
          <w:szCs w:val="20"/>
        </w:rPr>
      </w:pPr>
      <w:r w:rsidRPr="00F54BA1">
        <w:rPr>
          <w:b/>
          <w:bCs/>
          <w:sz w:val="20"/>
          <w:szCs w:val="20"/>
        </w:rPr>
        <w:t>Procurement not used as a compliance driver</w:t>
      </w:r>
      <w:r>
        <w:rPr>
          <w:sz w:val="20"/>
          <w:szCs w:val="20"/>
        </w:rPr>
        <w:t xml:space="preserve">: </w:t>
      </w:r>
      <w:r w:rsidRPr="00F54BA1">
        <w:rPr>
          <w:sz w:val="20"/>
          <w:szCs w:val="20"/>
        </w:rPr>
        <w:t>OSPAR identifies procurement</w:t>
      </w:r>
      <w:r>
        <w:rPr>
          <w:sz w:val="20"/>
          <w:szCs w:val="20"/>
        </w:rPr>
        <w:t xml:space="preserve"> (</w:t>
      </w:r>
      <w:r w:rsidRPr="00F54BA1">
        <w:rPr>
          <w:sz w:val="20"/>
          <w:szCs w:val="20"/>
        </w:rPr>
        <w:t>especially from large downstream users and retailers</w:t>
      </w:r>
      <w:r>
        <w:rPr>
          <w:sz w:val="20"/>
          <w:szCs w:val="20"/>
        </w:rPr>
        <w:t xml:space="preserve">) </w:t>
      </w:r>
      <w:r w:rsidRPr="00F54BA1">
        <w:rPr>
          <w:sz w:val="20"/>
          <w:szCs w:val="20"/>
        </w:rPr>
        <w:t>as a key tool for driving industry-wide certification and behavioural change.</w:t>
      </w:r>
      <w:r>
        <w:rPr>
          <w:sz w:val="20"/>
          <w:szCs w:val="20"/>
        </w:rPr>
        <w:t xml:space="preserve">  </w:t>
      </w:r>
      <w:r w:rsidRPr="00F54BA1">
        <w:rPr>
          <w:sz w:val="20"/>
          <w:szCs w:val="20"/>
        </w:rPr>
        <w:t>The Regulation does not:</w:t>
      </w:r>
    </w:p>
    <w:p w14:paraId="7DC57CB2" w14:textId="37440F16" w:rsidR="00F54BA1" w:rsidRPr="00F54BA1" w:rsidRDefault="00F54BA1" w:rsidP="00FC58CE">
      <w:pPr>
        <w:pStyle w:val="ListParagraph"/>
        <w:numPr>
          <w:ilvl w:val="0"/>
          <w:numId w:val="45"/>
        </w:numPr>
        <w:rPr>
          <w:sz w:val="20"/>
          <w:szCs w:val="20"/>
        </w:rPr>
      </w:pPr>
      <w:r w:rsidRPr="00F54BA1">
        <w:rPr>
          <w:sz w:val="20"/>
          <w:szCs w:val="20"/>
        </w:rPr>
        <w:t>require procurement policies</w:t>
      </w:r>
    </w:p>
    <w:p w14:paraId="1C4DA829" w14:textId="284D6919" w:rsidR="00F54BA1" w:rsidRPr="00F54BA1" w:rsidRDefault="00F54BA1" w:rsidP="00FC58CE">
      <w:pPr>
        <w:pStyle w:val="ListParagraph"/>
        <w:numPr>
          <w:ilvl w:val="0"/>
          <w:numId w:val="45"/>
        </w:numPr>
        <w:rPr>
          <w:sz w:val="20"/>
          <w:szCs w:val="20"/>
        </w:rPr>
      </w:pPr>
      <w:r w:rsidRPr="00F54BA1">
        <w:rPr>
          <w:sz w:val="20"/>
          <w:szCs w:val="20"/>
        </w:rPr>
        <w:t>provide incentives for certified suppliers</w:t>
      </w:r>
    </w:p>
    <w:p w14:paraId="6A38EB28" w14:textId="07001056" w:rsidR="00F54BA1" w:rsidRPr="00F54BA1" w:rsidRDefault="00F54BA1" w:rsidP="00FC58CE">
      <w:pPr>
        <w:pStyle w:val="ListParagraph"/>
        <w:numPr>
          <w:ilvl w:val="0"/>
          <w:numId w:val="45"/>
        </w:numPr>
        <w:rPr>
          <w:sz w:val="20"/>
          <w:szCs w:val="20"/>
        </w:rPr>
      </w:pPr>
      <w:r w:rsidRPr="00F54BA1">
        <w:rPr>
          <w:sz w:val="20"/>
          <w:szCs w:val="20"/>
        </w:rPr>
        <w:t>link certification to access to markets</w:t>
      </w:r>
    </w:p>
    <w:p w14:paraId="24A25B90" w14:textId="39C85BB3" w:rsidR="00F54BA1" w:rsidRPr="00F54BA1" w:rsidRDefault="00F54BA1" w:rsidP="00FC58CE">
      <w:pPr>
        <w:pStyle w:val="ListParagraph"/>
        <w:numPr>
          <w:ilvl w:val="0"/>
          <w:numId w:val="45"/>
        </w:numPr>
        <w:rPr>
          <w:sz w:val="20"/>
          <w:szCs w:val="20"/>
        </w:rPr>
      </w:pPr>
      <w:r w:rsidRPr="00F54BA1">
        <w:rPr>
          <w:sz w:val="20"/>
          <w:szCs w:val="20"/>
        </w:rPr>
        <w:t>provide tools for buyers to demonstrate supply-chain compliance</w:t>
      </w:r>
    </w:p>
    <w:p w14:paraId="139474F9" w14:textId="039F6AB9" w:rsidR="00F54BA1" w:rsidRDefault="00F54BA1" w:rsidP="00F54BA1">
      <w:pPr>
        <w:rPr>
          <w:sz w:val="20"/>
          <w:szCs w:val="20"/>
        </w:rPr>
      </w:pPr>
      <w:r w:rsidRPr="00F54BA1">
        <w:rPr>
          <w:sz w:val="20"/>
          <w:szCs w:val="20"/>
        </w:rPr>
        <w:t>This major omission limits the market and reputational drivers that OSPAR considered essential for widespread adoption of best practice.</w:t>
      </w:r>
    </w:p>
    <w:p w14:paraId="162CA392" w14:textId="68DF3E0B" w:rsidR="00F54BA1" w:rsidRPr="00F54BA1" w:rsidRDefault="00F54BA1" w:rsidP="00F54BA1">
      <w:pPr>
        <w:rPr>
          <w:sz w:val="20"/>
          <w:szCs w:val="20"/>
        </w:rPr>
      </w:pPr>
      <w:r w:rsidRPr="00F54BA1">
        <w:rPr>
          <w:b/>
          <w:bCs/>
          <w:sz w:val="20"/>
          <w:szCs w:val="20"/>
        </w:rPr>
        <w:t>Missing support for end-user visibility and supply chain assurance</w:t>
      </w:r>
      <w:r>
        <w:rPr>
          <w:sz w:val="20"/>
          <w:szCs w:val="20"/>
        </w:rPr>
        <w:t xml:space="preserve">: </w:t>
      </w:r>
      <w:proofErr w:type="spellStart"/>
      <w:r w:rsidRPr="00F54BA1">
        <w:rPr>
          <w:sz w:val="20"/>
          <w:szCs w:val="20"/>
        </w:rPr>
        <w:t>OSPAR’s</w:t>
      </w:r>
      <w:proofErr w:type="spellEnd"/>
      <w:r w:rsidRPr="00F54BA1">
        <w:rPr>
          <w:sz w:val="20"/>
          <w:szCs w:val="20"/>
        </w:rPr>
        <w:t xml:space="preserve"> Phase 2 essential requirements include:</w:t>
      </w:r>
    </w:p>
    <w:p w14:paraId="498BD674" w14:textId="02A8D9C7" w:rsidR="00F54BA1" w:rsidRPr="00F54BA1" w:rsidRDefault="00F54BA1" w:rsidP="00FC58CE">
      <w:pPr>
        <w:pStyle w:val="ListParagraph"/>
        <w:numPr>
          <w:ilvl w:val="0"/>
          <w:numId w:val="46"/>
        </w:numPr>
        <w:rPr>
          <w:sz w:val="20"/>
          <w:szCs w:val="20"/>
        </w:rPr>
      </w:pPr>
      <w:r w:rsidRPr="00F54BA1">
        <w:rPr>
          <w:sz w:val="20"/>
          <w:szCs w:val="20"/>
        </w:rPr>
        <w:t>systems for retailers to verify compliant supply chains</w:t>
      </w:r>
    </w:p>
    <w:p w14:paraId="14AF05BF" w14:textId="6E53128D" w:rsidR="00F54BA1" w:rsidRPr="00F54BA1" w:rsidRDefault="00F54BA1" w:rsidP="00FC58CE">
      <w:pPr>
        <w:pStyle w:val="ListParagraph"/>
        <w:numPr>
          <w:ilvl w:val="0"/>
          <w:numId w:val="46"/>
        </w:numPr>
        <w:rPr>
          <w:sz w:val="20"/>
          <w:szCs w:val="20"/>
        </w:rPr>
      </w:pPr>
      <w:r w:rsidRPr="00F54BA1">
        <w:rPr>
          <w:sz w:val="20"/>
          <w:szCs w:val="20"/>
        </w:rPr>
        <w:t>mechanisms to recognise supply-chain due diligence</w:t>
      </w:r>
    </w:p>
    <w:p w14:paraId="197C2F8E" w14:textId="6506D325" w:rsidR="00F54BA1" w:rsidRPr="00F54BA1" w:rsidRDefault="00F54BA1" w:rsidP="00FC58CE">
      <w:pPr>
        <w:pStyle w:val="ListParagraph"/>
        <w:numPr>
          <w:ilvl w:val="0"/>
          <w:numId w:val="46"/>
        </w:numPr>
        <w:rPr>
          <w:sz w:val="20"/>
          <w:szCs w:val="20"/>
        </w:rPr>
      </w:pPr>
      <w:r w:rsidRPr="00F54BA1">
        <w:rPr>
          <w:sz w:val="20"/>
          <w:szCs w:val="20"/>
        </w:rPr>
        <w:t>support for downstream reporting</w:t>
      </w:r>
    </w:p>
    <w:p w14:paraId="0446919D" w14:textId="4C3912C8" w:rsidR="00F54BA1" w:rsidRDefault="00F54BA1" w:rsidP="00F54BA1">
      <w:pPr>
        <w:rPr>
          <w:sz w:val="20"/>
          <w:szCs w:val="20"/>
        </w:rPr>
      </w:pPr>
      <w:r w:rsidRPr="00F54BA1">
        <w:rPr>
          <w:sz w:val="20"/>
          <w:szCs w:val="20"/>
        </w:rPr>
        <w:t>None of these are present in the Regulation, leaving a significant part of the OSPAR model unaddressed.</w:t>
      </w:r>
    </w:p>
    <w:p w14:paraId="62B937DC" w14:textId="77777777" w:rsidR="00F54BA1" w:rsidRDefault="00F54BA1" w:rsidP="00F54BA1">
      <w:pPr>
        <w:rPr>
          <w:sz w:val="20"/>
          <w:szCs w:val="20"/>
        </w:rPr>
      </w:pPr>
    </w:p>
    <w:p w14:paraId="737C1214" w14:textId="7EAD543C" w:rsidR="00F54BA1" w:rsidRDefault="00F54BA1" w:rsidP="00F54BA1">
      <w:pPr>
        <w:pStyle w:val="Heading02"/>
      </w:pPr>
      <w:bookmarkStart w:id="42" w:name="_Toc225595010"/>
      <w:r>
        <w:t>Need for additional measures</w:t>
      </w:r>
      <w:bookmarkEnd w:id="42"/>
      <w:r>
        <w:t xml:space="preserve"> </w:t>
      </w:r>
    </w:p>
    <w:p w14:paraId="68EBAD10" w14:textId="38FFF76C" w:rsidR="00F54BA1" w:rsidRPr="00F54BA1" w:rsidRDefault="00F54BA1" w:rsidP="00F54BA1">
      <w:pPr>
        <w:rPr>
          <w:sz w:val="20"/>
          <w:szCs w:val="20"/>
        </w:rPr>
      </w:pPr>
      <w:r w:rsidRPr="00F54BA1">
        <w:rPr>
          <w:sz w:val="20"/>
          <w:szCs w:val="20"/>
        </w:rPr>
        <w:lastRenderedPageBreak/>
        <w:t>To fully implement OSPAR Recommendation 2021/06 using Regulation (EU) 2025/2365 as the core legal instrument, Contracting Parties</w:t>
      </w:r>
      <w:r>
        <w:rPr>
          <w:sz w:val="20"/>
          <w:szCs w:val="20"/>
        </w:rPr>
        <w:t xml:space="preserve">, </w:t>
      </w:r>
      <w:r w:rsidRPr="00F54BA1">
        <w:rPr>
          <w:sz w:val="20"/>
          <w:szCs w:val="20"/>
        </w:rPr>
        <w:t>particularly EU Member States</w:t>
      </w:r>
      <w:r>
        <w:rPr>
          <w:sz w:val="20"/>
          <w:szCs w:val="20"/>
        </w:rPr>
        <w:t xml:space="preserve">, </w:t>
      </w:r>
      <w:r w:rsidRPr="00F54BA1">
        <w:rPr>
          <w:sz w:val="20"/>
          <w:szCs w:val="20"/>
        </w:rPr>
        <w:t>would need to introduce additional measures addressing the gaps above.</w:t>
      </w:r>
      <w:r>
        <w:rPr>
          <w:sz w:val="20"/>
          <w:szCs w:val="20"/>
        </w:rPr>
        <w:t xml:space="preserve"> </w:t>
      </w:r>
      <w:r w:rsidRPr="00F54BA1">
        <w:rPr>
          <w:sz w:val="20"/>
          <w:szCs w:val="20"/>
        </w:rPr>
        <w:t xml:space="preserve"> These could be implemented through:</w:t>
      </w:r>
    </w:p>
    <w:p w14:paraId="345B32A7" w14:textId="45F2ADD6" w:rsidR="00F54BA1" w:rsidRPr="00F54BA1" w:rsidRDefault="00F54BA1" w:rsidP="00FC58CE">
      <w:pPr>
        <w:pStyle w:val="ListParagraph"/>
        <w:numPr>
          <w:ilvl w:val="0"/>
          <w:numId w:val="47"/>
        </w:numPr>
        <w:rPr>
          <w:sz w:val="20"/>
          <w:szCs w:val="20"/>
        </w:rPr>
      </w:pPr>
      <w:r w:rsidRPr="00F54BA1">
        <w:rPr>
          <w:sz w:val="20"/>
          <w:szCs w:val="20"/>
        </w:rPr>
        <w:t>national legislation</w:t>
      </w:r>
    </w:p>
    <w:p w14:paraId="29B30377" w14:textId="4BAAF00B" w:rsidR="00F54BA1" w:rsidRPr="00F54BA1" w:rsidRDefault="00F54BA1" w:rsidP="00FC58CE">
      <w:pPr>
        <w:pStyle w:val="ListParagraph"/>
        <w:numPr>
          <w:ilvl w:val="0"/>
          <w:numId w:val="47"/>
        </w:numPr>
        <w:rPr>
          <w:sz w:val="20"/>
          <w:szCs w:val="20"/>
        </w:rPr>
      </w:pPr>
      <w:r w:rsidRPr="00F54BA1">
        <w:rPr>
          <w:sz w:val="20"/>
          <w:szCs w:val="20"/>
        </w:rPr>
        <w:t>complementary EU guidance or implementing acts</w:t>
      </w:r>
    </w:p>
    <w:p w14:paraId="5398BB0E" w14:textId="455D97A2" w:rsidR="00F54BA1" w:rsidRPr="00F54BA1" w:rsidRDefault="00F54BA1" w:rsidP="00FC58CE">
      <w:pPr>
        <w:pStyle w:val="ListParagraph"/>
        <w:numPr>
          <w:ilvl w:val="0"/>
          <w:numId w:val="47"/>
        </w:numPr>
        <w:rPr>
          <w:sz w:val="20"/>
          <w:szCs w:val="20"/>
        </w:rPr>
      </w:pPr>
      <w:r w:rsidRPr="00F54BA1">
        <w:rPr>
          <w:sz w:val="20"/>
          <w:szCs w:val="20"/>
        </w:rPr>
        <w:t>industry agreements</w:t>
      </w:r>
    </w:p>
    <w:p w14:paraId="254CE539" w14:textId="34C76B0A" w:rsidR="00F54BA1" w:rsidRPr="00F54BA1" w:rsidRDefault="00F54BA1" w:rsidP="00FC58CE">
      <w:pPr>
        <w:pStyle w:val="ListParagraph"/>
        <w:numPr>
          <w:ilvl w:val="0"/>
          <w:numId w:val="47"/>
        </w:numPr>
        <w:rPr>
          <w:sz w:val="20"/>
          <w:szCs w:val="20"/>
        </w:rPr>
      </w:pPr>
      <w:r w:rsidRPr="00F54BA1">
        <w:rPr>
          <w:sz w:val="20"/>
          <w:szCs w:val="20"/>
        </w:rPr>
        <w:t>procurement standards</w:t>
      </w:r>
    </w:p>
    <w:p w14:paraId="12028D15" w14:textId="0EE119DC" w:rsidR="00F54BA1" w:rsidRPr="00F54BA1" w:rsidRDefault="00F54BA1" w:rsidP="00FC58CE">
      <w:pPr>
        <w:pStyle w:val="ListParagraph"/>
        <w:numPr>
          <w:ilvl w:val="0"/>
          <w:numId w:val="47"/>
        </w:numPr>
        <w:rPr>
          <w:sz w:val="20"/>
          <w:szCs w:val="20"/>
        </w:rPr>
      </w:pPr>
      <w:r w:rsidRPr="00F54BA1">
        <w:rPr>
          <w:sz w:val="20"/>
          <w:szCs w:val="20"/>
        </w:rPr>
        <w:t>voluntary schemes strengthened by market pressure</w:t>
      </w:r>
    </w:p>
    <w:p w14:paraId="7EECAD8B" w14:textId="06EB1C26" w:rsidR="00F54BA1" w:rsidRDefault="00F54BA1" w:rsidP="00F54BA1">
      <w:pPr>
        <w:rPr>
          <w:sz w:val="20"/>
          <w:szCs w:val="20"/>
        </w:rPr>
      </w:pPr>
      <w:r w:rsidRPr="00F54BA1">
        <w:rPr>
          <w:sz w:val="20"/>
          <w:szCs w:val="20"/>
        </w:rPr>
        <w:t>Recommended additional measures include:</w:t>
      </w:r>
    </w:p>
    <w:p w14:paraId="7D17EA36" w14:textId="5CA88C2F" w:rsidR="00F54BA1" w:rsidRDefault="00125E2E" w:rsidP="00784FB2">
      <w:pPr>
        <w:rPr>
          <w:sz w:val="20"/>
          <w:szCs w:val="20"/>
        </w:rPr>
      </w:pPr>
      <w:r w:rsidRPr="00125E2E">
        <w:rPr>
          <w:b/>
          <w:bCs/>
          <w:sz w:val="20"/>
          <w:szCs w:val="20"/>
        </w:rPr>
        <w:t>Establishment of an EU-wide or OSPAR compatible certification register</w:t>
      </w:r>
      <w:r>
        <w:rPr>
          <w:sz w:val="20"/>
          <w:szCs w:val="20"/>
        </w:rPr>
        <w:t xml:space="preserve">: To mirror the OSPAR Recommendation a consolidated, EU-level register should be established displaying: </w:t>
      </w:r>
    </w:p>
    <w:p w14:paraId="03BFFBA0" w14:textId="7C3CC0AB" w:rsidR="00125E2E" w:rsidRDefault="00125E2E" w:rsidP="00FC58CE">
      <w:pPr>
        <w:pStyle w:val="ListParagraph"/>
        <w:numPr>
          <w:ilvl w:val="0"/>
          <w:numId w:val="48"/>
        </w:numPr>
        <w:rPr>
          <w:sz w:val="20"/>
          <w:szCs w:val="20"/>
        </w:rPr>
      </w:pPr>
      <w:r>
        <w:rPr>
          <w:sz w:val="20"/>
          <w:szCs w:val="20"/>
        </w:rPr>
        <w:t xml:space="preserve">certified installations </w:t>
      </w:r>
    </w:p>
    <w:p w14:paraId="5802610E" w14:textId="6F224555" w:rsidR="00125E2E" w:rsidRDefault="00125E2E" w:rsidP="00FC58CE">
      <w:pPr>
        <w:pStyle w:val="ListParagraph"/>
        <w:numPr>
          <w:ilvl w:val="0"/>
          <w:numId w:val="48"/>
        </w:numPr>
        <w:rPr>
          <w:sz w:val="20"/>
          <w:szCs w:val="20"/>
        </w:rPr>
      </w:pPr>
      <w:r>
        <w:rPr>
          <w:sz w:val="20"/>
          <w:szCs w:val="20"/>
        </w:rPr>
        <w:t xml:space="preserve">permit-based compliant installations </w:t>
      </w:r>
    </w:p>
    <w:p w14:paraId="7F56324B" w14:textId="4CD2AA16" w:rsidR="00125E2E" w:rsidRDefault="00125E2E" w:rsidP="00FC58CE">
      <w:pPr>
        <w:pStyle w:val="ListParagraph"/>
        <w:numPr>
          <w:ilvl w:val="0"/>
          <w:numId w:val="48"/>
        </w:numPr>
        <w:rPr>
          <w:sz w:val="20"/>
          <w:szCs w:val="20"/>
        </w:rPr>
      </w:pPr>
      <w:r>
        <w:rPr>
          <w:sz w:val="20"/>
          <w:szCs w:val="20"/>
        </w:rPr>
        <w:t xml:space="preserve">certification status and history </w:t>
      </w:r>
    </w:p>
    <w:p w14:paraId="68DA3C97" w14:textId="002A9C60" w:rsidR="00125E2E" w:rsidRDefault="00125E2E" w:rsidP="00FC58CE">
      <w:pPr>
        <w:pStyle w:val="ListParagraph"/>
        <w:numPr>
          <w:ilvl w:val="0"/>
          <w:numId w:val="48"/>
        </w:numPr>
        <w:rPr>
          <w:sz w:val="20"/>
          <w:szCs w:val="20"/>
        </w:rPr>
      </w:pPr>
      <w:r>
        <w:rPr>
          <w:sz w:val="20"/>
          <w:szCs w:val="20"/>
        </w:rPr>
        <w:t xml:space="preserve">audit outcomes </w:t>
      </w:r>
    </w:p>
    <w:p w14:paraId="73EFA734" w14:textId="1204E3D0" w:rsidR="00125E2E" w:rsidRDefault="00125E2E" w:rsidP="00FC58CE">
      <w:pPr>
        <w:pStyle w:val="ListParagraph"/>
        <w:numPr>
          <w:ilvl w:val="0"/>
          <w:numId w:val="48"/>
        </w:numPr>
        <w:rPr>
          <w:sz w:val="20"/>
          <w:szCs w:val="20"/>
        </w:rPr>
      </w:pPr>
      <w:r>
        <w:rPr>
          <w:sz w:val="20"/>
          <w:szCs w:val="20"/>
        </w:rPr>
        <w:t xml:space="preserve">expiry dates </w:t>
      </w:r>
    </w:p>
    <w:p w14:paraId="1C32078C" w14:textId="14402522" w:rsidR="00125E2E" w:rsidRPr="00125E2E" w:rsidRDefault="00125E2E" w:rsidP="00125E2E">
      <w:pPr>
        <w:rPr>
          <w:sz w:val="20"/>
          <w:szCs w:val="20"/>
        </w:rPr>
      </w:pPr>
      <w:r w:rsidRPr="00125E2E">
        <w:rPr>
          <w:sz w:val="20"/>
          <w:szCs w:val="20"/>
        </w:rPr>
        <w:t>This would enhance transparency and support supply-chain assurance.</w:t>
      </w:r>
    </w:p>
    <w:p w14:paraId="5A252FB8" w14:textId="0204C550" w:rsidR="00F54BA1" w:rsidRDefault="00125E2E" w:rsidP="00784FB2">
      <w:pPr>
        <w:rPr>
          <w:sz w:val="20"/>
          <w:szCs w:val="20"/>
        </w:rPr>
      </w:pPr>
      <w:r w:rsidRPr="00125E2E">
        <w:rPr>
          <w:b/>
          <w:bCs/>
          <w:sz w:val="20"/>
          <w:szCs w:val="20"/>
        </w:rPr>
        <w:t>Development of a chain of custody standard</w:t>
      </w:r>
      <w:r>
        <w:rPr>
          <w:sz w:val="20"/>
          <w:szCs w:val="20"/>
        </w:rPr>
        <w:t xml:space="preserve">: </w:t>
      </w:r>
      <w:r w:rsidR="00880A18" w:rsidRPr="00880A18">
        <w:rPr>
          <w:sz w:val="20"/>
          <w:szCs w:val="20"/>
        </w:rPr>
        <w:t xml:space="preserve">An EU or OSPAR standard covering documentation accompanying pellet transfers, certification of upstream compliance, integration with procurement requirements and options for downstream third-party assurance.  This would operationalise the OSPAR chain-of-custody ambition and enable retailers and brand owners to verify supply chains.  This would be substantial new standardisation work rather than an extension of the current framework.  A route already exists: Article 18 uses the procedure in Regulation (EU) No 1025/2012 to develop the harmonised methodology for loss estimation, and the same mechanism could carry a chain-of-custody standard, though it would need a </w:t>
      </w:r>
      <w:r w:rsidR="00880A18">
        <w:rPr>
          <w:sz w:val="20"/>
          <w:szCs w:val="20"/>
        </w:rPr>
        <w:t>new</w:t>
      </w:r>
      <w:r w:rsidR="00880A18" w:rsidRPr="00880A18">
        <w:rPr>
          <w:sz w:val="20"/>
          <w:szCs w:val="20"/>
        </w:rPr>
        <w:t xml:space="preserve"> standardisation request rather than an amendment to the Annexes under Article 22.</w:t>
      </w:r>
    </w:p>
    <w:p w14:paraId="421C18DF" w14:textId="42A6C0BF" w:rsidR="002B4F28" w:rsidRDefault="002B4F28" w:rsidP="002B4F28">
      <w:pPr>
        <w:rPr>
          <w:sz w:val="20"/>
          <w:szCs w:val="20"/>
        </w:rPr>
      </w:pPr>
      <w:r w:rsidRPr="002B4F28">
        <w:rPr>
          <w:b/>
          <w:bCs/>
          <w:sz w:val="20"/>
          <w:szCs w:val="20"/>
        </w:rPr>
        <w:t>Expansion of certification to additional operators</w:t>
      </w:r>
      <w:r>
        <w:rPr>
          <w:sz w:val="20"/>
          <w:szCs w:val="20"/>
        </w:rPr>
        <w:t>: OSPAR Contracting Parties</w:t>
      </w:r>
      <w:r w:rsidRPr="002B4F28">
        <w:rPr>
          <w:sz w:val="20"/>
          <w:szCs w:val="20"/>
        </w:rPr>
        <w:t xml:space="preserve"> could choose to:</w:t>
      </w:r>
    </w:p>
    <w:p w14:paraId="2F6A04FB" w14:textId="77777777" w:rsidR="002B4F28" w:rsidRDefault="002B4F28" w:rsidP="00FC58CE">
      <w:pPr>
        <w:pStyle w:val="ListParagraph"/>
        <w:numPr>
          <w:ilvl w:val="0"/>
          <w:numId w:val="49"/>
        </w:numPr>
        <w:rPr>
          <w:sz w:val="20"/>
          <w:szCs w:val="20"/>
        </w:rPr>
      </w:pPr>
      <w:r w:rsidRPr="002B4F28">
        <w:rPr>
          <w:sz w:val="20"/>
          <w:szCs w:val="20"/>
        </w:rPr>
        <w:t>require certification for all operators handling pellets, regardless of volume</w:t>
      </w:r>
    </w:p>
    <w:p w14:paraId="3AC72625" w14:textId="77777777" w:rsidR="002B4F28" w:rsidRDefault="002B4F28" w:rsidP="00FC58CE">
      <w:pPr>
        <w:pStyle w:val="ListParagraph"/>
        <w:numPr>
          <w:ilvl w:val="0"/>
          <w:numId w:val="49"/>
        </w:numPr>
        <w:rPr>
          <w:sz w:val="20"/>
          <w:szCs w:val="20"/>
        </w:rPr>
      </w:pPr>
      <w:r w:rsidRPr="002B4F28">
        <w:rPr>
          <w:sz w:val="20"/>
          <w:szCs w:val="20"/>
        </w:rPr>
        <w:t>lower the 1,500-tonne threshold</w:t>
      </w:r>
    </w:p>
    <w:p w14:paraId="3528CAB5" w14:textId="345FD51F" w:rsidR="002B4F28" w:rsidRPr="002B4F28" w:rsidRDefault="002B4F28" w:rsidP="00FC58CE">
      <w:pPr>
        <w:pStyle w:val="ListParagraph"/>
        <w:numPr>
          <w:ilvl w:val="0"/>
          <w:numId w:val="49"/>
        </w:numPr>
        <w:rPr>
          <w:sz w:val="20"/>
          <w:szCs w:val="20"/>
        </w:rPr>
      </w:pPr>
      <w:r w:rsidRPr="002B4F28">
        <w:rPr>
          <w:sz w:val="20"/>
          <w:szCs w:val="20"/>
        </w:rPr>
        <w:t>mandate certification for high-risk sectors (e.g. recycling, packaging, offshore logistics)</w:t>
      </w:r>
    </w:p>
    <w:p w14:paraId="4E50A525" w14:textId="0C123F25" w:rsidR="00125E2E" w:rsidRDefault="00DB16A5" w:rsidP="002B4F28">
      <w:pPr>
        <w:rPr>
          <w:sz w:val="20"/>
          <w:szCs w:val="20"/>
        </w:rPr>
      </w:pPr>
      <w:r w:rsidRPr="00DB16A5">
        <w:rPr>
          <w:sz w:val="20"/>
          <w:szCs w:val="20"/>
        </w:rPr>
        <w:t xml:space="preserve">This would align the EU framework more closely with </w:t>
      </w:r>
      <w:proofErr w:type="spellStart"/>
      <w:r w:rsidRPr="00DB16A5">
        <w:rPr>
          <w:sz w:val="20"/>
          <w:szCs w:val="20"/>
        </w:rPr>
        <w:t>OSPAR's</w:t>
      </w:r>
      <w:proofErr w:type="spellEnd"/>
      <w:r w:rsidRPr="00DB16A5">
        <w:rPr>
          <w:sz w:val="20"/>
          <w:szCs w:val="20"/>
        </w:rPr>
        <w:t xml:space="preserve"> universal certification approach. </w:t>
      </w:r>
      <w:r>
        <w:rPr>
          <w:sz w:val="20"/>
          <w:szCs w:val="20"/>
        </w:rPr>
        <w:t xml:space="preserve"> </w:t>
      </w:r>
      <w:r w:rsidRPr="00DB16A5">
        <w:rPr>
          <w:sz w:val="20"/>
          <w:szCs w:val="20"/>
        </w:rPr>
        <w:t xml:space="preserve">However, extending certification to all operators would come at the expense of the proportionality built into the Regulation. </w:t>
      </w:r>
      <w:r>
        <w:rPr>
          <w:sz w:val="20"/>
          <w:szCs w:val="20"/>
        </w:rPr>
        <w:t xml:space="preserve"> </w:t>
      </w:r>
      <w:r w:rsidRPr="00DB16A5">
        <w:rPr>
          <w:sz w:val="20"/>
          <w:szCs w:val="20"/>
        </w:rPr>
        <w:t>Whether that trade-off is justified is already due to be considered as part of the Commission's review under Article 25(1)(i) by 17 December 2033.</w:t>
      </w:r>
    </w:p>
    <w:p w14:paraId="55F1ED40" w14:textId="0B5AD9F2" w:rsidR="002B4F28" w:rsidRPr="002B4F28" w:rsidRDefault="002B4F28" w:rsidP="002B4F28">
      <w:pPr>
        <w:rPr>
          <w:sz w:val="20"/>
          <w:szCs w:val="20"/>
        </w:rPr>
      </w:pPr>
      <w:r w:rsidRPr="002B4F28">
        <w:rPr>
          <w:b/>
          <w:bCs/>
          <w:sz w:val="20"/>
          <w:szCs w:val="20"/>
        </w:rPr>
        <w:t>Strengthening of the permit route</w:t>
      </w:r>
      <w:r>
        <w:rPr>
          <w:sz w:val="20"/>
          <w:szCs w:val="20"/>
        </w:rPr>
        <w:t xml:space="preserve">: </w:t>
      </w:r>
      <w:r w:rsidRPr="002B4F28">
        <w:rPr>
          <w:sz w:val="20"/>
          <w:szCs w:val="20"/>
        </w:rPr>
        <w:t>If permits continue to be used, safeguards are needed to ensure they replicate certification requirements, such as:</w:t>
      </w:r>
    </w:p>
    <w:p w14:paraId="3D2797A7" w14:textId="276BC3B9" w:rsidR="002B4F28" w:rsidRPr="002B4F28" w:rsidRDefault="002B4F28" w:rsidP="00FC58CE">
      <w:pPr>
        <w:pStyle w:val="ListParagraph"/>
        <w:numPr>
          <w:ilvl w:val="0"/>
          <w:numId w:val="50"/>
        </w:numPr>
        <w:rPr>
          <w:sz w:val="20"/>
          <w:szCs w:val="20"/>
        </w:rPr>
      </w:pPr>
      <w:r w:rsidRPr="002B4F28">
        <w:rPr>
          <w:sz w:val="20"/>
          <w:szCs w:val="20"/>
        </w:rPr>
        <w:t>mandatory use of accredited validators within permitting</w:t>
      </w:r>
    </w:p>
    <w:p w14:paraId="32F1AE9F" w14:textId="798B1592" w:rsidR="002B4F28" w:rsidRPr="002B4F28" w:rsidRDefault="002B4F28" w:rsidP="00FC58CE">
      <w:pPr>
        <w:pStyle w:val="ListParagraph"/>
        <w:numPr>
          <w:ilvl w:val="0"/>
          <w:numId w:val="50"/>
        </w:numPr>
        <w:rPr>
          <w:sz w:val="20"/>
          <w:szCs w:val="20"/>
        </w:rPr>
      </w:pPr>
      <w:r w:rsidRPr="002B4F28">
        <w:rPr>
          <w:sz w:val="20"/>
          <w:szCs w:val="20"/>
        </w:rPr>
        <w:t>publication of permit audit schedules</w:t>
      </w:r>
    </w:p>
    <w:p w14:paraId="7CC4D224" w14:textId="68C2F9F6" w:rsidR="002B4F28" w:rsidRPr="002B4F28" w:rsidRDefault="002B4F28" w:rsidP="00FC58CE">
      <w:pPr>
        <w:pStyle w:val="ListParagraph"/>
        <w:numPr>
          <w:ilvl w:val="0"/>
          <w:numId w:val="50"/>
        </w:numPr>
        <w:rPr>
          <w:sz w:val="20"/>
          <w:szCs w:val="20"/>
        </w:rPr>
      </w:pPr>
      <w:r w:rsidRPr="002B4F28">
        <w:rPr>
          <w:sz w:val="20"/>
          <w:szCs w:val="20"/>
        </w:rPr>
        <w:t>compatibility checks against OSPAR standards</w:t>
      </w:r>
    </w:p>
    <w:p w14:paraId="25BE9AC1" w14:textId="5BED28BD" w:rsidR="002B4F28" w:rsidRPr="002B4F28" w:rsidRDefault="002B4F28" w:rsidP="00FC58CE">
      <w:pPr>
        <w:pStyle w:val="ListParagraph"/>
        <w:numPr>
          <w:ilvl w:val="0"/>
          <w:numId w:val="50"/>
        </w:numPr>
        <w:rPr>
          <w:sz w:val="20"/>
          <w:szCs w:val="20"/>
        </w:rPr>
      </w:pPr>
      <w:r w:rsidRPr="002B4F28">
        <w:rPr>
          <w:sz w:val="20"/>
          <w:szCs w:val="20"/>
        </w:rPr>
        <w:t>harmonised EU guidance for consistent implementation</w:t>
      </w:r>
    </w:p>
    <w:p w14:paraId="6F386904" w14:textId="1C439257" w:rsidR="00125E2E" w:rsidRDefault="002B4F28" w:rsidP="002B4F28">
      <w:pPr>
        <w:rPr>
          <w:sz w:val="20"/>
          <w:szCs w:val="20"/>
        </w:rPr>
      </w:pPr>
      <w:r w:rsidRPr="002B4F28">
        <w:rPr>
          <w:sz w:val="20"/>
          <w:szCs w:val="20"/>
        </w:rPr>
        <w:t xml:space="preserve">This would close the gap between the Regulation’s flexibility and </w:t>
      </w:r>
      <w:proofErr w:type="spellStart"/>
      <w:r w:rsidRPr="002B4F28">
        <w:rPr>
          <w:sz w:val="20"/>
          <w:szCs w:val="20"/>
        </w:rPr>
        <w:t>OSPAR’s</w:t>
      </w:r>
      <w:proofErr w:type="spellEnd"/>
      <w:r w:rsidRPr="002B4F28">
        <w:rPr>
          <w:sz w:val="20"/>
          <w:szCs w:val="20"/>
        </w:rPr>
        <w:t xml:space="preserve"> uniformity.</w:t>
      </w:r>
    </w:p>
    <w:p w14:paraId="7335C2D2" w14:textId="2A28A167" w:rsidR="002B4F28" w:rsidRPr="002B4F28" w:rsidRDefault="002B4F28" w:rsidP="002B4F28">
      <w:pPr>
        <w:rPr>
          <w:sz w:val="20"/>
          <w:szCs w:val="20"/>
        </w:rPr>
      </w:pPr>
      <w:r w:rsidRPr="002B4F28">
        <w:rPr>
          <w:b/>
          <w:bCs/>
          <w:sz w:val="20"/>
          <w:szCs w:val="20"/>
        </w:rPr>
        <w:t>Use of procurement as a driver</w:t>
      </w:r>
      <w:r>
        <w:rPr>
          <w:sz w:val="20"/>
          <w:szCs w:val="20"/>
        </w:rPr>
        <w:t xml:space="preserve">: </w:t>
      </w:r>
      <w:r w:rsidR="00C4697A">
        <w:rPr>
          <w:sz w:val="20"/>
          <w:szCs w:val="20"/>
        </w:rPr>
        <w:t>Contracting Parties,</w:t>
      </w:r>
      <w:r w:rsidRPr="002B4F28">
        <w:rPr>
          <w:sz w:val="20"/>
          <w:szCs w:val="20"/>
        </w:rPr>
        <w:t xml:space="preserve"> public bodies and large private actors could be encouraged or required to:</w:t>
      </w:r>
    </w:p>
    <w:p w14:paraId="707FEA8C" w14:textId="1D0F3DFB" w:rsidR="002B4F28" w:rsidRPr="002B4F28" w:rsidRDefault="002B4F28" w:rsidP="00FC58CE">
      <w:pPr>
        <w:pStyle w:val="ListParagraph"/>
        <w:numPr>
          <w:ilvl w:val="0"/>
          <w:numId w:val="51"/>
        </w:numPr>
        <w:rPr>
          <w:sz w:val="20"/>
          <w:szCs w:val="20"/>
        </w:rPr>
      </w:pPr>
      <w:r w:rsidRPr="002B4F28">
        <w:rPr>
          <w:sz w:val="20"/>
          <w:szCs w:val="20"/>
        </w:rPr>
        <w:t>procure only from certified pellet-handling suppliers</w:t>
      </w:r>
    </w:p>
    <w:p w14:paraId="7655EB3A" w14:textId="094A0EB0" w:rsidR="002B4F28" w:rsidRPr="002B4F28" w:rsidRDefault="002B4F28" w:rsidP="00FC58CE">
      <w:pPr>
        <w:pStyle w:val="ListParagraph"/>
        <w:numPr>
          <w:ilvl w:val="0"/>
          <w:numId w:val="51"/>
        </w:numPr>
        <w:rPr>
          <w:sz w:val="20"/>
          <w:szCs w:val="20"/>
        </w:rPr>
      </w:pPr>
      <w:r w:rsidRPr="002B4F28">
        <w:rPr>
          <w:sz w:val="20"/>
          <w:szCs w:val="20"/>
        </w:rPr>
        <w:lastRenderedPageBreak/>
        <w:t>request compliance documentation from contractors</w:t>
      </w:r>
    </w:p>
    <w:p w14:paraId="592DFF56" w14:textId="31B4F57D" w:rsidR="002B4F28" w:rsidRPr="002B4F28" w:rsidRDefault="002B4F28" w:rsidP="00FC58CE">
      <w:pPr>
        <w:pStyle w:val="ListParagraph"/>
        <w:numPr>
          <w:ilvl w:val="0"/>
          <w:numId w:val="51"/>
        </w:numPr>
        <w:rPr>
          <w:sz w:val="20"/>
          <w:szCs w:val="20"/>
        </w:rPr>
      </w:pPr>
      <w:r w:rsidRPr="002B4F28">
        <w:rPr>
          <w:sz w:val="20"/>
          <w:szCs w:val="20"/>
        </w:rPr>
        <w:t xml:space="preserve">include pellet-loss prevention in environmental or </w:t>
      </w:r>
      <w:proofErr w:type="spellStart"/>
      <w:r w:rsidRPr="002B4F28">
        <w:rPr>
          <w:sz w:val="20"/>
          <w:szCs w:val="20"/>
        </w:rPr>
        <w:t>ESG</w:t>
      </w:r>
      <w:proofErr w:type="spellEnd"/>
      <w:r w:rsidRPr="002B4F28">
        <w:rPr>
          <w:sz w:val="20"/>
          <w:szCs w:val="20"/>
        </w:rPr>
        <w:t xml:space="preserve"> criteria</w:t>
      </w:r>
    </w:p>
    <w:p w14:paraId="54A97C67" w14:textId="0CDD1261" w:rsidR="002B4F28" w:rsidRPr="002B4F28" w:rsidRDefault="002B4F28" w:rsidP="00FC58CE">
      <w:pPr>
        <w:pStyle w:val="ListParagraph"/>
        <w:numPr>
          <w:ilvl w:val="0"/>
          <w:numId w:val="51"/>
        </w:numPr>
        <w:rPr>
          <w:sz w:val="20"/>
          <w:szCs w:val="20"/>
        </w:rPr>
      </w:pPr>
      <w:r w:rsidRPr="002B4F28">
        <w:rPr>
          <w:sz w:val="20"/>
          <w:szCs w:val="20"/>
        </w:rPr>
        <w:t>adopt OSPAR-aligned supply-chain standards</w:t>
      </w:r>
    </w:p>
    <w:p w14:paraId="4F7C2798" w14:textId="0516666B" w:rsidR="00125E2E" w:rsidRDefault="002B4F28" w:rsidP="002B4F28">
      <w:pPr>
        <w:rPr>
          <w:sz w:val="20"/>
          <w:szCs w:val="20"/>
        </w:rPr>
      </w:pPr>
      <w:r w:rsidRPr="002B4F28">
        <w:rPr>
          <w:sz w:val="20"/>
          <w:szCs w:val="20"/>
        </w:rPr>
        <w:t xml:space="preserve">This would replicate </w:t>
      </w:r>
      <w:proofErr w:type="spellStart"/>
      <w:r w:rsidRPr="002B4F28">
        <w:rPr>
          <w:sz w:val="20"/>
          <w:szCs w:val="20"/>
        </w:rPr>
        <w:t>OSPAR’s</w:t>
      </w:r>
      <w:proofErr w:type="spellEnd"/>
      <w:r w:rsidRPr="002B4F28">
        <w:rPr>
          <w:sz w:val="20"/>
          <w:szCs w:val="20"/>
        </w:rPr>
        <w:t xml:space="preserve"> intent and significantly accelerate certification uptake.</w:t>
      </w:r>
    </w:p>
    <w:p w14:paraId="15011453" w14:textId="7F5F99A3" w:rsidR="008D07DC" w:rsidRDefault="008D07DC" w:rsidP="008D07DC">
      <w:pPr>
        <w:rPr>
          <w:sz w:val="20"/>
          <w:szCs w:val="20"/>
        </w:rPr>
      </w:pPr>
      <w:r w:rsidRPr="008D07DC">
        <w:rPr>
          <w:b/>
          <w:bCs/>
          <w:sz w:val="20"/>
          <w:szCs w:val="20"/>
        </w:rPr>
        <w:t>Enhanced reporting and data aggregation</w:t>
      </w:r>
      <w:r>
        <w:rPr>
          <w:sz w:val="20"/>
          <w:szCs w:val="20"/>
        </w:rPr>
        <w:t xml:space="preserve">: </w:t>
      </w:r>
      <w:r w:rsidRPr="008D07DC">
        <w:rPr>
          <w:sz w:val="20"/>
          <w:szCs w:val="20"/>
        </w:rPr>
        <w:t xml:space="preserve">To support </w:t>
      </w:r>
      <w:proofErr w:type="spellStart"/>
      <w:r w:rsidRPr="008D07DC">
        <w:rPr>
          <w:sz w:val="20"/>
          <w:szCs w:val="20"/>
        </w:rPr>
        <w:t>OSPAR’s</w:t>
      </w:r>
      <w:proofErr w:type="spellEnd"/>
      <w:r w:rsidRPr="008D07DC">
        <w:rPr>
          <w:sz w:val="20"/>
          <w:szCs w:val="20"/>
        </w:rPr>
        <w:t xml:space="preserve"> long-term monitoring goals, </w:t>
      </w:r>
      <w:r w:rsidR="00C4697A">
        <w:rPr>
          <w:sz w:val="20"/>
          <w:szCs w:val="20"/>
        </w:rPr>
        <w:t xml:space="preserve">a requirement to </w:t>
      </w:r>
      <w:r w:rsidRPr="00C4697A">
        <w:rPr>
          <w:sz w:val="20"/>
          <w:szCs w:val="20"/>
        </w:rPr>
        <w:t>aggregate and publish national pellet-loss data</w:t>
      </w:r>
      <w:r w:rsidR="00C4697A">
        <w:rPr>
          <w:sz w:val="20"/>
          <w:szCs w:val="20"/>
        </w:rPr>
        <w:t xml:space="preserve">, </w:t>
      </w:r>
      <w:r w:rsidRPr="00C4697A">
        <w:rPr>
          <w:sz w:val="20"/>
          <w:szCs w:val="20"/>
        </w:rPr>
        <w:t>identify high-risk sectors or regions</w:t>
      </w:r>
      <w:r w:rsidR="00C4697A">
        <w:rPr>
          <w:sz w:val="20"/>
          <w:szCs w:val="20"/>
        </w:rPr>
        <w:t xml:space="preserve"> would </w:t>
      </w:r>
      <w:r w:rsidRPr="008D07DC">
        <w:rPr>
          <w:sz w:val="20"/>
          <w:szCs w:val="20"/>
        </w:rPr>
        <w:t>enable better international comparison and understanding of pellet-loss trends.</w:t>
      </w:r>
    </w:p>
    <w:p w14:paraId="3946F5B8" w14:textId="1280E4BD" w:rsidR="00C4697A" w:rsidRPr="00C4697A" w:rsidRDefault="00C4697A" w:rsidP="00C4697A">
      <w:pPr>
        <w:rPr>
          <w:sz w:val="20"/>
          <w:szCs w:val="20"/>
        </w:rPr>
      </w:pPr>
      <w:r w:rsidRPr="00C4697A">
        <w:rPr>
          <w:b/>
          <w:bCs/>
          <w:sz w:val="20"/>
          <w:szCs w:val="20"/>
        </w:rPr>
        <w:t>Support mechanisms for SMEs</w:t>
      </w:r>
      <w:r>
        <w:rPr>
          <w:sz w:val="20"/>
          <w:szCs w:val="20"/>
        </w:rPr>
        <w:t xml:space="preserve">: </w:t>
      </w:r>
      <w:r w:rsidRPr="00C4697A">
        <w:rPr>
          <w:sz w:val="20"/>
          <w:szCs w:val="20"/>
        </w:rPr>
        <w:t>Because a significant proportion of pellet handlers are small or micro enterprises, additional measures could include:</w:t>
      </w:r>
    </w:p>
    <w:p w14:paraId="724D77DF" w14:textId="5B5E82A5" w:rsidR="00C4697A" w:rsidRPr="00C4697A" w:rsidRDefault="00C4697A" w:rsidP="00FC58CE">
      <w:pPr>
        <w:pStyle w:val="ListParagraph"/>
        <w:numPr>
          <w:ilvl w:val="0"/>
          <w:numId w:val="52"/>
        </w:numPr>
        <w:rPr>
          <w:sz w:val="20"/>
          <w:szCs w:val="20"/>
        </w:rPr>
      </w:pPr>
      <w:r w:rsidRPr="00C4697A">
        <w:rPr>
          <w:sz w:val="20"/>
          <w:szCs w:val="20"/>
        </w:rPr>
        <w:t>targeted grants for spill prevention infrastructure</w:t>
      </w:r>
    </w:p>
    <w:p w14:paraId="20FC92A9" w14:textId="0DFC35E2" w:rsidR="00C4697A" w:rsidRPr="00C4697A" w:rsidRDefault="00C4697A" w:rsidP="00FC58CE">
      <w:pPr>
        <w:pStyle w:val="ListParagraph"/>
        <w:numPr>
          <w:ilvl w:val="0"/>
          <w:numId w:val="52"/>
        </w:numPr>
        <w:rPr>
          <w:sz w:val="20"/>
          <w:szCs w:val="20"/>
        </w:rPr>
      </w:pPr>
      <w:r w:rsidRPr="00C4697A">
        <w:rPr>
          <w:sz w:val="20"/>
          <w:szCs w:val="20"/>
        </w:rPr>
        <w:t>subsidised certification</w:t>
      </w:r>
    </w:p>
    <w:p w14:paraId="14931F8F" w14:textId="1CAC1599" w:rsidR="00C4697A" w:rsidRPr="00C4697A" w:rsidRDefault="00C4697A" w:rsidP="00FC58CE">
      <w:pPr>
        <w:pStyle w:val="ListParagraph"/>
        <w:numPr>
          <w:ilvl w:val="0"/>
          <w:numId w:val="52"/>
        </w:numPr>
        <w:rPr>
          <w:sz w:val="20"/>
          <w:szCs w:val="20"/>
        </w:rPr>
      </w:pPr>
      <w:r w:rsidRPr="00C4697A">
        <w:rPr>
          <w:sz w:val="20"/>
          <w:szCs w:val="20"/>
        </w:rPr>
        <w:t>shared training platforms</w:t>
      </w:r>
    </w:p>
    <w:p w14:paraId="6B2E7355" w14:textId="7B02856D" w:rsidR="00C4697A" w:rsidRPr="00C4697A" w:rsidRDefault="00C4697A" w:rsidP="00FC58CE">
      <w:pPr>
        <w:pStyle w:val="ListParagraph"/>
        <w:numPr>
          <w:ilvl w:val="0"/>
          <w:numId w:val="52"/>
        </w:numPr>
        <w:rPr>
          <w:sz w:val="20"/>
          <w:szCs w:val="20"/>
        </w:rPr>
      </w:pPr>
      <w:r w:rsidRPr="00C4697A">
        <w:rPr>
          <w:sz w:val="20"/>
          <w:szCs w:val="20"/>
        </w:rPr>
        <w:t xml:space="preserve">simplified </w:t>
      </w:r>
      <w:proofErr w:type="spellStart"/>
      <w:r w:rsidRPr="00C4697A">
        <w:rPr>
          <w:sz w:val="20"/>
          <w:szCs w:val="20"/>
        </w:rPr>
        <w:t>RMP</w:t>
      </w:r>
      <w:proofErr w:type="spellEnd"/>
      <w:r w:rsidRPr="00C4697A">
        <w:rPr>
          <w:sz w:val="20"/>
          <w:szCs w:val="20"/>
        </w:rPr>
        <w:t xml:space="preserve"> templates</w:t>
      </w:r>
    </w:p>
    <w:p w14:paraId="700B8188" w14:textId="7D1E06E3" w:rsidR="00C4697A" w:rsidRPr="00C4697A" w:rsidRDefault="00C4697A" w:rsidP="00FC58CE">
      <w:pPr>
        <w:pStyle w:val="ListParagraph"/>
        <w:numPr>
          <w:ilvl w:val="0"/>
          <w:numId w:val="52"/>
        </w:numPr>
        <w:rPr>
          <w:sz w:val="20"/>
          <w:szCs w:val="20"/>
        </w:rPr>
      </w:pPr>
      <w:r w:rsidRPr="00C4697A">
        <w:rPr>
          <w:sz w:val="20"/>
          <w:szCs w:val="20"/>
        </w:rPr>
        <w:t>sector-specific guidance</w:t>
      </w:r>
    </w:p>
    <w:p w14:paraId="7D026550" w14:textId="04752FC7" w:rsidR="00C4697A" w:rsidRDefault="00C4697A" w:rsidP="00C4697A">
      <w:pPr>
        <w:rPr>
          <w:sz w:val="20"/>
          <w:szCs w:val="20"/>
        </w:rPr>
      </w:pPr>
      <w:r w:rsidRPr="00C4697A">
        <w:rPr>
          <w:sz w:val="20"/>
          <w:szCs w:val="20"/>
        </w:rPr>
        <w:t xml:space="preserve">These tools would improve compliance and support alignment with </w:t>
      </w:r>
      <w:proofErr w:type="spellStart"/>
      <w:r w:rsidRPr="00C4697A">
        <w:rPr>
          <w:sz w:val="20"/>
          <w:szCs w:val="20"/>
        </w:rPr>
        <w:t>OSPAR’s</w:t>
      </w:r>
      <w:proofErr w:type="spellEnd"/>
      <w:r w:rsidRPr="00C4697A">
        <w:rPr>
          <w:sz w:val="20"/>
          <w:szCs w:val="20"/>
        </w:rPr>
        <w:t xml:space="preserve"> universal expectations.</w:t>
      </w:r>
    </w:p>
    <w:p w14:paraId="4FC3FB23" w14:textId="77777777" w:rsidR="00C4697A" w:rsidRDefault="00C4697A" w:rsidP="00C4697A">
      <w:pPr>
        <w:rPr>
          <w:sz w:val="20"/>
          <w:szCs w:val="20"/>
        </w:rPr>
      </w:pPr>
    </w:p>
    <w:p w14:paraId="5B9ED958" w14:textId="7B6929F4" w:rsidR="00215A63" w:rsidRDefault="00215A63" w:rsidP="00215A63">
      <w:pPr>
        <w:pStyle w:val="Heading02"/>
      </w:pPr>
      <w:bookmarkStart w:id="43" w:name="_Toc225595011"/>
      <w:r>
        <w:t>Conclusion</w:t>
      </w:r>
      <w:bookmarkEnd w:id="43"/>
      <w:r>
        <w:t xml:space="preserve"> </w:t>
      </w:r>
    </w:p>
    <w:p w14:paraId="7DB173A2" w14:textId="17A737C8" w:rsidR="00C4697A" w:rsidRPr="00C4697A" w:rsidRDefault="00C4697A" w:rsidP="00C4697A">
      <w:pPr>
        <w:rPr>
          <w:sz w:val="20"/>
          <w:szCs w:val="20"/>
        </w:rPr>
      </w:pPr>
      <w:r w:rsidRPr="00C4697A">
        <w:rPr>
          <w:sz w:val="20"/>
          <w:szCs w:val="20"/>
        </w:rPr>
        <w:t>Regulation (EU) 2025/2365 is highly suitable as a core instrument for implementing many of the critical elements of OSPAR Recommendation 2021/06.</w:t>
      </w:r>
      <w:r w:rsidR="00215A63">
        <w:rPr>
          <w:sz w:val="20"/>
          <w:szCs w:val="20"/>
        </w:rPr>
        <w:t xml:space="preserve"> </w:t>
      </w:r>
      <w:r w:rsidRPr="00C4697A">
        <w:rPr>
          <w:sz w:val="20"/>
          <w:szCs w:val="20"/>
        </w:rPr>
        <w:t xml:space="preserve"> It aligns strongly with </w:t>
      </w:r>
      <w:proofErr w:type="spellStart"/>
      <w:r w:rsidRPr="00C4697A">
        <w:rPr>
          <w:sz w:val="20"/>
          <w:szCs w:val="20"/>
        </w:rPr>
        <w:t>OSPAR’s</w:t>
      </w:r>
      <w:proofErr w:type="spellEnd"/>
      <w:r w:rsidRPr="00C4697A">
        <w:rPr>
          <w:sz w:val="20"/>
          <w:szCs w:val="20"/>
        </w:rPr>
        <w:t xml:space="preserve"> objectives, principles and much of its operational architecture, offering a level of coverage, enforcement and standardisation that far surpasses previous voluntary efforts. </w:t>
      </w:r>
      <w:r w:rsidR="00BF5730">
        <w:rPr>
          <w:sz w:val="20"/>
          <w:szCs w:val="20"/>
        </w:rPr>
        <w:t xml:space="preserve"> </w:t>
      </w:r>
      <w:r w:rsidRPr="00C4697A">
        <w:rPr>
          <w:sz w:val="20"/>
          <w:szCs w:val="20"/>
        </w:rPr>
        <w:t>Its introduction represents a significant milestone and will materially improve Europe-wide prevention of pellet loss.</w:t>
      </w:r>
    </w:p>
    <w:p w14:paraId="1BAE1447" w14:textId="3CFC1F6D" w:rsidR="00C4697A" w:rsidRPr="00C4697A" w:rsidRDefault="00C4697A" w:rsidP="00C4697A">
      <w:pPr>
        <w:rPr>
          <w:sz w:val="20"/>
          <w:szCs w:val="20"/>
        </w:rPr>
      </w:pPr>
      <w:r w:rsidRPr="00C4697A">
        <w:rPr>
          <w:sz w:val="20"/>
          <w:szCs w:val="20"/>
        </w:rPr>
        <w:t xml:space="preserve">However, the Regulation is, on its own, </w:t>
      </w:r>
      <w:r w:rsidR="005D6BAC">
        <w:rPr>
          <w:sz w:val="20"/>
          <w:szCs w:val="20"/>
        </w:rPr>
        <w:t xml:space="preserve">not </w:t>
      </w:r>
      <w:r w:rsidRPr="00C4697A">
        <w:rPr>
          <w:sz w:val="20"/>
          <w:szCs w:val="20"/>
        </w:rPr>
        <w:t xml:space="preserve">sufficient to fully deliver the OSPAR vision of a unified, independently audited, transparent certification and chain-of-custody system applicable to all supply-chain actors. </w:t>
      </w:r>
      <w:r w:rsidR="00BF5730">
        <w:rPr>
          <w:sz w:val="20"/>
          <w:szCs w:val="20"/>
        </w:rPr>
        <w:t xml:space="preserve"> </w:t>
      </w:r>
      <w:r w:rsidRPr="00C4697A">
        <w:rPr>
          <w:sz w:val="20"/>
          <w:szCs w:val="20"/>
        </w:rPr>
        <w:t>Its reliance on self-declaration, the optional use of permits, absence of chain-of-custody mechanisms, lack of central governance and decentralised databases all limit its capacity to serve as a complete implementation mechanism.</w:t>
      </w:r>
    </w:p>
    <w:p w14:paraId="05F9AA35" w14:textId="360BE7F8" w:rsidR="00C4697A" w:rsidRDefault="00C4697A" w:rsidP="00C4697A">
      <w:pPr>
        <w:rPr>
          <w:sz w:val="20"/>
          <w:szCs w:val="20"/>
        </w:rPr>
      </w:pPr>
      <w:r w:rsidRPr="00C4697A">
        <w:rPr>
          <w:sz w:val="20"/>
          <w:szCs w:val="20"/>
        </w:rPr>
        <w:t>For EU Member States participating in OSPAR, the Regulation provides a strong foundation but must be complemented by additional measures</w:t>
      </w:r>
      <w:r w:rsidR="00BF5730">
        <w:rPr>
          <w:sz w:val="20"/>
          <w:szCs w:val="20"/>
        </w:rPr>
        <w:t xml:space="preserve">, </w:t>
      </w:r>
      <w:r w:rsidRPr="00C4697A">
        <w:rPr>
          <w:sz w:val="20"/>
          <w:szCs w:val="20"/>
        </w:rPr>
        <w:t>whether regulatory, administrative or market driven</w:t>
      </w:r>
      <w:r w:rsidR="00BF5730">
        <w:rPr>
          <w:sz w:val="20"/>
          <w:szCs w:val="20"/>
        </w:rPr>
        <w:t xml:space="preserve">, </w:t>
      </w:r>
      <w:r w:rsidRPr="00C4697A">
        <w:rPr>
          <w:sz w:val="20"/>
          <w:szCs w:val="20"/>
        </w:rPr>
        <w:t xml:space="preserve">to fill the identified gaps. </w:t>
      </w:r>
      <w:r w:rsidR="00BF5730">
        <w:rPr>
          <w:sz w:val="20"/>
          <w:szCs w:val="20"/>
        </w:rPr>
        <w:t xml:space="preserve"> </w:t>
      </w:r>
      <w:r w:rsidRPr="00C4697A">
        <w:rPr>
          <w:sz w:val="20"/>
          <w:szCs w:val="20"/>
        </w:rPr>
        <w:t>With these additions, the EU system could meet or even exceed the ambition of OSPAR Recommendation 2021/06 and significantly reduce pellet pollution across the North-East Atlantic region.</w:t>
      </w:r>
    </w:p>
    <w:p w14:paraId="68AB9DC7" w14:textId="77777777" w:rsidR="00F54BA1" w:rsidRDefault="00F54BA1" w:rsidP="00784FB2">
      <w:pPr>
        <w:rPr>
          <w:sz w:val="20"/>
          <w:szCs w:val="20"/>
        </w:rPr>
      </w:pPr>
    </w:p>
    <w:p w14:paraId="15A82DC9" w14:textId="6FAC1550" w:rsidR="00A51A77" w:rsidRDefault="00A51A77">
      <w:pPr>
        <w:rPr>
          <w:sz w:val="20"/>
          <w:szCs w:val="20"/>
        </w:rPr>
      </w:pPr>
      <w:r>
        <w:rPr>
          <w:sz w:val="20"/>
          <w:szCs w:val="20"/>
        </w:rPr>
        <w:br w:type="page"/>
      </w:r>
    </w:p>
    <w:p w14:paraId="54E5E67A" w14:textId="65601D62" w:rsidR="00A51A77" w:rsidRPr="00776E76" w:rsidRDefault="00A51A77" w:rsidP="00FC58CE">
      <w:pPr>
        <w:pStyle w:val="Heading01"/>
        <w:numPr>
          <w:ilvl w:val="0"/>
          <w:numId w:val="1"/>
        </w:numPr>
      </w:pPr>
      <w:bookmarkStart w:id="44" w:name="_Toc225595012"/>
      <w:r>
        <w:lastRenderedPageBreak/>
        <w:t>References</w:t>
      </w:r>
      <w:bookmarkEnd w:id="44"/>
      <w:r>
        <w:t xml:space="preserve"> </w:t>
      </w:r>
    </w:p>
    <w:p w14:paraId="6E72FF7E" w14:textId="77777777" w:rsidR="00090118" w:rsidRPr="00090118" w:rsidRDefault="00090118" w:rsidP="00FC58CE">
      <w:pPr>
        <w:numPr>
          <w:ilvl w:val="0"/>
          <w:numId w:val="54"/>
        </w:numPr>
        <w:tabs>
          <w:tab w:val="num" w:pos="720"/>
        </w:tabs>
        <w:rPr>
          <w:sz w:val="20"/>
          <w:szCs w:val="20"/>
        </w:rPr>
      </w:pPr>
      <w:r w:rsidRPr="00090118">
        <w:rPr>
          <w:b/>
          <w:bCs/>
          <w:sz w:val="20"/>
          <w:szCs w:val="20"/>
        </w:rPr>
        <w:t>Regulation (EU) 2025/2365 of the European Parliament and of the Council of 12 November 2025 on preventing plastic pellet losses to reduce microplastic pollution.</w:t>
      </w:r>
      <w:r w:rsidRPr="00090118">
        <w:rPr>
          <w:sz w:val="20"/>
          <w:szCs w:val="20"/>
        </w:rPr>
        <w:br/>
        <w:t xml:space="preserve">Available at: </w:t>
      </w:r>
      <w:hyperlink r:id="rId21" w:history="1">
        <w:r w:rsidRPr="00090118">
          <w:rPr>
            <w:rStyle w:val="Hyperlink"/>
            <w:sz w:val="20"/>
            <w:szCs w:val="20"/>
          </w:rPr>
          <w:t>https://eur-lex.europa.eu/eli/reg/2025/2365/oj/eng</w:t>
        </w:r>
      </w:hyperlink>
    </w:p>
    <w:p w14:paraId="4CC078D6" w14:textId="77777777" w:rsidR="00090118" w:rsidRPr="00090118" w:rsidRDefault="00090118" w:rsidP="00FC58CE">
      <w:pPr>
        <w:numPr>
          <w:ilvl w:val="0"/>
          <w:numId w:val="54"/>
        </w:numPr>
        <w:tabs>
          <w:tab w:val="num" w:pos="720"/>
        </w:tabs>
        <w:rPr>
          <w:sz w:val="20"/>
          <w:szCs w:val="20"/>
        </w:rPr>
      </w:pPr>
      <w:r w:rsidRPr="00090118">
        <w:rPr>
          <w:b/>
          <w:bCs/>
          <w:sz w:val="20"/>
          <w:szCs w:val="20"/>
        </w:rPr>
        <w:t>OSPAR Commission (2024).</w:t>
      </w:r>
      <w:r w:rsidRPr="00090118">
        <w:rPr>
          <w:sz w:val="20"/>
          <w:szCs w:val="20"/>
        </w:rPr>
        <w:t xml:space="preserve"> </w:t>
      </w:r>
      <w:r w:rsidRPr="00090118">
        <w:rPr>
          <w:i/>
          <w:iCs/>
          <w:sz w:val="20"/>
          <w:szCs w:val="20"/>
        </w:rPr>
        <w:t>Implementation of OSPAR Recommendation 2021/06 on the reduction of plastic pellet loss into the marine environment.</w:t>
      </w:r>
      <w:r w:rsidRPr="00090118">
        <w:rPr>
          <w:sz w:val="20"/>
          <w:szCs w:val="20"/>
        </w:rPr>
        <w:br/>
        <w:t xml:space="preserve">Available at: </w:t>
      </w:r>
      <w:hyperlink r:id="rId22" w:history="1">
        <w:r w:rsidRPr="00090118">
          <w:rPr>
            <w:rStyle w:val="Hyperlink"/>
            <w:sz w:val="20"/>
            <w:szCs w:val="20"/>
          </w:rPr>
          <w:t>https://www.ospar.org/documents?v=63721</w:t>
        </w:r>
      </w:hyperlink>
    </w:p>
    <w:p w14:paraId="0EE89185" w14:textId="77777777" w:rsidR="00090118" w:rsidRPr="00090118" w:rsidRDefault="00090118" w:rsidP="00FC58CE">
      <w:pPr>
        <w:numPr>
          <w:ilvl w:val="0"/>
          <w:numId w:val="54"/>
        </w:numPr>
        <w:tabs>
          <w:tab w:val="num" w:pos="720"/>
        </w:tabs>
        <w:rPr>
          <w:sz w:val="20"/>
          <w:szCs w:val="20"/>
        </w:rPr>
      </w:pPr>
      <w:r w:rsidRPr="00090118">
        <w:rPr>
          <w:b/>
          <w:bCs/>
          <w:sz w:val="20"/>
          <w:szCs w:val="20"/>
        </w:rPr>
        <w:t>European Commission (2021).</w:t>
      </w:r>
      <w:r w:rsidRPr="00090118">
        <w:rPr>
          <w:sz w:val="20"/>
          <w:szCs w:val="20"/>
        </w:rPr>
        <w:t xml:space="preserve"> </w:t>
      </w:r>
      <w:r w:rsidRPr="00090118">
        <w:rPr>
          <w:i/>
          <w:iCs/>
          <w:sz w:val="20"/>
          <w:szCs w:val="20"/>
        </w:rPr>
        <w:t>Zero Pollution Action Plan.</w:t>
      </w:r>
      <w:r w:rsidRPr="00090118">
        <w:rPr>
          <w:sz w:val="20"/>
          <w:szCs w:val="20"/>
        </w:rPr>
        <w:br/>
        <w:t xml:space="preserve">Available at: </w:t>
      </w:r>
      <w:hyperlink r:id="rId23" w:history="1">
        <w:r w:rsidRPr="00090118">
          <w:rPr>
            <w:rStyle w:val="Hyperlink"/>
            <w:sz w:val="20"/>
            <w:szCs w:val="20"/>
          </w:rPr>
          <w:t>https://environment.ec.europa.eu/strategy/zero-pollution-action-plan_en</w:t>
        </w:r>
      </w:hyperlink>
    </w:p>
    <w:p w14:paraId="0B2364C0" w14:textId="77777777" w:rsidR="00090118" w:rsidRPr="00090118" w:rsidRDefault="00090118" w:rsidP="00FC58CE">
      <w:pPr>
        <w:numPr>
          <w:ilvl w:val="0"/>
          <w:numId w:val="54"/>
        </w:numPr>
        <w:tabs>
          <w:tab w:val="num" w:pos="720"/>
        </w:tabs>
        <w:rPr>
          <w:sz w:val="20"/>
          <w:szCs w:val="20"/>
        </w:rPr>
      </w:pPr>
      <w:r w:rsidRPr="00090118">
        <w:rPr>
          <w:b/>
          <w:bCs/>
          <w:sz w:val="20"/>
          <w:szCs w:val="20"/>
        </w:rPr>
        <w:t>Operation Clean Sweep® (OCS).</w:t>
      </w:r>
      <w:r w:rsidRPr="00090118">
        <w:rPr>
          <w:sz w:val="20"/>
          <w:szCs w:val="20"/>
        </w:rPr>
        <w:br/>
        <w:t xml:space="preserve">Available at: </w:t>
      </w:r>
      <w:hyperlink r:id="rId24" w:history="1">
        <w:r w:rsidRPr="00090118">
          <w:rPr>
            <w:rStyle w:val="Hyperlink"/>
            <w:sz w:val="20"/>
            <w:szCs w:val="20"/>
          </w:rPr>
          <w:t>https://www.opcleansweep.eu/</w:t>
        </w:r>
      </w:hyperlink>
    </w:p>
    <w:p w14:paraId="67DCCD86" w14:textId="77777777" w:rsidR="00090118" w:rsidRPr="00090118" w:rsidRDefault="00090118" w:rsidP="00FC58CE">
      <w:pPr>
        <w:numPr>
          <w:ilvl w:val="0"/>
          <w:numId w:val="54"/>
        </w:numPr>
        <w:tabs>
          <w:tab w:val="num" w:pos="720"/>
        </w:tabs>
        <w:rPr>
          <w:sz w:val="20"/>
          <w:szCs w:val="20"/>
        </w:rPr>
      </w:pPr>
      <w:r w:rsidRPr="00090118">
        <w:rPr>
          <w:b/>
          <w:bCs/>
          <w:sz w:val="20"/>
          <w:szCs w:val="20"/>
        </w:rPr>
        <w:t>International Maritime Organization (IMO).</w:t>
      </w:r>
      <w:r w:rsidRPr="00090118">
        <w:rPr>
          <w:sz w:val="20"/>
          <w:szCs w:val="20"/>
        </w:rPr>
        <w:t xml:space="preserve"> </w:t>
      </w:r>
      <w:proofErr w:type="spellStart"/>
      <w:r w:rsidRPr="00090118">
        <w:rPr>
          <w:i/>
          <w:iCs/>
          <w:sz w:val="20"/>
          <w:szCs w:val="20"/>
        </w:rPr>
        <w:t>MEPC.1</w:t>
      </w:r>
      <w:proofErr w:type="spellEnd"/>
      <w:r w:rsidRPr="00090118">
        <w:rPr>
          <w:i/>
          <w:iCs/>
          <w:sz w:val="20"/>
          <w:szCs w:val="20"/>
        </w:rPr>
        <w:t>/</w:t>
      </w:r>
      <w:proofErr w:type="spellStart"/>
      <w:r w:rsidRPr="00090118">
        <w:rPr>
          <w:i/>
          <w:iCs/>
          <w:sz w:val="20"/>
          <w:szCs w:val="20"/>
        </w:rPr>
        <w:t>Circ.909</w:t>
      </w:r>
      <w:proofErr w:type="spellEnd"/>
      <w:r w:rsidRPr="00090118">
        <w:rPr>
          <w:i/>
          <w:iCs/>
          <w:sz w:val="20"/>
          <w:szCs w:val="20"/>
        </w:rPr>
        <w:t xml:space="preserve"> – Recommendations for the carriage of plastic pellets by sea in freight containers.</w:t>
      </w:r>
      <w:r w:rsidRPr="00090118">
        <w:rPr>
          <w:sz w:val="20"/>
          <w:szCs w:val="20"/>
        </w:rPr>
        <w:br/>
        <w:t xml:space="preserve">Available at: </w:t>
      </w:r>
      <w:hyperlink r:id="rId25" w:history="1">
        <w:r w:rsidRPr="00090118">
          <w:rPr>
            <w:rStyle w:val="Hyperlink"/>
            <w:sz w:val="20"/>
            <w:szCs w:val="20"/>
          </w:rPr>
          <w:t>https://wwwcdn.imo.org/localresources/en/MediaCentre/HotTopics/Documents/MEPC.1-Circ.909.pdf</w:t>
        </w:r>
      </w:hyperlink>
    </w:p>
    <w:p w14:paraId="1CC57B3A" w14:textId="77777777" w:rsidR="00090118" w:rsidRPr="00090118" w:rsidRDefault="00090118" w:rsidP="00FC58CE">
      <w:pPr>
        <w:numPr>
          <w:ilvl w:val="0"/>
          <w:numId w:val="54"/>
        </w:numPr>
        <w:tabs>
          <w:tab w:val="num" w:pos="720"/>
        </w:tabs>
        <w:rPr>
          <w:sz w:val="20"/>
          <w:szCs w:val="20"/>
        </w:rPr>
      </w:pPr>
      <w:r w:rsidRPr="00090118">
        <w:rPr>
          <w:b/>
          <w:bCs/>
          <w:sz w:val="20"/>
          <w:szCs w:val="20"/>
        </w:rPr>
        <w:t>Regulation (EU) No 1025/2012 on European standardisation.</w:t>
      </w:r>
      <w:r w:rsidRPr="00090118">
        <w:rPr>
          <w:sz w:val="20"/>
          <w:szCs w:val="20"/>
        </w:rPr>
        <w:br/>
        <w:t xml:space="preserve">Available at: </w:t>
      </w:r>
      <w:hyperlink r:id="rId26" w:history="1">
        <w:r w:rsidRPr="00090118">
          <w:rPr>
            <w:rStyle w:val="Hyperlink"/>
            <w:sz w:val="20"/>
            <w:szCs w:val="20"/>
          </w:rPr>
          <w:t>https://eur-lex.europa.eu/eli/reg/2012/1025/oj</w:t>
        </w:r>
      </w:hyperlink>
    </w:p>
    <w:p w14:paraId="5F1528F9" w14:textId="77777777" w:rsidR="00090118" w:rsidRPr="00090118" w:rsidRDefault="00090118" w:rsidP="00FC58CE">
      <w:pPr>
        <w:numPr>
          <w:ilvl w:val="0"/>
          <w:numId w:val="54"/>
        </w:numPr>
        <w:tabs>
          <w:tab w:val="num" w:pos="720"/>
        </w:tabs>
        <w:rPr>
          <w:sz w:val="20"/>
          <w:szCs w:val="20"/>
        </w:rPr>
      </w:pPr>
      <w:r w:rsidRPr="00090118">
        <w:rPr>
          <w:b/>
          <w:bCs/>
          <w:sz w:val="20"/>
          <w:szCs w:val="20"/>
        </w:rPr>
        <w:t>Regulation (EC) No 765/2008 on accreditation and market surveillance.</w:t>
      </w:r>
      <w:r w:rsidRPr="00090118">
        <w:rPr>
          <w:sz w:val="20"/>
          <w:szCs w:val="20"/>
        </w:rPr>
        <w:br/>
        <w:t xml:space="preserve">Available at: </w:t>
      </w:r>
      <w:hyperlink r:id="rId27" w:history="1">
        <w:r w:rsidRPr="00090118">
          <w:rPr>
            <w:rStyle w:val="Hyperlink"/>
            <w:sz w:val="20"/>
            <w:szCs w:val="20"/>
          </w:rPr>
          <w:t>https://eur-lex.europa.eu/eli/reg/2008/765/oj</w:t>
        </w:r>
      </w:hyperlink>
    </w:p>
    <w:p w14:paraId="49D1CE8B" w14:textId="77777777" w:rsidR="00090118" w:rsidRPr="00090118" w:rsidRDefault="00090118" w:rsidP="00FC58CE">
      <w:pPr>
        <w:numPr>
          <w:ilvl w:val="0"/>
          <w:numId w:val="54"/>
        </w:numPr>
        <w:tabs>
          <w:tab w:val="num" w:pos="720"/>
        </w:tabs>
        <w:rPr>
          <w:sz w:val="20"/>
          <w:szCs w:val="20"/>
        </w:rPr>
      </w:pPr>
      <w:r w:rsidRPr="00090118">
        <w:rPr>
          <w:b/>
          <w:bCs/>
          <w:sz w:val="20"/>
          <w:szCs w:val="20"/>
        </w:rPr>
        <w:t>Regulation (EC) No 1221/2009 (EMAS Regulation).</w:t>
      </w:r>
      <w:r w:rsidRPr="00090118">
        <w:rPr>
          <w:sz w:val="20"/>
          <w:szCs w:val="20"/>
        </w:rPr>
        <w:br/>
        <w:t xml:space="preserve">Available at: </w:t>
      </w:r>
      <w:hyperlink r:id="rId28" w:history="1">
        <w:r w:rsidRPr="00090118">
          <w:rPr>
            <w:rStyle w:val="Hyperlink"/>
            <w:sz w:val="20"/>
            <w:szCs w:val="20"/>
          </w:rPr>
          <w:t>https://eur-lex.europa.eu/legal-content/EN/TXT/PDF/?uri=CELEX:32009R1221</w:t>
        </w:r>
      </w:hyperlink>
    </w:p>
    <w:p w14:paraId="10ED8E87" w14:textId="77777777" w:rsidR="00090118" w:rsidRPr="00090118" w:rsidRDefault="00090118" w:rsidP="00FC58CE">
      <w:pPr>
        <w:numPr>
          <w:ilvl w:val="0"/>
          <w:numId w:val="54"/>
        </w:numPr>
        <w:tabs>
          <w:tab w:val="num" w:pos="720"/>
        </w:tabs>
        <w:rPr>
          <w:sz w:val="20"/>
          <w:szCs w:val="20"/>
        </w:rPr>
      </w:pPr>
      <w:r w:rsidRPr="00090118">
        <w:rPr>
          <w:b/>
          <w:bCs/>
          <w:sz w:val="20"/>
          <w:szCs w:val="20"/>
        </w:rPr>
        <w:t>Plastics Recyclers Europe (2024).</w:t>
      </w:r>
      <w:r w:rsidRPr="00090118">
        <w:rPr>
          <w:sz w:val="20"/>
          <w:szCs w:val="20"/>
        </w:rPr>
        <w:t xml:space="preserve"> </w:t>
      </w:r>
      <w:r w:rsidRPr="00090118">
        <w:rPr>
          <w:i/>
          <w:iCs/>
          <w:sz w:val="20"/>
          <w:szCs w:val="20"/>
        </w:rPr>
        <w:t>Plastics Recycling Industry Figures 2023.</w:t>
      </w:r>
      <w:r w:rsidRPr="00090118">
        <w:rPr>
          <w:sz w:val="20"/>
          <w:szCs w:val="20"/>
        </w:rPr>
        <w:br/>
        <w:t xml:space="preserve">Available at: </w:t>
      </w:r>
      <w:hyperlink r:id="rId29" w:history="1">
        <w:r w:rsidRPr="00090118">
          <w:rPr>
            <w:rStyle w:val="Hyperlink"/>
            <w:sz w:val="20"/>
            <w:szCs w:val="20"/>
          </w:rPr>
          <w:t>https://www.plasticsrecyclers.eu/wp-content/uploads/2024/11/Plastics-Recycling-Industry-Figures_2023.pdf</w:t>
        </w:r>
      </w:hyperlink>
    </w:p>
    <w:p w14:paraId="04819754" w14:textId="77777777" w:rsidR="00090118" w:rsidRPr="00090118" w:rsidRDefault="00090118" w:rsidP="00FC58CE">
      <w:pPr>
        <w:numPr>
          <w:ilvl w:val="0"/>
          <w:numId w:val="54"/>
        </w:numPr>
        <w:tabs>
          <w:tab w:val="num" w:pos="720"/>
        </w:tabs>
        <w:rPr>
          <w:sz w:val="20"/>
          <w:szCs w:val="20"/>
        </w:rPr>
      </w:pPr>
      <w:r w:rsidRPr="00090118">
        <w:rPr>
          <w:b/>
          <w:bCs/>
          <w:sz w:val="20"/>
          <w:szCs w:val="20"/>
        </w:rPr>
        <w:t>Plastics Europe (2025).</w:t>
      </w:r>
      <w:r w:rsidRPr="00090118">
        <w:rPr>
          <w:sz w:val="20"/>
          <w:szCs w:val="20"/>
        </w:rPr>
        <w:t xml:space="preserve"> </w:t>
      </w:r>
      <w:r w:rsidRPr="00090118">
        <w:rPr>
          <w:i/>
          <w:iCs/>
          <w:sz w:val="20"/>
          <w:szCs w:val="20"/>
        </w:rPr>
        <w:t>The Facts 2025.</w:t>
      </w:r>
      <w:r w:rsidRPr="00090118">
        <w:rPr>
          <w:sz w:val="20"/>
          <w:szCs w:val="20"/>
        </w:rPr>
        <w:br/>
        <w:t xml:space="preserve">Available at: </w:t>
      </w:r>
      <w:hyperlink r:id="rId30" w:history="1">
        <w:r w:rsidRPr="00090118">
          <w:rPr>
            <w:rStyle w:val="Hyperlink"/>
            <w:sz w:val="20"/>
            <w:szCs w:val="20"/>
          </w:rPr>
          <w:t>https://plasticseurope.org/wp-content/uploads/2025/09/PE_TheFacts_25_digital-1pager-scrollable.pdf</w:t>
        </w:r>
      </w:hyperlink>
    </w:p>
    <w:p w14:paraId="7A973386" w14:textId="77777777" w:rsidR="00090118" w:rsidRPr="00090118" w:rsidRDefault="00090118" w:rsidP="00FC58CE">
      <w:pPr>
        <w:numPr>
          <w:ilvl w:val="0"/>
          <w:numId w:val="54"/>
        </w:numPr>
        <w:tabs>
          <w:tab w:val="num" w:pos="720"/>
        </w:tabs>
        <w:rPr>
          <w:sz w:val="20"/>
          <w:szCs w:val="20"/>
        </w:rPr>
      </w:pPr>
      <w:r w:rsidRPr="00090118">
        <w:rPr>
          <w:b/>
          <w:bCs/>
          <w:sz w:val="20"/>
          <w:szCs w:val="20"/>
        </w:rPr>
        <w:t>Mobility Foresights.</w:t>
      </w:r>
      <w:r w:rsidRPr="00090118">
        <w:rPr>
          <w:sz w:val="20"/>
          <w:szCs w:val="20"/>
        </w:rPr>
        <w:t xml:space="preserve"> </w:t>
      </w:r>
      <w:r w:rsidRPr="00090118">
        <w:rPr>
          <w:i/>
          <w:iCs/>
          <w:sz w:val="20"/>
          <w:szCs w:val="20"/>
        </w:rPr>
        <w:t>Europe Polymer Compounding &amp; Masterbatch Market.</w:t>
      </w:r>
      <w:r w:rsidRPr="00090118">
        <w:rPr>
          <w:sz w:val="20"/>
          <w:szCs w:val="20"/>
        </w:rPr>
        <w:br/>
        <w:t xml:space="preserve">Available at: </w:t>
      </w:r>
      <w:hyperlink r:id="rId31" w:history="1">
        <w:r w:rsidRPr="00090118">
          <w:rPr>
            <w:rStyle w:val="Hyperlink"/>
            <w:sz w:val="20"/>
            <w:szCs w:val="20"/>
          </w:rPr>
          <w:t>https://mobilityforesights.com/product/europe-polymer-compounding-masterbatch-market</w:t>
        </w:r>
      </w:hyperlink>
    </w:p>
    <w:p w14:paraId="15A09CDC" w14:textId="77777777" w:rsidR="00090118" w:rsidRPr="00090118" w:rsidRDefault="00090118" w:rsidP="00FC58CE">
      <w:pPr>
        <w:numPr>
          <w:ilvl w:val="0"/>
          <w:numId w:val="54"/>
        </w:numPr>
        <w:tabs>
          <w:tab w:val="num" w:pos="720"/>
        </w:tabs>
        <w:rPr>
          <w:sz w:val="20"/>
          <w:szCs w:val="20"/>
        </w:rPr>
      </w:pPr>
      <w:proofErr w:type="spellStart"/>
      <w:r w:rsidRPr="00090118">
        <w:rPr>
          <w:b/>
          <w:bCs/>
          <w:sz w:val="20"/>
          <w:szCs w:val="20"/>
        </w:rPr>
        <w:t>Cefic</w:t>
      </w:r>
      <w:proofErr w:type="spellEnd"/>
      <w:r w:rsidRPr="00090118">
        <w:rPr>
          <w:b/>
          <w:bCs/>
          <w:sz w:val="20"/>
          <w:szCs w:val="20"/>
        </w:rPr>
        <w:t xml:space="preserve"> </w:t>
      </w:r>
      <w:proofErr w:type="spellStart"/>
      <w:r w:rsidRPr="00090118">
        <w:rPr>
          <w:b/>
          <w:bCs/>
          <w:sz w:val="20"/>
          <w:szCs w:val="20"/>
        </w:rPr>
        <w:t>SQAS</w:t>
      </w:r>
      <w:proofErr w:type="spellEnd"/>
      <w:r w:rsidRPr="00090118">
        <w:rPr>
          <w:b/>
          <w:bCs/>
          <w:sz w:val="20"/>
          <w:szCs w:val="20"/>
        </w:rPr>
        <w:t xml:space="preserve"> Programme.</w:t>
      </w:r>
      <w:r w:rsidRPr="00090118">
        <w:rPr>
          <w:sz w:val="20"/>
          <w:szCs w:val="20"/>
        </w:rPr>
        <w:br/>
        <w:t xml:space="preserve">Available at: </w:t>
      </w:r>
      <w:hyperlink r:id="rId32" w:history="1">
        <w:r w:rsidRPr="00090118">
          <w:rPr>
            <w:rStyle w:val="Hyperlink"/>
            <w:sz w:val="20"/>
            <w:szCs w:val="20"/>
          </w:rPr>
          <w:t>https://cefic.org/resources/sqas/</w:t>
        </w:r>
      </w:hyperlink>
    </w:p>
    <w:p w14:paraId="4DAE5D17" w14:textId="77777777" w:rsidR="00090118" w:rsidRPr="00090118" w:rsidRDefault="00090118" w:rsidP="00FC58CE">
      <w:pPr>
        <w:numPr>
          <w:ilvl w:val="0"/>
          <w:numId w:val="54"/>
        </w:numPr>
        <w:tabs>
          <w:tab w:val="num" w:pos="720"/>
        </w:tabs>
        <w:rPr>
          <w:sz w:val="20"/>
          <w:szCs w:val="20"/>
        </w:rPr>
      </w:pPr>
      <w:r w:rsidRPr="00090118">
        <w:rPr>
          <w:b/>
          <w:bCs/>
          <w:sz w:val="20"/>
          <w:szCs w:val="20"/>
        </w:rPr>
        <w:t>ECTA – European Chemical Transport Association (2025).</w:t>
      </w:r>
      <w:r w:rsidRPr="00090118">
        <w:rPr>
          <w:sz w:val="20"/>
          <w:szCs w:val="20"/>
        </w:rPr>
        <w:t xml:space="preserve"> </w:t>
      </w:r>
      <w:r w:rsidRPr="00090118">
        <w:rPr>
          <w:i/>
          <w:iCs/>
          <w:sz w:val="20"/>
          <w:szCs w:val="20"/>
        </w:rPr>
        <w:t>ECTA Annual Report 2024–25.</w:t>
      </w:r>
      <w:r w:rsidRPr="00090118">
        <w:rPr>
          <w:sz w:val="20"/>
          <w:szCs w:val="20"/>
        </w:rPr>
        <w:br/>
        <w:t xml:space="preserve">Available at: </w:t>
      </w:r>
      <w:hyperlink r:id="rId33" w:history="1">
        <w:r w:rsidRPr="00090118">
          <w:rPr>
            <w:rStyle w:val="Hyperlink"/>
            <w:sz w:val="20"/>
            <w:szCs w:val="20"/>
          </w:rPr>
          <w:t>https://ecta.com/wp-content/uploads/2026/01/ECTA-Annual-Report-2024-25-final.pdf</w:t>
        </w:r>
      </w:hyperlink>
    </w:p>
    <w:p w14:paraId="35362BE6" w14:textId="77777777" w:rsidR="00090118" w:rsidRPr="00090118" w:rsidRDefault="00090118" w:rsidP="00FC58CE">
      <w:pPr>
        <w:numPr>
          <w:ilvl w:val="0"/>
          <w:numId w:val="54"/>
        </w:numPr>
        <w:tabs>
          <w:tab w:val="num" w:pos="720"/>
        </w:tabs>
        <w:rPr>
          <w:sz w:val="20"/>
          <w:szCs w:val="20"/>
        </w:rPr>
      </w:pPr>
      <w:r w:rsidRPr="00090118">
        <w:rPr>
          <w:b/>
          <w:bCs/>
          <w:sz w:val="20"/>
          <w:szCs w:val="20"/>
        </w:rPr>
        <w:t>Packaging Europe (2025).</w:t>
      </w:r>
      <w:r w:rsidRPr="00090118">
        <w:rPr>
          <w:sz w:val="20"/>
          <w:szCs w:val="20"/>
        </w:rPr>
        <w:t xml:space="preserve"> </w:t>
      </w:r>
      <w:r w:rsidRPr="00090118">
        <w:rPr>
          <w:i/>
          <w:iCs/>
          <w:sz w:val="20"/>
          <w:szCs w:val="20"/>
        </w:rPr>
        <w:t>Stricter EU rules for transporting plastic pellets seek to prevent pollution.</w:t>
      </w:r>
      <w:r w:rsidRPr="00090118">
        <w:rPr>
          <w:sz w:val="20"/>
          <w:szCs w:val="20"/>
        </w:rPr>
        <w:br/>
        <w:t xml:space="preserve">Available at: </w:t>
      </w:r>
      <w:hyperlink r:id="rId34" w:history="1">
        <w:r w:rsidRPr="00090118">
          <w:rPr>
            <w:rStyle w:val="Hyperlink"/>
            <w:sz w:val="20"/>
            <w:szCs w:val="20"/>
          </w:rPr>
          <w:t>https://packagingeurope.com/news/stricter-eu-rules-for-transporting-plastic-pellets-seek-to-prevent-pollution/12722.article</w:t>
        </w:r>
      </w:hyperlink>
    </w:p>
    <w:p w14:paraId="4DD62956" w14:textId="77777777" w:rsidR="0033593A" w:rsidRDefault="0033593A" w:rsidP="00784FB2">
      <w:pPr>
        <w:rPr>
          <w:sz w:val="20"/>
          <w:szCs w:val="20"/>
        </w:rPr>
      </w:pPr>
    </w:p>
    <w:p w14:paraId="13F187AD" w14:textId="33EEC147" w:rsidR="0033593A" w:rsidRDefault="0033593A">
      <w:pPr>
        <w:rPr>
          <w:sz w:val="20"/>
          <w:szCs w:val="20"/>
        </w:rPr>
      </w:pPr>
      <w:r>
        <w:rPr>
          <w:sz w:val="20"/>
          <w:szCs w:val="20"/>
        </w:rPr>
        <w:br w:type="page"/>
      </w:r>
    </w:p>
    <w:p w14:paraId="2F7037A2" w14:textId="752FBD97" w:rsidR="0033593A" w:rsidRPr="00776E76" w:rsidRDefault="0033593A" w:rsidP="00FC58CE">
      <w:pPr>
        <w:pStyle w:val="Heading01"/>
        <w:numPr>
          <w:ilvl w:val="0"/>
          <w:numId w:val="1"/>
        </w:numPr>
      </w:pPr>
      <w:bookmarkStart w:id="45" w:name="_Toc225595013"/>
      <w:r>
        <w:lastRenderedPageBreak/>
        <w:t>Mapping OSPAR Requirements to Regulation (EU) 2025/2365</w:t>
      </w:r>
      <w:bookmarkEnd w:id="45"/>
    </w:p>
    <w:tbl>
      <w:tblPr>
        <w:tblStyle w:val="GridTable1Light-Accent1"/>
        <w:tblW w:w="0" w:type="auto"/>
        <w:tblLook w:val="04A0" w:firstRow="1" w:lastRow="0" w:firstColumn="1" w:lastColumn="0" w:noHBand="0" w:noVBand="1"/>
      </w:tblPr>
      <w:tblGrid>
        <w:gridCol w:w="2830"/>
        <w:gridCol w:w="2410"/>
        <w:gridCol w:w="3776"/>
      </w:tblGrid>
      <w:tr w:rsidR="0033593A" w14:paraId="16CD88AC" w14:textId="77777777" w:rsidTr="00D67FC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440B025" w14:textId="4EC31338" w:rsidR="0033593A" w:rsidRDefault="0033593A" w:rsidP="0033593A">
            <w:pPr>
              <w:spacing w:before="120" w:after="120" w:line="276" w:lineRule="auto"/>
              <w:rPr>
                <w:sz w:val="20"/>
                <w:szCs w:val="20"/>
              </w:rPr>
            </w:pPr>
            <w:r>
              <w:rPr>
                <w:sz w:val="20"/>
                <w:szCs w:val="20"/>
              </w:rPr>
              <w:t xml:space="preserve">OSPAR Recommendation </w:t>
            </w:r>
          </w:p>
        </w:tc>
        <w:tc>
          <w:tcPr>
            <w:tcW w:w="2410" w:type="dxa"/>
            <w:vAlign w:val="center"/>
          </w:tcPr>
          <w:p w14:paraId="50B2525C" w14:textId="1C3E9210" w:rsidR="0033593A" w:rsidRDefault="0033593A" w:rsidP="0033593A">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Relevant Regulation (EU) 2025/2365 Article(s) </w:t>
            </w:r>
          </w:p>
        </w:tc>
        <w:tc>
          <w:tcPr>
            <w:tcW w:w="3776" w:type="dxa"/>
            <w:vAlign w:val="center"/>
          </w:tcPr>
          <w:p w14:paraId="640E61DF" w14:textId="2BFB8323" w:rsidR="0033593A" w:rsidRDefault="0033593A" w:rsidP="0033593A">
            <w:pPr>
              <w:spacing w:before="120" w:after="120" w:line="276"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How the Regulation Responds </w:t>
            </w:r>
          </w:p>
        </w:tc>
      </w:tr>
      <w:tr w:rsidR="0033593A" w14:paraId="60C69640" w14:textId="77777777" w:rsidTr="00D67FC5">
        <w:tc>
          <w:tcPr>
            <w:cnfStyle w:val="001000000000" w:firstRow="0" w:lastRow="0" w:firstColumn="1" w:lastColumn="0" w:oddVBand="0" w:evenVBand="0" w:oddHBand="0" w:evenHBand="0" w:firstRowFirstColumn="0" w:firstRowLastColumn="0" w:lastRowFirstColumn="0" w:lastRowLastColumn="0"/>
            <w:tcW w:w="2830" w:type="dxa"/>
          </w:tcPr>
          <w:p w14:paraId="6600EE19" w14:textId="0198C364" w:rsidR="0033593A" w:rsidRPr="00885B9A" w:rsidRDefault="0033593A" w:rsidP="0033593A">
            <w:pPr>
              <w:spacing w:before="120" w:after="120" w:line="276" w:lineRule="auto"/>
              <w:rPr>
                <w:sz w:val="20"/>
                <w:szCs w:val="20"/>
              </w:rPr>
            </w:pPr>
            <w:r w:rsidRPr="005B3C76">
              <w:rPr>
                <w:sz w:val="20"/>
                <w:szCs w:val="20"/>
              </w:rPr>
              <w:t>Pellet loss prevention processes should apply to all actors in the supply chain.</w:t>
            </w:r>
          </w:p>
        </w:tc>
        <w:tc>
          <w:tcPr>
            <w:tcW w:w="2410" w:type="dxa"/>
          </w:tcPr>
          <w:p w14:paraId="4CBB1716" w14:textId="7CADE78A" w:rsidR="0033593A"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Art</w:t>
            </w:r>
            <w:r>
              <w:rPr>
                <w:sz w:val="20"/>
                <w:szCs w:val="20"/>
              </w:rPr>
              <w:t>icle</w:t>
            </w:r>
            <w:r w:rsidRPr="00D67FC5">
              <w:rPr>
                <w:sz w:val="20"/>
                <w:szCs w:val="20"/>
              </w:rPr>
              <w:t xml:space="preserve"> 1(1)</w:t>
            </w:r>
            <w:r>
              <w:rPr>
                <w:sz w:val="20"/>
                <w:szCs w:val="20"/>
              </w:rPr>
              <w:t>-</w:t>
            </w:r>
            <w:r w:rsidRPr="00D67FC5">
              <w:rPr>
                <w:sz w:val="20"/>
                <w:szCs w:val="20"/>
              </w:rPr>
              <w:t>(2) (scope), Recital 5</w:t>
            </w:r>
          </w:p>
        </w:tc>
        <w:tc>
          <w:tcPr>
            <w:tcW w:w="3776" w:type="dxa"/>
          </w:tcPr>
          <w:p w14:paraId="4071974F" w14:textId="330D2C71" w:rsidR="0033593A" w:rsidRDefault="005B3C76"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5B3C76">
              <w:rPr>
                <w:sz w:val="20"/>
                <w:szCs w:val="20"/>
              </w:rPr>
              <w:t>The Regulation applies to economic operators handling 5 tonnes or more per year, and to carriers, shippers and maritime actors at any volume (Article 1(2)), covering producers, recyclers, converters</w:t>
            </w:r>
            <w:r>
              <w:rPr>
                <w:sz w:val="20"/>
                <w:szCs w:val="20"/>
              </w:rPr>
              <w:t xml:space="preserve">, </w:t>
            </w:r>
            <w:r w:rsidR="00D67FC5" w:rsidRPr="00D67FC5">
              <w:rPr>
                <w:sz w:val="20"/>
                <w:szCs w:val="20"/>
              </w:rPr>
              <w:t>distributors, transporters (road, rail, inland waterway, sea), storage operators and cleaning stations, reflecting a full supply chain approach</w:t>
            </w:r>
            <w:r w:rsidR="00D67FC5">
              <w:rPr>
                <w:sz w:val="20"/>
                <w:szCs w:val="20"/>
              </w:rPr>
              <w:t xml:space="preserve">.  </w:t>
            </w:r>
          </w:p>
        </w:tc>
      </w:tr>
      <w:tr w:rsidR="00D67FC5" w14:paraId="3E4C89EE" w14:textId="77777777" w:rsidTr="00D67FC5">
        <w:tc>
          <w:tcPr>
            <w:cnfStyle w:val="001000000000" w:firstRow="0" w:lastRow="0" w:firstColumn="1" w:lastColumn="0" w:oddVBand="0" w:evenVBand="0" w:oddHBand="0" w:evenHBand="0" w:firstRowFirstColumn="0" w:firstRowLastColumn="0" w:lastRowFirstColumn="0" w:lastRowLastColumn="0"/>
            <w:tcW w:w="2830" w:type="dxa"/>
          </w:tcPr>
          <w:p w14:paraId="1405A1A2" w14:textId="19A32D81" w:rsidR="00D67FC5" w:rsidRPr="0033593A" w:rsidRDefault="00D67FC5" w:rsidP="0033593A">
            <w:pPr>
              <w:spacing w:before="120" w:after="120" w:line="276" w:lineRule="auto"/>
              <w:rPr>
                <w:sz w:val="20"/>
                <w:szCs w:val="20"/>
              </w:rPr>
            </w:pPr>
            <w:r w:rsidRPr="00D67FC5">
              <w:rPr>
                <w:sz w:val="20"/>
                <w:szCs w:val="20"/>
              </w:rPr>
              <w:t>Pellet loss prevention processes should be implemented across production, transport, storage, and handling stages.</w:t>
            </w:r>
          </w:p>
        </w:tc>
        <w:tc>
          <w:tcPr>
            <w:tcW w:w="2410" w:type="dxa"/>
          </w:tcPr>
          <w:p w14:paraId="371684F7" w14:textId="253E7D00"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Art</w:t>
            </w:r>
            <w:r>
              <w:rPr>
                <w:sz w:val="20"/>
                <w:szCs w:val="20"/>
              </w:rPr>
              <w:t>icle</w:t>
            </w:r>
            <w:r w:rsidRPr="00D67FC5">
              <w:rPr>
                <w:sz w:val="20"/>
                <w:szCs w:val="20"/>
              </w:rPr>
              <w:t xml:space="preserve"> 5 (handling obligations), Art</w:t>
            </w:r>
            <w:r>
              <w:rPr>
                <w:sz w:val="20"/>
                <w:szCs w:val="20"/>
              </w:rPr>
              <w:t>icle</w:t>
            </w:r>
            <w:r w:rsidRPr="00D67FC5">
              <w:rPr>
                <w:sz w:val="20"/>
                <w:szCs w:val="20"/>
              </w:rPr>
              <w:t xml:space="preserve"> 12 (sea transport), Annex I &amp; III</w:t>
            </w:r>
          </w:p>
        </w:tc>
        <w:tc>
          <w:tcPr>
            <w:tcW w:w="3776" w:type="dxa"/>
          </w:tcPr>
          <w:p w14:paraId="75F7CBA6" w14:textId="19C4A750"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The regulation establishes detailed, binding requirements for prevention, containment, and clean-up of spills and losses at every stage of handling and transport, including sea freight.</w:t>
            </w:r>
          </w:p>
        </w:tc>
      </w:tr>
      <w:tr w:rsidR="00D67FC5" w14:paraId="2254A6A0" w14:textId="77777777" w:rsidTr="00D67FC5">
        <w:tc>
          <w:tcPr>
            <w:cnfStyle w:val="001000000000" w:firstRow="0" w:lastRow="0" w:firstColumn="1" w:lastColumn="0" w:oddVBand="0" w:evenVBand="0" w:oddHBand="0" w:evenHBand="0" w:firstRowFirstColumn="0" w:firstRowLastColumn="0" w:lastRowFirstColumn="0" w:lastRowLastColumn="0"/>
            <w:tcW w:w="2830" w:type="dxa"/>
          </w:tcPr>
          <w:p w14:paraId="52E4078B" w14:textId="7231411F" w:rsidR="00D67FC5" w:rsidRPr="00D67FC5" w:rsidRDefault="00D67FC5" w:rsidP="0033593A">
            <w:pPr>
              <w:spacing w:before="120" w:after="120" w:line="276" w:lineRule="auto"/>
              <w:rPr>
                <w:sz w:val="20"/>
                <w:szCs w:val="20"/>
              </w:rPr>
            </w:pPr>
            <w:r w:rsidRPr="00D67FC5">
              <w:rPr>
                <w:sz w:val="20"/>
                <w:szCs w:val="20"/>
              </w:rPr>
              <w:t>All supply chain actors should be certified according to the certification scheme.</w:t>
            </w:r>
          </w:p>
        </w:tc>
        <w:tc>
          <w:tcPr>
            <w:tcW w:w="2410" w:type="dxa"/>
          </w:tcPr>
          <w:p w14:paraId="11024793" w14:textId="723DDA3D"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Art</w:t>
            </w:r>
            <w:r>
              <w:rPr>
                <w:sz w:val="20"/>
                <w:szCs w:val="20"/>
              </w:rPr>
              <w:t>icle</w:t>
            </w:r>
            <w:r w:rsidRPr="00D67FC5">
              <w:rPr>
                <w:sz w:val="20"/>
                <w:szCs w:val="20"/>
              </w:rPr>
              <w:t xml:space="preserve"> 6 (certification), Art</w:t>
            </w:r>
            <w:r>
              <w:rPr>
                <w:sz w:val="20"/>
                <w:szCs w:val="20"/>
              </w:rPr>
              <w:t>icle</w:t>
            </w:r>
            <w:r w:rsidRPr="00D67FC5">
              <w:rPr>
                <w:sz w:val="20"/>
                <w:szCs w:val="20"/>
              </w:rPr>
              <w:t xml:space="preserve"> 5(2) (self-declaration for smaller operators)</w:t>
            </w:r>
          </w:p>
        </w:tc>
        <w:tc>
          <w:tcPr>
            <w:tcW w:w="3776" w:type="dxa"/>
          </w:tcPr>
          <w:p w14:paraId="1F809158" w14:textId="1B6ECCE2" w:rsidR="00D67FC5" w:rsidRPr="00D67FC5" w:rsidRDefault="005B3C76"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5B3C76">
              <w:rPr>
                <w:sz w:val="20"/>
                <w:szCs w:val="20"/>
              </w:rPr>
              <w:t xml:space="preserve">Certification applies to installations that handled 1,500 tonnes or more in the previous calendar year (Article 6) and to no others. </w:t>
            </w:r>
            <w:r>
              <w:rPr>
                <w:sz w:val="20"/>
                <w:szCs w:val="20"/>
              </w:rPr>
              <w:t xml:space="preserve"> </w:t>
            </w:r>
            <w:r w:rsidRPr="005B3C76">
              <w:rPr>
                <w:sz w:val="20"/>
                <w:szCs w:val="20"/>
              </w:rPr>
              <w:t>Enterprises below that threshold, and microenterprises at any volume, rely on self-declaration under Article 5(2), so this Recommendation is only partially met.</w:t>
            </w:r>
          </w:p>
        </w:tc>
      </w:tr>
      <w:tr w:rsidR="00D67FC5" w14:paraId="37CCCFC0" w14:textId="77777777" w:rsidTr="00D67FC5">
        <w:tc>
          <w:tcPr>
            <w:cnfStyle w:val="001000000000" w:firstRow="0" w:lastRow="0" w:firstColumn="1" w:lastColumn="0" w:oddVBand="0" w:evenVBand="0" w:oddHBand="0" w:evenHBand="0" w:firstRowFirstColumn="0" w:firstRowLastColumn="0" w:lastRowFirstColumn="0" w:lastRowLastColumn="0"/>
            <w:tcW w:w="2830" w:type="dxa"/>
          </w:tcPr>
          <w:p w14:paraId="6DDBC67C" w14:textId="2E747503" w:rsidR="00D67FC5" w:rsidRPr="00D67FC5" w:rsidRDefault="00D67FC5" w:rsidP="0033593A">
            <w:pPr>
              <w:spacing w:before="120" w:after="120" w:line="276" w:lineRule="auto"/>
              <w:rPr>
                <w:sz w:val="20"/>
                <w:szCs w:val="20"/>
              </w:rPr>
            </w:pPr>
            <w:r w:rsidRPr="00D67FC5">
              <w:rPr>
                <w:sz w:val="20"/>
                <w:szCs w:val="20"/>
              </w:rPr>
              <w:t>Certification should verify compliance with standardised best practices.</w:t>
            </w:r>
          </w:p>
        </w:tc>
        <w:tc>
          <w:tcPr>
            <w:tcW w:w="2410" w:type="dxa"/>
          </w:tcPr>
          <w:p w14:paraId="235A655B" w14:textId="5A587A72"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Annex I (standardised prevention &amp; containment requirements), Art</w:t>
            </w:r>
            <w:r>
              <w:rPr>
                <w:sz w:val="20"/>
                <w:szCs w:val="20"/>
              </w:rPr>
              <w:t>icle</w:t>
            </w:r>
            <w:r w:rsidRPr="00D67FC5">
              <w:rPr>
                <w:sz w:val="20"/>
                <w:szCs w:val="20"/>
              </w:rPr>
              <w:t xml:space="preserve"> 6(1)</w:t>
            </w:r>
            <w:r>
              <w:rPr>
                <w:sz w:val="20"/>
                <w:szCs w:val="20"/>
              </w:rPr>
              <w:t>-</w:t>
            </w:r>
            <w:r w:rsidRPr="00D67FC5">
              <w:rPr>
                <w:sz w:val="20"/>
                <w:szCs w:val="20"/>
              </w:rPr>
              <w:t>(3), Recitals 32</w:t>
            </w:r>
            <w:r>
              <w:rPr>
                <w:sz w:val="20"/>
                <w:szCs w:val="20"/>
              </w:rPr>
              <w:t>-</w:t>
            </w:r>
            <w:r w:rsidRPr="00D67FC5">
              <w:rPr>
                <w:sz w:val="20"/>
                <w:szCs w:val="20"/>
              </w:rPr>
              <w:t>34</w:t>
            </w:r>
          </w:p>
        </w:tc>
        <w:tc>
          <w:tcPr>
            <w:tcW w:w="3776" w:type="dxa"/>
          </w:tcPr>
          <w:p w14:paraId="5DEF1385" w14:textId="3EAB7A07"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Certification is based on verifying conformity with standardised EU pellet loss prevention requirements defined in Annex I, including equipment, procedures and training obligations.</w:t>
            </w:r>
            <w:r>
              <w:rPr>
                <w:sz w:val="20"/>
                <w:szCs w:val="20"/>
              </w:rPr>
              <w:t xml:space="preserve">  </w:t>
            </w:r>
          </w:p>
        </w:tc>
      </w:tr>
      <w:tr w:rsidR="00D67FC5" w14:paraId="1F6AB93D" w14:textId="77777777" w:rsidTr="00D67FC5">
        <w:tc>
          <w:tcPr>
            <w:cnfStyle w:val="001000000000" w:firstRow="0" w:lastRow="0" w:firstColumn="1" w:lastColumn="0" w:oddVBand="0" w:evenVBand="0" w:oddHBand="0" w:evenHBand="0" w:firstRowFirstColumn="0" w:firstRowLastColumn="0" w:lastRowFirstColumn="0" w:lastRowLastColumn="0"/>
            <w:tcW w:w="2830" w:type="dxa"/>
          </w:tcPr>
          <w:p w14:paraId="05365BDF" w14:textId="33C8F6F2" w:rsidR="00D67FC5" w:rsidRPr="00D67FC5" w:rsidRDefault="00D67FC5" w:rsidP="0033593A">
            <w:pPr>
              <w:spacing w:before="120" w:after="120" w:line="276" w:lineRule="auto"/>
              <w:rPr>
                <w:sz w:val="20"/>
                <w:szCs w:val="20"/>
              </w:rPr>
            </w:pPr>
            <w:r w:rsidRPr="00D67FC5">
              <w:rPr>
                <w:sz w:val="20"/>
                <w:szCs w:val="20"/>
              </w:rPr>
              <w:t>Certification schemes should create a chain of custody mechanism enabling communication of compliance through the supply chain.</w:t>
            </w:r>
          </w:p>
        </w:tc>
        <w:tc>
          <w:tcPr>
            <w:tcW w:w="2410" w:type="dxa"/>
          </w:tcPr>
          <w:p w14:paraId="116F2D57" w14:textId="78D475B6"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Article</w:t>
            </w:r>
            <w:r w:rsidRPr="00D67FC5">
              <w:rPr>
                <w:sz w:val="20"/>
                <w:szCs w:val="20"/>
              </w:rPr>
              <w:t xml:space="preserve"> 11 (public access to certification data)</w:t>
            </w:r>
          </w:p>
        </w:tc>
        <w:tc>
          <w:tcPr>
            <w:tcW w:w="3776" w:type="dxa"/>
          </w:tcPr>
          <w:p w14:paraId="712B2657" w14:textId="5699E822"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The regulation provides public transparency of certificates but does not implement a chain of custody system or require compliance information to accompany pellet shipments or be passed to downstream buyers, retailers</w:t>
            </w:r>
            <w:r>
              <w:rPr>
                <w:sz w:val="20"/>
                <w:szCs w:val="20"/>
              </w:rPr>
              <w:t xml:space="preserve"> </w:t>
            </w:r>
            <w:r w:rsidRPr="00D67FC5">
              <w:rPr>
                <w:sz w:val="20"/>
                <w:szCs w:val="20"/>
              </w:rPr>
              <w:t xml:space="preserve">or brand owners. </w:t>
            </w:r>
          </w:p>
        </w:tc>
      </w:tr>
      <w:tr w:rsidR="00D67FC5" w14:paraId="7CF1BA4F" w14:textId="77777777" w:rsidTr="00D67FC5">
        <w:tc>
          <w:tcPr>
            <w:cnfStyle w:val="001000000000" w:firstRow="0" w:lastRow="0" w:firstColumn="1" w:lastColumn="0" w:oddVBand="0" w:evenVBand="0" w:oddHBand="0" w:evenHBand="0" w:firstRowFirstColumn="0" w:firstRowLastColumn="0" w:lastRowFirstColumn="0" w:lastRowLastColumn="0"/>
            <w:tcW w:w="2830" w:type="dxa"/>
          </w:tcPr>
          <w:p w14:paraId="3416A9E0" w14:textId="621CD24F" w:rsidR="00D67FC5" w:rsidRPr="00D67FC5" w:rsidRDefault="00D67FC5" w:rsidP="0033593A">
            <w:pPr>
              <w:spacing w:before="120" w:after="120" w:line="276" w:lineRule="auto"/>
              <w:rPr>
                <w:sz w:val="20"/>
                <w:szCs w:val="20"/>
              </w:rPr>
            </w:pPr>
            <w:r w:rsidRPr="00D67FC5">
              <w:rPr>
                <w:sz w:val="20"/>
                <w:szCs w:val="20"/>
              </w:rPr>
              <w:t>Mechanisms should exist for buyers, suppliers and brand owners to verify responsible pellet handling in the supply chain.</w:t>
            </w:r>
          </w:p>
        </w:tc>
        <w:tc>
          <w:tcPr>
            <w:tcW w:w="2410" w:type="dxa"/>
          </w:tcPr>
          <w:p w14:paraId="647FD635" w14:textId="7996FA8D" w:rsid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Art</w:t>
            </w:r>
            <w:r>
              <w:rPr>
                <w:sz w:val="20"/>
                <w:szCs w:val="20"/>
              </w:rPr>
              <w:t>icle</w:t>
            </w:r>
            <w:r w:rsidRPr="00D67FC5">
              <w:rPr>
                <w:sz w:val="20"/>
                <w:szCs w:val="20"/>
              </w:rPr>
              <w:t xml:space="preserve"> 11 (publication of certificates, risk management plans)</w:t>
            </w:r>
          </w:p>
        </w:tc>
        <w:tc>
          <w:tcPr>
            <w:tcW w:w="3776" w:type="dxa"/>
          </w:tcPr>
          <w:p w14:paraId="1749954F" w14:textId="76DF2DDD"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Buyers may manually verify supplier compliance via public databases, but no structured assurance mechanism (e.g. labels, traceability documents, chain of custody certification) is established.</w:t>
            </w:r>
          </w:p>
        </w:tc>
      </w:tr>
      <w:tr w:rsidR="00D67FC5" w14:paraId="0006CDE3" w14:textId="77777777" w:rsidTr="00D67FC5">
        <w:tc>
          <w:tcPr>
            <w:cnfStyle w:val="001000000000" w:firstRow="0" w:lastRow="0" w:firstColumn="1" w:lastColumn="0" w:oddVBand="0" w:evenVBand="0" w:oddHBand="0" w:evenHBand="0" w:firstRowFirstColumn="0" w:firstRowLastColumn="0" w:lastRowFirstColumn="0" w:lastRowLastColumn="0"/>
            <w:tcW w:w="2830" w:type="dxa"/>
          </w:tcPr>
          <w:p w14:paraId="717F8311" w14:textId="5E351B80" w:rsidR="00D67FC5" w:rsidRPr="00D67FC5" w:rsidRDefault="00D67FC5" w:rsidP="0033593A">
            <w:pPr>
              <w:spacing w:before="120" w:after="120" w:line="276" w:lineRule="auto"/>
              <w:rPr>
                <w:sz w:val="20"/>
                <w:szCs w:val="20"/>
              </w:rPr>
            </w:pPr>
            <w:r w:rsidRPr="00D67FC5">
              <w:rPr>
                <w:sz w:val="20"/>
                <w:szCs w:val="20"/>
              </w:rPr>
              <w:lastRenderedPageBreak/>
              <w:t>Participation in the certification scheme should be encouraged through supportive measures.</w:t>
            </w:r>
          </w:p>
        </w:tc>
        <w:tc>
          <w:tcPr>
            <w:tcW w:w="2410" w:type="dxa"/>
          </w:tcPr>
          <w:p w14:paraId="43D41E82" w14:textId="2FECB764"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Art</w:t>
            </w:r>
            <w:r>
              <w:rPr>
                <w:sz w:val="20"/>
                <w:szCs w:val="20"/>
              </w:rPr>
              <w:t>icle</w:t>
            </w:r>
            <w:r w:rsidRPr="00D67FC5">
              <w:rPr>
                <w:sz w:val="20"/>
                <w:szCs w:val="20"/>
              </w:rPr>
              <w:t xml:space="preserve"> 17(2) (training, technical assistance, financial support), Recital 42</w:t>
            </w:r>
          </w:p>
        </w:tc>
        <w:tc>
          <w:tcPr>
            <w:tcW w:w="3776" w:type="dxa"/>
          </w:tcPr>
          <w:p w14:paraId="3BA33A77" w14:textId="21F4FAEC"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 xml:space="preserve">The </w:t>
            </w:r>
            <w:r>
              <w:rPr>
                <w:sz w:val="20"/>
                <w:szCs w:val="20"/>
              </w:rPr>
              <w:t>R</w:t>
            </w:r>
            <w:r w:rsidRPr="00D67FC5">
              <w:rPr>
                <w:sz w:val="20"/>
                <w:szCs w:val="20"/>
              </w:rPr>
              <w:t xml:space="preserve">egulation encourages compliance by requiring Member States to offer training, information, technical assistance and potential financial support to small operators, indirectly promoting participation. </w:t>
            </w:r>
            <w:r>
              <w:rPr>
                <w:sz w:val="20"/>
                <w:szCs w:val="20"/>
              </w:rPr>
              <w:t xml:space="preserve"> </w:t>
            </w:r>
            <w:r w:rsidRPr="00D67FC5">
              <w:rPr>
                <w:sz w:val="20"/>
                <w:szCs w:val="20"/>
              </w:rPr>
              <w:t>No explicit certification incentive mechanism exists.</w:t>
            </w:r>
          </w:p>
        </w:tc>
      </w:tr>
      <w:tr w:rsidR="00D67FC5" w14:paraId="2E26DD13" w14:textId="77777777" w:rsidTr="00D67FC5">
        <w:tc>
          <w:tcPr>
            <w:cnfStyle w:val="001000000000" w:firstRow="0" w:lastRow="0" w:firstColumn="1" w:lastColumn="0" w:oddVBand="0" w:evenVBand="0" w:oddHBand="0" w:evenHBand="0" w:firstRowFirstColumn="0" w:firstRowLastColumn="0" w:lastRowFirstColumn="0" w:lastRowLastColumn="0"/>
            <w:tcW w:w="2830" w:type="dxa"/>
          </w:tcPr>
          <w:p w14:paraId="0C4CF18A" w14:textId="336AAE74" w:rsidR="00D67FC5" w:rsidRPr="00D67FC5" w:rsidRDefault="00D67FC5" w:rsidP="0033593A">
            <w:pPr>
              <w:spacing w:before="120" w:after="120" w:line="276" w:lineRule="auto"/>
              <w:rPr>
                <w:sz w:val="20"/>
                <w:szCs w:val="20"/>
              </w:rPr>
            </w:pPr>
            <w:r w:rsidRPr="00D67FC5">
              <w:rPr>
                <w:sz w:val="20"/>
                <w:szCs w:val="20"/>
              </w:rPr>
              <w:t>Pellet handling standards should be consistent, effective, and developed by standards bodies or equivalent.</w:t>
            </w:r>
          </w:p>
        </w:tc>
        <w:tc>
          <w:tcPr>
            <w:tcW w:w="2410" w:type="dxa"/>
          </w:tcPr>
          <w:p w14:paraId="7EDAED7B" w14:textId="015955D1"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Art</w:t>
            </w:r>
            <w:r>
              <w:rPr>
                <w:sz w:val="20"/>
                <w:szCs w:val="20"/>
              </w:rPr>
              <w:t>icle</w:t>
            </w:r>
            <w:r w:rsidRPr="00D67FC5">
              <w:rPr>
                <w:sz w:val="20"/>
                <w:szCs w:val="20"/>
              </w:rPr>
              <w:t xml:space="preserve"> 18(1)</w:t>
            </w:r>
            <w:r>
              <w:rPr>
                <w:sz w:val="20"/>
                <w:szCs w:val="20"/>
              </w:rPr>
              <w:t>-</w:t>
            </w:r>
            <w:r w:rsidRPr="00D67FC5">
              <w:rPr>
                <w:sz w:val="20"/>
                <w:szCs w:val="20"/>
              </w:rPr>
              <w:t>(3) (harmonised standards), Recitals 43</w:t>
            </w:r>
            <w:r>
              <w:rPr>
                <w:sz w:val="20"/>
                <w:szCs w:val="20"/>
              </w:rPr>
              <w:t>-</w:t>
            </w:r>
            <w:r w:rsidRPr="00D67FC5">
              <w:rPr>
                <w:sz w:val="20"/>
                <w:szCs w:val="20"/>
              </w:rPr>
              <w:t>44</w:t>
            </w:r>
          </w:p>
        </w:tc>
        <w:tc>
          <w:tcPr>
            <w:tcW w:w="3776" w:type="dxa"/>
          </w:tcPr>
          <w:p w14:paraId="2FD58A49" w14:textId="7AD6EBAD"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 xml:space="preserve">The </w:t>
            </w:r>
            <w:r>
              <w:rPr>
                <w:sz w:val="20"/>
                <w:szCs w:val="20"/>
              </w:rPr>
              <w:t>R</w:t>
            </w:r>
            <w:r w:rsidRPr="00D67FC5">
              <w:rPr>
                <w:sz w:val="20"/>
                <w:szCs w:val="20"/>
              </w:rPr>
              <w:t>egulation mandates creation of harmonised European standards through EU standardisation organisations.</w:t>
            </w:r>
            <w:r>
              <w:rPr>
                <w:sz w:val="20"/>
                <w:szCs w:val="20"/>
              </w:rPr>
              <w:t xml:space="preserve"> </w:t>
            </w:r>
            <w:r w:rsidRPr="00D67FC5">
              <w:rPr>
                <w:sz w:val="20"/>
                <w:szCs w:val="20"/>
              </w:rPr>
              <w:t xml:space="preserve"> If they do not deliver, the Commission must impose a unified EU methodology. </w:t>
            </w:r>
          </w:p>
        </w:tc>
      </w:tr>
      <w:tr w:rsidR="00D67FC5" w14:paraId="4D08057D" w14:textId="77777777" w:rsidTr="00D67FC5">
        <w:tc>
          <w:tcPr>
            <w:cnfStyle w:val="001000000000" w:firstRow="0" w:lastRow="0" w:firstColumn="1" w:lastColumn="0" w:oddVBand="0" w:evenVBand="0" w:oddHBand="0" w:evenHBand="0" w:firstRowFirstColumn="0" w:firstRowLastColumn="0" w:lastRowFirstColumn="0" w:lastRowLastColumn="0"/>
            <w:tcW w:w="2830" w:type="dxa"/>
          </w:tcPr>
          <w:p w14:paraId="764D0F27" w14:textId="1D9ED860" w:rsidR="00D67FC5" w:rsidRPr="00D67FC5" w:rsidRDefault="00D67FC5" w:rsidP="0033593A">
            <w:pPr>
              <w:spacing w:before="120" w:after="120" w:line="276" w:lineRule="auto"/>
              <w:rPr>
                <w:sz w:val="20"/>
                <w:szCs w:val="20"/>
              </w:rPr>
            </w:pPr>
            <w:r w:rsidRPr="00D67FC5">
              <w:rPr>
                <w:sz w:val="20"/>
                <w:szCs w:val="20"/>
              </w:rPr>
              <w:t>Certification schemes should cover the entire supply chain.</w:t>
            </w:r>
          </w:p>
        </w:tc>
        <w:tc>
          <w:tcPr>
            <w:tcW w:w="2410" w:type="dxa"/>
          </w:tcPr>
          <w:p w14:paraId="054B4887" w14:textId="09C0A46D"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Art</w:t>
            </w:r>
            <w:r>
              <w:rPr>
                <w:sz w:val="20"/>
                <w:szCs w:val="20"/>
              </w:rPr>
              <w:t>icle</w:t>
            </w:r>
            <w:r w:rsidRPr="00D67FC5">
              <w:rPr>
                <w:sz w:val="20"/>
                <w:szCs w:val="20"/>
              </w:rPr>
              <w:t xml:space="preserve"> 6 (coverage based on handling volumes), Recital 32</w:t>
            </w:r>
          </w:p>
        </w:tc>
        <w:tc>
          <w:tcPr>
            <w:tcW w:w="3776" w:type="dxa"/>
          </w:tcPr>
          <w:p w14:paraId="342A122D" w14:textId="0CDF4A74" w:rsidR="00D67FC5" w:rsidRPr="00D67FC5" w:rsidRDefault="00D67FC5" w:rsidP="0033593A">
            <w:pPr>
              <w:spacing w:before="120" w:after="120"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D67FC5">
              <w:rPr>
                <w:sz w:val="20"/>
                <w:szCs w:val="20"/>
              </w:rPr>
              <w:t>While major installations are certified, the scheme does not extend to all supply chain actors, especially those handling &lt;1,500 t/year or microenterprises.</w:t>
            </w:r>
          </w:p>
        </w:tc>
      </w:tr>
    </w:tbl>
    <w:p w14:paraId="060A6644" w14:textId="77777777" w:rsidR="0033593A" w:rsidRDefault="0033593A" w:rsidP="00784FB2">
      <w:pPr>
        <w:rPr>
          <w:sz w:val="20"/>
          <w:szCs w:val="20"/>
        </w:rPr>
      </w:pPr>
    </w:p>
    <w:p w14:paraId="602A240F" w14:textId="77777777" w:rsidR="0033593A" w:rsidRDefault="0033593A" w:rsidP="00784FB2">
      <w:pPr>
        <w:rPr>
          <w:sz w:val="20"/>
          <w:szCs w:val="20"/>
        </w:rPr>
      </w:pPr>
    </w:p>
    <w:p w14:paraId="299D82E8" w14:textId="77777777" w:rsidR="0033593A" w:rsidRDefault="0033593A" w:rsidP="00784FB2">
      <w:pPr>
        <w:rPr>
          <w:sz w:val="20"/>
          <w:szCs w:val="20"/>
        </w:rPr>
      </w:pPr>
    </w:p>
    <w:p w14:paraId="49C8C487" w14:textId="77777777" w:rsidR="00776E76" w:rsidRPr="00784FB2" w:rsidRDefault="00776E76" w:rsidP="00784FB2">
      <w:pPr>
        <w:rPr>
          <w:sz w:val="20"/>
          <w:szCs w:val="20"/>
        </w:rPr>
      </w:pPr>
    </w:p>
    <w:sectPr w:rsidR="00776E76" w:rsidRPr="00784FB2" w:rsidSect="00784FB2">
      <w:headerReference w:type="default" r:id="rId35"/>
      <w:footerReference w:type="default" r:id="rId36"/>
      <w:head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82C28" w14:textId="77777777" w:rsidR="00AC6C52" w:rsidRDefault="00AC6C52" w:rsidP="00FF368C">
      <w:pPr>
        <w:spacing w:after="0" w:line="240" w:lineRule="auto"/>
      </w:pPr>
      <w:r>
        <w:separator/>
      </w:r>
    </w:p>
  </w:endnote>
  <w:endnote w:type="continuationSeparator" w:id="0">
    <w:p w14:paraId="38BAFA63" w14:textId="77777777" w:rsidR="00AC6C52" w:rsidRDefault="00AC6C52" w:rsidP="00FF3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22702392"/>
      <w:docPartObj>
        <w:docPartGallery w:val="Page Numbers (Bottom of Page)"/>
        <w:docPartUnique/>
      </w:docPartObj>
    </w:sdtPr>
    <w:sdtContent>
      <w:sdt>
        <w:sdtPr>
          <w:rPr>
            <w:sz w:val="18"/>
            <w:szCs w:val="18"/>
          </w:rPr>
          <w:id w:val="1728636285"/>
          <w:docPartObj>
            <w:docPartGallery w:val="Page Numbers (Top of Page)"/>
            <w:docPartUnique/>
          </w:docPartObj>
        </w:sdtPr>
        <w:sdtContent>
          <w:sdt>
            <w:sdtPr>
              <w:rPr>
                <w:sz w:val="18"/>
                <w:szCs w:val="18"/>
              </w:rPr>
              <w:id w:val="1844978907"/>
              <w:docPartObj>
                <w:docPartGallery w:val="Page Numbers (Bottom of Page)"/>
                <w:docPartUnique/>
              </w:docPartObj>
            </w:sdtPr>
            <w:sdtEndPr>
              <w:rPr>
                <w:i/>
                <w:iCs/>
                <w:sz w:val="16"/>
                <w:szCs w:val="16"/>
              </w:rPr>
            </w:sdtEndPr>
            <w:sdtContent>
              <w:sdt>
                <w:sdtPr>
                  <w:rPr>
                    <w:sz w:val="18"/>
                    <w:szCs w:val="18"/>
                  </w:rPr>
                  <w:id w:val="818075723"/>
                  <w:docPartObj>
                    <w:docPartGallery w:val="Page Numbers (Top of Page)"/>
                    <w:docPartUnique/>
                  </w:docPartObj>
                </w:sdtPr>
                <w:sdtEndPr>
                  <w:rPr>
                    <w:i/>
                    <w:iCs/>
                    <w:sz w:val="16"/>
                    <w:szCs w:val="16"/>
                  </w:rPr>
                </w:sdtEndPr>
                <w:sdtContent>
                  <w:p w14:paraId="42C2994D" w14:textId="77777777" w:rsidR="002E1B99" w:rsidRPr="002E1B99" w:rsidRDefault="002E1B99" w:rsidP="002E1B99">
                    <w:pPr>
                      <w:pStyle w:val="Footer"/>
                      <w:jc w:val="cente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118"/>
                      <w:gridCol w:w="2212"/>
                    </w:tblGrid>
                    <w:tr w:rsidR="002E1B99" w:rsidRPr="002E1B99" w14:paraId="009BD13C" w14:textId="77777777" w:rsidTr="00751068">
                      <w:tc>
                        <w:tcPr>
                          <w:tcW w:w="3686" w:type="dxa"/>
                          <w:tcBorders>
                            <w:top w:val="single" w:sz="4" w:space="0" w:color="767171" w:themeColor="background2" w:themeShade="80"/>
                          </w:tcBorders>
                        </w:tcPr>
                        <w:p w14:paraId="3E80082C" w14:textId="637C9F1F" w:rsidR="002E1B99" w:rsidRPr="002E1B99" w:rsidRDefault="002E1B99" w:rsidP="002E1B99">
                          <w:pPr>
                            <w:spacing w:before="60" w:line="276" w:lineRule="auto"/>
                            <w:rPr>
                              <w:sz w:val="18"/>
                              <w:szCs w:val="18"/>
                            </w:rPr>
                          </w:pPr>
                          <w:r w:rsidRPr="002E1B99">
                            <w:rPr>
                              <w:b/>
                              <w:bCs/>
                              <w:sz w:val="18"/>
                              <w:szCs w:val="18"/>
                            </w:rPr>
                            <w:t>Project Ref</w:t>
                          </w:r>
                          <w:r>
                            <w:rPr>
                              <w:sz w:val="18"/>
                              <w:szCs w:val="18"/>
                            </w:rPr>
                            <w:t xml:space="preserve">: </w:t>
                          </w:r>
                          <w:proofErr w:type="spellStart"/>
                          <w:r>
                            <w:rPr>
                              <w:sz w:val="18"/>
                              <w:szCs w:val="18"/>
                            </w:rPr>
                            <w:t>PSP_</w:t>
                          </w:r>
                          <w:r w:rsidR="00D270AD">
                            <w:rPr>
                              <w:sz w:val="18"/>
                              <w:szCs w:val="18"/>
                            </w:rPr>
                            <w:t>0355</w:t>
                          </w:r>
                          <w:proofErr w:type="spellEnd"/>
                        </w:p>
                      </w:tc>
                      <w:tc>
                        <w:tcPr>
                          <w:tcW w:w="3118" w:type="dxa"/>
                          <w:tcBorders>
                            <w:top w:val="single" w:sz="4" w:space="0" w:color="767171" w:themeColor="background2" w:themeShade="80"/>
                          </w:tcBorders>
                        </w:tcPr>
                        <w:p w14:paraId="50C65AB9" w14:textId="7EC466DE" w:rsidR="002E1B99" w:rsidRPr="002E1B99" w:rsidRDefault="002E1B99" w:rsidP="002E1B99">
                          <w:pPr>
                            <w:spacing w:before="60" w:line="276" w:lineRule="auto"/>
                            <w:jc w:val="center"/>
                            <w:rPr>
                              <w:b/>
                              <w:bCs/>
                              <w:sz w:val="18"/>
                              <w:szCs w:val="18"/>
                            </w:rPr>
                          </w:pPr>
                        </w:p>
                      </w:tc>
                      <w:tc>
                        <w:tcPr>
                          <w:tcW w:w="2212" w:type="dxa"/>
                          <w:tcBorders>
                            <w:top w:val="single" w:sz="4" w:space="0" w:color="767171" w:themeColor="background2" w:themeShade="80"/>
                          </w:tcBorders>
                        </w:tcPr>
                        <w:p w14:paraId="649343C5" w14:textId="1CBE9589" w:rsidR="002E1B99" w:rsidRPr="002E1B99" w:rsidRDefault="002E1B99" w:rsidP="002E1B99">
                          <w:pPr>
                            <w:spacing w:before="60" w:line="276" w:lineRule="auto"/>
                            <w:jc w:val="right"/>
                            <w:rPr>
                              <w:b/>
                              <w:bCs/>
                              <w:sz w:val="18"/>
                              <w:szCs w:val="18"/>
                            </w:rPr>
                          </w:pPr>
                          <w:proofErr w:type="spellStart"/>
                          <w:r w:rsidRPr="002E1B99">
                            <w:rPr>
                              <w:b/>
                              <w:bCs/>
                              <w:sz w:val="18"/>
                              <w:szCs w:val="18"/>
                            </w:rPr>
                            <w:t>QMS06</w:t>
                          </w:r>
                          <w:r w:rsidR="00504A46">
                            <w:rPr>
                              <w:b/>
                              <w:bCs/>
                              <w:sz w:val="18"/>
                              <w:szCs w:val="18"/>
                            </w:rPr>
                            <w:t>-rev0</w:t>
                          </w:r>
                          <w:r w:rsidR="00916C11">
                            <w:rPr>
                              <w:b/>
                              <w:bCs/>
                              <w:sz w:val="18"/>
                              <w:szCs w:val="18"/>
                            </w:rPr>
                            <w:t>2</w:t>
                          </w:r>
                          <w:proofErr w:type="spellEnd"/>
                        </w:p>
                      </w:tc>
                    </w:tr>
                    <w:tr w:rsidR="002E1B99" w:rsidRPr="002E1B99" w14:paraId="4D82CBA9" w14:textId="77777777" w:rsidTr="00751068">
                      <w:tc>
                        <w:tcPr>
                          <w:tcW w:w="3686" w:type="dxa"/>
                        </w:tcPr>
                        <w:p w14:paraId="74B69727" w14:textId="5062784C" w:rsidR="002E1B99" w:rsidRPr="002E1B99" w:rsidRDefault="00D270AD" w:rsidP="002E1B99">
                          <w:pPr>
                            <w:spacing w:before="60" w:line="276" w:lineRule="auto"/>
                            <w:rPr>
                              <w:sz w:val="18"/>
                              <w:szCs w:val="18"/>
                            </w:rPr>
                          </w:pPr>
                          <w:r>
                            <w:rPr>
                              <w:sz w:val="18"/>
                              <w:szCs w:val="18"/>
                            </w:rPr>
                            <w:t xml:space="preserve">Critical Evaluation </w:t>
                          </w:r>
                          <w:r w:rsidR="00751068">
                            <w:rPr>
                              <w:sz w:val="18"/>
                              <w:szCs w:val="18"/>
                            </w:rPr>
                            <w:t xml:space="preserve">of EU Pellet Regulations </w:t>
                          </w:r>
                        </w:p>
                      </w:tc>
                      <w:tc>
                        <w:tcPr>
                          <w:tcW w:w="3118" w:type="dxa"/>
                        </w:tcPr>
                        <w:p w14:paraId="1BD1A164" w14:textId="70A91F4C" w:rsidR="002E1B99" w:rsidRPr="002E1B99" w:rsidRDefault="002E1B99" w:rsidP="002E1B99">
                          <w:pPr>
                            <w:spacing w:before="60" w:line="276" w:lineRule="auto"/>
                            <w:jc w:val="center"/>
                            <w:rPr>
                              <w:i/>
                              <w:iCs/>
                              <w:sz w:val="16"/>
                              <w:szCs w:val="16"/>
                            </w:rPr>
                          </w:pPr>
                        </w:p>
                      </w:tc>
                      <w:tc>
                        <w:tcPr>
                          <w:tcW w:w="2212" w:type="dxa"/>
                        </w:tcPr>
                        <w:p w14:paraId="54293FD6" w14:textId="14036B14" w:rsidR="002E1B99" w:rsidRPr="002E1B99" w:rsidRDefault="00504A46" w:rsidP="00504A46">
                          <w:pPr>
                            <w:spacing w:before="60" w:line="276" w:lineRule="auto"/>
                            <w:jc w:val="right"/>
                            <w:rPr>
                              <w:sz w:val="18"/>
                              <w:szCs w:val="18"/>
                            </w:rPr>
                          </w:pPr>
                          <w:r w:rsidRPr="002E1B99">
                            <w:rPr>
                              <w:sz w:val="18"/>
                              <w:szCs w:val="18"/>
                            </w:rPr>
                            <w:t xml:space="preserve">Page </w:t>
                          </w:r>
                          <w:r w:rsidRPr="002E1B99">
                            <w:rPr>
                              <w:b/>
                              <w:bCs/>
                              <w:sz w:val="18"/>
                              <w:szCs w:val="18"/>
                            </w:rPr>
                            <w:fldChar w:fldCharType="begin"/>
                          </w:r>
                          <w:r w:rsidRPr="002E1B99">
                            <w:rPr>
                              <w:b/>
                              <w:bCs/>
                              <w:sz w:val="18"/>
                              <w:szCs w:val="18"/>
                            </w:rPr>
                            <w:instrText xml:space="preserve"> PAGE  \* Arabic  \* MERGEFORMAT </w:instrText>
                          </w:r>
                          <w:r w:rsidRPr="002E1B99">
                            <w:rPr>
                              <w:b/>
                              <w:bCs/>
                              <w:sz w:val="18"/>
                              <w:szCs w:val="18"/>
                            </w:rPr>
                            <w:fldChar w:fldCharType="separate"/>
                          </w:r>
                          <w:r>
                            <w:rPr>
                              <w:b/>
                              <w:bCs/>
                              <w:sz w:val="18"/>
                              <w:szCs w:val="18"/>
                            </w:rPr>
                            <w:t>2</w:t>
                          </w:r>
                          <w:r w:rsidRPr="002E1B99">
                            <w:rPr>
                              <w:b/>
                              <w:bCs/>
                              <w:sz w:val="18"/>
                              <w:szCs w:val="18"/>
                            </w:rPr>
                            <w:fldChar w:fldCharType="end"/>
                          </w:r>
                          <w:r w:rsidRPr="002E1B99">
                            <w:rPr>
                              <w:sz w:val="18"/>
                              <w:szCs w:val="18"/>
                            </w:rPr>
                            <w:t xml:space="preserve"> of </w:t>
                          </w:r>
                          <w:r w:rsidRPr="002E1B99">
                            <w:rPr>
                              <w:b/>
                              <w:bCs/>
                              <w:sz w:val="18"/>
                              <w:szCs w:val="18"/>
                            </w:rPr>
                            <w:fldChar w:fldCharType="begin"/>
                          </w:r>
                          <w:r w:rsidRPr="002E1B99">
                            <w:rPr>
                              <w:b/>
                              <w:bCs/>
                              <w:sz w:val="18"/>
                              <w:szCs w:val="18"/>
                            </w:rPr>
                            <w:instrText xml:space="preserve"> NUMPAGES  \* Arabic  \* MERGEFORMAT </w:instrText>
                          </w:r>
                          <w:r w:rsidRPr="002E1B99">
                            <w:rPr>
                              <w:b/>
                              <w:bCs/>
                              <w:sz w:val="18"/>
                              <w:szCs w:val="18"/>
                            </w:rPr>
                            <w:fldChar w:fldCharType="separate"/>
                          </w:r>
                          <w:r>
                            <w:rPr>
                              <w:b/>
                              <w:bCs/>
                              <w:sz w:val="18"/>
                              <w:szCs w:val="18"/>
                            </w:rPr>
                            <w:t>3</w:t>
                          </w:r>
                          <w:r w:rsidRPr="002E1B99">
                            <w:rPr>
                              <w:b/>
                              <w:bCs/>
                              <w:sz w:val="18"/>
                              <w:szCs w:val="18"/>
                            </w:rPr>
                            <w:fldChar w:fldCharType="end"/>
                          </w:r>
                        </w:p>
                      </w:tc>
                    </w:tr>
                  </w:tbl>
                  <w:p w14:paraId="64DD8967" w14:textId="0ADEC425" w:rsidR="00DF1FA5" w:rsidRPr="002E1B99" w:rsidRDefault="00000000" w:rsidP="002E1B99">
                    <w:pPr>
                      <w:pStyle w:val="Footer"/>
                      <w:rPr>
                        <w:i/>
                        <w:iCs/>
                        <w:sz w:val="16"/>
                        <w:szCs w:val="16"/>
                      </w:rPr>
                    </w:pPr>
                  </w:p>
                </w:sdtContent>
              </w:sdt>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881217256"/>
      <w:docPartObj>
        <w:docPartGallery w:val="Page Numbers (Bottom of Page)"/>
        <w:docPartUnique/>
      </w:docPartObj>
    </w:sdtPr>
    <w:sdtContent>
      <w:sdt>
        <w:sdtPr>
          <w:rPr>
            <w:sz w:val="18"/>
            <w:szCs w:val="18"/>
          </w:rPr>
          <w:id w:val="1588259058"/>
          <w:docPartObj>
            <w:docPartGallery w:val="Page Numbers (Top of Page)"/>
            <w:docPartUnique/>
          </w:docPartObj>
        </w:sdtPr>
        <w:sdtContent>
          <w:sdt>
            <w:sdtPr>
              <w:rPr>
                <w:sz w:val="18"/>
                <w:szCs w:val="18"/>
              </w:rPr>
              <w:id w:val="168693448"/>
              <w:docPartObj>
                <w:docPartGallery w:val="Page Numbers (Bottom of Page)"/>
                <w:docPartUnique/>
              </w:docPartObj>
            </w:sdtPr>
            <w:sdtEndPr>
              <w:rPr>
                <w:i/>
                <w:iCs/>
                <w:sz w:val="16"/>
                <w:szCs w:val="16"/>
              </w:rPr>
            </w:sdtEndPr>
            <w:sdtContent>
              <w:sdt>
                <w:sdtPr>
                  <w:rPr>
                    <w:sz w:val="18"/>
                    <w:szCs w:val="18"/>
                  </w:rPr>
                  <w:id w:val="1372267002"/>
                  <w:docPartObj>
                    <w:docPartGallery w:val="Page Numbers (Top of Page)"/>
                    <w:docPartUnique/>
                  </w:docPartObj>
                </w:sdtPr>
                <w:sdtEndPr>
                  <w:rPr>
                    <w:i/>
                    <w:iCs/>
                    <w:sz w:val="16"/>
                    <w:szCs w:val="16"/>
                  </w:rPr>
                </w:sdtEndPr>
                <w:sdtContent>
                  <w:p w14:paraId="678A6D6D" w14:textId="77777777" w:rsidR="00784FB2" w:rsidRPr="002E1B99" w:rsidRDefault="00784FB2" w:rsidP="002E1B99">
                    <w:pPr>
                      <w:pStyle w:val="Footer"/>
                      <w:jc w:val="center"/>
                      <w:rPr>
                        <w:sz w:val="16"/>
                        <w:szCs w:val="16"/>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8788"/>
                      <w:gridCol w:w="2268"/>
                    </w:tblGrid>
                    <w:tr w:rsidR="00784FB2" w:rsidRPr="002E1B99" w14:paraId="3DEB8240" w14:textId="77777777" w:rsidTr="00F24DDC">
                      <w:tc>
                        <w:tcPr>
                          <w:tcW w:w="4395" w:type="dxa"/>
                          <w:tcBorders>
                            <w:top w:val="single" w:sz="4" w:space="0" w:color="767171" w:themeColor="background2" w:themeShade="80"/>
                          </w:tcBorders>
                        </w:tcPr>
                        <w:p w14:paraId="4494EA9B" w14:textId="77777777" w:rsidR="00784FB2" w:rsidRPr="002E1B99" w:rsidRDefault="00784FB2" w:rsidP="002E1B99">
                          <w:pPr>
                            <w:spacing w:before="60" w:line="276" w:lineRule="auto"/>
                            <w:rPr>
                              <w:sz w:val="18"/>
                              <w:szCs w:val="18"/>
                            </w:rPr>
                          </w:pPr>
                          <w:r w:rsidRPr="002E1B99">
                            <w:rPr>
                              <w:b/>
                              <w:bCs/>
                              <w:sz w:val="18"/>
                              <w:szCs w:val="18"/>
                            </w:rPr>
                            <w:t>Project Ref</w:t>
                          </w:r>
                          <w:r>
                            <w:rPr>
                              <w:sz w:val="18"/>
                              <w:szCs w:val="18"/>
                            </w:rPr>
                            <w:t xml:space="preserve">:  </w:t>
                          </w:r>
                          <w:proofErr w:type="spellStart"/>
                          <w:r>
                            <w:rPr>
                              <w:sz w:val="18"/>
                              <w:szCs w:val="18"/>
                            </w:rPr>
                            <w:t>PSP_0355</w:t>
                          </w:r>
                          <w:proofErr w:type="spellEnd"/>
                        </w:p>
                      </w:tc>
                      <w:tc>
                        <w:tcPr>
                          <w:tcW w:w="8788" w:type="dxa"/>
                          <w:tcBorders>
                            <w:top w:val="single" w:sz="4" w:space="0" w:color="767171" w:themeColor="background2" w:themeShade="80"/>
                          </w:tcBorders>
                        </w:tcPr>
                        <w:p w14:paraId="1FF90764" w14:textId="77E4820E" w:rsidR="00784FB2" w:rsidRPr="002E1B99" w:rsidRDefault="00784FB2" w:rsidP="002E1B99">
                          <w:pPr>
                            <w:spacing w:before="60" w:line="276" w:lineRule="auto"/>
                            <w:jc w:val="center"/>
                            <w:rPr>
                              <w:b/>
                              <w:bCs/>
                              <w:sz w:val="18"/>
                              <w:szCs w:val="18"/>
                            </w:rPr>
                          </w:pPr>
                        </w:p>
                      </w:tc>
                      <w:tc>
                        <w:tcPr>
                          <w:tcW w:w="2268" w:type="dxa"/>
                          <w:tcBorders>
                            <w:top w:val="single" w:sz="4" w:space="0" w:color="767171" w:themeColor="background2" w:themeShade="80"/>
                          </w:tcBorders>
                        </w:tcPr>
                        <w:p w14:paraId="2F9D3AF4" w14:textId="77777777" w:rsidR="00784FB2" w:rsidRPr="002E1B99" w:rsidRDefault="00784FB2" w:rsidP="002E1B99">
                          <w:pPr>
                            <w:spacing w:before="60" w:line="276" w:lineRule="auto"/>
                            <w:jc w:val="right"/>
                            <w:rPr>
                              <w:b/>
                              <w:bCs/>
                              <w:sz w:val="18"/>
                              <w:szCs w:val="18"/>
                            </w:rPr>
                          </w:pPr>
                          <w:proofErr w:type="spellStart"/>
                          <w:r w:rsidRPr="002E1B99">
                            <w:rPr>
                              <w:b/>
                              <w:bCs/>
                              <w:sz w:val="18"/>
                              <w:szCs w:val="18"/>
                            </w:rPr>
                            <w:t>QMS06</w:t>
                          </w:r>
                          <w:r>
                            <w:rPr>
                              <w:b/>
                              <w:bCs/>
                              <w:sz w:val="18"/>
                              <w:szCs w:val="18"/>
                            </w:rPr>
                            <w:t>-rev02</w:t>
                          </w:r>
                          <w:proofErr w:type="spellEnd"/>
                        </w:p>
                      </w:tc>
                    </w:tr>
                    <w:tr w:rsidR="00784FB2" w:rsidRPr="002E1B99" w14:paraId="3FEB3387" w14:textId="77777777" w:rsidTr="00F24DDC">
                      <w:tc>
                        <w:tcPr>
                          <w:tcW w:w="4395" w:type="dxa"/>
                        </w:tcPr>
                        <w:p w14:paraId="0EF0A267" w14:textId="3EA34D37" w:rsidR="00784FB2" w:rsidRPr="002E1B99" w:rsidRDefault="00784FB2" w:rsidP="002E1B99">
                          <w:pPr>
                            <w:spacing w:before="60" w:line="276" w:lineRule="auto"/>
                            <w:rPr>
                              <w:sz w:val="18"/>
                              <w:szCs w:val="18"/>
                            </w:rPr>
                          </w:pPr>
                          <w:r>
                            <w:rPr>
                              <w:sz w:val="18"/>
                              <w:szCs w:val="18"/>
                            </w:rPr>
                            <w:t xml:space="preserve">Critical Evaluation </w:t>
                          </w:r>
                          <w:r w:rsidR="00F24DDC">
                            <w:rPr>
                              <w:sz w:val="18"/>
                              <w:szCs w:val="18"/>
                            </w:rPr>
                            <w:t xml:space="preserve">of EU Pellet Regulations </w:t>
                          </w:r>
                        </w:p>
                      </w:tc>
                      <w:tc>
                        <w:tcPr>
                          <w:tcW w:w="8788" w:type="dxa"/>
                        </w:tcPr>
                        <w:p w14:paraId="4092F208" w14:textId="77777777" w:rsidR="00784FB2" w:rsidRPr="002E1B99" w:rsidRDefault="00784FB2" w:rsidP="002E1B99">
                          <w:pPr>
                            <w:spacing w:before="60" w:line="276" w:lineRule="auto"/>
                            <w:jc w:val="center"/>
                            <w:rPr>
                              <w:i/>
                              <w:iCs/>
                              <w:sz w:val="16"/>
                              <w:szCs w:val="16"/>
                            </w:rPr>
                          </w:pPr>
                        </w:p>
                      </w:tc>
                      <w:tc>
                        <w:tcPr>
                          <w:tcW w:w="2268" w:type="dxa"/>
                        </w:tcPr>
                        <w:p w14:paraId="605BE19D" w14:textId="77777777" w:rsidR="00784FB2" w:rsidRPr="002E1B99" w:rsidRDefault="00784FB2" w:rsidP="00504A46">
                          <w:pPr>
                            <w:spacing w:before="60" w:line="276" w:lineRule="auto"/>
                            <w:jc w:val="right"/>
                            <w:rPr>
                              <w:sz w:val="18"/>
                              <w:szCs w:val="18"/>
                            </w:rPr>
                          </w:pPr>
                          <w:r w:rsidRPr="002E1B99">
                            <w:rPr>
                              <w:sz w:val="18"/>
                              <w:szCs w:val="18"/>
                            </w:rPr>
                            <w:t xml:space="preserve">Page </w:t>
                          </w:r>
                          <w:r w:rsidRPr="002E1B99">
                            <w:rPr>
                              <w:b/>
                              <w:bCs/>
                              <w:sz w:val="18"/>
                              <w:szCs w:val="18"/>
                            </w:rPr>
                            <w:fldChar w:fldCharType="begin"/>
                          </w:r>
                          <w:r w:rsidRPr="002E1B99">
                            <w:rPr>
                              <w:b/>
                              <w:bCs/>
                              <w:sz w:val="18"/>
                              <w:szCs w:val="18"/>
                            </w:rPr>
                            <w:instrText xml:space="preserve"> PAGE  \* Arabic  \* MERGEFORMAT </w:instrText>
                          </w:r>
                          <w:r w:rsidRPr="002E1B99">
                            <w:rPr>
                              <w:b/>
                              <w:bCs/>
                              <w:sz w:val="18"/>
                              <w:szCs w:val="18"/>
                            </w:rPr>
                            <w:fldChar w:fldCharType="separate"/>
                          </w:r>
                          <w:r>
                            <w:rPr>
                              <w:b/>
                              <w:bCs/>
                              <w:sz w:val="18"/>
                              <w:szCs w:val="18"/>
                            </w:rPr>
                            <w:t>2</w:t>
                          </w:r>
                          <w:r w:rsidRPr="002E1B99">
                            <w:rPr>
                              <w:b/>
                              <w:bCs/>
                              <w:sz w:val="18"/>
                              <w:szCs w:val="18"/>
                            </w:rPr>
                            <w:fldChar w:fldCharType="end"/>
                          </w:r>
                          <w:r w:rsidRPr="002E1B99">
                            <w:rPr>
                              <w:sz w:val="18"/>
                              <w:szCs w:val="18"/>
                            </w:rPr>
                            <w:t xml:space="preserve"> of </w:t>
                          </w:r>
                          <w:r w:rsidRPr="002E1B99">
                            <w:rPr>
                              <w:b/>
                              <w:bCs/>
                              <w:sz w:val="18"/>
                              <w:szCs w:val="18"/>
                            </w:rPr>
                            <w:fldChar w:fldCharType="begin"/>
                          </w:r>
                          <w:r w:rsidRPr="002E1B99">
                            <w:rPr>
                              <w:b/>
                              <w:bCs/>
                              <w:sz w:val="18"/>
                              <w:szCs w:val="18"/>
                            </w:rPr>
                            <w:instrText xml:space="preserve"> NUMPAGES  \* Arabic  \* MERGEFORMAT </w:instrText>
                          </w:r>
                          <w:r w:rsidRPr="002E1B99">
                            <w:rPr>
                              <w:b/>
                              <w:bCs/>
                              <w:sz w:val="18"/>
                              <w:szCs w:val="18"/>
                            </w:rPr>
                            <w:fldChar w:fldCharType="separate"/>
                          </w:r>
                          <w:r>
                            <w:rPr>
                              <w:b/>
                              <w:bCs/>
                              <w:sz w:val="18"/>
                              <w:szCs w:val="18"/>
                            </w:rPr>
                            <w:t>3</w:t>
                          </w:r>
                          <w:r w:rsidRPr="002E1B99">
                            <w:rPr>
                              <w:b/>
                              <w:bCs/>
                              <w:sz w:val="18"/>
                              <w:szCs w:val="18"/>
                            </w:rPr>
                            <w:fldChar w:fldCharType="end"/>
                          </w:r>
                        </w:p>
                      </w:tc>
                    </w:tr>
                  </w:tbl>
                  <w:p w14:paraId="3D24A6AC" w14:textId="77777777" w:rsidR="00784FB2" w:rsidRPr="002E1B99" w:rsidRDefault="00000000" w:rsidP="002E1B99">
                    <w:pPr>
                      <w:pStyle w:val="Footer"/>
                      <w:rPr>
                        <w:i/>
                        <w:iCs/>
                        <w:sz w:val="16"/>
                        <w:szCs w:val="16"/>
                      </w:rPr>
                    </w:pP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39221032"/>
      <w:docPartObj>
        <w:docPartGallery w:val="Page Numbers (Bottom of Page)"/>
        <w:docPartUnique/>
      </w:docPartObj>
    </w:sdtPr>
    <w:sdtContent>
      <w:sdt>
        <w:sdtPr>
          <w:rPr>
            <w:sz w:val="18"/>
            <w:szCs w:val="18"/>
          </w:rPr>
          <w:id w:val="1831008496"/>
          <w:docPartObj>
            <w:docPartGallery w:val="Page Numbers (Top of Page)"/>
            <w:docPartUnique/>
          </w:docPartObj>
        </w:sdtPr>
        <w:sdtContent>
          <w:sdt>
            <w:sdtPr>
              <w:rPr>
                <w:sz w:val="18"/>
                <w:szCs w:val="18"/>
              </w:rPr>
              <w:id w:val="2097274607"/>
              <w:docPartObj>
                <w:docPartGallery w:val="Page Numbers (Bottom of Page)"/>
                <w:docPartUnique/>
              </w:docPartObj>
            </w:sdtPr>
            <w:sdtEndPr>
              <w:rPr>
                <w:i/>
                <w:iCs/>
                <w:sz w:val="16"/>
                <w:szCs w:val="16"/>
              </w:rPr>
            </w:sdtEndPr>
            <w:sdtContent>
              <w:sdt>
                <w:sdtPr>
                  <w:rPr>
                    <w:sz w:val="18"/>
                    <w:szCs w:val="18"/>
                  </w:rPr>
                  <w:id w:val="-776799933"/>
                  <w:docPartObj>
                    <w:docPartGallery w:val="Page Numbers (Top of Page)"/>
                    <w:docPartUnique/>
                  </w:docPartObj>
                </w:sdtPr>
                <w:sdtEndPr>
                  <w:rPr>
                    <w:i/>
                    <w:iCs/>
                    <w:sz w:val="16"/>
                    <w:szCs w:val="16"/>
                  </w:rPr>
                </w:sdtEndPr>
                <w:sdtContent>
                  <w:p w14:paraId="7D8CEBF8" w14:textId="77777777" w:rsidR="00784FB2" w:rsidRPr="002E1B99" w:rsidRDefault="00784FB2" w:rsidP="002E1B99">
                    <w:pPr>
                      <w:pStyle w:val="Footer"/>
                      <w:jc w:val="cente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35"/>
                      <w:gridCol w:w="2212"/>
                    </w:tblGrid>
                    <w:tr w:rsidR="00784FB2" w:rsidRPr="002E1B99" w14:paraId="7CB6B3F9" w14:textId="77777777" w:rsidTr="00F24DDC">
                      <w:tc>
                        <w:tcPr>
                          <w:tcW w:w="3969" w:type="dxa"/>
                          <w:tcBorders>
                            <w:top w:val="single" w:sz="4" w:space="0" w:color="767171" w:themeColor="background2" w:themeShade="80"/>
                          </w:tcBorders>
                        </w:tcPr>
                        <w:p w14:paraId="2245894C" w14:textId="20E71AA4" w:rsidR="00784FB2" w:rsidRPr="002E1B99" w:rsidRDefault="00784FB2" w:rsidP="002E1B99">
                          <w:pPr>
                            <w:spacing w:before="60" w:line="276" w:lineRule="auto"/>
                            <w:rPr>
                              <w:sz w:val="18"/>
                              <w:szCs w:val="18"/>
                            </w:rPr>
                          </w:pPr>
                          <w:r w:rsidRPr="002E1B99">
                            <w:rPr>
                              <w:b/>
                              <w:bCs/>
                              <w:sz w:val="18"/>
                              <w:szCs w:val="18"/>
                            </w:rPr>
                            <w:t>Project Ref</w:t>
                          </w:r>
                          <w:r>
                            <w:rPr>
                              <w:sz w:val="18"/>
                              <w:szCs w:val="18"/>
                            </w:rPr>
                            <w:t xml:space="preserve">: </w:t>
                          </w:r>
                          <w:proofErr w:type="spellStart"/>
                          <w:r>
                            <w:rPr>
                              <w:sz w:val="18"/>
                              <w:szCs w:val="18"/>
                            </w:rPr>
                            <w:t>PSP_0355</w:t>
                          </w:r>
                          <w:proofErr w:type="spellEnd"/>
                        </w:p>
                      </w:tc>
                      <w:tc>
                        <w:tcPr>
                          <w:tcW w:w="2835" w:type="dxa"/>
                          <w:tcBorders>
                            <w:top w:val="single" w:sz="4" w:space="0" w:color="767171" w:themeColor="background2" w:themeShade="80"/>
                          </w:tcBorders>
                        </w:tcPr>
                        <w:p w14:paraId="60B0FA5B" w14:textId="1246915D" w:rsidR="00784FB2" w:rsidRPr="002E1B99" w:rsidRDefault="00784FB2" w:rsidP="002E1B99">
                          <w:pPr>
                            <w:spacing w:before="60" w:line="276" w:lineRule="auto"/>
                            <w:jc w:val="center"/>
                            <w:rPr>
                              <w:b/>
                              <w:bCs/>
                              <w:sz w:val="18"/>
                              <w:szCs w:val="18"/>
                            </w:rPr>
                          </w:pPr>
                        </w:p>
                      </w:tc>
                      <w:tc>
                        <w:tcPr>
                          <w:tcW w:w="2212" w:type="dxa"/>
                          <w:tcBorders>
                            <w:top w:val="single" w:sz="4" w:space="0" w:color="767171" w:themeColor="background2" w:themeShade="80"/>
                          </w:tcBorders>
                        </w:tcPr>
                        <w:p w14:paraId="0081556C" w14:textId="77777777" w:rsidR="00784FB2" w:rsidRPr="002E1B99" w:rsidRDefault="00784FB2" w:rsidP="002E1B99">
                          <w:pPr>
                            <w:spacing w:before="60" w:line="276" w:lineRule="auto"/>
                            <w:jc w:val="right"/>
                            <w:rPr>
                              <w:b/>
                              <w:bCs/>
                              <w:sz w:val="18"/>
                              <w:szCs w:val="18"/>
                            </w:rPr>
                          </w:pPr>
                          <w:proofErr w:type="spellStart"/>
                          <w:r w:rsidRPr="002E1B99">
                            <w:rPr>
                              <w:b/>
                              <w:bCs/>
                              <w:sz w:val="18"/>
                              <w:szCs w:val="18"/>
                            </w:rPr>
                            <w:t>QMS06</w:t>
                          </w:r>
                          <w:r>
                            <w:rPr>
                              <w:b/>
                              <w:bCs/>
                              <w:sz w:val="18"/>
                              <w:szCs w:val="18"/>
                            </w:rPr>
                            <w:t>-rev02</w:t>
                          </w:r>
                          <w:proofErr w:type="spellEnd"/>
                        </w:p>
                      </w:tc>
                    </w:tr>
                    <w:tr w:rsidR="00784FB2" w:rsidRPr="002E1B99" w14:paraId="427357F5" w14:textId="77777777" w:rsidTr="00F24DDC">
                      <w:tc>
                        <w:tcPr>
                          <w:tcW w:w="3969" w:type="dxa"/>
                        </w:tcPr>
                        <w:p w14:paraId="082349F4" w14:textId="6C219BA5" w:rsidR="00784FB2" w:rsidRPr="002E1B99" w:rsidRDefault="00F24DDC" w:rsidP="002E1B99">
                          <w:pPr>
                            <w:spacing w:before="60" w:line="276" w:lineRule="auto"/>
                            <w:rPr>
                              <w:sz w:val="18"/>
                              <w:szCs w:val="18"/>
                            </w:rPr>
                          </w:pPr>
                          <w:r>
                            <w:rPr>
                              <w:sz w:val="18"/>
                              <w:szCs w:val="18"/>
                            </w:rPr>
                            <w:t>Critical Evaluation of EU Pellet Regulations</w:t>
                          </w:r>
                        </w:p>
                      </w:tc>
                      <w:tc>
                        <w:tcPr>
                          <w:tcW w:w="2835" w:type="dxa"/>
                        </w:tcPr>
                        <w:p w14:paraId="4CD8C346" w14:textId="77777777" w:rsidR="00784FB2" w:rsidRPr="002E1B99" w:rsidRDefault="00784FB2" w:rsidP="002E1B99">
                          <w:pPr>
                            <w:spacing w:before="60" w:line="276" w:lineRule="auto"/>
                            <w:jc w:val="center"/>
                            <w:rPr>
                              <w:i/>
                              <w:iCs/>
                              <w:sz w:val="16"/>
                              <w:szCs w:val="16"/>
                            </w:rPr>
                          </w:pPr>
                        </w:p>
                      </w:tc>
                      <w:tc>
                        <w:tcPr>
                          <w:tcW w:w="2212" w:type="dxa"/>
                        </w:tcPr>
                        <w:p w14:paraId="32C81FA9" w14:textId="77777777" w:rsidR="00784FB2" w:rsidRPr="002E1B99" w:rsidRDefault="00784FB2" w:rsidP="00504A46">
                          <w:pPr>
                            <w:spacing w:before="60" w:line="276" w:lineRule="auto"/>
                            <w:jc w:val="right"/>
                            <w:rPr>
                              <w:sz w:val="18"/>
                              <w:szCs w:val="18"/>
                            </w:rPr>
                          </w:pPr>
                          <w:r w:rsidRPr="002E1B99">
                            <w:rPr>
                              <w:sz w:val="18"/>
                              <w:szCs w:val="18"/>
                            </w:rPr>
                            <w:t xml:space="preserve">Page </w:t>
                          </w:r>
                          <w:r w:rsidRPr="002E1B99">
                            <w:rPr>
                              <w:b/>
                              <w:bCs/>
                              <w:sz w:val="18"/>
                              <w:szCs w:val="18"/>
                            </w:rPr>
                            <w:fldChar w:fldCharType="begin"/>
                          </w:r>
                          <w:r w:rsidRPr="002E1B99">
                            <w:rPr>
                              <w:b/>
                              <w:bCs/>
                              <w:sz w:val="18"/>
                              <w:szCs w:val="18"/>
                            </w:rPr>
                            <w:instrText xml:space="preserve"> PAGE  \* Arabic  \* MERGEFORMAT </w:instrText>
                          </w:r>
                          <w:r w:rsidRPr="002E1B99">
                            <w:rPr>
                              <w:b/>
                              <w:bCs/>
                              <w:sz w:val="18"/>
                              <w:szCs w:val="18"/>
                            </w:rPr>
                            <w:fldChar w:fldCharType="separate"/>
                          </w:r>
                          <w:r>
                            <w:rPr>
                              <w:b/>
                              <w:bCs/>
                              <w:sz w:val="18"/>
                              <w:szCs w:val="18"/>
                            </w:rPr>
                            <w:t>2</w:t>
                          </w:r>
                          <w:r w:rsidRPr="002E1B99">
                            <w:rPr>
                              <w:b/>
                              <w:bCs/>
                              <w:sz w:val="18"/>
                              <w:szCs w:val="18"/>
                            </w:rPr>
                            <w:fldChar w:fldCharType="end"/>
                          </w:r>
                          <w:r w:rsidRPr="002E1B99">
                            <w:rPr>
                              <w:sz w:val="18"/>
                              <w:szCs w:val="18"/>
                            </w:rPr>
                            <w:t xml:space="preserve"> of </w:t>
                          </w:r>
                          <w:r w:rsidRPr="002E1B99">
                            <w:rPr>
                              <w:b/>
                              <w:bCs/>
                              <w:sz w:val="18"/>
                              <w:szCs w:val="18"/>
                            </w:rPr>
                            <w:fldChar w:fldCharType="begin"/>
                          </w:r>
                          <w:r w:rsidRPr="002E1B99">
                            <w:rPr>
                              <w:b/>
                              <w:bCs/>
                              <w:sz w:val="18"/>
                              <w:szCs w:val="18"/>
                            </w:rPr>
                            <w:instrText xml:space="preserve"> NUMPAGES  \* Arabic  \* MERGEFORMAT </w:instrText>
                          </w:r>
                          <w:r w:rsidRPr="002E1B99">
                            <w:rPr>
                              <w:b/>
                              <w:bCs/>
                              <w:sz w:val="18"/>
                              <w:szCs w:val="18"/>
                            </w:rPr>
                            <w:fldChar w:fldCharType="separate"/>
                          </w:r>
                          <w:r>
                            <w:rPr>
                              <w:b/>
                              <w:bCs/>
                              <w:sz w:val="18"/>
                              <w:szCs w:val="18"/>
                            </w:rPr>
                            <w:t>3</w:t>
                          </w:r>
                          <w:r w:rsidRPr="002E1B99">
                            <w:rPr>
                              <w:b/>
                              <w:bCs/>
                              <w:sz w:val="18"/>
                              <w:szCs w:val="18"/>
                            </w:rPr>
                            <w:fldChar w:fldCharType="end"/>
                          </w:r>
                        </w:p>
                      </w:tc>
                    </w:tr>
                  </w:tbl>
                  <w:p w14:paraId="5E02295E" w14:textId="77777777" w:rsidR="00784FB2" w:rsidRPr="002E1B99" w:rsidRDefault="00000000" w:rsidP="002E1B99">
                    <w:pPr>
                      <w:pStyle w:val="Footer"/>
                      <w:rPr>
                        <w:i/>
                        <w:iCs/>
                        <w:sz w:val="16"/>
                        <w:szCs w:val="16"/>
                      </w:rPr>
                    </w:pPr>
                  </w:p>
                </w:sdtContent>
              </w:sdt>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94C68" w14:textId="77777777" w:rsidR="00AC6C52" w:rsidRDefault="00AC6C52" w:rsidP="00FF368C">
      <w:pPr>
        <w:spacing w:after="0" w:line="240" w:lineRule="auto"/>
      </w:pPr>
      <w:r>
        <w:separator/>
      </w:r>
    </w:p>
  </w:footnote>
  <w:footnote w:type="continuationSeparator" w:id="0">
    <w:p w14:paraId="1520FC9B" w14:textId="77777777" w:rsidR="00AC6C52" w:rsidRDefault="00AC6C52" w:rsidP="00FF368C">
      <w:pPr>
        <w:spacing w:after="0" w:line="240" w:lineRule="auto"/>
      </w:pPr>
      <w:r>
        <w:continuationSeparator/>
      </w:r>
    </w:p>
  </w:footnote>
  <w:footnote w:id="1">
    <w:p w14:paraId="5E3EF4B6" w14:textId="0EE93717" w:rsidR="00A64D52" w:rsidRDefault="00A64D52">
      <w:pPr>
        <w:pStyle w:val="FootnoteText"/>
      </w:pPr>
      <w:r w:rsidRPr="00A64D52">
        <w:rPr>
          <w:rStyle w:val="FootnoteReference"/>
          <w:sz w:val="16"/>
          <w:szCs w:val="16"/>
        </w:rPr>
        <w:footnoteRef/>
      </w:r>
      <w:r w:rsidRPr="00A64D52">
        <w:rPr>
          <w:sz w:val="16"/>
          <w:szCs w:val="16"/>
        </w:rPr>
        <w:t xml:space="preserve"> Regulation (EU) 2025/2365 of the European Parliament and of the Council of 12 November 2025 on preventing plastic pellet losses to reduce microplastic pollution, </w:t>
      </w:r>
      <w:hyperlink r:id="rId1" w:history="1">
        <w:r w:rsidRPr="00A64D52">
          <w:rPr>
            <w:rStyle w:val="Hyperlink"/>
            <w:sz w:val="16"/>
            <w:szCs w:val="16"/>
          </w:rPr>
          <w:t>https://eur-lex.europa.eu/eli/reg/2025/2365/oj/eng</w:t>
        </w:r>
      </w:hyperlink>
      <w:r w:rsidRPr="00A64D52">
        <w:rPr>
          <w:sz w:val="16"/>
          <w:szCs w:val="16"/>
        </w:rPr>
        <w:t xml:space="preserve"> </w:t>
      </w:r>
    </w:p>
  </w:footnote>
  <w:footnote w:id="2">
    <w:p w14:paraId="7CADF3F1" w14:textId="2406EC89" w:rsidR="007E10AA" w:rsidRPr="007E10AA" w:rsidRDefault="007E10AA">
      <w:pPr>
        <w:pStyle w:val="FootnoteText"/>
        <w:rPr>
          <w:sz w:val="16"/>
          <w:szCs w:val="16"/>
        </w:rPr>
      </w:pPr>
      <w:r w:rsidRPr="007E10AA">
        <w:rPr>
          <w:rStyle w:val="FootnoteReference"/>
          <w:sz w:val="16"/>
          <w:szCs w:val="16"/>
        </w:rPr>
        <w:footnoteRef/>
      </w:r>
      <w:r w:rsidRPr="007E10AA">
        <w:rPr>
          <w:sz w:val="16"/>
          <w:szCs w:val="16"/>
        </w:rPr>
        <w:t xml:space="preserve"> </w:t>
      </w:r>
      <w:hyperlink r:id="rId2" w:history="1">
        <w:r w:rsidRPr="007E10AA">
          <w:rPr>
            <w:rStyle w:val="Hyperlink"/>
            <w:sz w:val="16"/>
            <w:szCs w:val="16"/>
          </w:rPr>
          <w:t>https://www.ospar.org/documents?v=63721</w:t>
        </w:r>
      </w:hyperlink>
      <w:r w:rsidRPr="007E10AA">
        <w:rPr>
          <w:sz w:val="16"/>
          <w:szCs w:val="16"/>
        </w:rPr>
        <w:t xml:space="preserve"> </w:t>
      </w:r>
    </w:p>
  </w:footnote>
  <w:footnote w:id="3">
    <w:p w14:paraId="1507B68B" w14:textId="6A5042BA" w:rsidR="007A5E5F" w:rsidRDefault="007A5E5F">
      <w:pPr>
        <w:pStyle w:val="FootnoteText"/>
      </w:pPr>
      <w:r>
        <w:rPr>
          <w:rStyle w:val="FootnoteReference"/>
        </w:rPr>
        <w:footnoteRef/>
      </w:r>
      <w:r>
        <w:t xml:space="preserve"> </w:t>
      </w:r>
      <w:hyperlink r:id="rId3" w:history="1">
        <w:r w:rsidRPr="00C26597">
          <w:rPr>
            <w:rStyle w:val="Hyperlink"/>
          </w:rPr>
          <w:t>https://environment.ec.europa.eu/strategy/zero-pollution-action-plan_en</w:t>
        </w:r>
      </w:hyperlink>
      <w:r>
        <w:t xml:space="preserve"> </w:t>
      </w:r>
    </w:p>
  </w:footnote>
  <w:footnote w:id="4">
    <w:p w14:paraId="1E807C6F" w14:textId="67541129" w:rsidR="00732CEA" w:rsidRPr="00732CEA" w:rsidRDefault="00732CEA">
      <w:pPr>
        <w:pStyle w:val="FootnoteText"/>
        <w:rPr>
          <w:sz w:val="16"/>
          <w:szCs w:val="16"/>
        </w:rPr>
      </w:pPr>
      <w:r w:rsidRPr="00732CEA">
        <w:rPr>
          <w:rStyle w:val="FootnoteReference"/>
          <w:sz w:val="16"/>
          <w:szCs w:val="16"/>
        </w:rPr>
        <w:footnoteRef/>
      </w:r>
      <w:r w:rsidRPr="00732CEA">
        <w:rPr>
          <w:sz w:val="16"/>
          <w:szCs w:val="16"/>
        </w:rPr>
        <w:t xml:space="preserve"> Regulation (EU) No 1025/2012 of the European Parliament and of the Council of 25 October 2012 on European standardisation, amending Council Directives 89/686/EEC and 93/15/EEC and Directives 94/9/EC, 94/25/EC, 95/16/EC, 97/23/EC, 98/34/EC, 2004/22/EC, 2007/23/EC, 2009/23/EC and 2009/105/EC of the European Parliament and of the Council and repealing Council Decision 87/95/EEC and Decision No 1673/2006/EC of the European Parliament and of the Council Text with EEA relevance</w:t>
      </w:r>
      <w:r>
        <w:rPr>
          <w:sz w:val="16"/>
          <w:szCs w:val="16"/>
        </w:rPr>
        <w:t xml:space="preserve">, </w:t>
      </w:r>
      <w:hyperlink r:id="rId4" w:history="1">
        <w:r w:rsidRPr="00803BF7">
          <w:rPr>
            <w:rStyle w:val="Hyperlink"/>
            <w:sz w:val="16"/>
            <w:szCs w:val="16"/>
          </w:rPr>
          <w:t>https://eur-lex.europa.eu/eli/reg/2012/1025/oj/eng</w:t>
        </w:r>
      </w:hyperlink>
      <w:r>
        <w:rPr>
          <w:sz w:val="16"/>
          <w:szCs w:val="16"/>
        </w:rPr>
        <w:t xml:space="preserve"> </w:t>
      </w:r>
    </w:p>
  </w:footnote>
  <w:footnote w:id="5">
    <w:p w14:paraId="2387CA29" w14:textId="77777777" w:rsidR="00A87D65" w:rsidRDefault="00A87D65" w:rsidP="00A87D65">
      <w:pPr>
        <w:pStyle w:val="FootnoteText"/>
      </w:pPr>
      <w:r>
        <w:rPr>
          <w:rStyle w:val="FootnoteReference"/>
        </w:rPr>
        <w:footnoteRef/>
      </w:r>
      <w:r>
        <w:t xml:space="preserve"> </w:t>
      </w:r>
      <w:r w:rsidRPr="004F72EB">
        <w:rPr>
          <w:sz w:val="16"/>
          <w:szCs w:val="16"/>
        </w:rPr>
        <w:t>Regulation (EU) No 1025/2012 of the European Parliament and of the Council of 25 October 2012 on European standardisation, amending Council Directives 89/686/EEC and 93/15/EEC and Directives 94/9/EC, 94/25/EC, 95/16/EC, 97/23/EC, 98/34/EC, 2004/22/EC, 2007/23/EC, 2009/23/EC and 2009/105/EC of the European Parliament and of the Council and repealing Council Decision 87/95/EEC and Decision No 1673/2006/EC of the European Parliament and of the Council Text with EEA relevance</w:t>
      </w:r>
      <w:r>
        <w:rPr>
          <w:sz w:val="16"/>
          <w:szCs w:val="16"/>
        </w:rPr>
        <w:t xml:space="preserve">, </w:t>
      </w:r>
      <w:hyperlink r:id="rId5" w:history="1">
        <w:r w:rsidRPr="00803BF7">
          <w:rPr>
            <w:rStyle w:val="Hyperlink"/>
            <w:sz w:val="16"/>
            <w:szCs w:val="16"/>
          </w:rPr>
          <w:t>https://eur-lex.europa.eu/eli/reg/2012/1025/oj</w:t>
        </w:r>
      </w:hyperlink>
      <w:r>
        <w:rPr>
          <w:sz w:val="16"/>
          <w:szCs w:val="16"/>
        </w:rPr>
        <w:t xml:space="preserve"> </w:t>
      </w:r>
    </w:p>
  </w:footnote>
  <w:footnote w:id="6">
    <w:p w14:paraId="42FDD4C3" w14:textId="042DF2D7" w:rsidR="00ED7E23" w:rsidRPr="00275C7B" w:rsidRDefault="00ED7E23">
      <w:pPr>
        <w:pStyle w:val="FootnoteText"/>
        <w:rPr>
          <w:sz w:val="16"/>
          <w:szCs w:val="16"/>
        </w:rPr>
      </w:pPr>
      <w:r w:rsidRPr="00275C7B">
        <w:rPr>
          <w:rStyle w:val="FootnoteReference"/>
          <w:sz w:val="16"/>
          <w:szCs w:val="16"/>
        </w:rPr>
        <w:footnoteRef/>
      </w:r>
      <w:r w:rsidRPr="00275C7B">
        <w:rPr>
          <w:sz w:val="16"/>
          <w:szCs w:val="16"/>
        </w:rPr>
        <w:t xml:space="preserve"> Regulation (EC) No 765/2008 of the European Parliament and of the Council of 9 July 2008 setting out the requirements for accreditation and market surveillance relating to the marketing of products and repealing Regulation (EEC) No 339/93 (Text with EEA relevance), </w:t>
      </w:r>
      <w:hyperlink r:id="rId6" w:history="1">
        <w:r w:rsidRPr="00275C7B">
          <w:rPr>
            <w:rStyle w:val="Hyperlink"/>
            <w:sz w:val="16"/>
            <w:szCs w:val="16"/>
          </w:rPr>
          <w:t>https://eur-lex.europa.eu/eli/reg/2008/765/oj</w:t>
        </w:r>
      </w:hyperlink>
      <w:r w:rsidRPr="00275C7B">
        <w:rPr>
          <w:sz w:val="16"/>
          <w:szCs w:val="16"/>
        </w:rPr>
        <w:t xml:space="preserve"> </w:t>
      </w:r>
    </w:p>
  </w:footnote>
  <w:footnote w:id="7">
    <w:p w14:paraId="28AF96C2" w14:textId="14F1F5C3" w:rsidR="00275C7B" w:rsidRPr="00275C7B" w:rsidRDefault="00275C7B" w:rsidP="00275C7B">
      <w:pPr>
        <w:pStyle w:val="FootnoteText"/>
        <w:rPr>
          <w:sz w:val="16"/>
          <w:szCs w:val="16"/>
        </w:rPr>
      </w:pPr>
      <w:r w:rsidRPr="00275C7B">
        <w:rPr>
          <w:rStyle w:val="FootnoteReference"/>
          <w:sz w:val="16"/>
          <w:szCs w:val="16"/>
        </w:rPr>
        <w:footnoteRef/>
      </w:r>
      <w:r w:rsidRPr="00275C7B">
        <w:rPr>
          <w:sz w:val="16"/>
          <w:szCs w:val="16"/>
        </w:rPr>
        <w:t xml:space="preserve"> Regulation (EC) No 1221/2009 of the European Parliament and of the Council of 25 November 2009 on the voluntary participation by organisations in a Community eco-management and audit scheme (EMAS), repealing Regulation (EC) No  761/2001 and Commission Decisions 2001/681/EC and  2006/193/EC</w:t>
      </w:r>
      <w:r>
        <w:rPr>
          <w:sz w:val="16"/>
          <w:szCs w:val="16"/>
        </w:rPr>
        <w:t xml:space="preserve">, </w:t>
      </w:r>
      <w:hyperlink r:id="rId7" w:history="1">
        <w:r w:rsidRPr="00803BF7">
          <w:rPr>
            <w:rStyle w:val="Hyperlink"/>
            <w:sz w:val="16"/>
            <w:szCs w:val="16"/>
          </w:rPr>
          <w:t>https://eur-lex.europa.eu/legal-content/EN/TXT/PDF/?uri=CELEX:32009R1221</w:t>
        </w:r>
      </w:hyperlink>
      <w:r>
        <w:rPr>
          <w:sz w:val="16"/>
          <w:szCs w:val="16"/>
        </w:rPr>
        <w:t xml:space="preserve"> </w:t>
      </w:r>
    </w:p>
  </w:footnote>
  <w:footnote w:id="8">
    <w:p w14:paraId="44D5A638" w14:textId="2F2C925C" w:rsidR="002D3E13" w:rsidRPr="009D5287" w:rsidRDefault="002D3E13">
      <w:pPr>
        <w:pStyle w:val="FootnoteText"/>
        <w:rPr>
          <w:sz w:val="16"/>
          <w:szCs w:val="16"/>
        </w:rPr>
      </w:pPr>
      <w:r w:rsidRPr="009D5287">
        <w:rPr>
          <w:rStyle w:val="FootnoteReference"/>
          <w:sz w:val="16"/>
          <w:szCs w:val="16"/>
        </w:rPr>
        <w:footnoteRef/>
      </w:r>
      <w:r w:rsidRPr="009D5287">
        <w:rPr>
          <w:sz w:val="16"/>
          <w:szCs w:val="16"/>
        </w:rPr>
        <w:t xml:space="preserve"> Regulation (EC) No 765/2008 of the European Parliament and of the Council of 9 July 2008 setting out the requirements for accreditation and market surveillance relating to the marketing of products and repealing Regulation (EEC) No 339/93 (Text with EEA relevance), </w:t>
      </w:r>
      <w:hyperlink r:id="rId8" w:history="1">
        <w:r w:rsidRPr="009D5287">
          <w:rPr>
            <w:rStyle w:val="Hyperlink"/>
            <w:sz w:val="16"/>
            <w:szCs w:val="16"/>
          </w:rPr>
          <w:t>https://eur-lex.europa.eu/eli/reg/2008/765/oj/eng</w:t>
        </w:r>
      </w:hyperlink>
      <w:r w:rsidRPr="009D5287">
        <w:rPr>
          <w:sz w:val="16"/>
          <w:szCs w:val="16"/>
        </w:rPr>
        <w:t xml:space="preserve"> </w:t>
      </w:r>
    </w:p>
  </w:footnote>
  <w:footnote w:id="9">
    <w:p w14:paraId="58CCEB68" w14:textId="48F67A62" w:rsidR="009D5287" w:rsidRDefault="009D5287">
      <w:pPr>
        <w:pStyle w:val="FootnoteText"/>
      </w:pPr>
      <w:r w:rsidRPr="009D5287">
        <w:rPr>
          <w:rStyle w:val="FootnoteReference"/>
          <w:sz w:val="16"/>
          <w:szCs w:val="16"/>
        </w:rPr>
        <w:footnoteRef/>
      </w:r>
      <w:r w:rsidRPr="009D5287">
        <w:rPr>
          <w:sz w:val="16"/>
          <w:szCs w:val="16"/>
        </w:rPr>
        <w:t xml:space="preserve"> Regulation (EC) No 1221/2009 of the European Parliament and of the Council of 25 November 2009 on the voluntary participation by organisations in a Community eco-management and audit scheme (EMAS), repealing Regulation (EC) No 761/2001 and Commission Decisions 2001/681/EC and 2006/193/EC, </w:t>
      </w:r>
      <w:hyperlink r:id="rId9" w:history="1">
        <w:r w:rsidRPr="009D5287">
          <w:rPr>
            <w:rStyle w:val="Hyperlink"/>
            <w:sz w:val="16"/>
            <w:szCs w:val="16"/>
          </w:rPr>
          <w:t>https://eur-lex.europa.eu/eli/reg/2009/1221/oj/eng</w:t>
        </w:r>
      </w:hyperlink>
      <w:r>
        <w:rPr>
          <w:b/>
          <w:bCs/>
        </w:rPr>
        <w:t xml:space="preserve"> </w:t>
      </w:r>
    </w:p>
  </w:footnote>
  <w:footnote w:id="10">
    <w:p w14:paraId="521252CA" w14:textId="5FDFF313" w:rsidR="00EA4466" w:rsidRPr="00EA4466" w:rsidRDefault="00EA4466">
      <w:pPr>
        <w:pStyle w:val="FootnoteText"/>
        <w:rPr>
          <w:sz w:val="16"/>
          <w:szCs w:val="16"/>
        </w:rPr>
      </w:pPr>
      <w:r w:rsidRPr="00EA4466">
        <w:rPr>
          <w:rStyle w:val="FootnoteReference"/>
          <w:sz w:val="16"/>
          <w:szCs w:val="16"/>
        </w:rPr>
        <w:footnoteRef/>
      </w:r>
      <w:r w:rsidRPr="00EA4466">
        <w:rPr>
          <w:sz w:val="16"/>
          <w:szCs w:val="16"/>
        </w:rPr>
        <w:t xml:space="preserve"> </w:t>
      </w:r>
      <w:hyperlink r:id="rId10" w:history="1">
        <w:r w:rsidRPr="00EA4466">
          <w:rPr>
            <w:rStyle w:val="Hyperlink"/>
            <w:sz w:val="16"/>
            <w:szCs w:val="16"/>
          </w:rPr>
          <w:t>https://mobilityforesights.com/product/europe-polymer-compounding-masterbatch-market</w:t>
        </w:r>
      </w:hyperlink>
      <w:r w:rsidRPr="00EA4466">
        <w:rPr>
          <w:sz w:val="16"/>
          <w:szCs w:val="16"/>
        </w:rPr>
        <w:t xml:space="preserve"> </w:t>
      </w:r>
    </w:p>
  </w:footnote>
  <w:footnote w:id="11">
    <w:p w14:paraId="04D11842" w14:textId="46006343" w:rsidR="0083757F" w:rsidRPr="00EA4466" w:rsidRDefault="0083757F">
      <w:pPr>
        <w:pStyle w:val="FootnoteText"/>
        <w:rPr>
          <w:sz w:val="16"/>
          <w:szCs w:val="16"/>
        </w:rPr>
      </w:pPr>
      <w:r w:rsidRPr="00EA4466">
        <w:rPr>
          <w:rStyle w:val="FootnoteReference"/>
          <w:sz w:val="16"/>
          <w:szCs w:val="16"/>
        </w:rPr>
        <w:footnoteRef/>
      </w:r>
      <w:r w:rsidRPr="00EA4466">
        <w:rPr>
          <w:sz w:val="16"/>
          <w:szCs w:val="16"/>
        </w:rPr>
        <w:t xml:space="preserve"> </w:t>
      </w:r>
      <w:hyperlink r:id="rId11" w:history="1">
        <w:r w:rsidRPr="00EA4466">
          <w:rPr>
            <w:rStyle w:val="Hyperlink"/>
            <w:sz w:val="16"/>
            <w:szCs w:val="16"/>
          </w:rPr>
          <w:t>https://plasticseurope.org/wp-content/uploads/2025/09/PE_TheFacts_25_digital-1pager-scrollable.pdf</w:t>
        </w:r>
      </w:hyperlink>
      <w:r w:rsidRPr="00EA4466">
        <w:rPr>
          <w:sz w:val="16"/>
          <w:szCs w:val="16"/>
        </w:rPr>
        <w:t xml:space="preserve"> </w:t>
      </w:r>
    </w:p>
  </w:footnote>
  <w:footnote w:id="12">
    <w:p w14:paraId="0BD93978" w14:textId="0FE7A8B8" w:rsidR="0083757F" w:rsidRPr="00EA4466" w:rsidRDefault="0083757F">
      <w:pPr>
        <w:pStyle w:val="FootnoteText"/>
        <w:rPr>
          <w:sz w:val="16"/>
          <w:szCs w:val="16"/>
        </w:rPr>
      </w:pPr>
      <w:r w:rsidRPr="00EA4466">
        <w:rPr>
          <w:rStyle w:val="FootnoteReference"/>
          <w:sz w:val="16"/>
          <w:szCs w:val="16"/>
        </w:rPr>
        <w:footnoteRef/>
      </w:r>
      <w:r w:rsidRPr="00EA4466">
        <w:rPr>
          <w:sz w:val="16"/>
          <w:szCs w:val="16"/>
        </w:rPr>
        <w:t xml:space="preserve"> </w:t>
      </w:r>
      <w:hyperlink r:id="rId12" w:history="1">
        <w:r w:rsidRPr="00EA4466">
          <w:rPr>
            <w:rStyle w:val="Hyperlink"/>
            <w:sz w:val="16"/>
            <w:szCs w:val="16"/>
          </w:rPr>
          <w:t>https://www.plasticsrecyclers.eu/wp-content/uploads/2024/11/Plastics-Recycling-Industry-Figures_2023.pdf</w:t>
        </w:r>
      </w:hyperlink>
      <w:r w:rsidRPr="00EA4466">
        <w:rPr>
          <w:sz w:val="16"/>
          <w:szCs w:val="16"/>
        </w:rPr>
        <w:t xml:space="preserve"> </w:t>
      </w:r>
    </w:p>
  </w:footnote>
  <w:footnote w:id="13">
    <w:p w14:paraId="2FEA4A05" w14:textId="2CDC855D" w:rsidR="009910DC" w:rsidRPr="00EA4466" w:rsidRDefault="009910DC">
      <w:pPr>
        <w:pStyle w:val="FootnoteText"/>
        <w:rPr>
          <w:sz w:val="16"/>
          <w:szCs w:val="16"/>
        </w:rPr>
      </w:pPr>
      <w:r w:rsidRPr="00EA4466">
        <w:rPr>
          <w:rStyle w:val="FootnoteReference"/>
          <w:sz w:val="16"/>
          <w:szCs w:val="16"/>
        </w:rPr>
        <w:footnoteRef/>
      </w:r>
      <w:r w:rsidRPr="00EA4466">
        <w:rPr>
          <w:sz w:val="16"/>
          <w:szCs w:val="16"/>
        </w:rPr>
        <w:t xml:space="preserve"> </w:t>
      </w:r>
      <w:hyperlink r:id="rId13" w:history="1">
        <w:r w:rsidRPr="00EA4466">
          <w:rPr>
            <w:rStyle w:val="Hyperlink"/>
            <w:sz w:val="16"/>
            <w:szCs w:val="16"/>
          </w:rPr>
          <w:t>https://www.plasticsrecyclers.eu/wp-content/uploads/2024/11/Plastics-Recycling-Industry-Figures_2023.pdf</w:t>
        </w:r>
      </w:hyperlink>
    </w:p>
  </w:footnote>
  <w:footnote w:id="14">
    <w:p w14:paraId="0A7F861A" w14:textId="576FD1E8" w:rsidR="0074087F" w:rsidRPr="00E976F4" w:rsidRDefault="0074087F">
      <w:pPr>
        <w:pStyle w:val="FootnoteText"/>
        <w:rPr>
          <w:sz w:val="16"/>
          <w:szCs w:val="16"/>
        </w:rPr>
      </w:pPr>
      <w:r w:rsidRPr="00E976F4">
        <w:rPr>
          <w:rStyle w:val="FootnoteReference"/>
          <w:sz w:val="16"/>
          <w:szCs w:val="16"/>
        </w:rPr>
        <w:footnoteRef/>
      </w:r>
      <w:r w:rsidRPr="00E976F4">
        <w:rPr>
          <w:sz w:val="16"/>
          <w:szCs w:val="16"/>
        </w:rPr>
        <w:t xml:space="preserve"> </w:t>
      </w:r>
      <w:hyperlink r:id="rId14" w:history="1">
        <w:r w:rsidRPr="00E976F4">
          <w:rPr>
            <w:rStyle w:val="Hyperlink"/>
            <w:sz w:val="16"/>
            <w:szCs w:val="16"/>
          </w:rPr>
          <w:t>https://ecta.com/wp-content/uploads/2026/01/ECTA-Annual-Report-2024-25-final.pdf</w:t>
        </w:r>
      </w:hyperlink>
      <w:r w:rsidRPr="00E976F4">
        <w:rPr>
          <w:sz w:val="16"/>
          <w:szCs w:val="16"/>
        </w:rPr>
        <w:t xml:space="preserve"> </w:t>
      </w:r>
    </w:p>
  </w:footnote>
  <w:footnote w:id="15">
    <w:p w14:paraId="1AE7BA4E" w14:textId="7257E299" w:rsidR="00E976F4" w:rsidRDefault="00E976F4">
      <w:pPr>
        <w:pStyle w:val="FootnoteText"/>
      </w:pPr>
      <w:r w:rsidRPr="00E976F4">
        <w:rPr>
          <w:rStyle w:val="FootnoteReference"/>
          <w:sz w:val="16"/>
          <w:szCs w:val="16"/>
        </w:rPr>
        <w:footnoteRef/>
      </w:r>
      <w:r w:rsidRPr="00E976F4">
        <w:rPr>
          <w:sz w:val="16"/>
          <w:szCs w:val="16"/>
        </w:rPr>
        <w:t xml:space="preserve"> </w:t>
      </w:r>
      <w:hyperlink r:id="rId15" w:history="1">
        <w:r w:rsidRPr="00E976F4">
          <w:rPr>
            <w:rStyle w:val="Hyperlink"/>
            <w:sz w:val="16"/>
            <w:szCs w:val="16"/>
          </w:rPr>
          <w:t>https://packagingeurope.com/news/stricter-eu-rules-for-transporting-plastic-pellets-seek-to-prevent-pollution/12722.article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C9657" w14:textId="2D6B2F75" w:rsidR="00D14D02" w:rsidRDefault="003C1F54" w:rsidP="00D14D02">
    <w:pPr>
      <w:pStyle w:val="Header"/>
      <w:jc w:val="right"/>
    </w:pPr>
    <w:r>
      <w:rPr>
        <w:noProof/>
      </w:rPr>
      <w:drawing>
        <wp:inline distT="0" distB="0" distL="0" distR="0" wp14:anchorId="70B8A364" wp14:editId="0815056D">
          <wp:extent cx="5859247" cy="31051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9247" cy="310512"/>
                  </a:xfrm>
                  <a:prstGeom prst="rect">
                    <a:avLst/>
                  </a:prstGeom>
                  <a:noFill/>
                </pic:spPr>
              </pic:pic>
            </a:graphicData>
          </a:graphic>
        </wp:inline>
      </w:drawing>
    </w:r>
  </w:p>
  <w:p w14:paraId="04085F9E" w14:textId="77777777" w:rsidR="00BC1B53" w:rsidRDefault="00BC1B53" w:rsidP="00D14D0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5F71" w14:textId="53D6C2D7" w:rsidR="003C1F54" w:rsidRDefault="003C1F54" w:rsidP="003C1F5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F924" w14:textId="77777777" w:rsidR="00784FB2" w:rsidRDefault="00784FB2" w:rsidP="00D14D02">
    <w:pPr>
      <w:pStyle w:val="Header"/>
      <w:jc w:val="right"/>
    </w:pPr>
    <w:r>
      <w:rPr>
        <w:noProof/>
      </w:rPr>
      <w:drawing>
        <wp:inline distT="0" distB="0" distL="0" distR="0" wp14:anchorId="5DF4503E" wp14:editId="0101ECCB">
          <wp:extent cx="9676371" cy="512801"/>
          <wp:effectExtent l="0" t="0" r="0" b="1905"/>
          <wp:docPr id="572855955" name="Picture 57285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0142" cy="530489"/>
                  </a:xfrm>
                  <a:prstGeom prst="rect">
                    <a:avLst/>
                  </a:prstGeom>
                  <a:noFill/>
                </pic:spPr>
              </pic:pic>
            </a:graphicData>
          </a:graphic>
        </wp:inline>
      </w:drawing>
    </w:r>
  </w:p>
  <w:p w14:paraId="0FE1A143" w14:textId="77777777" w:rsidR="00784FB2" w:rsidRDefault="00784FB2" w:rsidP="00D14D0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680C" w14:textId="77777777" w:rsidR="00784FB2" w:rsidRDefault="00784FB2" w:rsidP="003C1F5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6B8E" w14:textId="77777777" w:rsidR="00784FB2" w:rsidRDefault="00784FB2" w:rsidP="00D14D02">
    <w:pPr>
      <w:pStyle w:val="Header"/>
      <w:jc w:val="right"/>
    </w:pPr>
    <w:r>
      <w:rPr>
        <w:noProof/>
      </w:rPr>
      <w:drawing>
        <wp:inline distT="0" distB="0" distL="0" distR="0" wp14:anchorId="116B52AB" wp14:editId="5D4F3533">
          <wp:extent cx="5859247" cy="310512"/>
          <wp:effectExtent l="0" t="0" r="0" b="0"/>
          <wp:docPr id="1604247487" name="Picture 1604247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9247" cy="310512"/>
                  </a:xfrm>
                  <a:prstGeom prst="rect">
                    <a:avLst/>
                  </a:prstGeom>
                  <a:noFill/>
                </pic:spPr>
              </pic:pic>
            </a:graphicData>
          </a:graphic>
        </wp:inline>
      </w:drawing>
    </w:r>
  </w:p>
  <w:p w14:paraId="2EA1D4BE" w14:textId="77777777" w:rsidR="00784FB2" w:rsidRDefault="00784FB2" w:rsidP="00D14D0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576FF" w14:textId="77777777" w:rsidR="00784FB2" w:rsidRDefault="00784FB2" w:rsidP="003C1F5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D6A"/>
    <w:multiLevelType w:val="hybridMultilevel"/>
    <w:tmpl w:val="4B30C1AA"/>
    <w:lvl w:ilvl="0" w:tplc="C1F2F1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27DE1"/>
    <w:multiLevelType w:val="hybridMultilevel"/>
    <w:tmpl w:val="C73039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65374"/>
    <w:multiLevelType w:val="hybridMultilevel"/>
    <w:tmpl w:val="C6AE92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4A7FAD"/>
    <w:multiLevelType w:val="hybridMultilevel"/>
    <w:tmpl w:val="C26431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2E1C1D"/>
    <w:multiLevelType w:val="hybridMultilevel"/>
    <w:tmpl w:val="ADAE7202"/>
    <w:lvl w:ilvl="0" w:tplc="52F26B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42CEF"/>
    <w:multiLevelType w:val="hybridMultilevel"/>
    <w:tmpl w:val="2348C662"/>
    <w:lvl w:ilvl="0" w:tplc="E3D85AF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235ED4"/>
    <w:multiLevelType w:val="hybridMultilevel"/>
    <w:tmpl w:val="69E039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B66F05"/>
    <w:multiLevelType w:val="hybridMultilevel"/>
    <w:tmpl w:val="D570C9E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2C3245"/>
    <w:multiLevelType w:val="multilevel"/>
    <w:tmpl w:val="C45A6792"/>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52E4D48"/>
    <w:multiLevelType w:val="hybridMultilevel"/>
    <w:tmpl w:val="08DE73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C3053"/>
    <w:multiLevelType w:val="hybridMultilevel"/>
    <w:tmpl w:val="53BCC0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405478"/>
    <w:multiLevelType w:val="hybridMultilevel"/>
    <w:tmpl w:val="918897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A62745"/>
    <w:multiLevelType w:val="hybridMultilevel"/>
    <w:tmpl w:val="7C5C79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D669AD"/>
    <w:multiLevelType w:val="hybridMultilevel"/>
    <w:tmpl w:val="C584F10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EA30C81"/>
    <w:multiLevelType w:val="hybridMultilevel"/>
    <w:tmpl w:val="E5C2F6A0"/>
    <w:lvl w:ilvl="0" w:tplc="1F08CC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69320A"/>
    <w:multiLevelType w:val="hybridMultilevel"/>
    <w:tmpl w:val="E88E2EE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1876DF"/>
    <w:multiLevelType w:val="hybridMultilevel"/>
    <w:tmpl w:val="5A6C6F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0E93E6C"/>
    <w:multiLevelType w:val="hybridMultilevel"/>
    <w:tmpl w:val="8006023C"/>
    <w:lvl w:ilvl="0" w:tplc="0C5A5C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1F326E6"/>
    <w:multiLevelType w:val="hybridMultilevel"/>
    <w:tmpl w:val="040C7D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A86613"/>
    <w:multiLevelType w:val="hybridMultilevel"/>
    <w:tmpl w:val="8DCE90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5A6C9B"/>
    <w:multiLevelType w:val="hybridMultilevel"/>
    <w:tmpl w:val="A5B6B2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960A6A"/>
    <w:multiLevelType w:val="hybridMultilevel"/>
    <w:tmpl w:val="553E933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B14F27"/>
    <w:multiLevelType w:val="hybridMultilevel"/>
    <w:tmpl w:val="B114CF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0E6B07"/>
    <w:multiLevelType w:val="hybridMultilevel"/>
    <w:tmpl w:val="310051B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F6B5ACA"/>
    <w:multiLevelType w:val="hybridMultilevel"/>
    <w:tmpl w:val="72580B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DF31F9"/>
    <w:multiLevelType w:val="hybridMultilevel"/>
    <w:tmpl w:val="928A52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212191D"/>
    <w:multiLevelType w:val="hybridMultilevel"/>
    <w:tmpl w:val="5C5CC6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0A6062"/>
    <w:multiLevelType w:val="hybridMultilevel"/>
    <w:tmpl w:val="CD9A3F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8E2606"/>
    <w:multiLevelType w:val="hybridMultilevel"/>
    <w:tmpl w:val="D86E84C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99B236A"/>
    <w:multiLevelType w:val="hybridMultilevel"/>
    <w:tmpl w:val="9C4A49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263A2"/>
    <w:multiLevelType w:val="hybridMultilevel"/>
    <w:tmpl w:val="17B4AC0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FC24217"/>
    <w:multiLevelType w:val="hybridMultilevel"/>
    <w:tmpl w:val="7686607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0A36D58"/>
    <w:multiLevelType w:val="hybridMultilevel"/>
    <w:tmpl w:val="1E0C24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8850E7"/>
    <w:multiLevelType w:val="hybridMultilevel"/>
    <w:tmpl w:val="EFF63A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824620B"/>
    <w:multiLevelType w:val="hybridMultilevel"/>
    <w:tmpl w:val="F8C893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875586"/>
    <w:multiLevelType w:val="hybridMultilevel"/>
    <w:tmpl w:val="9F18D8A2"/>
    <w:lvl w:ilvl="0" w:tplc="3258B1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DA909DF"/>
    <w:multiLevelType w:val="hybridMultilevel"/>
    <w:tmpl w:val="D62287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774967"/>
    <w:multiLevelType w:val="hybridMultilevel"/>
    <w:tmpl w:val="548E48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0452E37"/>
    <w:multiLevelType w:val="hybridMultilevel"/>
    <w:tmpl w:val="682CD4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05F1228"/>
    <w:multiLevelType w:val="multilevel"/>
    <w:tmpl w:val="8A40419C"/>
    <w:lvl w:ilvl="0">
      <w:start w:val="1"/>
      <w:numFmt w:val="decimal"/>
      <w:lvlText w:val="%1."/>
      <w:lvlJc w:val="left"/>
      <w:pPr>
        <w:ind w:left="360" w:hanging="360"/>
      </w:pPr>
      <w:rPr>
        <w:rFonts w:hint="default"/>
      </w:rPr>
    </w:lvl>
    <w:lvl w:ilvl="1">
      <w:start w:val="1"/>
      <w:numFmt w:val="decimal"/>
      <w:pStyle w:val="Heading02"/>
      <w:isLgl/>
      <w:lvlText w:val="%1.%2"/>
      <w:lvlJc w:val="left"/>
      <w:pPr>
        <w:ind w:left="360" w:hanging="360"/>
      </w:pPr>
      <w:rPr>
        <w:rFonts w:hint="default"/>
      </w:rPr>
    </w:lvl>
    <w:lvl w:ilvl="2">
      <w:start w:val="1"/>
      <w:numFmt w:val="decimal"/>
      <w:pStyle w:val="heading0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 w15:restartNumberingAfterBreak="0">
    <w:nsid w:val="53232DD7"/>
    <w:multiLevelType w:val="hybridMultilevel"/>
    <w:tmpl w:val="7AD48C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6607550"/>
    <w:multiLevelType w:val="hybridMultilevel"/>
    <w:tmpl w:val="B7AE12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0D0F91"/>
    <w:multiLevelType w:val="hybridMultilevel"/>
    <w:tmpl w:val="CF906E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781F09"/>
    <w:multiLevelType w:val="hybridMultilevel"/>
    <w:tmpl w:val="AD96CC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8E62CB"/>
    <w:multiLevelType w:val="hybridMultilevel"/>
    <w:tmpl w:val="AB7C579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DBF4072"/>
    <w:multiLevelType w:val="hybridMultilevel"/>
    <w:tmpl w:val="388A6FC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5856746"/>
    <w:multiLevelType w:val="hybridMultilevel"/>
    <w:tmpl w:val="9FE246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6E10FD0"/>
    <w:multiLevelType w:val="hybridMultilevel"/>
    <w:tmpl w:val="A2AACE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DAE6C4D"/>
    <w:multiLevelType w:val="hybridMultilevel"/>
    <w:tmpl w:val="1152CED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DB171F8"/>
    <w:multiLevelType w:val="multilevel"/>
    <w:tmpl w:val="25C07E7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0" w15:restartNumberingAfterBreak="0">
    <w:nsid w:val="6DD717E8"/>
    <w:multiLevelType w:val="hybridMultilevel"/>
    <w:tmpl w:val="A2D8C8D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30A06E3"/>
    <w:multiLevelType w:val="hybridMultilevel"/>
    <w:tmpl w:val="764015A4"/>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3166373"/>
    <w:multiLevelType w:val="hybridMultilevel"/>
    <w:tmpl w:val="EC54E7C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3445B9F"/>
    <w:multiLevelType w:val="hybridMultilevel"/>
    <w:tmpl w:val="4860E13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933699F"/>
    <w:multiLevelType w:val="hybridMultilevel"/>
    <w:tmpl w:val="092C4496"/>
    <w:lvl w:ilvl="0" w:tplc="02CA49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97C6FBF"/>
    <w:multiLevelType w:val="hybridMultilevel"/>
    <w:tmpl w:val="A2483D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F0821ED"/>
    <w:multiLevelType w:val="hybridMultilevel"/>
    <w:tmpl w:val="62CC8E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7036594">
    <w:abstractNumId w:val="39"/>
  </w:num>
  <w:num w:numId="2" w16cid:durableId="1584408197">
    <w:abstractNumId w:val="5"/>
  </w:num>
  <w:num w:numId="3" w16cid:durableId="1891185962">
    <w:abstractNumId w:val="51"/>
  </w:num>
  <w:num w:numId="4" w16cid:durableId="984239082">
    <w:abstractNumId w:val="35"/>
  </w:num>
  <w:num w:numId="5" w16cid:durableId="1864971890">
    <w:abstractNumId w:val="0"/>
  </w:num>
  <w:num w:numId="6" w16cid:durableId="646281528">
    <w:abstractNumId w:val="23"/>
  </w:num>
  <w:num w:numId="7" w16cid:durableId="493491511">
    <w:abstractNumId w:val="15"/>
  </w:num>
  <w:num w:numId="8" w16cid:durableId="1631519716">
    <w:abstractNumId w:val="52"/>
  </w:num>
  <w:num w:numId="9" w16cid:durableId="262038572">
    <w:abstractNumId w:val="25"/>
  </w:num>
  <w:num w:numId="10" w16cid:durableId="1420374176">
    <w:abstractNumId w:val="13"/>
  </w:num>
  <w:num w:numId="11" w16cid:durableId="1840805655">
    <w:abstractNumId w:val="7"/>
  </w:num>
  <w:num w:numId="12" w16cid:durableId="291518215">
    <w:abstractNumId w:val="31"/>
  </w:num>
  <w:num w:numId="13" w16cid:durableId="61568678">
    <w:abstractNumId w:val="2"/>
  </w:num>
  <w:num w:numId="14" w16cid:durableId="76290546">
    <w:abstractNumId w:val="3"/>
  </w:num>
  <w:num w:numId="15" w16cid:durableId="409474148">
    <w:abstractNumId w:val="48"/>
  </w:num>
  <w:num w:numId="16" w16cid:durableId="31538545">
    <w:abstractNumId w:val="45"/>
  </w:num>
  <w:num w:numId="17" w16cid:durableId="2106030025">
    <w:abstractNumId w:val="12"/>
  </w:num>
  <w:num w:numId="18" w16cid:durableId="1487017875">
    <w:abstractNumId w:val="16"/>
  </w:num>
  <w:num w:numId="19" w16cid:durableId="1861620207">
    <w:abstractNumId w:val="30"/>
  </w:num>
  <w:num w:numId="20" w16cid:durableId="648288502">
    <w:abstractNumId w:val="44"/>
  </w:num>
  <w:num w:numId="21" w16cid:durableId="1821917601">
    <w:abstractNumId w:val="14"/>
  </w:num>
  <w:num w:numId="22" w16cid:durableId="1039934333">
    <w:abstractNumId w:val="20"/>
  </w:num>
  <w:num w:numId="23" w16cid:durableId="755787100">
    <w:abstractNumId w:val="8"/>
  </w:num>
  <w:num w:numId="24" w16cid:durableId="1238397705">
    <w:abstractNumId w:val="55"/>
  </w:num>
  <w:num w:numId="25" w16cid:durableId="861824166">
    <w:abstractNumId w:val="50"/>
  </w:num>
  <w:num w:numId="26" w16cid:durableId="651640421">
    <w:abstractNumId w:val="53"/>
  </w:num>
  <w:num w:numId="27" w16cid:durableId="872495841">
    <w:abstractNumId w:val="17"/>
  </w:num>
  <w:num w:numId="28" w16cid:durableId="893464196">
    <w:abstractNumId w:val="32"/>
  </w:num>
  <w:num w:numId="29" w16cid:durableId="54084755">
    <w:abstractNumId w:val="6"/>
  </w:num>
  <w:num w:numId="30" w16cid:durableId="855120532">
    <w:abstractNumId w:val="42"/>
  </w:num>
  <w:num w:numId="31" w16cid:durableId="2137984629">
    <w:abstractNumId w:val="38"/>
  </w:num>
  <w:num w:numId="32" w16cid:durableId="1932198666">
    <w:abstractNumId w:val="33"/>
  </w:num>
  <w:num w:numId="33" w16cid:durableId="352458907">
    <w:abstractNumId w:val="18"/>
  </w:num>
  <w:num w:numId="34" w16cid:durableId="145636963">
    <w:abstractNumId w:val="21"/>
  </w:num>
  <w:num w:numId="35" w16cid:durableId="1514413102">
    <w:abstractNumId w:val="28"/>
  </w:num>
  <w:num w:numId="36" w16cid:durableId="1817643162">
    <w:abstractNumId w:val="29"/>
  </w:num>
  <w:num w:numId="37" w16cid:durableId="571551577">
    <w:abstractNumId w:val="10"/>
  </w:num>
  <w:num w:numId="38" w16cid:durableId="1627853009">
    <w:abstractNumId w:val="46"/>
  </w:num>
  <w:num w:numId="39" w16cid:durableId="1747990789">
    <w:abstractNumId w:val="24"/>
  </w:num>
  <w:num w:numId="40" w16cid:durableId="2041199160">
    <w:abstractNumId w:val="4"/>
  </w:num>
  <w:num w:numId="41" w16cid:durableId="1685403487">
    <w:abstractNumId w:val="56"/>
  </w:num>
  <w:num w:numId="42" w16cid:durableId="693458833">
    <w:abstractNumId w:val="9"/>
  </w:num>
  <w:num w:numId="43" w16cid:durableId="1654799539">
    <w:abstractNumId w:val="40"/>
  </w:num>
  <w:num w:numId="44" w16cid:durableId="647170266">
    <w:abstractNumId w:val="26"/>
  </w:num>
  <w:num w:numId="45" w16cid:durableId="622423525">
    <w:abstractNumId w:val="27"/>
  </w:num>
  <w:num w:numId="46" w16cid:durableId="542710735">
    <w:abstractNumId w:val="1"/>
  </w:num>
  <w:num w:numId="47" w16cid:durableId="2075079474">
    <w:abstractNumId w:val="36"/>
  </w:num>
  <w:num w:numId="48" w16cid:durableId="1437946450">
    <w:abstractNumId w:val="47"/>
  </w:num>
  <w:num w:numId="49" w16cid:durableId="606425384">
    <w:abstractNumId w:val="22"/>
  </w:num>
  <w:num w:numId="50" w16cid:durableId="1090541185">
    <w:abstractNumId w:val="37"/>
  </w:num>
  <w:num w:numId="51" w16cid:durableId="345523014">
    <w:abstractNumId w:val="11"/>
  </w:num>
  <w:num w:numId="52" w16cid:durableId="804355165">
    <w:abstractNumId w:val="34"/>
  </w:num>
  <w:num w:numId="53" w16cid:durableId="1174104496">
    <w:abstractNumId w:val="43"/>
  </w:num>
  <w:num w:numId="54" w16cid:durableId="1755011860">
    <w:abstractNumId w:val="49"/>
  </w:num>
  <w:num w:numId="55" w16cid:durableId="596987020">
    <w:abstractNumId w:val="41"/>
  </w:num>
  <w:num w:numId="56" w16cid:durableId="1787305772">
    <w:abstractNumId w:val="54"/>
  </w:num>
  <w:num w:numId="57" w16cid:durableId="731657655">
    <w:abstractNumId w:val="46"/>
  </w:num>
  <w:num w:numId="58" w16cid:durableId="676729714">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68C"/>
    <w:rsid w:val="000029E5"/>
    <w:rsid w:val="00002D85"/>
    <w:rsid w:val="00012A36"/>
    <w:rsid w:val="00015215"/>
    <w:rsid w:val="00022B56"/>
    <w:rsid w:val="000237E8"/>
    <w:rsid w:val="000559CB"/>
    <w:rsid w:val="0006257A"/>
    <w:rsid w:val="00073371"/>
    <w:rsid w:val="0007544F"/>
    <w:rsid w:val="000844F0"/>
    <w:rsid w:val="00086C7E"/>
    <w:rsid w:val="00090118"/>
    <w:rsid w:val="00092348"/>
    <w:rsid w:val="00093C71"/>
    <w:rsid w:val="0009601E"/>
    <w:rsid w:val="000A1927"/>
    <w:rsid w:val="000B26BE"/>
    <w:rsid w:val="000B64C9"/>
    <w:rsid w:val="000D1E09"/>
    <w:rsid w:val="000D29E0"/>
    <w:rsid w:val="000E0D83"/>
    <w:rsid w:val="000E13B9"/>
    <w:rsid w:val="000E5886"/>
    <w:rsid w:val="000E588A"/>
    <w:rsid w:val="000E6467"/>
    <w:rsid w:val="000E7FAC"/>
    <w:rsid w:val="000F044C"/>
    <w:rsid w:val="000F7519"/>
    <w:rsid w:val="001004EA"/>
    <w:rsid w:val="00101A95"/>
    <w:rsid w:val="0011461E"/>
    <w:rsid w:val="00114AF7"/>
    <w:rsid w:val="00120AED"/>
    <w:rsid w:val="00121009"/>
    <w:rsid w:val="00124A20"/>
    <w:rsid w:val="00125E2E"/>
    <w:rsid w:val="00127858"/>
    <w:rsid w:val="00130553"/>
    <w:rsid w:val="00133B09"/>
    <w:rsid w:val="00134183"/>
    <w:rsid w:val="00140056"/>
    <w:rsid w:val="001400F7"/>
    <w:rsid w:val="00142BBC"/>
    <w:rsid w:val="0014625D"/>
    <w:rsid w:val="001465F9"/>
    <w:rsid w:val="001517EC"/>
    <w:rsid w:val="00153AB6"/>
    <w:rsid w:val="0015712E"/>
    <w:rsid w:val="00163E65"/>
    <w:rsid w:val="00166E87"/>
    <w:rsid w:val="00166E9C"/>
    <w:rsid w:val="0017152B"/>
    <w:rsid w:val="00174AEC"/>
    <w:rsid w:val="00180E9D"/>
    <w:rsid w:val="00182267"/>
    <w:rsid w:val="00182268"/>
    <w:rsid w:val="00185429"/>
    <w:rsid w:val="00187946"/>
    <w:rsid w:val="00192844"/>
    <w:rsid w:val="001953D7"/>
    <w:rsid w:val="00196663"/>
    <w:rsid w:val="00197047"/>
    <w:rsid w:val="001A1911"/>
    <w:rsid w:val="001A1EBA"/>
    <w:rsid w:val="001A7C81"/>
    <w:rsid w:val="001B008D"/>
    <w:rsid w:val="001B54F6"/>
    <w:rsid w:val="001C2443"/>
    <w:rsid w:val="001C370B"/>
    <w:rsid w:val="001C46E7"/>
    <w:rsid w:val="001D10F6"/>
    <w:rsid w:val="001D13A3"/>
    <w:rsid w:val="001D2B1E"/>
    <w:rsid w:val="001D2B72"/>
    <w:rsid w:val="001E0AEA"/>
    <w:rsid w:val="001E2C00"/>
    <w:rsid w:val="001E4A5B"/>
    <w:rsid w:val="001E7351"/>
    <w:rsid w:val="001F4E4C"/>
    <w:rsid w:val="001F746E"/>
    <w:rsid w:val="00202A2B"/>
    <w:rsid w:val="002030C9"/>
    <w:rsid w:val="00204743"/>
    <w:rsid w:val="00205A5E"/>
    <w:rsid w:val="00206113"/>
    <w:rsid w:val="00206C5F"/>
    <w:rsid w:val="00215A22"/>
    <w:rsid w:val="00215A63"/>
    <w:rsid w:val="0021603B"/>
    <w:rsid w:val="00224238"/>
    <w:rsid w:val="00226B35"/>
    <w:rsid w:val="002270E7"/>
    <w:rsid w:val="0023539A"/>
    <w:rsid w:val="00243548"/>
    <w:rsid w:val="00250BC5"/>
    <w:rsid w:val="002535B4"/>
    <w:rsid w:val="00260735"/>
    <w:rsid w:val="00261E8A"/>
    <w:rsid w:val="00263FBB"/>
    <w:rsid w:val="00264EDD"/>
    <w:rsid w:val="00271E01"/>
    <w:rsid w:val="002724DA"/>
    <w:rsid w:val="002738CB"/>
    <w:rsid w:val="00275C7B"/>
    <w:rsid w:val="002808B1"/>
    <w:rsid w:val="00292051"/>
    <w:rsid w:val="0029420F"/>
    <w:rsid w:val="002A66CD"/>
    <w:rsid w:val="002B04FF"/>
    <w:rsid w:val="002B35B8"/>
    <w:rsid w:val="002B4F28"/>
    <w:rsid w:val="002B5CEF"/>
    <w:rsid w:val="002C4650"/>
    <w:rsid w:val="002C4979"/>
    <w:rsid w:val="002C5CF9"/>
    <w:rsid w:val="002D3E13"/>
    <w:rsid w:val="002D4FDF"/>
    <w:rsid w:val="002D54C0"/>
    <w:rsid w:val="002D721F"/>
    <w:rsid w:val="002E01B4"/>
    <w:rsid w:val="002E0C50"/>
    <w:rsid w:val="002E1943"/>
    <w:rsid w:val="002E1B99"/>
    <w:rsid w:val="002E1ED3"/>
    <w:rsid w:val="002E49BD"/>
    <w:rsid w:val="002E651F"/>
    <w:rsid w:val="002F7460"/>
    <w:rsid w:val="0030583E"/>
    <w:rsid w:val="00305F15"/>
    <w:rsid w:val="003076A8"/>
    <w:rsid w:val="00314491"/>
    <w:rsid w:val="0031716B"/>
    <w:rsid w:val="00321798"/>
    <w:rsid w:val="00323483"/>
    <w:rsid w:val="00332389"/>
    <w:rsid w:val="0033462D"/>
    <w:rsid w:val="00334ACC"/>
    <w:rsid w:val="003354A2"/>
    <w:rsid w:val="0033593A"/>
    <w:rsid w:val="00336B05"/>
    <w:rsid w:val="0034645A"/>
    <w:rsid w:val="0034689E"/>
    <w:rsid w:val="00347288"/>
    <w:rsid w:val="00347E3C"/>
    <w:rsid w:val="003561E8"/>
    <w:rsid w:val="00360886"/>
    <w:rsid w:val="00363A1F"/>
    <w:rsid w:val="00381955"/>
    <w:rsid w:val="00383FD6"/>
    <w:rsid w:val="0038420A"/>
    <w:rsid w:val="00387D44"/>
    <w:rsid w:val="0039275D"/>
    <w:rsid w:val="0039277B"/>
    <w:rsid w:val="00393911"/>
    <w:rsid w:val="00394241"/>
    <w:rsid w:val="003A3B85"/>
    <w:rsid w:val="003A4643"/>
    <w:rsid w:val="003B04AC"/>
    <w:rsid w:val="003C18F5"/>
    <w:rsid w:val="003C1F54"/>
    <w:rsid w:val="003C20FE"/>
    <w:rsid w:val="003C2642"/>
    <w:rsid w:val="003C3C2B"/>
    <w:rsid w:val="003C4037"/>
    <w:rsid w:val="003C6869"/>
    <w:rsid w:val="003C74EA"/>
    <w:rsid w:val="003D06DB"/>
    <w:rsid w:val="003D0E92"/>
    <w:rsid w:val="003D1EB7"/>
    <w:rsid w:val="003E3A39"/>
    <w:rsid w:val="003E42AA"/>
    <w:rsid w:val="003E5B6E"/>
    <w:rsid w:val="003F2B23"/>
    <w:rsid w:val="003F389B"/>
    <w:rsid w:val="00402D8A"/>
    <w:rsid w:val="004031EE"/>
    <w:rsid w:val="00411419"/>
    <w:rsid w:val="00412287"/>
    <w:rsid w:val="00415F2E"/>
    <w:rsid w:val="00416C28"/>
    <w:rsid w:val="00420440"/>
    <w:rsid w:val="004230E8"/>
    <w:rsid w:val="0042471C"/>
    <w:rsid w:val="00435783"/>
    <w:rsid w:val="00436AF2"/>
    <w:rsid w:val="00436D29"/>
    <w:rsid w:val="00441413"/>
    <w:rsid w:val="004430FD"/>
    <w:rsid w:val="00447950"/>
    <w:rsid w:val="00451F9D"/>
    <w:rsid w:val="00452DCC"/>
    <w:rsid w:val="004537EA"/>
    <w:rsid w:val="0046795A"/>
    <w:rsid w:val="00477438"/>
    <w:rsid w:val="00480898"/>
    <w:rsid w:val="00482EB7"/>
    <w:rsid w:val="00492EE7"/>
    <w:rsid w:val="00493ADF"/>
    <w:rsid w:val="00493E5B"/>
    <w:rsid w:val="004A0AD1"/>
    <w:rsid w:val="004A4FC1"/>
    <w:rsid w:val="004B21AC"/>
    <w:rsid w:val="004B3D73"/>
    <w:rsid w:val="004B60A4"/>
    <w:rsid w:val="004B6C18"/>
    <w:rsid w:val="004C0578"/>
    <w:rsid w:val="004C0DBF"/>
    <w:rsid w:val="004C44F4"/>
    <w:rsid w:val="004D585E"/>
    <w:rsid w:val="004D7C4B"/>
    <w:rsid w:val="004E5C6E"/>
    <w:rsid w:val="004F5F8F"/>
    <w:rsid w:val="004F72EB"/>
    <w:rsid w:val="00502A28"/>
    <w:rsid w:val="00504A46"/>
    <w:rsid w:val="00513BF0"/>
    <w:rsid w:val="00525F7E"/>
    <w:rsid w:val="00526DCD"/>
    <w:rsid w:val="00527F64"/>
    <w:rsid w:val="00530F0A"/>
    <w:rsid w:val="00532927"/>
    <w:rsid w:val="00533592"/>
    <w:rsid w:val="005351FA"/>
    <w:rsid w:val="005439DE"/>
    <w:rsid w:val="0054543D"/>
    <w:rsid w:val="0055120A"/>
    <w:rsid w:val="005516A6"/>
    <w:rsid w:val="00551ACA"/>
    <w:rsid w:val="0055230B"/>
    <w:rsid w:val="005558DB"/>
    <w:rsid w:val="005560A8"/>
    <w:rsid w:val="00564F9D"/>
    <w:rsid w:val="00565509"/>
    <w:rsid w:val="005713F3"/>
    <w:rsid w:val="00577D83"/>
    <w:rsid w:val="00580264"/>
    <w:rsid w:val="005830E7"/>
    <w:rsid w:val="00584473"/>
    <w:rsid w:val="00584FFC"/>
    <w:rsid w:val="00590A34"/>
    <w:rsid w:val="005916F0"/>
    <w:rsid w:val="005A3E69"/>
    <w:rsid w:val="005B3C76"/>
    <w:rsid w:val="005B4CCD"/>
    <w:rsid w:val="005B66A5"/>
    <w:rsid w:val="005B7C83"/>
    <w:rsid w:val="005C2CB6"/>
    <w:rsid w:val="005C2F13"/>
    <w:rsid w:val="005C72BC"/>
    <w:rsid w:val="005D1873"/>
    <w:rsid w:val="005D2272"/>
    <w:rsid w:val="005D2FED"/>
    <w:rsid w:val="005D65F4"/>
    <w:rsid w:val="005D6BAC"/>
    <w:rsid w:val="005D726C"/>
    <w:rsid w:val="005D72E6"/>
    <w:rsid w:val="005E02F6"/>
    <w:rsid w:val="005E07DE"/>
    <w:rsid w:val="005E7236"/>
    <w:rsid w:val="005F5776"/>
    <w:rsid w:val="005F6F81"/>
    <w:rsid w:val="0060058A"/>
    <w:rsid w:val="00600D62"/>
    <w:rsid w:val="00602BB8"/>
    <w:rsid w:val="0060494B"/>
    <w:rsid w:val="00606051"/>
    <w:rsid w:val="00613C0B"/>
    <w:rsid w:val="00614F12"/>
    <w:rsid w:val="00620C40"/>
    <w:rsid w:val="00625391"/>
    <w:rsid w:val="006269E9"/>
    <w:rsid w:val="0063313A"/>
    <w:rsid w:val="00635B7D"/>
    <w:rsid w:val="00637295"/>
    <w:rsid w:val="006422F0"/>
    <w:rsid w:val="00643F57"/>
    <w:rsid w:val="00654044"/>
    <w:rsid w:val="00654BCA"/>
    <w:rsid w:val="00673AC3"/>
    <w:rsid w:val="00675E42"/>
    <w:rsid w:val="00680988"/>
    <w:rsid w:val="00684A36"/>
    <w:rsid w:val="0069204B"/>
    <w:rsid w:val="0069256D"/>
    <w:rsid w:val="006951B1"/>
    <w:rsid w:val="006B016A"/>
    <w:rsid w:val="006B0DDD"/>
    <w:rsid w:val="006B29B6"/>
    <w:rsid w:val="006B353B"/>
    <w:rsid w:val="006C4764"/>
    <w:rsid w:val="006C752B"/>
    <w:rsid w:val="006D3C98"/>
    <w:rsid w:val="006D5DFE"/>
    <w:rsid w:val="006E338E"/>
    <w:rsid w:val="006F086C"/>
    <w:rsid w:val="006F3B16"/>
    <w:rsid w:val="00704659"/>
    <w:rsid w:val="00707036"/>
    <w:rsid w:val="007108BF"/>
    <w:rsid w:val="00715DCC"/>
    <w:rsid w:val="0071617C"/>
    <w:rsid w:val="00722385"/>
    <w:rsid w:val="007242E3"/>
    <w:rsid w:val="00730B4D"/>
    <w:rsid w:val="00732CEA"/>
    <w:rsid w:val="00733428"/>
    <w:rsid w:val="00733E69"/>
    <w:rsid w:val="0074087F"/>
    <w:rsid w:val="00744513"/>
    <w:rsid w:val="00745BB4"/>
    <w:rsid w:val="007505EF"/>
    <w:rsid w:val="00751068"/>
    <w:rsid w:val="00752F7F"/>
    <w:rsid w:val="00767F95"/>
    <w:rsid w:val="00771380"/>
    <w:rsid w:val="00776E76"/>
    <w:rsid w:val="00784FB2"/>
    <w:rsid w:val="007875BD"/>
    <w:rsid w:val="0079268C"/>
    <w:rsid w:val="0079306C"/>
    <w:rsid w:val="00793E18"/>
    <w:rsid w:val="007947B7"/>
    <w:rsid w:val="00795AA6"/>
    <w:rsid w:val="00797A1C"/>
    <w:rsid w:val="007A4D90"/>
    <w:rsid w:val="007A5E5F"/>
    <w:rsid w:val="007A77A7"/>
    <w:rsid w:val="007A7A81"/>
    <w:rsid w:val="007B4C66"/>
    <w:rsid w:val="007B4F77"/>
    <w:rsid w:val="007B6604"/>
    <w:rsid w:val="007D26C8"/>
    <w:rsid w:val="007D4D57"/>
    <w:rsid w:val="007D6794"/>
    <w:rsid w:val="007E10AA"/>
    <w:rsid w:val="007E36B0"/>
    <w:rsid w:val="007E71A5"/>
    <w:rsid w:val="007F30FC"/>
    <w:rsid w:val="008011CB"/>
    <w:rsid w:val="00802889"/>
    <w:rsid w:val="00806E35"/>
    <w:rsid w:val="008101BE"/>
    <w:rsid w:val="008122C3"/>
    <w:rsid w:val="00812975"/>
    <w:rsid w:val="00821474"/>
    <w:rsid w:val="00823A97"/>
    <w:rsid w:val="00826DC3"/>
    <w:rsid w:val="00827C77"/>
    <w:rsid w:val="00831F73"/>
    <w:rsid w:val="00833EE1"/>
    <w:rsid w:val="00836EE4"/>
    <w:rsid w:val="0083757F"/>
    <w:rsid w:val="00841639"/>
    <w:rsid w:val="00844F07"/>
    <w:rsid w:val="008514DA"/>
    <w:rsid w:val="00852599"/>
    <w:rsid w:val="00855FCA"/>
    <w:rsid w:val="00857FBA"/>
    <w:rsid w:val="00861075"/>
    <w:rsid w:val="0086568E"/>
    <w:rsid w:val="00865E16"/>
    <w:rsid w:val="008670EC"/>
    <w:rsid w:val="00870B34"/>
    <w:rsid w:val="008710C7"/>
    <w:rsid w:val="00872923"/>
    <w:rsid w:val="00872DC1"/>
    <w:rsid w:val="00874992"/>
    <w:rsid w:val="00875C0A"/>
    <w:rsid w:val="00880A18"/>
    <w:rsid w:val="0088114A"/>
    <w:rsid w:val="00882163"/>
    <w:rsid w:val="00884820"/>
    <w:rsid w:val="00885B9A"/>
    <w:rsid w:val="008945ED"/>
    <w:rsid w:val="008A0B56"/>
    <w:rsid w:val="008A70BF"/>
    <w:rsid w:val="008B1114"/>
    <w:rsid w:val="008B3068"/>
    <w:rsid w:val="008B3380"/>
    <w:rsid w:val="008B4D69"/>
    <w:rsid w:val="008B7CB7"/>
    <w:rsid w:val="008C3321"/>
    <w:rsid w:val="008D07DC"/>
    <w:rsid w:val="008D79DD"/>
    <w:rsid w:val="008E0AE8"/>
    <w:rsid w:val="008E1144"/>
    <w:rsid w:val="008E1811"/>
    <w:rsid w:val="008E2CF3"/>
    <w:rsid w:val="008E2EC9"/>
    <w:rsid w:val="008E7CE6"/>
    <w:rsid w:val="008F1B3F"/>
    <w:rsid w:val="008F5D53"/>
    <w:rsid w:val="00900A6B"/>
    <w:rsid w:val="00904EFA"/>
    <w:rsid w:val="009066DE"/>
    <w:rsid w:val="0090777F"/>
    <w:rsid w:val="00910AC2"/>
    <w:rsid w:val="00916C11"/>
    <w:rsid w:val="0092098A"/>
    <w:rsid w:val="00921FC7"/>
    <w:rsid w:val="0092344E"/>
    <w:rsid w:val="009241C7"/>
    <w:rsid w:val="009310E2"/>
    <w:rsid w:val="0093760E"/>
    <w:rsid w:val="00943E2F"/>
    <w:rsid w:val="00951DFA"/>
    <w:rsid w:val="00952750"/>
    <w:rsid w:val="009577DA"/>
    <w:rsid w:val="00957BFB"/>
    <w:rsid w:val="00961ECD"/>
    <w:rsid w:val="00981C05"/>
    <w:rsid w:val="00983B0B"/>
    <w:rsid w:val="009902E8"/>
    <w:rsid w:val="0099066A"/>
    <w:rsid w:val="009910DC"/>
    <w:rsid w:val="00992477"/>
    <w:rsid w:val="009968AC"/>
    <w:rsid w:val="009A5354"/>
    <w:rsid w:val="009B01D7"/>
    <w:rsid w:val="009B26C9"/>
    <w:rsid w:val="009C1C87"/>
    <w:rsid w:val="009C44E8"/>
    <w:rsid w:val="009C7151"/>
    <w:rsid w:val="009C75F0"/>
    <w:rsid w:val="009D5287"/>
    <w:rsid w:val="009D6836"/>
    <w:rsid w:val="009E02A7"/>
    <w:rsid w:val="009E4453"/>
    <w:rsid w:val="009E5674"/>
    <w:rsid w:val="009F20CF"/>
    <w:rsid w:val="009F7757"/>
    <w:rsid w:val="00A04E91"/>
    <w:rsid w:val="00A0507D"/>
    <w:rsid w:val="00A12378"/>
    <w:rsid w:val="00A26659"/>
    <w:rsid w:val="00A26AD1"/>
    <w:rsid w:val="00A30F33"/>
    <w:rsid w:val="00A335B9"/>
    <w:rsid w:val="00A348A6"/>
    <w:rsid w:val="00A37557"/>
    <w:rsid w:val="00A37E4F"/>
    <w:rsid w:val="00A37EF4"/>
    <w:rsid w:val="00A41C02"/>
    <w:rsid w:val="00A41C16"/>
    <w:rsid w:val="00A4215C"/>
    <w:rsid w:val="00A44C7C"/>
    <w:rsid w:val="00A46F5A"/>
    <w:rsid w:val="00A47C6F"/>
    <w:rsid w:val="00A51A77"/>
    <w:rsid w:val="00A64D52"/>
    <w:rsid w:val="00A728FE"/>
    <w:rsid w:val="00A776D6"/>
    <w:rsid w:val="00A80C16"/>
    <w:rsid w:val="00A834E0"/>
    <w:rsid w:val="00A8587F"/>
    <w:rsid w:val="00A87D65"/>
    <w:rsid w:val="00A910F2"/>
    <w:rsid w:val="00A919C0"/>
    <w:rsid w:val="00A92289"/>
    <w:rsid w:val="00A939D7"/>
    <w:rsid w:val="00A94E4A"/>
    <w:rsid w:val="00A975A5"/>
    <w:rsid w:val="00AA1ADE"/>
    <w:rsid w:val="00AB010A"/>
    <w:rsid w:val="00AB0C15"/>
    <w:rsid w:val="00AB6104"/>
    <w:rsid w:val="00AB7941"/>
    <w:rsid w:val="00AC1C6A"/>
    <w:rsid w:val="00AC1DCA"/>
    <w:rsid w:val="00AC24FA"/>
    <w:rsid w:val="00AC6B50"/>
    <w:rsid w:val="00AC6C52"/>
    <w:rsid w:val="00AD7323"/>
    <w:rsid w:val="00AE094C"/>
    <w:rsid w:val="00AF2AF4"/>
    <w:rsid w:val="00AF7EC0"/>
    <w:rsid w:val="00B00EE1"/>
    <w:rsid w:val="00B012BE"/>
    <w:rsid w:val="00B03D13"/>
    <w:rsid w:val="00B12006"/>
    <w:rsid w:val="00B1350C"/>
    <w:rsid w:val="00B139B1"/>
    <w:rsid w:val="00B23FA0"/>
    <w:rsid w:val="00B34D1A"/>
    <w:rsid w:val="00B36B04"/>
    <w:rsid w:val="00B41C56"/>
    <w:rsid w:val="00B46B7C"/>
    <w:rsid w:val="00B53DE2"/>
    <w:rsid w:val="00B55A32"/>
    <w:rsid w:val="00B61933"/>
    <w:rsid w:val="00B67484"/>
    <w:rsid w:val="00B733FB"/>
    <w:rsid w:val="00B7526D"/>
    <w:rsid w:val="00B75CCF"/>
    <w:rsid w:val="00B769CD"/>
    <w:rsid w:val="00B96FF6"/>
    <w:rsid w:val="00BA25D3"/>
    <w:rsid w:val="00BA59DD"/>
    <w:rsid w:val="00BB153F"/>
    <w:rsid w:val="00BB3DBD"/>
    <w:rsid w:val="00BB733A"/>
    <w:rsid w:val="00BB7787"/>
    <w:rsid w:val="00BC1B53"/>
    <w:rsid w:val="00BC1DBD"/>
    <w:rsid w:val="00BC290F"/>
    <w:rsid w:val="00BD0858"/>
    <w:rsid w:val="00BD432C"/>
    <w:rsid w:val="00BD79BE"/>
    <w:rsid w:val="00BE20DA"/>
    <w:rsid w:val="00BE5C79"/>
    <w:rsid w:val="00BF3BEC"/>
    <w:rsid w:val="00BF5730"/>
    <w:rsid w:val="00C00A09"/>
    <w:rsid w:val="00C03473"/>
    <w:rsid w:val="00C03FE4"/>
    <w:rsid w:val="00C0564D"/>
    <w:rsid w:val="00C059FB"/>
    <w:rsid w:val="00C05BA1"/>
    <w:rsid w:val="00C1340A"/>
    <w:rsid w:val="00C17FBE"/>
    <w:rsid w:val="00C30FCF"/>
    <w:rsid w:val="00C31FFE"/>
    <w:rsid w:val="00C34CB7"/>
    <w:rsid w:val="00C4214E"/>
    <w:rsid w:val="00C42792"/>
    <w:rsid w:val="00C4697A"/>
    <w:rsid w:val="00C51F8D"/>
    <w:rsid w:val="00C60977"/>
    <w:rsid w:val="00C60E33"/>
    <w:rsid w:val="00C8403E"/>
    <w:rsid w:val="00C840B2"/>
    <w:rsid w:val="00C87C21"/>
    <w:rsid w:val="00C93907"/>
    <w:rsid w:val="00C948B7"/>
    <w:rsid w:val="00C96C7A"/>
    <w:rsid w:val="00CA131F"/>
    <w:rsid w:val="00CA5333"/>
    <w:rsid w:val="00CA7AA0"/>
    <w:rsid w:val="00CB25D4"/>
    <w:rsid w:val="00CB2839"/>
    <w:rsid w:val="00CB7A82"/>
    <w:rsid w:val="00CC08D2"/>
    <w:rsid w:val="00CC10C0"/>
    <w:rsid w:val="00CC3E27"/>
    <w:rsid w:val="00CC5C92"/>
    <w:rsid w:val="00CC6493"/>
    <w:rsid w:val="00CD527F"/>
    <w:rsid w:val="00CD6A60"/>
    <w:rsid w:val="00CD79DF"/>
    <w:rsid w:val="00CE5C37"/>
    <w:rsid w:val="00CE5EFE"/>
    <w:rsid w:val="00CE5FE6"/>
    <w:rsid w:val="00CE658C"/>
    <w:rsid w:val="00CE6E95"/>
    <w:rsid w:val="00CF777B"/>
    <w:rsid w:val="00D00189"/>
    <w:rsid w:val="00D02365"/>
    <w:rsid w:val="00D03799"/>
    <w:rsid w:val="00D042AF"/>
    <w:rsid w:val="00D05317"/>
    <w:rsid w:val="00D1289E"/>
    <w:rsid w:val="00D1329D"/>
    <w:rsid w:val="00D14D02"/>
    <w:rsid w:val="00D223A6"/>
    <w:rsid w:val="00D2486C"/>
    <w:rsid w:val="00D259F6"/>
    <w:rsid w:val="00D270AD"/>
    <w:rsid w:val="00D279A0"/>
    <w:rsid w:val="00D335E6"/>
    <w:rsid w:val="00D34363"/>
    <w:rsid w:val="00D3579C"/>
    <w:rsid w:val="00D42674"/>
    <w:rsid w:val="00D44D7A"/>
    <w:rsid w:val="00D4522D"/>
    <w:rsid w:val="00D468F1"/>
    <w:rsid w:val="00D5097E"/>
    <w:rsid w:val="00D53D45"/>
    <w:rsid w:val="00D62E17"/>
    <w:rsid w:val="00D63A6A"/>
    <w:rsid w:val="00D662B2"/>
    <w:rsid w:val="00D67BA4"/>
    <w:rsid w:val="00D67FC5"/>
    <w:rsid w:val="00D70348"/>
    <w:rsid w:val="00D75FAE"/>
    <w:rsid w:val="00D7622B"/>
    <w:rsid w:val="00D779CB"/>
    <w:rsid w:val="00D81027"/>
    <w:rsid w:val="00D83AA6"/>
    <w:rsid w:val="00D8766F"/>
    <w:rsid w:val="00D87C8A"/>
    <w:rsid w:val="00DA0111"/>
    <w:rsid w:val="00DA013A"/>
    <w:rsid w:val="00DA12BD"/>
    <w:rsid w:val="00DA1496"/>
    <w:rsid w:val="00DA477E"/>
    <w:rsid w:val="00DA6CF7"/>
    <w:rsid w:val="00DB0EA0"/>
    <w:rsid w:val="00DB16A5"/>
    <w:rsid w:val="00DB603A"/>
    <w:rsid w:val="00DB6985"/>
    <w:rsid w:val="00DC668D"/>
    <w:rsid w:val="00DD0B95"/>
    <w:rsid w:val="00DD6100"/>
    <w:rsid w:val="00DD73FC"/>
    <w:rsid w:val="00DE2829"/>
    <w:rsid w:val="00DE35B0"/>
    <w:rsid w:val="00DE5DD3"/>
    <w:rsid w:val="00DE64B9"/>
    <w:rsid w:val="00DF1C2D"/>
    <w:rsid w:val="00DF1FA5"/>
    <w:rsid w:val="00DF561B"/>
    <w:rsid w:val="00DF796B"/>
    <w:rsid w:val="00E01A9C"/>
    <w:rsid w:val="00E0350B"/>
    <w:rsid w:val="00E0467F"/>
    <w:rsid w:val="00E06D9E"/>
    <w:rsid w:val="00E07C7F"/>
    <w:rsid w:val="00E13A58"/>
    <w:rsid w:val="00E13B56"/>
    <w:rsid w:val="00E21BBA"/>
    <w:rsid w:val="00E23C94"/>
    <w:rsid w:val="00E319CF"/>
    <w:rsid w:val="00E33FA3"/>
    <w:rsid w:val="00E43000"/>
    <w:rsid w:val="00E43F7C"/>
    <w:rsid w:val="00E5027A"/>
    <w:rsid w:val="00E50A6D"/>
    <w:rsid w:val="00E5646D"/>
    <w:rsid w:val="00E600E0"/>
    <w:rsid w:val="00E67955"/>
    <w:rsid w:val="00E72358"/>
    <w:rsid w:val="00E751A9"/>
    <w:rsid w:val="00E7774F"/>
    <w:rsid w:val="00E77ABE"/>
    <w:rsid w:val="00E8185E"/>
    <w:rsid w:val="00E81E1D"/>
    <w:rsid w:val="00E820F7"/>
    <w:rsid w:val="00E83FB9"/>
    <w:rsid w:val="00E84648"/>
    <w:rsid w:val="00E8696F"/>
    <w:rsid w:val="00E87D1D"/>
    <w:rsid w:val="00E93334"/>
    <w:rsid w:val="00E95193"/>
    <w:rsid w:val="00E976F4"/>
    <w:rsid w:val="00E97E40"/>
    <w:rsid w:val="00EA4466"/>
    <w:rsid w:val="00EB1D4E"/>
    <w:rsid w:val="00EB73E2"/>
    <w:rsid w:val="00ED0481"/>
    <w:rsid w:val="00ED2E0B"/>
    <w:rsid w:val="00ED326E"/>
    <w:rsid w:val="00ED352E"/>
    <w:rsid w:val="00ED4AE9"/>
    <w:rsid w:val="00ED74CC"/>
    <w:rsid w:val="00ED7E23"/>
    <w:rsid w:val="00EE0D0B"/>
    <w:rsid w:val="00EE1702"/>
    <w:rsid w:val="00EE5102"/>
    <w:rsid w:val="00EF4D3D"/>
    <w:rsid w:val="00F057EA"/>
    <w:rsid w:val="00F06617"/>
    <w:rsid w:val="00F10B43"/>
    <w:rsid w:val="00F11FC9"/>
    <w:rsid w:val="00F2122C"/>
    <w:rsid w:val="00F215F2"/>
    <w:rsid w:val="00F23BE4"/>
    <w:rsid w:val="00F24DDC"/>
    <w:rsid w:val="00F36A1E"/>
    <w:rsid w:val="00F37575"/>
    <w:rsid w:val="00F37A0E"/>
    <w:rsid w:val="00F509EF"/>
    <w:rsid w:val="00F51835"/>
    <w:rsid w:val="00F52893"/>
    <w:rsid w:val="00F52A50"/>
    <w:rsid w:val="00F53C01"/>
    <w:rsid w:val="00F54BA1"/>
    <w:rsid w:val="00F54D9F"/>
    <w:rsid w:val="00F6184C"/>
    <w:rsid w:val="00F76233"/>
    <w:rsid w:val="00F76C45"/>
    <w:rsid w:val="00F77B1E"/>
    <w:rsid w:val="00F8037B"/>
    <w:rsid w:val="00F85F79"/>
    <w:rsid w:val="00F879B2"/>
    <w:rsid w:val="00F915F8"/>
    <w:rsid w:val="00F93C78"/>
    <w:rsid w:val="00F93F88"/>
    <w:rsid w:val="00F9786E"/>
    <w:rsid w:val="00FA1B0E"/>
    <w:rsid w:val="00FA5D14"/>
    <w:rsid w:val="00FA7722"/>
    <w:rsid w:val="00FA7911"/>
    <w:rsid w:val="00FC58CE"/>
    <w:rsid w:val="00FD063A"/>
    <w:rsid w:val="00FD1614"/>
    <w:rsid w:val="00FD1D75"/>
    <w:rsid w:val="00FD3B79"/>
    <w:rsid w:val="00FD3FB6"/>
    <w:rsid w:val="00FD4A3C"/>
    <w:rsid w:val="00FD573E"/>
    <w:rsid w:val="00FD7085"/>
    <w:rsid w:val="00FE13BF"/>
    <w:rsid w:val="00FE1FF9"/>
    <w:rsid w:val="00FE2D2E"/>
    <w:rsid w:val="00FE4ECB"/>
    <w:rsid w:val="00FF30ED"/>
    <w:rsid w:val="00FF368C"/>
    <w:rsid w:val="00FF4EF3"/>
    <w:rsid w:val="00FF6177"/>
    <w:rsid w:val="00FF6726"/>
    <w:rsid w:val="01F38C90"/>
    <w:rsid w:val="06648917"/>
    <w:rsid w:val="0A65F691"/>
    <w:rsid w:val="104DE3C5"/>
    <w:rsid w:val="185CDDC4"/>
    <w:rsid w:val="1A477EB9"/>
    <w:rsid w:val="1DDFF0F7"/>
    <w:rsid w:val="236F1B74"/>
    <w:rsid w:val="254B03C6"/>
    <w:rsid w:val="2F7A9530"/>
    <w:rsid w:val="44B75C09"/>
    <w:rsid w:val="481F27BB"/>
    <w:rsid w:val="486A4995"/>
    <w:rsid w:val="4BDA006B"/>
    <w:rsid w:val="4FDE282D"/>
    <w:rsid w:val="5039C8EB"/>
    <w:rsid w:val="51714AC1"/>
    <w:rsid w:val="62892C58"/>
    <w:rsid w:val="652F6D3E"/>
    <w:rsid w:val="7289609F"/>
    <w:rsid w:val="7A6B0F2F"/>
    <w:rsid w:val="7BD5A232"/>
    <w:rsid w:val="7CFB509B"/>
    <w:rsid w:val="7D7A8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5D897"/>
  <w15:chartTrackingRefBased/>
  <w15:docId w15:val="{C7933B06-C266-4D97-B235-6013024D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6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68C"/>
  </w:style>
  <w:style w:type="paragraph" w:styleId="Footer">
    <w:name w:val="footer"/>
    <w:basedOn w:val="Normal"/>
    <w:link w:val="FooterChar"/>
    <w:uiPriority w:val="99"/>
    <w:unhideWhenUsed/>
    <w:rsid w:val="00FF36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68C"/>
  </w:style>
  <w:style w:type="table" w:styleId="TableGrid">
    <w:name w:val="Table Grid"/>
    <w:basedOn w:val="TableNormal"/>
    <w:uiPriority w:val="39"/>
    <w:rsid w:val="00EE1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1702"/>
    <w:rPr>
      <w:color w:val="0563C1" w:themeColor="hyperlink"/>
      <w:u w:val="single"/>
    </w:rPr>
  </w:style>
  <w:style w:type="character" w:styleId="UnresolvedMention">
    <w:name w:val="Unresolved Mention"/>
    <w:basedOn w:val="DefaultParagraphFont"/>
    <w:uiPriority w:val="99"/>
    <w:semiHidden/>
    <w:unhideWhenUsed/>
    <w:rsid w:val="00EE1702"/>
    <w:rPr>
      <w:color w:val="605E5C"/>
      <w:shd w:val="clear" w:color="auto" w:fill="E1DFDD"/>
    </w:rPr>
  </w:style>
  <w:style w:type="paragraph" w:styleId="ListParagraph">
    <w:name w:val="List Paragraph"/>
    <w:basedOn w:val="Normal"/>
    <w:link w:val="ListParagraphChar"/>
    <w:uiPriority w:val="34"/>
    <w:qFormat/>
    <w:rsid w:val="00D5097E"/>
    <w:pPr>
      <w:ind w:left="720"/>
      <w:contextualSpacing/>
    </w:pPr>
  </w:style>
  <w:style w:type="paragraph" w:customStyle="1" w:styleId="Heading01">
    <w:name w:val="Heading 01"/>
    <w:basedOn w:val="Normal"/>
    <w:link w:val="Heading01Char"/>
    <w:qFormat/>
    <w:rsid w:val="00D5097E"/>
    <w:pPr>
      <w:spacing w:before="120" w:after="120" w:line="276" w:lineRule="auto"/>
    </w:pPr>
    <w:rPr>
      <w:rFonts w:cstheme="minorHAnsi"/>
      <w:b/>
      <w:bCs/>
      <w:sz w:val="28"/>
      <w:szCs w:val="28"/>
    </w:rPr>
  </w:style>
  <w:style w:type="character" w:customStyle="1" w:styleId="Heading01Char">
    <w:name w:val="Heading 01 Char"/>
    <w:basedOn w:val="DefaultParagraphFont"/>
    <w:link w:val="Heading01"/>
    <w:rsid w:val="00D5097E"/>
    <w:rPr>
      <w:rFonts w:cstheme="minorHAnsi"/>
      <w:b/>
      <w:bCs/>
      <w:sz w:val="28"/>
      <w:szCs w:val="28"/>
    </w:rPr>
  </w:style>
  <w:style w:type="paragraph" w:customStyle="1" w:styleId="Heading02">
    <w:name w:val="Heading 02"/>
    <w:basedOn w:val="ListParagraph"/>
    <w:link w:val="Heading02Char"/>
    <w:qFormat/>
    <w:rsid w:val="00D5097E"/>
    <w:pPr>
      <w:numPr>
        <w:ilvl w:val="1"/>
        <w:numId w:val="1"/>
      </w:numPr>
      <w:spacing w:before="120" w:after="120" w:line="276" w:lineRule="auto"/>
    </w:pPr>
    <w:rPr>
      <w:b/>
      <w:bCs/>
      <w:sz w:val="24"/>
      <w:szCs w:val="24"/>
    </w:rPr>
  </w:style>
  <w:style w:type="character" w:customStyle="1" w:styleId="ListParagraphChar">
    <w:name w:val="List Paragraph Char"/>
    <w:basedOn w:val="DefaultParagraphFont"/>
    <w:link w:val="ListParagraph"/>
    <w:uiPriority w:val="34"/>
    <w:rsid w:val="00D5097E"/>
  </w:style>
  <w:style w:type="character" w:customStyle="1" w:styleId="Heading02Char">
    <w:name w:val="Heading 02 Char"/>
    <w:basedOn w:val="ListParagraphChar"/>
    <w:link w:val="Heading02"/>
    <w:rsid w:val="00D5097E"/>
    <w:rPr>
      <w:b/>
      <w:bCs/>
      <w:sz w:val="24"/>
      <w:szCs w:val="24"/>
    </w:rPr>
  </w:style>
  <w:style w:type="table" w:styleId="GridTable1Light-Accent1">
    <w:name w:val="Grid Table 1 Light Accent 1"/>
    <w:basedOn w:val="TableNormal"/>
    <w:uiPriority w:val="46"/>
    <w:rsid w:val="00DB0EA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7A5E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5E5F"/>
    <w:rPr>
      <w:sz w:val="20"/>
      <w:szCs w:val="20"/>
    </w:rPr>
  </w:style>
  <w:style w:type="character" w:styleId="FootnoteReference">
    <w:name w:val="footnote reference"/>
    <w:basedOn w:val="DefaultParagraphFont"/>
    <w:uiPriority w:val="99"/>
    <w:semiHidden/>
    <w:unhideWhenUsed/>
    <w:rsid w:val="007A5E5F"/>
    <w:rPr>
      <w:vertAlign w:val="superscript"/>
    </w:rPr>
  </w:style>
  <w:style w:type="paragraph" w:customStyle="1" w:styleId="heading03">
    <w:name w:val="heading 03"/>
    <w:basedOn w:val="ListParagraph"/>
    <w:link w:val="heading03Char"/>
    <w:qFormat/>
    <w:rsid w:val="00DD0B95"/>
    <w:pPr>
      <w:numPr>
        <w:ilvl w:val="2"/>
        <w:numId w:val="1"/>
      </w:numPr>
      <w:spacing w:before="120" w:after="120" w:line="276" w:lineRule="auto"/>
    </w:pPr>
    <w:rPr>
      <w:b/>
      <w:bCs/>
    </w:rPr>
  </w:style>
  <w:style w:type="character" w:customStyle="1" w:styleId="heading03Char">
    <w:name w:val="heading 03 Char"/>
    <w:basedOn w:val="ListParagraphChar"/>
    <w:link w:val="heading03"/>
    <w:rsid w:val="00DD0B95"/>
    <w:rPr>
      <w:b/>
      <w:bCs/>
    </w:rPr>
  </w:style>
  <w:style w:type="paragraph" w:customStyle="1" w:styleId="02-SecondHeading">
    <w:name w:val="02-Second Heading"/>
    <w:basedOn w:val="Normal"/>
    <w:link w:val="02-SecondHeadingChar"/>
    <w:qFormat/>
    <w:rsid w:val="00260735"/>
    <w:pPr>
      <w:spacing w:before="120" w:after="120" w:line="276" w:lineRule="auto"/>
    </w:pPr>
    <w:rPr>
      <w:rFonts w:cstheme="minorHAnsi"/>
      <w:b/>
      <w:bCs/>
    </w:rPr>
  </w:style>
  <w:style w:type="character" w:customStyle="1" w:styleId="02-SecondHeadingChar">
    <w:name w:val="02-Second Heading Char"/>
    <w:basedOn w:val="DefaultParagraphFont"/>
    <w:link w:val="02-SecondHeading"/>
    <w:rsid w:val="00260735"/>
    <w:rPr>
      <w:rFonts w:cstheme="minorHAnsi"/>
      <w:b/>
      <w:bCs/>
    </w:rPr>
  </w:style>
  <w:style w:type="character" w:styleId="PlaceholderText">
    <w:name w:val="Placeholder Text"/>
    <w:basedOn w:val="DefaultParagraphFont"/>
    <w:uiPriority w:val="99"/>
    <w:semiHidden/>
    <w:rsid w:val="00E87D1D"/>
    <w:rPr>
      <w:color w:val="666666"/>
    </w:rPr>
  </w:style>
  <w:style w:type="character" w:styleId="FollowedHyperlink">
    <w:name w:val="FollowedHyperlink"/>
    <w:basedOn w:val="DefaultParagraphFont"/>
    <w:uiPriority w:val="99"/>
    <w:semiHidden/>
    <w:unhideWhenUsed/>
    <w:rsid w:val="00263FBB"/>
    <w:rPr>
      <w:color w:val="954F72" w:themeColor="followedHyperlink"/>
      <w:u w:val="single"/>
    </w:rPr>
  </w:style>
  <w:style w:type="paragraph" w:styleId="TOC1">
    <w:name w:val="toc 1"/>
    <w:basedOn w:val="Normal"/>
    <w:next w:val="Normal"/>
    <w:autoRedefine/>
    <w:uiPriority w:val="39"/>
    <w:unhideWhenUsed/>
    <w:rsid w:val="002B5CEF"/>
    <w:pPr>
      <w:spacing w:after="100"/>
    </w:pPr>
  </w:style>
  <w:style w:type="paragraph" w:styleId="TOC2">
    <w:name w:val="toc 2"/>
    <w:basedOn w:val="Normal"/>
    <w:next w:val="Normal"/>
    <w:autoRedefine/>
    <w:uiPriority w:val="39"/>
    <w:unhideWhenUsed/>
    <w:rsid w:val="002B5CEF"/>
    <w:pPr>
      <w:spacing w:after="100"/>
      <w:ind w:left="220"/>
    </w:pPr>
  </w:style>
  <w:style w:type="paragraph" w:styleId="TOC3">
    <w:name w:val="toc 3"/>
    <w:basedOn w:val="Normal"/>
    <w:next w:val="Normal"/>
    <w:autoRedefine/>
    <w:uiPriority w:val="39"/>
    <w:unhideWhenUsed/>
    <w:rsid w:val="002B5CEF"/>
    <w:pPr>
      <w:spacing w:after="100"/>
      <w:ind w:left="440"/>
    </w:pPr>
  </w:style>
  <w:style w:type="paragraph" w:styleId="Revision">
    <w:name w:val="Revision"/>
    <w:hidden/>
    <w:uiPriority w:val="99"/>
    <w:semiHidden/>
    <w:rsid w:val="003D0E92"/>
    <w:pPr>
      <w:spacing w:after="0" w:line="240" w:lineRule="auto"/>
    </w:pPr>
  </w:style>
  <w:style w:type="character" w:styleId="CommentReference">
    <w:name w:val="annotation reference"/>
    <w:basedOn w:val="DefaultParagraphFont"/>
    <w:uiPriority w:val="99"/>
    <w:semiHidden/>
    <w:unhideWhenUsed/>
    <w:rsid w:val="00952750"/>
    <w:rPr>
      <w:sz w:val="16"/>
      <w:szCs w:val="16"/>
    </w:rPr>
  </w:style>
  <w:style w:type="paragraph" w:styleId="CommentText">
    <w:name w:val="annotation text"/>
    <w:basedOn w:val="Normal"/>
    <w:link w:val="CommentTextChar"/>
    <w:uiPriority w:val="99"/>
    <w:unhideWhenUsed/>
    <w:rsid w:val="00952750"/>
    <w:pPr>
      <w:spacing w:line="240" w:lineRule="auto"/>
    </w:pPr>
    <w:rPr>
      <w:sz w:val="20"/>
      <w:szCs w:val="20"/>
    </w:rPr>
  </w:style>
  <w:style w:type="character" w:customStyle="1" w:styleId="CommentTextChar">
    <w:name w:val="Comment Text Char"/>
    <w:basedOn w:val="DefaultParagraphFont"/>
    <w:link w:val="CommentText"/>
    <w:uiPriority w:val="99"/>
    <w:rsid w:val="00952750"/>
    <w:rPr>
      <w:sz w:val="20"/>
      <w:szCs w:val="20"/>
    </w:rPr>
  </w:style>
  <w:style w:type="paragraph" w:styleId="CommentSubject">
    <w:name w:val="annotation subject"/>
    <w:basedOn w:val="CommentText"/>
    <w:next w:val="CommentText"/>
    <w:link w:val="CommentSubjectChar"/>
    <w:uiPriority w:val="99"/>
    <w:semiHidden/>
    <w:unhideWhenUsed/>
    <w:rsid w:val="00952750"/>
    <w:rPr>
      <w:b/>
      <w:bCs/>
    </w:rPr>
  </w:style>
  <w:style w:type="character" w:customStyle="1" w:styleId="CommentSubjectChar">
    <w:name w:val="Comment Subject Char"/>
    <w:basedOn w:val="CommentTextChar"/>
    <w:link w:val="CommentSubject"/>
    <w:uiPriority w:val="99"/>
    <w:semiHidden/>
    <w:rsid w:val="009527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eader" Target="header3.xml"/><Relationship Id="rId26" Type="http://schemas.openxmlformats.org/officeDocument/2006/relationships/hyperlink" Target="https://eur-lex.europa.eu/eli/reg/2012/1025/oj" TargetMode="External"/><Relationship Id="rId39" Type="http://schemas.openxmlformats.org/officeDocument/2006/relationships/theme" Target="theme/theme1.xml"/><Relationship Id="rId21" Type="http://schemas.openxmlformats.org/officeDocument/2006/relationships/hyperlink" Target="https://eur-lex.europa.eu/eli/reg/2025/2365/oj/eng" TargetMode="External"/><Relationship Id="rId34" Type="http://schemas.openxmlformats.org/officeDocument/2006/relationships/hyperlink" Target="https://packagingeurope.com/news/stricter-eu-rules-for-transporting-plastic-pellets-seek-to-prevent-pollution/12722.article" TargetMode="External"/><Relationship Id="rId7" Type="http://schemas.openxmlformats.org/officeDocument/2006/relationships/settings" Target="settings.xml"/><Relationship Id="rId12" Type="http://schemas.openxmlformats.org/officeDocument/2006/relationships/hyperlink" Target="mailto:suzanne@ps-partnerships.com" TargetMode="External"/><Relationship Id="rId17" Type="http://schemas.openxmlformats.org/officeDocument/2006/relationships/header" Target="header2.xml"/><Relationship Id="rId25" Type="http://schemas.openxmlformats.org/officeDocument/2006/relationships/hyperlink" Target="https://wwwcdn.imo.org/localresources/en/MediaCentre/HotTopics/Documents/MEPC.1-Circ.909.pdf" TargetMode="External"/><Relationship Id="rId33" Type="http://schemas.openxmlformats.org/officeDocument/2006/relationships/hyperlink" Target="https://ecta.com/wp-content/uploads/2026/01/ECTA-Annual-Report-2024-25-final.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yperlink" Target="https://www.plasticsrecyclers.eu/wp-content/uploads/2024/11/Plastics-Recycling-Industry-Figures_2023.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opcleansweep.eu/" TargetMode="External"/><Relationship Id="rId32" Type="http://schemas.openxmlformats.org/officeDocument/2006/relationships/hyperlink" Target="https://cefic.org/resources/sqas/" TargetMode="External"/><Relationship Id="rId37"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environment.ec.europa.eu/strategy/zero-pollution-action-plan_en" TargetMode="External"/><Relationship Id="rId28" Type="http://schemas.openxmlformats.org/officeDocument/2006/relationships/hyperlink" Target="https://eur-lex.europa.eu/legal-content/EN/TXT/PDF/?uri=CELEX:32009R1221"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mobilityforesights.com/product/europe-polymer-compounding-masterbatch-mark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jpeg"/><Relationship Id="rId22" Type="http://schemas.openxmlformats.org/officeDocument/2006/relationships/hyperlink" Target="https://www.ospar.org/documents?v=63721" TargetMode="External"/><Relationship Id="rId27" Type="http://schemas.openxmlformats.org/officeDocument/2006/relationships/hyperlink" Target="https://eur-lex.europa.eu/eli/reg/2008/765/oj" TargetMode="External"/><Relationship Id="rId30" Type="http://schemas.openxmlformats.org/officeDocument/2006/relationships/hyperlink" Target="https://plasticseurope.org/wp-content/uploads/2025/09/PE_TheFacts_25_digital-1pager-scrollable.pdf" TargetMode="External"/><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08/765/oj/eng" TargetMode="External"/><Relationship Id="rId13" Type="http://schemas.openxmlformats.org/officeDocument/2006/relationships/hyperlink" Target="https://www.plasticsrecyclers.eu/wp-content/uploads/2024/11/Plastics-Recycling-Industry-Figures_2023.pdf" TargetMode="External"/><Relationship Id="rId3" Type="http://schemas.openxmlformats.org/officeDocument/2006/relationships/hyperlink" Target="https://environment.ec.europa.eu/strategy/zero-pollution-action-plan_en" TargetMode="External"/><Relationship Id="rId7" Type="http://schemas.openxmlformats.org/officeDocument/2006/relationships/hyperlink" Target="https://eur-lex.europa.eu/legal-content/EN/TXT/PDF/?uri=CELEX:32009R1221" TargetMode="External"/><Relationship Id="rId12" Type="http://schemas.openxmlformats.org/officeDocument/2006/relationships/hyperlink" Target="https://www.plasticsrecyclers.eu/wp-content/uploads/2024/11/Plastics-Recycling-Industry-Figures_2023.pdf" TargetMode="External"/><Relationship Id="rId2" Type="http://schemas.openxmlformats.org/officeDocument/2006/relationships/hyperlink" Target="https://www.ospar.org/documents?v=63721" TargetMode="External"/><Relationship Id="rId1" Type="http://schemas.openxmlformats.org/officeDocument/2006/relationships/hyperlink" Target="https://eur-lex.europa.eu/eli/reg/2025/2365/oj/eng" TargetMode="External"/><Relationship Id="rId6" Type="http://schemas.openxmlformats.org/officeDocument/2006/relationships/hyperlink" Target="https://eur-lex.europa.eu/eli/reg/2008/765/oj" TargetMode="External"/><Relationship Id="rId11" Type="http://schemas.openxmlformats.org/officeDocument/2006/relationships/hyperlink" Target="https://plasticseurope.org/wp-content/uploads/2025/09/PE_TheFacts_25_digital-1pager-scrollable.pdf" TargetMode="External"/><Relationship Id="rId5" Type="http://schemas.openxmlformats.org/officeDocument/2006/relationships/hyperlink" Target="https://eur-lex.europa.eu/eli/reg/2012/1025/oj" TargetMode="External"/><Relationship Id="rId15" Type="http://schemas.openxmlformats.org/officeDocument/2006/relationships/hyperlink" Target="https://packagingeurope.com/news/stricter-eu-rules-for-transporting-plastic-pellets-seek-to-prevent-pollution/12722.article" TargetMode="External"/><Relationship Id="rId10" Type="http://schemas.openxmlformats.org/officeDocument/2006/relationships/hyperlink" Target="https://mobilityforesights.com/product/europe-polymer-compounding-masterbatch-market" TargetMode="External"/><Relationship Id="rId4" Type="http://schemas.openxmlformats.org/officeDocument/2006/relationships/hyperlink" Target="https://eur-lex.europa.eu/eli/reg/2012/1025/oj/eng" TargetMode="External"/><Relationship Id="rId9" Type="http://schemas.openxmlformats.org/officeDocument/2006/relationships/hyperlink" Target="https://eur-lex.europa.eu/eli/reg/2009/1221/oj/eng" TargetMode="External"/><Relationship Id="rId14" Type="http://schemas.openxmlformats.org/officeDocument/2006/relationships/hyperlink" Target="https://ecta.com/wp-content/uploads/2026/01/ECTA-Annual-Report-2024-25-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C263170DEB6041A2E85F1E758EF339" ma:contentTypeVersion="20" ma:contentTypeDescription="Create a new document." ma:contentTypeScope="" ma:versionID="a9ffc63b5b35c40f8e94625aa95ff1fe">
  <xsd:schema xmlns:xsd="http://www.w3.org/2001/XMLSchema" xmlns:xs="http://www.w3.org/2001/XMLSchema" xmlns:p="http://schemas.microsoft.com/office/2006/metadata/properties" xmlns:ns2="91a6a81e-f27c-469b-b303-4dba6f2aa4f5" xmlns:ns3="981693c3-3f5b-4db3-995a-25a5e28820ab" targetNamespace="http://schemas.microsoft.com/office/2006/metadata/properties" ma:root="true" ma:fieldsID="ec8bbc373937e497523fd284b59dab68" ns2:_="" ns3:_="">
    <xsd:import namespace="91a6a81e-f27c-469b-b303-4dba6f2aa4f5"/>
    <xsd:import namespace="981693c3-3f5b-4db3-995a-25a5e28820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omments" minOccurs="0"/>
                <xsd:element ref="ns2:MediaServiceDateTaken" minOccurs="0"/>
                <xsd:element ref="ns2:MediaServiceObjectDetectorVersions" minOccurs="0"/>
                <xsd:element ref="ns2:MediaLengthInSeconds" minOccurs="0"/>
                <xsd:element ref="ns2:Chatbox"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6a81e-f27c-469b-b303-4dba6f2aa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mments" ma:index="14" nillable="true" ma:displayName="Comments" ma:description="notes on the document" ma:format="Dropdown" ma:internalName="Comments">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Chatbox" ma:index="18" nillable="true" ma:displayName="Chat box" ma:description="To chat with fulmar people" ma:format="Dropdown" ma:internalName="Chatbox">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e8a4758-4e0f-4f38-bb4e-445dd1d1454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1693c3-3f5b-4db3-995a-25a5e28820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d68110f-ffd9-4a23-97e6-f3efdab4657d}" ma:internalName="TaxCatchAll" ma:showField="CatchAllData" ma:web="981693c3-3f5b-4db3-995a-25a5e28820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a6a81e-f27c-469b-b303-4dba6f2aa4f5">
      <Terms xmlns="http://schemas.microsoft.com/office/infopath/2007/PartnerControls"/>
    </lcf76f155ced4ddcb4097134ff3c332f>
    <Comments xmlns="91a6a81e-f27c-469b-b303-4dba6f2aa4f5" xsi:nil="true"/>
    <Chatbox xmlns="91a6a81e-f27c-469b-b303-4dba6f2aa4f5" xsi:nil="true"/>
    <TaxCatchAll xmlns="981693c3-3f5b-4db3-995a-25a5e28820a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E3A64-0E10-4709-B21E-74DF9549FE41}">
  <ds:schemaRefs>
    <ds:schemaRef ds:uri="http://schemas.microsoft.com/sharepoint/v3/contenttype/forms"/>
  </ds:schemaRefs>
</ds:datastoreItem>
</file>

<file path=customXml/itemProps2.xml><?xml version="1.0" encoding="utf-8"?>
<ds:datastoreItem xmlns:ds="http://schemas.openxmlformats.org/officeDocument/2006/customXml" ds:itemID="{6F384B78-26BA-48D2-8EE8-1DBCB62DD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6a81e-f27c-469b-b303-4dba6f2aa4f5"/>
    <ds:schemaRef ds:uri="981693c3-3f5b-4db3-995a-25a5e2882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CE2879-6117-4A31-9E50-808C935C0FB9}">
  <ds:schemaRefs>
    <ds:schemaRef ds:uri="http://schemas.microsoft.com/office/2006/metadata/properties"/>
    <ds:schemaRef ds:uri="http://schemas.microsoft.com/office/infopath/2007/PartnerControls"/>
    <ds:schemaRef ds:uri="91a6a81e-f27c-469b-b303-4dba6f2aa4f5"/>
    <ds:schemaRef ds:uri="981693c3-3f5b-4db3-995a-25a5e28820ab"/>
  </ds:schemaRefs>
</ds:datastoreItem>
</file>

<file path=customXml/itemProps4.xml><?xml version="1.0" encoding="utf-8"?>
<ds:datastoreItem xmlns:ds="http://schemas.openxmlformats.org/officeDocument/2006/customXml" ds:itemID="{0D910A92-2450-4231-BE37-C9181998C63E}">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65</Pages>
  <Words>22724</Words>
  <Characters>129527</Characters>
  <Application>Microsoft Office Word</Application>
  <DocSecurity>0</DocSecurity>
  <Lines>1079</Lines>
  <Paragraphs>303</Paragraphs>
  <ScaleCrop>false</ScaleCrop>
  <Company/>
  <LinksUpToDate>false</LinksUpToDate>
  <CharactersWithSpaces>151948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Johnston</dc:creator>
  <cp:keywords/>
  <dc:description/>
  <cp:lastModifiedBy>Morag Campbell</cp:lastModifiedBy>
  <cp:revision>7</cp:revision>
  <cp:lastPrinted>2026-09-06T14:42:00Z</cp:lastPrinted>
  <dcterms:created xsi:type="dcterms:W3CDTF">2026-09-10T09:40:00Z</dcterms:created>
  <dcterms:modified xsi:type="dcterms:W3CDTF">2026-09-10T09:49:00Z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0x010100FEC263170DEB6041A2E85F1E758EF339</vt:lpwstr>
  </property>
  <property fmtid="{D5CDD505-2E9C-101B-9397-08002B2CF9AE}" pid="3" name="MediaServiceImageTags">
    <vt:lpwstr/>
  </property>
</Properties>
</file>